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0E01A" w14:textId="77777777" w:rsidR="009956C0" w:rsidRPr="004F469F" w:rsidRDefault="009956C0" w:rsidP="009956C0">
      <w:pPr>
        <w:pStyle w:val="NormalWeb"/>
        <w:spacing w:before="0" w:beforeAutospacing="0" w:after="0" w:afterAutospacing="0" w:line="480" w:lineRule="auto"/>
        <w:jc w:val="center"/>
      </w:pPr>
      <w:r w:rsidRPr="004F469F">
        <w:t xml:space="preserve">UNIVERSITY OF OKLAHOMA </w:t>
      </w:r>
    </w:p>
    <w:p w14:paraId="5B334E7D" w14:textId="70F1FC37" w:rsidR="009956C0" w:rsidRPr="004F469F" w:rsidRDefault="009956C0" w:rsidP="009956C0">
      <w:pPr>
        <w:pStyle w:val="NormalWeb"/>
        <w:spacing w:before="0" w:beforeAutospacing="0" w:after="0" w:afterAutospacing="0" w:line="480" w:lineRule="auto"/>
        <w:jc w:val="center"/>
      </w:pPr>
      <w:r w:rsidRPr="004F469F">
        <w:t>GRADUATE COLLEGE</w:t>
      </w:r>
    </w:p>
    <w:p w14:paraId="0E65C1B8" w14:textId="70C56D82" w:rsidR="009956C0" w:rsidRPr="004F469F" w:rsidRDefault="009956C0" w:rsidP="009956C0">
      <w:pPr>
        <w:pStyle w:val="NormalWeb"/>
        <w:spacing w:before="0" w:beforeAutospacing="0" w:after="0" w:afterAutospacing="0" w:line="480" w:lineRule="auto"/>
        <w:jc w:val="center"/>
      </w:pPr>
    </w:p>
    <w:p w14:paraId="610700DF" w14:textId="64B95389" w:rsidR="009956C0" w:rsidRPr="004F469F" w:rsidRDefault="009956C0" w:rsidP="009956C0">
      <w:pPr>
        <w:pStyle w:val="NormalWeb"/>
        <w:spacing w:before="0" w:beforeAutospacing="0" w:after="0" w:afterAutospacing="0" w:line="480" w:lineRule="auto"/>
        <w:jc w:val="center"/>
      </w:pPr>
    </w:p>
    <w:p w14:paraId="34C69785" w14:textId="1F3D2853" w:rsidR="009956C0" w:rsidRPr="004F469F" w:rsidRDefault="009956C0" w:rsidP="009956C0">
      <w:pPr>
        <w:pStyle w:val="NormalWeb"/>
        <w:spacing w:before="0" w:beforeAutospacing="0" w:after="0" w:afterAutospacing="0" w:line="480" w:lineRule="auto"/>
        <w:jc w:val="center"/>
      </w:pPr>
    </w:p>
    <w:p w14:paraId="0840CD80" w14:textId="77777777" w:rsidR="009956C0" w:rsidRPr="004F469F" w:rsidRDefault="009956C0" w:rsidP="009956C0">
      <w:pPr>
        <w:pStyle w:val="NormalWeb"/>
        <w:spacing w:before="0" w:beforeAutospacing="0" w:after="0" w:afterAutospacing="0" w:line="480" w:lineRule="auto"/>
        <w:jc w:val="center"/>
      </w:pPr>
    </w:p>
    <w:p w14:paraId="5A570194" w14:textId="3AF9D887" w:rsidR="009956C0" w:rsidRPr="004F469F" w:rsidRDefault="009956C0" w:rsidP="009956C0">
      <w:pPr>
        <w:pStyle w:val="NormalWeb"/>
        <w:spacing w:before="0" w:beforeAutospacing="0" w:after="0" w:afterAutospacing="0" w:line="480" w:lineRule="auto"/>
        <w:jc w:val="center"/>
      </w:pPr>
      <w:r w:rsidRPr="004F469F">
        <w:t>SPAT</w:t>
      </w:r>
      <w:r w:rsidR="00EC5140" w:rsidRPr="004F469F">
        <w:t>I</w:t>
      </w:r>
      <w:r w:rsidRPr="004F469F">
        <w:t>OTEMPORAL ANALYSES OF TORNADO RISK AND EXPOSURE IN THE CONTIGUOUS UNITED STATES: A MODELING STUDY</w:t>
      </w:r>
    </w:p>
    <w:p w14:paraId="3F37BC39" w14:textId="41AFA09C" w:rsidR="009956C0" w:rsidRPr="004F469F" w:rsidRDefault="009956C0" w:rsidP="009956C0">
      <w:pPr>
        <w:pStyle w:val="NormalWeb"/>
        <w:spacing w:before="0" w:beforeAutospacing="0" w:after="0" w:afterAutospacing="0" w:line="480" w:lineRule="auto"/>
        <w:jc w:val="center"/>
      </w:pPr>
    </w:p>
    <w:p w14:paraId="09B14B9B" w14:textId="71AE1EFF" w:rsidR="009956C0" w:rsidRPr="004F469F" w:rsidRDefault="009956C0" w:rsidP="009956C0">
      <w:pPr>
        <w:pStyle w:val="NormalWeb"/>
        <w:spacing w:before="0" w:beforeAutospacing="0" w:after="0" w:afterAutospacing="0" w:line="480" w:lineRule="auto"/>
        <w:jc w:val="center"/>
      </w:pPr>
    </w:p>
    <w:p w14:paraId="3FE8047D" w14:textId="391856B5" w:rsidR="009956C0" w:rsidRPr="004F469F" w:rsidRDefault="009956C0" w:rsidP="009956C0">
      <w:pPr>
        <w:pStyle w:val="NormalWeb"/>
        <w:spacing w:before="0" w:beforeAutospacing="0" w:after="0" w:afterAutospacing="0" w:line="480" w:lineRule="auto"/>
        <w:jc w:val="center"/>
      </w:pPr>
    </w:p>
    <w:p w14:paraId="75C321DC" w14:textId="77777777" w:rsidR="009956C0" w:rsidRPr="004F469F" w:rsidRDefault="009956C0" w:rsidP="009956C0">
      <w:pPr>
        <w:pStyle w:val="NormalWeb"/>
        <w:spacing w:before="0" w:beforeAutospacing="0" w:after="0" w:afterAutospacing="0" w:line="480" w:lineRule="auto"/>
        <w:jc w:val="center"/>
      </w:pPr>
    </w:p>
    <w:p w14:paraId="18683DF6" w14:textId="77777777" w:rsidR="009956C0" w:rsidRPr="004F469F" w:rsidRDefault="009956C0" w:rsidP="009956C0">
      <w:pPr>
        <w:pStyle w:val="NormalWeb"/>
        <w:spacing w:before="0" w:beforeAutospacing="0" w:after="0" w:afterAutospacing="0" w:line="480" w:lineRule="auto"/>
        <w:jc w:val="center"/>
      </w:pPr>
    </w:p>
    <w:p w14:paraId="32962887" w14:textId="77777777" w:rsidR="009956C0" w:rsidRPr="004F469F" w:rsidRDefault="009956C0" w:rsidP="009956C0">
      <w:pPr>
        <w:pStyle w:val="NormalWeb"/>
        <w:spacing w:before="0" w:beforeAutospacing="0" w:after="0" w:afterAutospacing="0" w:line="480" w:lineRule="auto"/>
        <w:jc w:val="center"/>
      </w:pPr>
      <w:r w:rsidRPr="004F469F">
        <w:t>A DISSERTATION</w:t>
      </w:r>
      <w:r w:rsidRPr="004F469F">
        <w:br/>
        <w:t xml:space="preserve">SUBMITTED TO THE GRADUATE FACULTY </w:t>
      </w:r>
    </w:p>
    <w:p w14:paraId="4A47DF65" w14:textId="77777777" w:rsidR="009956C0" w:rsidRPr="004F469F" w:rsidRDefault="009956C0" w:rsidP="009956C0">
      <w:pPr>
        <w:pStyle w:val="NormalWeb"/>
        <w:spacing w:before="0" w:beforeAutospacing="0" w:after="0" w:afterAutospacing="0" w:line="480" w:lineRule="auto"/>
        <w:jc w:val="center"/>
      </w:pPr>
      <w:r w:rsidRPr="004F469F">
        <w:t xml:space="preserve">in partial fulfillment of the requirements for the </w:t>
      </w:r>
    </w:p>
    <w:p w14:paraId="56E46162" w14:textId="721DC5AE" w:rsidR="009956C0" w:rsidRPr="004F469F" w:rsidRDefault="009956C0" w:rsidP="009956C0">
      <w:pPr>
        <w:pStyle w:val="NormalWeb"/>
        <w:spacing w:before="0" w:beforeAutospacing="0" w:after="0" w:afterAutospacing="0" w:line="480" w:lineRule="auto"/>
        <w:jc w:val="center"/>
      </w:pPr>
      <w:r w:rsidRPr="004F469F">
        <w:t>Degree of</w:t>
      </w:r>
      <w:r w:rsidRPr="004F469F">
        <w:br/>
        <w:t>DOCTOR OF PHILOSOPHY</w:t>
      </w:r>
    </w:p>
    <w:p w14:paraId="7B3590B4" w14:textId="50FD4A31" w:rsidR="009956C0" w:rsidRPr="004F469F" w:rsidRDefault="009956C0" w:rsidP="009956C0">
      <w:pPr>
        <w:pStyle w:val="NormalWeb"/>
        <w:spacing w:before="0" w:beforeAutospacing="0" w:after="0" w:afterAutospacing="0" w:line="480" w:lineRule="auto"/>
        <w:jc w:val="center"/>
      </w:pPr>
    </w:p>
    <w:p w14:paraId="1D8F5716" w14:textId="77777777" w:rsidR="009956C0" w:rsidRPr="004F469F" w:rsidRDefault="009956C0" w:rsidP="009956C0">
      <w:pPr>
        <w:pStyle w:val="NormalWeb"/>
        <w:spacing w:before="0" w:beforeAutospacing="0" w:after="0" w:afterAutospacing="0" w:line="480" w:lineRule="auto"/>
        <w:jc w:val="center"/>
      </w:pPr>
    </w:p>
    <w:p w14:paraId="1278C58B" w14:textId="55E984BD" w:rsidR="009956C0" w:rsidRPr="004F469F" w:rsidRDefault="009956C0" w:rsidP="009956C0">
      <w:pPr>
        <w:pStyle w:val="NormalWeb"/>
        <w:spacing w:before="0" w:beforeAutospacing="0" w:after="0" w:afterAutospacing="0" w:line="480" w:lineRule="auto"/>
        <w:jc w:val="center"/>
      </w:pPr>
      <w:r w:rsidRPr="004F469F">
        <w:t>By</w:t>
      </w:r>
    </w:p>
    <w:p w14:paraId="0C59B398" w14:textId="77777777" w:rsidR="009956C0" w:rsidRPr="004F469F" w:rsidRDefault="009956C0" w:rsidP="009956C0">
      <w:pPr>
        <w:pStyle w:val="NormalWeb"/>
        <w:spacing w:before="0" w:beforeAutospacing="0" w:after="0" w:afterAutospacing="0"/>
        <w:jc w:val="center"/>
      </w:pPr>
      <w:r w:rsidRPr="004F469F">
        <w:t xml:space="preserve">JOSHUA JOHN HATZIS </w:t>
      </w:r>
    </w:p>
    <w:p w14:paraId="3E3F3046" w14:textId="5E6CBB48" w:rsidR="009956C0" w:rsidRPr="004F469F" w:rsidRDefault="009956C0" w:rsidP="009956C0">
      <w:pPr>
        <w:pStyle w:val="NormalWeb"/>
        <w:spacing w:before="0" w:beforeAutospacing="0" w:after="0" w:afterAutospacing="0"/>
        <w:jc w:val="center"/>
      </w:pPr>
      <w:r w:rsidRPr="004F469F">
        <w:t>Norman, Oklahoma</w:t>
      </w:r>
      <w:r w:rsidRPr="004F469F">
        <w:br/>
        <w:t>2019</w:t>
      </w:r>
    </w:p>
    <w:p w14:paraId="6DF24D67" w14:textId="59F6F965" w:rsidR="009956C0" w:rsidRPr="004F469F" w:rsidRDefault="009956C0" w:rsidP="00FD7A0F">
      <w:pPr>
        <w:spacing w:line="480" w:lineRule="auto"/>
        <w:rPr>
          <w:b/>
          <w:bCs/>
        </w:rPr>
      </w:pPr>
    </w:p>
    <w:p w14:paraId="14FC5294" w14:textId="77777777" w:rsidR="009956C0" w:rsidRPr="004F469F" w:rsidRDefault="009956C0" w:rsidP="009956C0">
      <w:pPr>
        <w:pStyle w:val="NormalWeb"/>
        <w:spacing w:before="0" w:beforeAutospacing="0" w:after="0" w:afterAutospacing="0"/>
        <w:jc w:val="center"/>
      </w:pPr>
    </w:p>
    <w:p w14:paraId="169A2682" w14:textId="77777777" w:rsidR="009956C0" w:rsidRPr="004F469F" w:rsidRDefault="009956C0" w:rsidP="009956C0">
      <w:pPr>
        <w:pStyle w:val="NormalWeb"/>
        <w:spacing w:before="0" w:beforeAutospacing="0" w:after="0" w:afterAutospacing="0"/>
        <w:jc w:val="center"/>
      </w:pPr>
    </w:p>
    <w:p w14:paraId="229D2441" w14:textId="77777777" w:rsidR="009956C0" w:rsidRPr="004F469F" w:rsidRDefault="009956C0" w:rsidP="009956C0">
      <w:pPr>
        <w:pStyle w:val="NormalWeb"/>
        <w:spacing w:before="0" w:beforeAutospacing="0" w:after="0" w:afterAutospacing="0"/>
        <w:jc w:val="center"/>
      </w:pPr>
    </w:p>
    <w:p w14:paraId="5961D66F" w14:textId="77777777" w:rsidR="009956C0" w:rsidRPr="004F469F" w:rsidRDefault="009956C0" w:rsidP="009956C0">
      <w:pPr>
        <w:pStyle w:val="NormalWeb"/>
        <w:spacing w:before="0" w:beforeAutospacing="0" w:after="0" w:afterAutospacing="0"/>
        <w:jc w:val="center"/>
      </w:pPr>
    </w:p>
    <w:p w14:paraId="67FA7AA6" w14:textId="77777777" w:rsidR="009956C0" w:rsidRPr="004F469F" w:rsidRDefault="009956C0" w:rsidP="009956C0">
      <w:pPr>
        <w:pStyle w:val="NormalWeb"/>
        <w:spacing w:before="0" w:beforeAutospacing="0" w:after="0" w:afterAutospacing="0"/>
        <w:jc w:val="center"/>
      </w:pPr>
    </w:p>
    <w:p w14:paraId="2CD5D74A" w14:textId="77777777" w:rsidR="009956C0" w:rsidRPr="004F469F" w:rsidRDefault="009956C0" w:rsidP="009956C0">
      <w:pPr>
        <w:pStyle w:val="NormalWeb"/>
        <w:spacing w:before="0" w:beforeAutospacing="0" w:after="0" w:afterAutospacing="0"/>
        <w:jc w:val="center"/>
      </w:pPr>
    </w:p>
    <w:p w14:paraId="57F811D9" w14:textId="0F403249" w:rsidR="009956C0" w:rsidRPr="004F469F" w:rsidRDefault="009956C0" w:rsidP="009956C0">
      <w:pPr>
        <w:pStyle w:val="NormalWeb"/>
        <w:spacing w:before="0" w:beforeAutospacing="0" w:after="0" w:afterAutospacing="0"/>
        <w:jc w:val="center"/>
      </w:pPr>
      <w:r w:rsidRPr="004F469F">
        <w:t>SPATOTEMPORAL ANALYSES OF TORNADO RISK AND EXPOSURE IN THE CONTIGUOUS UNITED STATES: A MODELING STUDY</w:t>
      </w:r>
    </w:p>
    <w:p w14:paraId="55F60152" w14:textId="77777777" w:rsidR="009956C0" w:rsidRPr="004F469F" w:rsidRDefault="009956C0" w:rsidP="009956C0">
      <w:pPr>
        <w:pStyle w:val="NormalWeb"/>
        <w:spacing w:before="0" w:beforeAutospacing="0" w:after="0" w:afterAutospacing="0"/>
        <w:jc w:val="center"/>
      </w:pPr>
    </w:p>
    <w:p w14:paraId="701B0768" w14:textId="77777777" w:rsidR="009956C0" w:rsidRPr="004F469F" w:rsidRDefault="009956C0" w:rsidP="009956C0">
      <w:pPr>
        <w:pStyle w:val="NormalWeb"/>
        <w:spacing w:before="0" w:beforeAutospacing="0" w:after="0" w:afterAutospacing="0"/>
      </w:pPr>
    </w:p>
    <w:p w14:paraId="1316E0D1" w14:textId="599D8AE4" w:rsidR="009956C0" w:rsidRPr="004F469F" w:rsidRDefault="009956C0" w:rsidP="009956C0">
      <w:pPr>
        <w:pStyle w:val="NormalWeb"/>
        <w:spacing w:before="0" w:beforeAutospacing="0" w:after="0" w:afterAutospacing="0"/>
        <w:jc w:val="center"/>
      </w:pPr>
      <w:r w:rsidRPr="004F469F">
        <w:t>A DISSERTATION APPROVED FOR THE</w:t>
      </w:r>
      <w:r w:rsidRPr="004F469F">
        <w:br/>
        <w:t>DEPARTMENT OF GEOGRAPHY AND ENVIRONMENTAL SUSTAINABILITY</w:t>
      </w:r>
    </w:p>
    <w:p w14:paraId="1B43134F" w14:textId="77777777" w:rsidR="009956C0" w:rsidRPr="004F469F" w:rsidRDefault="009956C0" w:rsidP="009956C0">
      <w:pPr>
        <w:pStyle w:val="NormalWeb"/>
        <w:spacing w:before="0" w:beforeAutospacing="0" w:after="0" w:afterAutospacing="0"/>
      </w:pPr>
    </w:p>
    <w:p w14:paraId="315E5AB1" w14:textId="77777777" w:rsidR="009956C0" w:rsidRPr="004F469F" w:rsidRDefault="009956C0" w:rsidP="009956C0">
      <w:pPr>
        <w:pStyle w:val="NormalWeb"/>
        <w:spacing w:before="0" w:beforeAutospacing="0" w:after="0" w:afterAutospacing="0"/>
      </w:pPr>
    </w:p>
    <w:p w14:paraId="62773D21" w14:textId="77777777" w:rsidR="009956C0" w:rsidRPr="004F469F" w:rsidRDefault="009956C0" w:rsidP="009956C0">
      <w:pPr>
        <w:pStyle w:val="NormalWeb"/>
        <w:spacing w:before="0" w:beforeAutospacing="0" w:after="0" w:afterAutospacing="0"/>
      </w:pPr>
    </w:p>
    <w:p w14:paraId="6F507BFA" w14:textId="77777777" w:rsidR="009956C0" w:rsidRPr="004F469F" w:rsidRDefault="009956C0" w:rsidP="009956C0">
      <w:pPr>
        <w:pStyle w:val="NormalWeb"/>
        <w:spacing w:before="0" w:beforeAutospacing="0" w:after="0" w:afterAutospacing="0"/>
      </w:pPr>
    </w:p>
    <w:p w14:paraId="106881CB" w14:textId="77777777" w:rsidR="009956C0" w:rsidRPr="004F469F" w:rsidRDefault="009956C0" w:rsidP="009956C0">
      <w:pPr>
        <w:pStyle w:val="NormalWeb"/>
        <w:spacing w:before="0" w:beforeAutospacing="0" w:after="0" w:afterAutospacing="0"/>
      </w:pPr>
    </w:p>
    <w:p w14:paraId="271CF9F8" w14:textId="77777777" w:rsidR="009956C0" w:rsidRPr="004F469F" w:rsidRDefault="009956C0" w:rsidP="009956C0">
      <w:pPr>
        <w:pStyle w:val="NormalWeb"/>
        <w:spacing w:before="0" w:beforeAutospacing="0" w:after="0" w:afterAutospacing="0"/>
      </w:pPr>
    </w:p>
    <w:p w14:paraId="47121523" w14:textId="77777777" w:rsidR="009956C0" w:rsidRPr="004F469F" w:rsidRDefault="009956C0" w:rsidP="009956C0">
      <w:pPr>
        <w:pStyle w:val="NormalWeb"/>
        <w:spacing w:before="0" w:beforeAutospacing="0" w:after="0" w:afterAutospacing="0"/>
      </w:pPr>
    </w:p>
    <w:p w14:paraId="72A4C67F" w14:textId="22B0F146" w:rsidR="009956C0" w:rsidRPr="004F469F" w:rsidRDefault="009956C0" w:rsidP="009956C0">
      <w:pPr>
        <w:pStyle w:val="NormalWeb"/>
        <w:spacing w:before="0" w:beforeAutospacing="0" w:after="0" w:afterAutospacing="0"/>
      </w:pPr>
    </w:p>
    <w:p w14:paraId="7924D787" w14:textId="156D52BA" w:rsidR="009956C0" w:rsidRPr="004F469F" w:rsidRDefault="009956C0" w:rsidP="009956C0">
      <w:pPr>
        <w:pStyle w:val="NormalWeb"/>
        <w:spacing w:before="0" w:beforeAutospacing="0" w:after="0" w:afterAutospacing="0"/>
      </w:pPr>
    </w:p>
    <w:p w14:paraId="1E0B66A4" w14:textId="366D567A" w:rsidR="009956C0" w:rsidRPr="004F469F" w:rsidRDefault="009956C0" w:rsidP="009956C0">
      <w:pPr>
        <w:pStyle w:val="NormalWeb"/>
        <w:spacing w:before="0" w:beforeAutospacing="0" w:after="0" w:afterAutospacing="0"/>
      </w:pPr>
    </w:p>
    <w:p w14:paraId="1B9B694E" w14:textId="342386CA" w:rsidR="009956C0" w:rsidRPr="004F469F" w:rsidRDefault="009956C0" w:rsidP="009956C0">
      <w:pPr>
        <w:pStyle w:val="NormalWeb"/>
        <w:spacing w:before="0" w:beforeAutospacing="0" w:after="0" w:afterAutospacing="0"/>
      </w:pPr>
    </w:p>
    <w:p w14:paraId="51F6C8BA" w14:textId="77777777" w:rsidR="009956C0" w:rsidRPr="004F469F" w:rsidRDefault="009956C0" w:rsidP="009956C0">
      <w:pPr>
        <w:pStyle w:val="NormalWeb"/>
        <w:spacing w:before="0" w:beforeAutospacing="0" w:after="0" w:afterAutospacing="0"/>
      </w:pPr>
    </w:p>
    <w:p w14:paraId="66BB1DBE" w14:textId="77777777" w:rsidR="009956C0" w:rsidRPr="004F469F" w:rsidRDefault="009956C0" w:rsidP="009956C0">
      <w:pPr>
        <w:pStyle w:val="NormalWeb"/>
        <w:spacing w:before="0" w:beforeAutospacing="0" w:after="0" w:afterAutospacing="0"/>
      </w:pPr>
    </w:p>
    <w:p w14:paraId="0C6496D0" w14:textId="77777777" w:rsidR="009956C0" w:rsidRPr="004F469F" w:rsidRDefault="009956C0" w:rsidP="009956C0">
      <w:pPr>
        <w:pStyle w:val="NormalWeb"/>
        <w:spacing w:before="0" w:beforeAutospacing="0" w:after="0" w:afterAutospacing="0"/>
      </w:pPr>
    </w:p>
    <w:p w14:paraId="6FBB5F08" w14:textId="6540E324" w:rsidR="009956C0" w:rsidRPr="004F469F" w:rsidRDefault="009956C0" w:rsidP="009956C0">
      <w:pPr>
        <w:pStyle w:val="NormalWeb"/>
        <w:spacing w:before="0" w:beforeAutospacing="0" w:after="0" w:afterAutospacing="0"/>
        <w:jc w:val="center"/>
      </w:pPr>
      <w:r w:rsidRPr="004F469F">
        <w:t>BY</w:t>
      </w:r>
      <w:r w:rsidR="009C50DD">
        <w:t xml:space="preserve"> THE COMMITTEE CONSISTING OF</w:t>
      </w:r>
    </w:p>
    <w:p w14:paraId="64C837FC" w14:textId="77777777" w:rsidR="000F0734" w:rsidRDefault="000F0734" w:rsidP="009956C0">
      <w:pPr>
        <w:pStyle w:val="NormalWeb"/>
        <w:spacing w:before="0" w:beforeAutospacing="0" w:after="0" w:afterAutospacing="0"/>
        <w:jc w:val="right"/>
      </w:pPr>
    </w:p>
    <w:p w14:paraId="7D3B815F" w14:textId="0556B7F2" w:rsidR="000F0734" w:rsidRDefault="000F0734" w:rsidP="009956C0">
      <w:pPr>
        <w:pStyle w:val="NormalWeb"/>
        <w:spacing w:before="0" w:beforeAutospacing="0" w:after="0" w:afterAutospacing="0"/>
        <w:jc w:val="right"/>
      </w:pPr>
    </w:p>
    <w:p w14:paraId="6ADB668D" w14:textId="7DFA0C6E" w:rsidR="009C50DD" w:rsidRDefault="009C50DD" w:rsidP="009956C0">
      <w:pPr>
        <w:pStyle w:val="NormalWeb"/>
        <w:spacing w:before="0" w:beforeAutospacing="0" w:after="0" w:afterAutospacing="0"/>
        <w:jc w:val="right"/>
      </w:pPr>
    </w:p>
    <w:p w14:paraId="7CBBD6A9" w14:textId="4D271797" w:rsidR="009C50DD" w:rsidRDefault="009C50DD" w:rsidP="009956C0">
      <w:pPr>
        <w:pStyle w:val="NormalWeb"/>
        <w:spacing w:before="0" w:beforeAutospacing="0" w:after="0" w:afterAutospacing="0"/>
        <w:jc w:val="right"/>
      </w:pPr>
    </w:p>
    <w:p w14:paraId="6FC0E1FB" w14:textId="55AA4A20" w:rsidR="009C50DD" w:rsidRDefault="009C50DD" w:rsidP="009956C0">
      <w:pPr>
        <w:pStyle w:val="NormalWeb"/>
        <w:spacing w:before="0" w:beforeAutospacing="0" w:after="0" w:afterAutospacing="0"/>
        <w:jc w:val="right"/>
      </w:pPr>
    </w:p>
    <w:p w14:paraId="4D942F51" w14:textId="77777777" w:rsidR="009C50DD" w:rsidRDefault="009C50DD" w:rsidP="009956C0">
      <w:pPr>
        <w:pStyle w:val="NormalWeb"/>
        <w:spacing w:before="0" w:beforeAutospacing="0" w:after="0" w:afterAutospacing="0"/>
        <w:jc w:val="right"/>
      </w:pPr>
    </w:p>
    <w:p w14:paraId="02399D16" w14:textId="7018A9EB" w:rsidR="009956C0" w:rsidRPr="004F469F" w:rsidRDefault="009956C0" w:rsidP="009956C0">
      <w:pPr>
        <w:pStyle w:val="NormalWeb"/>
        <w:spacing w:before="0" w:beforeAutospacing="0" w:after="0" w:afterAutospacing="0"/>
        <w:jc w:val="right"/>
      </w:pPr>
      <w:r w:rsidRPr="004F469F">
        <w:t xml:space="preserve">Dr. Jennifer Koch, Chair </w:t>
      </w:r>
    </w:p>
    <w:p w14:paraId="344CC084" w14:textId="77777777" w:rsidR="009956C0" w:rsidRPr="004F469F" w:rsidRDefault="009956C0" w:rsidP="009C50DD">
      <w:pPr>
        <w:pStyle w:val="NormalWeb"/>
        <w:spacing w:before="0" w:beforeAutospacing="0" w:after="0" w:afterAutospacing="0"/>
      </w:pPr>
    </w:p>
    <w:p w14:paraId="7EAB283F" w14:textId="6EDF1404" w:rsidR="009956C0" w:rsidRPr="004F469F" w:rsidRDefault="009956C0" w:rsidP="009956C0">
      <w:pPr>
        <w:pStyle w:val="NormalWeb"/>
        <w:spacing w:before="0" w:beforeAutospacing="0" w:after="0" w:afterAutospacing="0"/>
        <w:jc w:val="right"/>
      </w:pPr>
    </w:p>
    <w:p w14:paraId="774C0D1C" w14:textId="7F8266A9" w:rsidR="009956C0" w:rsidRPr="004F469F" w:rsidRDefault="009956C0" w:rsidP="009956C0">
      <w:pPr>
        <w:pStyle w:val="NormalWeb"/>
        <w:spacing w:before="0" w:beforeAutospacing="0" w:after="0" w:afterAutospacing="0"/>
        <w:jc w:val="right"/>
      </w:pPr>
      <w:r w:rsidRPr="004F469F">
        <w:t xml:space="preserve">Dr. Harold Brooks, Co-Chair </w:t>
      </w:r>
    </w:p>
    <w:p w14:paraId="48A95203" w14:textId="22BC173B" w:rsidR="009956C0" w:rsidRPr="004F469F" w:rsidRDefault="009956C0" w:rsidP="009956C0">
      <w:pPr>
        <w:pStyle w:val="NormalWeb"/>
        <w:spacing w:before="0" w:beforeAutospacing="0" w:after="0" w:afterAutospacing="0"/>
        <w:jc w:val="right"/>
      </w:pPr>
    </w:p>
    <w:p w14:paraId="1C069806" w14:textId="77777777" w:rsidR="000F0734" w:rsidRDefault="000F0734" w:rsidP="009C50DD">
      <w:pPr>
        <w:pStyle w:val="NormalWeb"/>
        <w:spacing w:before="0" w:beforeAutospacing="0" w:after="0" w:afterAutospacing="0"/>
      </w:pPr>
    </w:p>
    <w:p w14:paraId="3B9FED40" w14:textId="06162E9B" w:rsidR="009956C0" w:rsidRPr="004F469F" w:rsidRDefault="009956C0" w:rsidP="009956C0">
      <w:pPr>
        <w:pStyle w:val="NormalWeb"/>
        <w:spacing w:before="0" w:beforeAutospacing="0" w:after="0" w:afterAutospacing="0"/>
        <w:jc w:val="right"/>
      </w:pPr>
      <w:r w:rsidRPr="004F469F">
        <w:t xml:space="preserve">Dr. Thomas Neeson </w:t>
      </w:r>
    </w:p>
    <w:p w14:paraId="4BB102F7" w14:textId="77777777" w:rsidR="009956C0" w:rsidRPr="004F469F" w:rsidRDefault="009956C0" w:rsidP="009C50DD">
      <w:pPr>
        <w:pStyle w:val="NormalWeb"/>
        <w:spacing w:before="0" w:beforeAutospacing="0" w:after="0" w:afterAutospacing="0"/>
      </w:pPr>
    </w:p>
    <w:p w14:paraId="77E0E139" w14:textId="4402DBFF" w:rsidR="009956C0" w:rsidRPr="004F469F" w:rsidRDefault="009956C0" w:rsidP="009956C0">
      <w:pPr>
        <w:pStyle w:val="NormalWeb"/>
        <w:spacing w:before="0" w:beforeAutospacing="0" w:after="0" w:afterAutospacing="0"/>
        <w:jc w:val="right"/>
      </w:pPr>
    </w:p>
    <w:p w14:paraId="015D8765" w14:textId="60CBA61B" w:rsidR="009956C0" w:rsidRPr="004F469F" w:rsidRDefault="009956C0" w:rsidP="009956C0">
      <w:pPr>
        <w:pStyle w:val="NormalWeb"/>
        <w:spacing w:before="0" w:beforeAutospacing="0" w:after="0" w:afterAutospacing="0"/>
        <w:jc w:val="right"/>
      </w:pPr>
      <w:r w:rsidRPr="004F469F">
        <w:t xml:space="preserve">Dr. Mark Shafer </w:t>
      </w:r>
    </w:p>
    <w:p w14:paraId="1C766AC0" w14:textId="77777777" w:rsidR="000F0734" w:rsidRPr="004F469F" w:rsidRDefault="000F0734" w:rsidP="009C50DD">
      <w:pPr>
        <w:pStyle w:val="NormalWeb"/>
        <w:spacing w:before="0" w:beforeAutospacing="0" w:after="0" w:afterAutospacing="0"/>
      </w:pPr>
    </w:p>
    <w:p w14:paraId="0DBC08DE" w14:textId="77777777" w:rsidR="009956C0" w:rsidRPr="004F469F" w:rsidRDefault="009956C0" w:rsidP="009956C0">
      <w:pPr>
        <w:pStyle w:val="NormalWeb"/>
        <w:spacing w:before="0" w:beforeAutospacing="0" w:after="0" w:afterAutospacing="0"/>
        <w:jc w:val="right"/>
      </w:pPr>
    </w:p>
    <w:p w14:paraId="7C1FEAAE" w14:textId="092D3B2D" w:rsidR="009956C0" w:rsidRPr="004F469F" w:rsidRDefault="009956C0" w:rsidP="009956C0">
      <w:pPr>
        <w:pStyle w:val="NormalWeb"/>
        <w:spacing w:before="0" w:beforeAutospacing="0" w:after="0" w:afterAutospacing="0"/>
        <w:jc w:val="right"/>
      </w:pPr>
      <w:r w:rsidRPr="004F469F">
        <w:t xml:space="preserve">Dr. Elinor Martin </w:t>
      </w:r>
    </w:p>
    <w:p w14:paraId="50B4216E" w14:textId="77777777" w:rsidR="009956C0" w:rsidRPr="004F469F" w:rsidRDefault="009956C0" w:rsidP="009956C0">
      <w:pPr>
        <w:pStyle w:val="NormalWeb"/>
        <w:spacing w:before="0" w:beforeAutospacing="0" w:after="0" w:afterAutospacing="0"/>
      </w:pPr>
    </w:p>
    <w:p w14:paraId="47EBD7C4" w14:textId="77777777" w:rsidR="009956C0" w:rsidRPr="004F469F" w:rsidRDefault="009956C0" w:rsidP="009956C0">
      <w:pPr>
        <w:pStyle w:val="NormalWeb"/>
        <w:spacing w:before="0" w:beforeAutospacing="0" w:after="0" w:afterAutospacing="0"/>
      </w:pPr>
    </w:p>
    <w:p w14:paraId="3CBC3BED" w14:textId="77777777" w:rsidR="009956C0" w:rsidRPr="004F469F" w:rsidRDefault="009956C0" w:rsidP="009956C0">
      <w:pPr>
        <w:pStyle w:val="NormalWeb"/>
        <w:spacing w:before="0" w:beforeAutospacing="0" w:after="0" w:afterAutospacing="0"/>
      </w:pPr>
    </w:p>
    <w:p w14:paraId="5714D769" w14:textId="77777777" w:rsidR="009956C0" w:rsidRPr="004F469F" w:rsidRDefault="009956C0" w:rsidP="009956C0">
      <w:pPr>
        <w:pStyle w:val="NormalWeb"/>
        <w:spacing w:before="0" w:beforeAutospacing="0" w:after="0" w:afterAutospacing="0"/>
      </w:pPr>
    </w:p>
    <w:p w14:paraId="5CBC5160" w14:textId="77777777" w:rsidR="009956C0" w:rsidRPr="004F469F" w:rsidRDefault="009956C0" w:rsidP="009956C0">
      <w:pPr>
        <w:pStyle w:val="NormalWeb"/>
        <w:spacing w:before="0" w:beforeAutospacing="0" w:after="0" w:afterAutospacing="0"/>
      </w:pPr>
    </w:p>
    <w:p w14:paraId="461C1D76" w14:textId="77777777" w:rsidR="009956C0" w:rsidRPr="004F469F" w:rsidRDefault="009956C0" w:rsidP="009956C0">
      <w:pPr>
        <w:pStyle w:val="NormalWeb"/>
        <w:spacing w:before="0" w:beforeAutospacing="0" w:after="0" w:afterAutospacing="0"/>
      </w:pPr>
    </w:p>
    <w:p w14:paraId="6F6C4D18" w14:textId="77777777" w:rsidR="009956C0" w:rsidRPr="004F469F" w:rsidRDefault="009956C0" w:rsidP="009956C0">
      <w:pPr>
        <w:pStyle w:val="NormalWeb"/>
        <w:spacing w:before="0" w:beforeAutospacing="0" w:after="0" w:afterAutospacing="0"/>
      </w:pPr>
    </w:p>
    <w:p w14:paraId="4852F761" w14:textId="77777777" w:rsidR="009956C0" w:rsidRPr="004F469F" w:rsidRDefault="009956C0" w:rsidP="009956C0">
      <w:pPr>
        <w:pStyle w:val="NormalWeb"/>
        <w:spacing w:before="0" w:beforeAutospacing="0" w:after="0" w:afterAutospacing="0"/>
      </w:pPr>
    </w:p>
    <w:p w14:paraId="5A27B4EC" w14:textId="77777777" w:rsidR="009956C0" w:rsidRPr="004F469F" w:rsidRDefault="009956C0" w:rsidP="009956C0">
      <w:pPr>
        <w:pStyle w:val="NormalWeb"/>
        <w:spacing w:before="0" w:beforeAutospacing="0" w:after="0" w:afterAutospacing="0"/>
      </w:pPr>
    </w:p>
    <w:p w14:paraId="0D1CD752" w14:textId="77777777" w:rsidR="009956C0" w:rsidRPr="004F469F" w:rsidRDefault="009956C0" w:rsidP="009956C0">
      <w:pPr>
        <w:pStyle w:val="NormalWeb"/>
        <w:spacing w:before="0" w:beforeAutospacing="0" w:after="0" w:afterAutospacing="0"/>
      </w:pPr>
    </w:p>
    <w:p w14:paraId="2AEA39EA" w14:textId="77777777" w:rsidR="009956C0" w:rsidRPr="004F469F" w:rsidRDefault="009956C0" w:rsidP="009956C0">
      <w:pPr>
        <w:pStyle w:val="NormalWeb"/>
        <w:spacing w:before="0" w:beforeAutospacing="0" w:after="0" w:afterAutospacing="0"/>
      </w:pPr>
    </w:p>
    <w:p w14:paraId="3D7277D3" w14:textId="77777777" w:rsidR="009956C0" w:rsidRPr="004F469F" w:rsidRDefault="009956C0" w:rsidP="009956C0">
      <w:pPr>
        <w:pStyle w:val="NormalWeb"/>
        <w:spacing w:before="0" w:beforeAutospacing="0" w:after="0" w:afterAutospacing="0"/>
      </w:pPr>
    </w:p>
    <w:p w14:paraId="1B7BD559" w14:textId="77777777" w:rsidR="009956C0" w:rsidRPr="004F469F" w:rsidRDefault="009956C0" w:rsidP="009956C0">
      <w:pPr>
        <w:pStyle w:val="NormalWeb"/>
        <w:spacing w:before="0" w:beforeAutospacing="0" w:after="0" w:afterAutospacing="0"/>
      </w:pPr>
    </w:p>
    <w:p w14:paraId="3E60C2A1" w14:textId="77777777" w:rsidR="009956C0" w:rsidRPr="004F469F" w:rsidRDefault="009956C0" w:rsidP="009956C0">
      <w:pPr>
        <w:pStyle w:val="NormalWeb"/>
        <w:spacing w:before="0" w:beforeAutospacing="0" w:after="0" w:afterAutospacing="0"/>
      </w:pPr>
    </w:p>
    <w:p w14:paraId="190DAC43" w14:textId="77777777" w:rsidR="009956C0" w:rsidRPr="004F469F" w:rsidRDefault="009956C0" w:rsidP="009956C0">
      <w:pPr>
        <w:pStyle w:val="NormalWeb"/>
        <w:spacing w:before="0" w:beforeAutospacing="0" w:after="0" w:afterAutospacing="0"/>
      </w:pPr>
    </w:p>
    <w:p w14:paraId="6DD26EF4" w14:textId="77777777" w:rsidR="009956C0" w:rsidRPr="004F469F" w:rsidRDefault="009956C0" w:rsidP="009956C0">
      <w:pPr>
        <w:pStyle w:val="NormalWeb"/>
        <w:spacing w:before="0" w:beforeAutospacing="0" w:after="0" w:afterAutospacing="0"/>
      </w:pPr>
    </w:p>
    <w:p w14:paraId="7B87860B" w14:textId="77777777" w:rsidR="009956C0" w:rsidRPr="004F469F" w:rsidRDefault="009956C0" w:rsidP="009956C0">
      <w:pPr>
        <w:pStyle w:val="NormalWeb"/>
        <w:spacing w:before="0" w:beforeAutospacing="0" w:after="0" w:afterAutospacing="0"/>
      </w:pPr>
    </w:p>
    <w:p w14:paraId="22D98969" w14:textId="77777777" w:rsidR="009956C0" w:rsidRPr="004F469F" w:rsidRDefault="009956C0" w:rsidP="009956C0">
      <w:pPr>
        <w:pStyle w:val="NormalWeb"/>
        <w:spacing w:before="0" w:beforeAutospacing="0" w:after="0" w:afterAutospacing="0"/>
      </w:pPr>
    </w:p>
    <w:p w14:paraId="5C7F96F0" w14:textId="77777777" w:rsidR="009956C0" w:rsidRPr="004F469F" w:rsidRDefault="009956C0" w:rsidP="009956C0">
      <w:pPr>
        <w:pStyle w:val="NormalWeb"/>
        <w:spacing w:before="0" w:beforeAutospacing="0" w:after="0" w:afterAutospacing="0"/>
      </w:pPr>
    </w:p>
    <w:p w14:paraId="7A5547B3" w14:textId="77777777" w:rsidR="009956C0" w:rsidRPr="004F469F" w:rsidRDefault="009956C0" w:rsidP="009956C0">
      <w:pPr>
        <w:pStyle w:val="NormalWeb"/>
        <w:spacing w:before="0" w:beforeAutospacing="0" w:after="0" w:afterAutospacing="0"/>
      </w:pPr>
    </w:p>
    <w:p w14:paraId="5A67CFF9" w14:textId="77777777" w:rsidR="009956C0" w:rsidRPr="004F469F" w:rsidRDefault="009956C0" w:rsidP="009956C0">
      <w:pPr>
        <w:pStyle w:val="NormalWeb"/>
        <w:spacing w:before="0" w:beforeAutospacing="0" w:after="0" w:afterAutospacing="0"/>
      </w:pPr>
    </w:p>
    <w:p w14:paraId="01ECFB3D" w14:textId="77777777" w:rsidR="009956C0" w:rsidRPr="004F469F" w:rsidRDefault="009956C0" w:rsidP="009956C0">
      <w:pPr>
        <w:pStyle w:val="NormalWeb"/>
        <w:spacing w:before="0" w:beforeAutospacing="0" w:after="0" w:afterAutospacing="0"/>
      </w:pPr>
    </w:p>
    <w:p w14:paraId="6CA95509" w14:textId="77777777" w:rsidR="009956C0" w:rsidRPr="004F469F" w:rsidRDefault="009956C0" w:rsidP="009956C0">
      <w:pPr>
        <w:pStyle w:val="NormalWeb"/>
        <w:spacing w:before="0" w:beforeAutospacing="0" w:after="0" w:afterAutospacing="0"/>
      </w:pPr>
    </w:p>
    <w:p w14:paraId="4C8B7062" w14:textId="77777777" w:rsidR="009956C0" w:rsidRPr="004F469F" w:rsidRDefault="009956C0" w:rsidP="009956C0">
      <w:pPr>
        <w:pStyle w:val="NormalWeb"/>
        <w:spacing w:before="0" w:beforeAutospacing="0" w:after="0" w:afterAutospacing="0"/>
      </w:pPr>
    </w:p>
    <w:p w14:paraId="236EEEF1" w14:textId="77777777" w:rsidR="009956C0" w:rsidRPr="004F469F" w:rsidRDefault="009956C0" w:rsidP="009956C0">
      <w:pPr>
        <w:pStyle w:val="NormalWeb"/>
        <w:spacing w:before="0" w:beforeAutospacing="0" w:after="0" w:afterAutospacing="0"/>
      </w:pPr>
    </w:p>
    <w:p w14:paraId="09FF8B45" w14:textId="77777777" w:rsidR="009956C0" w:rsidRPr="004F469F" w:rsidRDefault="009956C0" w:rsidP="009956C0">
      <w:pPr>
        <w:pStyle w:val="NormalWeb"/>
        <w:spacing w:before="0" w:beforeAutospacing="0" w:after="0" w:afterAutospacing="0"/>
      </w:pPr>
    </w:p>
    <w:p w14:paraId="195307BC" w14:textId="77777777" w:rsidR="009956C0" w:rsidRPr="004F469F" w:rsidRDefault="009956C0" w:rsidP="009956C0">
      <w:pPr>
        <w:pStyle w:val="NormalWeb"/>
        <w:spacing w:before="0" w:beforeAutospacing="0" w:after="0" w:afterAutospacing="0"/>
      </w:pPr>
    </w:p>
    <w:p w14:paraId="74A95ADF" w14:textId="77777777" w:rsidR="009956C0" w:rsidRPr="004F469F" w:rsidRDefault="009956C0" w:rsidP="009956C0">
      <w:pPr>
        <w:pStyle w:val="NormalWeb"/>
        <w:spacing w:before="0" w:beforeAutospacing="0" w:after="0" w:afterAutospacing="0"/>
      </w:pPr>
    </w:p>
    <w:p w14:paraId="2240FB21" w14:textId="77777777" w:rsidR="009956C0" w:rsidRPr="004F469F" w:rsidRDefault="009956C0" w:rsidP="009956C0">
      <w:pPr>
        <w:pStyle w:val="NormalWeb"/>
        <w:spacing w:before="0" w:beforeAutospacing="0" w:after="0" w:afterAutospacing="0"/>
      </w:pPr>
    </w:p>
    <w:p w14:paraId="36A0D9A1" w14:textId="77777777" w:rsidR="009956C0" w:rsidRPr="004F469F" w:rsidRDefault="009956C0" w:rsidP="009956C0">
      <w:pPr>
        <w:pStyle w:val="NormalWeb"/>
        <w:spacing w:before="0" w:beforeAutospacing="0" w:after="0" w:afterAutospacing="0"/>
      </w:pPr>
    </w:p>
    <w:p w14:paraId="007CB72F" w14:textId="77777777" w:rsidR="009956C0" w:rsidRPr="004F469F" w:rsidRDefault="009956C0" w:rsidP="009956C0">
      <w:pPr>
        <w:pStyle w:val="NormalWeb"/>
        <w:spacing w:before="0" w:beforeAutospacing="0" w:after="0" w:afterAutospacing="0"/>
      </w:pPr>
    </w:p>
    <w:p w14:paraId="5B919E87" w14:textId="77777777" w:rsidR="009956C0" w:rsidRPr="004F469F" w:rsidRDefault="009956C0" w:rsidP="009956C0">
      <w:pPr>
        <w:pStyle w:val="NormalWeb"/>
        <w:spacing w:before="0" w:beforeAutospacing="0" w:after="0" w:afterAutospacing="0"/>
      </w:pPr>
    </w:p>
    <w:p w14:paraId="28A47C16" w14:textId="77777777" w:rsidR="009956C0" w:rsidRPr="004F469F" w:rsidRDefault="009956C0" w:rsidP="009956C0">
      <w:pPr>
        <w:pStyle w:val="NormalWeb"/>
        <w:spacing w:before="0" w:beforeAutospacing="0" w:after="0" w:afterAutospacing="0"/>
      </w:pPr>
    </w:p>
    <w:p w14:paraId="2E00BAAE" w14:textId="77777777" w:rsidR="009956C0" w:rsidRPr="004F469F" w:rsidRDefault="009956C0" w:rsidP="009956C0">
      <w:pPr>
        <w:pStyle w:val="NormalWeb"/>
        <w:spacing w:before="0" w:beforeAutospacing="0" w:after="0" w:afterAutospacing="0"/>
      </w:pPr>
    </w:p>
    <w:p w14:paraId="29B2D086" w14:textId="77777777" w:rsidR="009956C0" w:rsidRPr="004F469F" w:rsidRDefault="009956C0" w:rsidP="009956C0">
      <w:pPr>
        <w:pStyle w:val="NormalWeb"/>
        <w:spacing w:before="0" w:beforeAutospacing="0" w:after="0" w:afterAutospacing="0"/>
      </w:pPr>
    </w:p>
    <w:p w14:paraId="457B3E60" w14:textId="77777777" w:rsidR="009956C0" w:rsidRPr="004F469F" w:rsidRDefault="009956C0" w:rsidP="009956C0">
      <w:pPr>
        <w:pStyle w:val="NormalWeb"/>
        <w:spacing w:before="0" w:beforeAutospacing="0" w:after="0" w:afterAutospacing="0"/>
      </w:pPr>
    </w:p>
    <w:p w14:paraId="4A7C03CB" w14:textId="77777777" w:rsidR="009956C0" w:rsidRPr="004F469F" w:rsidRDefault="009956C0" w:rsidP="009956C0">
      <w:pPr>
        <w:pStyle w:val="NormalWeb"/>
        <w:spacing w:before="0" w:beforeAutospacing="0" w:after="0" w:afterAutospacing="0"/>
      </w:pPr>
    </w:p>
    <w:p w14:paraId="2AB4CEED" w14:textId="77777777" w:rsidR="009956C0" w:rsidRPr="004F469F" w:rsidRDefault="009956C0" w:rsidP="009956C0">
      <w:pPr>
        <w:pStyle w:val="NormalWeb"/>
        <w:spacing w:before="0" w:beforeAutospacing="0" w:after="0" w:afterAutospacing="0"/>
      </w:pPr>
    </w:p>
    <w:p w14:paraId="5F0116D7" w14:textId="77777777" w:rsidR="009956C0" w:rsidRPr="004F469F" w:rsidRDefault="009956C0" w:rsidP="009956C0">
      <w:pPr>
        <w:pStyle w:val="NormalWeb"/>
        <w:spacing w:before="0" w:beforeAutospacing="0" w:after="0" w:afterAutospacing="0"/>
      </w:pPr>
    </w:p>
    <w:p w14:paraId="7EB7D456" w14:textId="77777777" w:rsidR="009956C0" w:rsidRPr="004F469F" w:rsidRDefault="009956C0" w:rsidP="009956C0">
      <w:pPr>
        <w:pStyle w:val="NormalWeb"/>
        <w:spacing w:before="0" w:beforeAutospacing="0" w:after="0" w:afterAutospacing="0"/>
      </w:pPr>
    </w:p>
    <w:p w14:paraId="2AB52D52" w14:textId="77777777" w:rsidR="009956C0" w:rsidRPr="004F469F" w:rsidRDefault="009956C0" w:rsidP="009956C0">
      <w:pPr>
        <w:pStyle w:val="NormalWeb"/>
        <w:spacing w:before="0" w:beforeAutospacing="0" w:after="0" w:afterAutospacing="0"/>
      </w:pPr>
    </w:p>
    <w:p w14:paraId="0A655003" w14:textId="77777777" w:rsidR="009956C0" w:rsidRPr="004F469F" w:rsidRDefault="009956C0" w:rsidP="009956C0">
      <w:pPr>
        <w:pStyle w:val="NormalWeb"/>
        <w:spacing w:before="0" w:beforeAutospacing="0" w:after="0" w:afterAutospacing="0"/>
      </w:pPr>
    </w:p>
    <w:p w14:paraId="071536C4" w14:textId="77777777" w:rsidR="009956C0" w:rsidRPr="004F469F" w:rsidRDefault="009956C0" w:rsidP="009956C0">
      <w:pPr>
        <w:pStyle w:val="NormalWeb"/>
        <w:spacing w:before="0" w:beforeAutospacing="0" w:after="0" w:afterAutospacing="0"/>
      </w:pPr>
    </w:p>
    <w:p w14:paraId="3C6140B5" w14:textId="77777777" w:rsidR="009956C0" w:rsidRPr="004F469F" w:rsidRDefault="009956C0" w:rsidP="009956C0">
      <w:pPr>
        <w:pStyle w:val="NormalWeb"/>
        <w:spacing w:before="0" w:beforeAutospacing="0" w:after="0" w:afterAutospacing="0"/>
      </w:pPr>
    </w:p>
    <w:p w14:paraId="1CB8239F" w14:textId="183FCC52" w:rsidR="009956C0" w:rsidRPr="004F469F" w:rsidRDefault="009956C0" w:rsidP="009956C0">
      <w:pPr>
        <w:pStyle w:val="NormalWeb"/>
        <w:spacing w:before="0" w:beforeAutospacing="0" w:after="0" w:afterAutospacing="0"/>
        <w:jc w:val="center"/>
      </w:pPr>
      <w:r w:rsidRPr="004F469F">
        <w:t>© Copyright by JOSHUA JOHN HATZIS 2019</w:t>
      </w:r>
    </w:p>
    <w:p w14:paraId="1FCE752F" w14:textId="77777777" w:rsidR="005F58DF" w:rsidRPr="004F469F" w:rsidRDefault="009956C0" w:rsidP="00C86E9F">
      <w:pPr>
        <w:pStyle w:val="NormalWeb"/>
        <w:spacing w:before="0" w:beforeAutospacing="0" w:after="0" w:afterAutospacing="0"/>
        <w:jc w:val="center"/>
        <w:sectPr w:rsidR="005F58DF" w:rsidRPr="004F469F" w:rsidSect="003C3EF2">
          <w:footerReference w:type="even" r:id="rId8"/>
          <w:footerReference w:type="first" r:id="rId9"/>
          <w:type w:val="continuous"/>
          <w:pgSz w:w="12240" w:h="15840"/>
          <w:pgMar w:top="1440" w:right="1440" w:bottom="1440" w:left="1440" w:header="720" w:footer="720" w:gutter="0"/>
          <w:pgNumType w:fmt="lowerRoman"/>
          <w:cols w:space="720"/>
          <w:docGrid w:linePitch="360"/>
        </w:sectPr>
      </w:pPr>
      <w:r w:rsidRPr="004F469F">
        <w:t>All Rights Reserved.</w:t>
      </w:r>
    </w:p>
    <w:p w14:paraId="38DD5D35" w14:textId="0EFE9546" w:rsidR="00E34599" w:rsidRPr="004F469F" w:rsidRDefault="00E34599" w:rsidP="001203C2">
      <w:pPr>
        <w:pStyle w:val="Heading1"/>
        <w:numPr>
          <w:ilvl w:val="0"/>
          <w:numId w:val="0"/>
        </w:numPr>
        <w:spacing w:before="0" w:after="120" w:line="480" w:lineRule="auto"/>
        <w:rPr>
          <w:rFonts w:ascii="Times New Roman" w:hAnsi="Times New Roman" w:cs="Times New Roman"/>
          <w:b/>
          <w:bCs/>
          <w:color w:val="auto"/>
          <w:sz w:val="36"/>
          <w:szCs w:val="36"/>
        </w:rPr>
      </w:pPr>
      <w:bookmarkStart w:id="0" w:name="_Toc21861274"/>
      <w:r w:rsidRPr="004F469F">
        <w:rPr>
          <w:rFonts w:ascii="Times New Roman" w:hAnsi="Times New Roman" w:cs="Times New Roman"/>
          <w:b/>
          <w:bCs/>
          <w:color w:val="auto"/>
          <w:sz w:val="36"/>
          <w:szCs w:val="36"/>
        </w:rPr>
        <w:lastRenderedPageBreak/>
        <w:t>A</w:t>
      </w:r>
      <w:r w:rsidR="005F58DF" w:rsidRPr="004F469F">
        <w:rPr>
          <w:rFonts w:ascii="Times New Roman" w:hAnsi="Times New Roman" w:cs="Times New Roman"/>
          <w:b/>
          <w:bCs/>
          <w:color w:val="auto"/>
          <w:sz w:val="36"/>
          <w:szCs w:val="36"/>
        </w:rPr>
        <w:t>cknowledgments</w:t>
      </w:r>
      <w:bookmarkEnd w:id="0"/>
    </w:p>
    <w:p w14:paraId="11416BDD" w14:textId="5D9B4C93" w:rsidR="00315883" w:rsidRDefault="00315883" w:rsidP="00315883">
      <w:pPr>
        <w:spacing w:after="120" w:line="480" w:lineRule="auto"/>
        <w:ind w:firstLine="720"/>
      </w:pPr>
      <w:r>
        <w:t>I would first like to acknowledge the contributions of my co-authors for the studies presented in this manuscript: Dr. Jennifer Koch, Dr. Harold Brooks, and Dr. Naci Dilekli. The writing and analys</w:t>
      </w:r>
      <w:r w:rsidR="00AE32B0">
        <w:t>e</w:t>
      </w:r>
      <w:r>
        <w:t>s were primarily mine</w:t>
      </w:r>
      <w:r w:rsidR="00F95F7F">
        <w:t>;</w:t>
      </w:r>
      <w:bookmarkStart w:id="1" w:name="_GoBack"/>
      <w:bookmarkEnd w:id="1"/>
      <w:r>
        <w:t xml:space="preserve"> however, they provided invaluable data, ideas and feedback. </w:t>
      </w:r>
      <w:r w:rsidR="002B5EBA">
        <w:t>Without t</w:t>
      </w:r>
      <w:r>
        <w:t xml:space="preserve">heir contributions </w:t>
      </w:r>
      <w:r w:rsidR="002B5EBA">
        <w:t>this project would not have been a success.</w:t>
      </w:r>
    </w:p>
    <w:p w14:paraId="1F4D81D0" w14:textId="5D6BF8BB" w:rsidR="00E34599" w:rsidRDefault="00E34599" w:rsidP="00E34599">
      <w:pPr>
        <w:spacing w:after="120" w:line="480" w:lineRule="auto"/>
        <w:ind w:firstLine="720"/>
      </w:pPr>
      <w:r w:rsidRPr="004F469F">
        <w:t>I would like to thank my advisor Dr. Jennifer Koch for her academic, financial, and emotional support, throughout my time as a doctoral student. When I was plagued by doubt and considering dropping out, she gave me the strength and support to push through to the end. Without her, I never would have made it this far. I a</w:t>
      </w:r>
      <w:r w:rsidR="002B5EBA">
        <w:t>lso</w:t>
      </w:r>
      <w:r w:rsidRPr="004F469F">
        <w:t xml:space="preserve"> would like to thank Dr. Harold Brooks for his support in picking a topic for my dissertation and for his advice on how to make my model better. I would also like to thank the remainder of my committee, Dr. Elinor Martin, Dr. Mark Shafer, and Dr. Thomas Neeson, for their comments and advice throughout this process.</w:t>
      </w:r>
    </w:p>
    <w:p w14:paraId="7B79CDF1" w14:textId="77777777" w:rsidR="00E34599" w:rsidRPr="004F469F" w:rsidRDefault="00E34599" w:rsidP="00E34599">
      <w:pPr>
        <w:spacing w:after="120" w:line="480" w:lineRule="auto"/>
        <w:ind w:firstLine="720"/>
      </w:pPr>
      <w:r w:rsidRPr="004F469F">
        <w:t>I would like to thank the staff within the University of Oklahoma Department of Geography and Environmental Sustainability for their support and help in navigating the hurdles of completing a Ph.D. I would also like to thank the Department of Geography and Environmental Sustainability as well as the Graduate College at the University of Oklahoma for funding opportunities to present early versions of my dissertation chapters at professional conferences. The thoughtful feedback and experience I gained through those presentations helped improve this dissertation immensely.</w:t>
      </w:r>
    </w:p>
    <w:p w14:paraId="62F57820" w14:textId="20BAC5A3" w:rsidR="00E34599" w:rsidRPr="004F469F" w:rsidRDefault="00E34599" w:rsidP="002B5EBA">
      <w:pPr>
        <w:spacing w:after="120" w:line="480" w:lineRule="auto"/>
        <w:ind w:firstLine="720"/>
      </w:pPr>
      <w:r w:rsidRPr="004F469F">
        <w:t>Finally, I would like to thank my friends and family for their continued love and support throughout this process. You've made me what I am today and I will be forever in your debt for everything you've done for me.</w:t>
      </w:r>
    </w:p>
    <w:p w14:paraId="7E0E53F0" w14:textId="0FEB643B" w:rsidR="00E34599" w:rsidRPr="004F469F" w:rsidRDefault="00E34599" w:rsidP="001203C2">
      <w:pPr>
        <w:pStyle w:val="Heading1"/>
        <w:numPr>
          <w:ilvl w:val="0"/>
          <w:numId w:val="0"/>
        </w:numPr>
        <w:spacing w:before="0" w:after="120" w:line="480" w:lineRule="auto"/>
        <w:rPr>
          <w:rFonts w:ascii="Times New Roman" w:hAnsi="Times New Roman" w:cs="Times New Roman"/>
          <w:b/>
          <w:bCs/>
          <w:color w:val="auto"/>
        </w:rPr>
      </w:pPr>
      <w:bookmarkStart w:id="2" w:name="_Toc21861275"/>
      <w:r w:rsidRPr="004F469F">
        <w:rPr>
          <w:rFonts w:ascii="Times New Roman" w:hAnsi="Times New Roman" w:cs="Times New Roman"/>
          <w:b/>
          <w:bCs/>
          <w:color w:val="auto"/>
        </w:rPr>
        <w:lastRenderedPageBreak/>
        <w:t>A</w:t>
      </w:r>
      <w:r w:rsidR="005F58DF" w:rsidRPr="004F469F">
        <w:rPr>
          <w:rFonts w:ascii="Times New Roman" w:hAnsi="Times New Roman" w:cs="Times New Roman"/>
          <w:b/>
          <w:bCs/>
          <w:color w:val="auto"/>
        </w:rPr>
        <w:t>bstract</w:t>
      </w:r>
      <w:bookmarkEnd w:id="2"/>
    </w:p>
    <w:p w14:paraId="06B7291C" w14:textId="77777777" w:rsidR="00E34599" w:rsidRPr="004F469F" w:rsidRDefault="00E34599" w:rsidP="00E34599">
      <w:pPr>
        <w:spacing w:after="120" w:line="480" w:lineRule="auto"/>
        <w:ind w:firstLine="720"/>
      </w:pPr>
      <w:r w:rsidRPr="004F469F">
        <w:t>Tornadoes represent a significant threat to both life and property across the United States. It is unclear exactly how climate change may influence the occurrence and intensity of small-scale phenomenon (below the resolution of current climate models), such as tornadoes. However, changes have already been observed in the spatial and temporal variability of tornadoes. Regardless of whether climate change results in substantial changes in tornado frequency or severity, continued population growth and the expansion of urban areas will likely lead to an increasing amount of exposure of people and buildings to tornadoes. Potential future changes in tornado risk and exposure require new methods for studying tornado impacts through simulation. This dissertation discusses the development and application of a new tornado impacts model, the Tornado Daily Impacts Simulator (TorDIS). First, we conducted a spatiotemporal analysis of near-miss violent tornadoes as a justification for the use of spatial models in tornado impact analysis. Second, we discussed the development of TorDIS and showcased its utility via comparisons of annual tornado exposures between six metropolitan areas. We also show an example of using TorDIS to assess potential tornado impacts on individual high-risk days. Finally, we describe a case study, using TorDIS, over the Oklahoma City Metropolitan Area of the combined and isolated effects of climate change and urban development on tornado impacts. Models such as TorDIS can be used by emergency managers to pre-allocate resources to the areas of greatest risk/potential impact, by city planners to assess how changes in land use could affect the potential tornado risk and impacts, and as a justification for the placement of public storm shelters in the areas of highest potential tornado risk and impacts.</w:t>
      </w:r>
    </w:p>
    <w:p w14:paraId="2962C77B" w14:textId="77777777" w:rsidR="00C86E9F" w:rsidRPr="004F469F" w:rsidRDefault="00C86E9F" w:rsidP="005C144D"/>
    <w:p w14:paraId="7451CB26" w14:textId="00EB7774" w:rsidR="00FD6706" w:rsidRPr="004F469F" w:rsidRDefault="00FD6706" w:rsidP="005C144D"/>
    <w:sdt>
      <w:sdtPr>
        <w:rPr>
          <w:rFonts w:ascii="Times New Roman" w:eastAsiaTheme="minorEastAsia" w:hAnsi="Times New Roman" w:cs="Times New Roman"/>
          <w:b w:val="0"/>
          <w:bCs w:val="0"/>
          <w:color w:val="auto"/>
          <w:sz w:val="24"/>
          <w:szCs w:val="24"/>
        </w:rPr>
        <w:id w:val="-1560855451"/>
        <w:docPartObj>
          <w:docPartGallery w:val="Table of Contents"/>
          <w:docPartUnique/>
        </w:docPartObj>
      </w:sdtPr>
      <w:sdtEndPr>
        <w:rPr>
          <w:rFonts w:eastAsia="Times New Roman"/>
          <w:noProof/>
        </w:rPr>
      </w:sdtEndPr>
      <w:sdtContent>
        <w:p w14:paraId="0A32B01E" w14:textId="74969FC4" w:rsidR="00C645E5" w:rsidRPr="004F469F" w:rsidRDefault="00C645E5" w:rsidP="00107BD4">
          <w:pPr>
            <w:pStyle w:val="TOCHeading"/>
            <w:numPr>
              <w:ilvl w:val="0"/>
              <w:numId w:val="0"/>
            </w:numPr>
            <w:rPr>
              <w:rFonts w:ascii="Times New Roman" w:hAnsi="Times New Roman" w:cs="Times New Roman"/>
              <w:color w:val="auto"/>
              <w:sz w:val="32"/>
              <w:szCs w:val="32"/>
            </w:rPr>
          </w:pPr>
          <w:r w:rsidRPr="004F469F">
            <w:rPr>
              <w:rFonts w:ascii="Times New Roman" w:hAnsi="Times New Roman" w:cs="Times New Roman"/>
              <w:color w:val="auto"/>
              <w:sz w:val="32"/>
              <w:szCs w:val="32"/>
            </w:rPr>
            <w:t>Table of Contents</w:t>
          </w:r>
        </w:p>
        <w:p w14:paraId="29DFE9BC" w14:textId="3DD6B3EE" w:rsidR="00135E0F" w:rsidRDefault="00C645E5">
          <w:pPr>
            <w:pStyle w:val="TOC1"/>
            <w:tabs>
              <w:tab w:val="right" w:leader="dot" w:pos="9350"/>
            </w:tabs>
            <w:rPr>
              <w:b w:val="0"/>
              <w:bCs w:val="0"/>
              <w:i w:val="0"/>
              <w:iCs w:val="0"/>
              <w:noProof/>
            </w:rPr>
          </w:pPr>
          <w:r w:rsidRPr="00F23623">
            <w:rPr>
              <w:rFonts w:ascii="Times New Roman" w:hAnsi="Times New Roman" w:cs="Times New Roman"/>
              <w:b w:val="0"/>
              <w:bCs w:val="0"/>
            </w:rPr>
            <w:fldChar w:fldCharType="begin"/>
          </w:r>
          <w:r w:rsidRPr="00F23623">
            <w:rPr>
              <w:rFonts w:ascii="Times New Roman" w:hAnsi="Times New Roman" w:cs="Times New Roman"/>
            </w:rPr>
            <w:instrText xml:space="preserve"> TOC \o "1-3" \h \z \u </w:instrText>
          </w:r>
          <w:r w:rsidRPr="00F23623">
            <w:rPr>
              <w:rFonts w:ascii="Times New Roman" w:hAnsi="Times New Roman" w:cs="Times New Roman"/>
              <w:b w:val="0"/>
              <w:bCs w:val="0"/>
            </w:rPr>
            <w:fldChar w:fldCharType="separate"/>
          </w:r>
          <w:hyperlink w:anchor="_Toc21861274" w:history="1">
            <w:r w:rsidR="00135E0F" w:rsidRPr="00870B7B">
              <w:rPr>
                <w:rStyle w:val="Hyperlink"/>
                <w:rFonts w:ascii="Times New Roman" w:hAnsi="Times New Roman" w:cs="Times New Roman"/>
                <w:noProof/>
              </w:rPr>
              <w:t>Acknowledgments</w:t>
            </w:r>
            <w:r w:rsidR="00135E0F">
              <w:rPr>
                <w:noProof/>
                <w:webHidden/>
              </w:rPr>
              <w:tab/>
            </w:r>
            <w:r w:rsidR="00135E0F">
              <w:rPr>
                <w:noProof/>
                <w:webHidden/>
              </w:rPr>
              <w:fldChar w:fldCharType="begin"/>
            </w:r>
            <w:r w:rsidR="00135E0F">
              <w:rPr>
                <w:noProof/>
                <w:webHidden/>
              </w:rPr>
              <w:instrText xml:space="preserve"> PAGEREF _Toc21861274 \h </w:instrText>
            </w:r>
            <w:r w:rsidR="00135E0F">
              <w:rPr>
                <w:noProof/>
                <w:webHidden/>
              </w:rPr>
            </w:r>
            <w:r w:rsidR="00135E0F">
              <w:rPr>
                <w:noProof/>
                <w:webHidden/>
              </w:rPr>
              <w:fldChar w:fldCharType="separate"/>
            </w:r>
            <w:r w:rsidR="00F95F7F">
              <w:rPr>
                <w:noProof/>
                <w:webHidden/>
              </w:rPr>
              <w:t>iv</w:t>
            </w:r>
            <w:r w:rsidR="00135E0F">
              <w:rPr>
                <w:noProof/>
                <w:webHidden/>
              </w:rPr>
              <w:fldChar w:fldCharType="end"/>
            </w:r>
          </w:hyperlink>
        </w:p>
        <w:p w14:paraId="0E169EDA" w14:textId="18B0A051" w:rsidR="00135E0F" w:rsidRDefault="00315883">
          <w:pPr>
            <w:pStyle w:val="TOC1"/>
            <w:tabs>
              <w:tab w:val="right" w:leader="dot" w:pos="9350"/>
            </w:tabs>
            <w:rPr>
              <w:b w:val="0"/>
              <w:bCs w:val="0"/>
              <w:i w:val="0"/>
              <w:iCs w:val="0"/>
              <w:noProof/>
            </w:rPr>
          </w:pPr>
          <w:hyperlink w:anchor="_Toc21861275" w:history="1">
            <w:r w:rsidR="00135E0F" w:rsidRPr="00870B7B">
              <w:rPr>
                <w:rStyle w:val="Hyperlink"/>
                <w:rFonts w:ascii="Times New Roman" w:hAnsi="Times New Roman" w:cs="Times New Roman"/>
                <w:noProof/>
              </w:rPr>
              <w:t>Abstract</w:t>
            </w:r>
            <w:r w:rsidR="00135E0F">
              <w:rPr>
                <w:noProof/>
                <w:webHidden/>
              </w:rPr>
              <w:tab/>
            </w:r>
            <w:r w:rsidR="00135E0F">
              <w:rPr>
                <w:noProof/>
                <w:webHidden/>
              </w:rPr>
              <w:fldChar w:fldCharType="begin"/>
            </w:r>
            <w:r w:rsidR="00135E0F">
              <w:rPr>
                <w:noProof/>
                <w:webHidden/>
              </w:rPr>
              <w:instrText xml:space="preserve"> PAGEREF _Toc21861275 \h </w:instrText>
            </w:r>
            <w:r w:rsidR="00135E0F">
              <w:rPr>
                <w:noProof/>
                <w:webHidden/>
              </w:rPr>
            </w:r>
            <w:r w:rsidR="00135E0F">
              <w:rPr>
                <w:noProof/>
                <w:webHidden/>
              </w:rPr>
              <w:fldChar w:fldCharType="separate"/>
            </w:r>
            <w:r w:rsidR="00F95F7F">
              <w:rPr>
                <w:noProof/>
                <w:webHidden/>
              </w:rPr>
              <w:t>v</w:t>
            </w:r>
            <w:r w:rsidR="00135E0F">
              <w:rPr>
                <w:noProof/>
                <w:webHidden/>
              </w:rPr>
              <w:fldChar w:fldCharType="end"/>
            </w:r>
          </w:hyperlink>
        </w:p>
        <w:p w14:paraId="14D8C499" w14:textId="4EA3CC9C" w:rsidR="00135E0F" w:rsidRDefault="00315883">
          <w:pPr>
            <w:pStyle w:val="TOC1"/>
            <w:tabs>
              <w:tab w:val="right" w:leader="dot" w:pos="9350"/>
            </w:tabs>
            <w:rPr>
              <w:b w:val="0"/>
              <w:bCs w:val="0"/>
              <w:i w:val="0"/>
              <w:iCs w:val="0"/>
              <w:noProof/>
            </w:rPr>
          </w:pPr>
          <w:hyperlink w:anchor="_Toc21861276" w:history="1">
            <w:r w:rsidR="00135E0F" w:rsidRPr="00870B7B">
              <w:rPr>
                <w:rStyle w:val="Hyperlink"/>
                <w:rFonts w:ascii="Times New Roman" w:hAnsi="Times New Roman" w:cs="Times New Roman"/>
                <w:noProof/>
              </w:rPr>
              <w:t>List of Tables</w:t>
            </w:r>
            <w:r w:rsidR="00135E0F">
              <w:rPr>
                <w:noProof/>
                <w:webHidden/>
              </w:rPr>
              <w:tab/>
            </w:r>
            <w:r w:rsidR="00135E0F">
              <w:rPr>
                <w:noProof/>
                <w:webHidden/>
              </w:rPr>
              <w:fldChar w:fldCharType="begin"/>
            </w:r>
            <w:r w:rsidR="00135E0F">
              <w:rPr>
                <w:noProof/>
                <w:webHidden/>
              </w:rPr>
              <w:instrText xml:space="preserve"> PAGEREF _Toc21861276 \h </w:instrText>
            </w:r>
            <w:r w:rsidR="00135E0F">
              <w:rPr>
                <w:noProof/>
                <w:webHidden/>
              </w:rPr>
            </w:r>
            <w:r w:rsidR="00135E0F">
              <w:rPr>
                <w:noProof/>
                <w:webHidden/>
              </w:rPr>
              <w:fldChar w:fldCharType="separate"/>
            </w:r>
            <w:r w:rsidR="00F95F7F">
              <w:rPr>
                <w:noProof/>
                <w:webHidden/>
              </w:rPr>
              <w:t>viii</w:t>
            </w:r>
            <w:r w:rsidR="00135E0F">
              <w:rPr>
                <w:noProof/>
                <w:webHidden/>
              </w:rPr>
              <w:fldChar w:fldCharType="end"/>
            </w:r>
          </w:hyperlink>
        </w:p>
        <w:p w14:paraId="5AFAEC49" w14:textId="3B8969D1" w:rsidR="00135E0F" w:rsidRDefault="00315883">
          <w:pPr>
            <w:pStyle w:val="TOC1"/>
            <w:tabs>
              <w:tab w:val="right" w:leader="dot" w:pos="9350"/>
            </w:tabs>
            <w:rPr>
              <w:b w:val="0"/>
              <w:bCs w:val="0"/>
              <w:i w:val="0"/>
              <w:iCs w:val="0"/>
              <w:noProof/>
            </w:rPr>
          </w:pPr>
          <w:hyperlink w:anchor="_Toc21861277" w:history="1">
            <w:r w:rsidR="00135E0F" w:rsidRPr="00870B7B">
              <w:rPr>
                <w:rStyle w:val="Hyperlink"/>
                <w:rFonts w:ascii="Times New Roman" w:hAnsi="Times New Roman" w:cs="Times New Roman"/>
                <w:noProof/>
              </w:rPr>
              <w:t>List of Figures</w:t>
            </w:r>
            <w:r w:rsidR="00135E0F">
              <w:rPr>
                <w:noProof/>
                <w:webHidden/>
              </w:rPr>
              <w:tab/>
            </w:r>
            <w:r w:rsidR="00135E0F">
              <w:rPr>
                <w:noProof/>
                <w:webHidden/>
              </w:rPr>
              <w:fldChar w:fldCharType="begin"/>
            </w:r>
            <w:r w:rsidR="00135E0F">
              <w:rPr>
                <w:noProof/>
                <w:webHidden/>
              </w:rPr>
              <w:instrText xml:space="preserve"> PAGEREF _Toc21861277 \h </w:instrText>
            </w:r>
            <w:r w:rsidR="00135E0F">
              <w:rPr>
                <w:noProof/>
                <w:webHidden/>
              </w:rPr>
            </w:r>
            <w:r w:rsidR="00135E0F">
              <w:rPr>
                <w:noProof/>
                <w:webHidden/>
              </w:rPr>
              <w:fldChar w:fldCharType="separate"/>
            </w:r>
            <w:r w:rsidR="00F95F7F">
              <w:rPr>
                <w:noProof/>
                <w:webHidden/>
              </w:rPr>
              <w:t>xi</w:t>
            </w:r>
            <w:r w:rsidR="00135E0F">
              <w:rPr>
                <w:noProof/>
                <w:webHidden/>
              </w:rPr>
              <w:fldChar w:fldCharType="end"/>
            </w:r>
          </w:hyperlink>
        </w:p>
        <w:p w14:paraId="67478A07" w14:textId="124DB1E0" w:rsidR="00135E0F" w:rsidRDefault="00315883">
          <w:pPr>
            <w:pStyle w:val="TOC1"/>
            <w:tabs>
              <w:tab w:val="right" w:leader="dot" w:pos="9350"/>
            </w:tabs>
            <w:rPr>
              <w:b w:val="0"/>
              <w:bCs w:val="0"/>
              <w:i w:val="0"/>
              <w:iCs w:val="0"/>
              <w:noProof/>
            </w:rPr>
          </w:pPr>
          <w:hyperlink w:anchor="_Toc21861278" w:history="1">
            <w:r w:rsidR="00135E0F" w:rsidRPr="00870B7B">
              <w:rPr>
                <w:rStyle w:val="Hyperlink"/>
                <w:rFonts w:ascii="Times New Roman" w:hAnsi="Times New Roman" w:cs="Times New Roman"/>
                <w:noProof/>
              </w:rPr>
              <w:t>Chapter 1 Introduction</w:t>
            </w:r>
            <w:r w:rsidR="00135E0F">
              <w:rPr>
                <w:noProof/>
                <w:webHidden/>
              </w:rPr>
              <w:tab/>
            </w:r>
            <w:r w:rsidR="00135E0F">
              <w:rPr>
                <w:noProof/>
                <w:webHidden/>
              </w:rPr>
              <w:fldChar w:fldCharType="begin"/>
            </w:r>
            <w:r w:rsidR="00135E0F">
              <w:rPr>
                <w:noProof/>
                <w:webHidden/>
              </w:rPr>
              <w:instrText xml:space="preserve"> PAGEREF _Toc21861278 \h </w:instrText>
            </w:r>
            <w:r w:rsidR="00135E0F">
              <w:rPr>
                <w:noProof/>
                <w:webHidden/>
              </w:rPr>
            </w:r>
            <w:r w:rsidR="00135E0F">
              <w:rPr>
                <w:noProof/>
                <w:webHidden/>
              </w:rPr>
              <w:fldChar w:fldCharType="separate"/>
            </w:r>
            <w:r w:rsidR="00F95F7F">
              <w:rPr>
                <w:noProof/>
                <w:webHidden/>
              </w:rPr>
              <w:t>1</w:t>
            </w:r>
            <w:r w:rsidR="00135E0F">
              <w:rPr>
                <w:noProof/>
                <w:webHidden/>
              </w:rPr>
              <w:fldChar w:fldCharType="end"/>
            </w:r>
          </w:hyperlink>
        </w:p>
        <w:p w14:paraId="3E8722C2" w14:textId="25C946F3" w:rsidR="00135E0F" w:rsidRDefault="00315883">
          <w:pPr>
            <w:pStyle w:val="TOC2"/>
            <w:tabs>
              <w:tab w:val="right" w:leader="dot" w:pos="9350"/>
            </w:tabs>
            <w:rPr>
              <w:b w:val="0"/>
              <w:bCs w:val="0"/>
              <w:noProof/>
              <w:sz w:val="24"/>
              <w:szCs w:val="24"/>
            </w:rPr>
          </w:pPr>
          <w:hyperlink w:anchor="_Toc21861279" w:history="1">
            <w:r w:rsidR="00135E0F" w:rsidRPr="00870B7B">
              <w:rPr>
                <w:rStyle w:val="Hyperlink"/>
                <w:rFonts w:ascii="Times New Roman" w:hAnsi="Times New Roman" w:cs="Times New Roman"/>
                <w:noProof/>
              </w:rPr>
              <w:t>1.1) Risk and Vulnerability</w:t>
            </w:r>
            <w:r w:rsidR="00135E0F">
              <w:rPr>
                <w:noProof/>
                <w:webHidden/>
              </w:rPr>
              <w:tab/>
            </w:r>
            <w:r w:rsidR="00135E0F">
              <w:rPr>
                <w:noProof/>
                <w:webHidden/>
              </w:rPr>
              <w:fldChar w:fldCharType="begin"/>
            </w:r>
            <w:r w:rsidR="00135E0F">
              <w:rPr>
                <w:noProof/>
                <w:webHidden/>
              </w:rPr>
              <w:instrText xml:space="preserve"> PAGEREF _Toc21861279 \h </w:instrText>
            </w:r>
            <w:r w:rsidR="00135E0F">
              <w:rPr>
                <w:noProof/>
                <w:webHidden/>
              </w:rPr>
            </w:r>
            <w:r w:rsidR="00135E0F">
              <w:rPr>
                <w:noProof/>
                <w:webHidden/>
              </w:rPr>
              <w:fldChar w:fldCharType="separate"/>
            </w:r>
            <w:r w:rsidR="00F95F7F">
              <w:rPr>
                <w:noProof/>
                <w:webHidden/>
              </w:rPr>
              <w:t>1</w:t>
            </w:r>
            <w:r w:rsidR="00135E0F">
              <w:rPr>
                <w:noProof/>
                <w:webHidden/>
              </w:rPr>
              <w:fldChar w:fldCharType="end"/>
            </w:r>
          </w:hyperlink>
        </w:p>
        <w:p w14:paraId="614D3BC0" w14:textId="49ADFB9B" w:rsidR="00135E0F" w:rsidRDefault="00315883">
          <w:pPr>
            <w:pStyle w:val="TOC2"/>
            <w:tabs>
              <w:tab w:val="right" w:leader="dot" w:pos="9350"/>
            </w:tabs>
            <w:rPr>
              <w:b w:val="0"/>
              <w:bCs w:val="0"/>
              <w:noProof/>
              <w:sz w:val="24"/>
              <w:szCs w:val="24"/>
            </w:rPr>
          </w:pPr>
          <w:hyperlink w:anchor="_Toc21861280" w:history="1">
            <w:r w:rsidR="00135E0F" w:rsidRPr="00870B7B">
              <w:rPr>
                <w:rStyle w:val="Hyperlink"/>
                <w:rFonts w:ascii="Times New Roman" w:hAnsi="Times New Roman" w:cs="Times New Roman"/>
                <w:noProof/>
              </w:rPr>
              <w:t>1.2) Future Tornado Impacts</w:t>
            </w:r>
            <w:r w:rsidR="00135E0F">
              <w:rPr>
                <w:noProof/>
                <w:webHidden/>
              </w:rPr>
              <w:tab/>
            </w:r>
            <w:r w:rsidR="00135E0F">
              <w:rPr>
                <w:noProof/>
                <w:webHidden/>
              </w:rPr>
              <w:fldChar w:fldCharType="begin"/>
            </w:r>
            <w:r w:rsidR="00135E0F">
              <w:rPr>
                <w:noProof/>
                <w:webHidden/>
              </w:rPr>
              <w:instrText xml:space="preserve"> PAGEREF _Toc21861280 \h </w:instrText>
            </w:r>
            <w:r w:rsidR="00135E0F">
              <w:rPr>
                <w:noProof/>
                <w:webHidden/>
              </w:rPr>
            </w:r>
            <w:r w:rsidR="00135E0F">
              <w:rPr>
                <w:noProof/>
                <w:webHidden/>
              </w:rPr>
              <w:fldChar w:fldCharType="separate"/>
            </w:r>
            <w:r w:rsidR="00F95F7F">
              <w:rPr>
                <w:noProof/>
                <w:webHidden/>
              </w:rPr>
              <w:t>5</w:t>
            </w:r>
            <w:r w:rsidR="00135E0F">
              <w:rPr>
                <w:noProof/>
                <w:webHidden/>
              </w:rPr>
              <w:fldChar w:fldCharType="end"/>
            </w:r>
          </w:hyperlink>
        </w:p>
        <w:p w14:paraId="6AFA1555" w14:textId="622EA490" w:rsidR="00135E0F" w:rsidRDefault="00315883">
          <w:pPr>
            <w:pStyle w:val="TOC2"/>
            <w:tabs>
              <w:tab w:val="right" w:leader="dot" w:pos="9350"/>
            </w:tabs>
            <w:rPr>
              <w:b w:val="0"/>
              <w:bCs w:val="0"/>
              <w:noProof/>
              <w:sz w:val="24"/>
              <w:szCs w:val="24"/>
            </w:rPr>
          </w:pPr>
          <w:hyperlink w:anchor="_Toc21861281" w:history="1">
            <w:r w:rsidR="00135E0F" w:rsidRPr="00870B7B">
              <w:rPr>
                <w:rStyle w:val="Hyperlink"/>
                <w:rFonts w:ascii="Times New Roman" w:eastAsia="Times New Roman" w:hAnsi="Times New Roman" w:cs="Times New Roman"/>
                <w:noProof/>
              </w:rPr>
              <w:t>1.3)</w:t>
            </w:r>
            <w:r w:rsidR="00135E0F" w:rsidRPr="00870B7B">
              <w:rPr>
                <w:rStyle w:val="Hyperlink"/>
                <w:rFonts w:ascii="Times New Roman" w:hAnsi="Times New Roman" w:cs="Times New Roman"/>
                <w:noProof/>
              </w:rPr>
              <w:t xml:space="preserve"> Modeling Tornado Impacts</w:t>
            </w:r>
            <w:r w:rsidR="00135E0F">
              <w:rPr>
                <w:noProof/>
                <w:webHidden/>
              </w:rPr>
              <w:tab/>
            </w:r>
            <w:r w:rsidR="00135E0F">
              <w:rPr>
                <w:noProof/>
                <w:webHidden/>
              </w:rPr>
              <w:fldChar w:fldCharType="begin"/>
            </w:r>
            <w:r w:rsidR="00135E0F">
              <w:rPr>
                <w:noProof/>
                <w:webHidden/>
              </w:rPr>
              <w:instrText xml:space="preserve"> PAGEREF _Toc21861281 \h </w:instrText>
            </w:r>
            <w:r w:rsidR="00135E0F">
              <w:rPr>
                <w:noProof/>
                <w:webHidden/>
              </w:rPr>
            </w:r>
            <w:r w:rsidR="00135E0F">
              <w:rPr>
                <w:noProof/>
                <w:webHidden/>
              </w:rPr>
              <w:fldChar w:fldCharType="separate"/>
            </w:r>
            <w:r w:rsidR="00F95F7F">
              <w:rPr>
                <w:noProof/>
                <w:webHidden/>
              </w:rPr>
              <w:t>7</w:t>
            </w:r>
            <w:r w:rsidR="00135E0F">
              <w:rPr>
                <w:noProof/>
                <w:webHidden/>
              </w:rPr>
              <w:fldChar w:fldCharType="end"/>
            </w:r>
          </w:hyperlink>
        </w:p>
        <w:p w14:paraId="17113CE4" w14:textId="76B7CB86" w:rsidR="00135E0F" w:rsidRDefault="00315883">
          <w:pPr>
            <w:pStyle w:val="TOC2"/>
            <w:tabs>
              <w:tab w:val="right" w:leader="dot" w:pos="9350"/>
            </w:tabs>
            <w:rPr>
              <w:b w:val="0"/>
              <w:bCs w:val="0"/>
              <w:noProof/>
              <w:sz w:val="24"/>
              <w:szCs w:val="24"/>
            </w:rPr>
          </w:pPr>
          <w:hyperlink w:anchor="_Toc21861282" w:history="1">
            <w:r w:rsidR="00135E0F" w:rsidRPr="00870B7B">
              <w:rPr>
                <w:rStyle w:val="Hyperlink"/>
                <w:rFonts w:ascii="Times New Roman" w:hAnsi="Times New Roman" w:cs="Times New Roman"/>
                <w:noProof/>
              </w:rPr>
              <w:t>1.4) Research Overview</w:t>
            </w:r>
            <w:r w:rsidR="00135E0F">
              <w:rPr>
                <w:noProof/>
                <w:webHidden/>
              </w:rPr>
              <w:tab/>
            </w:r>
            <w:r w:rsidR="00135E0F">
              <w:rPr>
                <w:noProof/>
                <w:webHidden/>
              </w:rPr>
              <w:fldChar w:fldCharType="begin"/>
            </w:r>
            <w:r w:rsidR="00135E0F">
              <w:rPr>
                <w:noProof/>
                <w:webHidden/>
              </w:rPr>
              <w:instrText xml:space="preserve"> PAGEREF _Toc21861282 \h </w:instrText>
            </w:r>
            <w:r w:rsidR="00135E0F">
              <w:rPr>
                <w:noProof/>
                <w:webHidden/>
              </w:rPr>
            </w:r>
            <w:r w:rsidR="00135E0F">
              <w:rPr>
                <w:noProof/>
                <w:webHidden/>
              </w:rPr>
              <w:fldChar w:fldCharType="separate"/>
            </w:r>
            <w:r w:rsidR="00F95F7F">
              <w:rPr>
                <w:noProof/>
                <w:webHidden/>
              </w:rPr>
              <w:t>9</w:t>
            </w:r>
            <w:r w:rsidR="00135E0F">
              <w:rPr>
                <w:noProof/>
                <w:webHidden/>
              </w:rPr>
              <w:fldChar w:fldCharType="end"/>
            </w:r>
          </w:hyperlink>
        </w:p>
        <w:p w14:paraId="0B59B698" w14:textId="3A27A48F" w:rsidR="00135E0F" w:rsidRDefault="00315883">
          <w:pPr>
            <w:pStyle w:val="TOC2"/>
            <w:tabs>
              <w:tab w:val="right" w:leader="dot" w:pos="9350"/>
            </w:tabs>
            <w:rPr>
              <w:b w:val="0"/>
              <w:bCs w:val="0"/>
              <w:noProof/>
              <w:sz w:val="24"/>
              <w:szCs w:val="24"/>
            </w:rPr>
          </w:pPr>
          <w:hyperlink w:anchor="_Toc21861283" w:history="1">
            <w:r w:rsidR="00135E0F" w:rsidRPr="00870B7B">
              <w:rPr>
                <w:rStyle w:val="Hyperlink"/>
                <w:rFonts w:ascii="Times New Roman" w:hAnsi="Times New Roman" w:cs="Times New Roman"/>
                <w:noProof/>
              </w:rPr>
              <w:t>1.5) Broader Impacts and Intellectual Merit</w:t>
            </w:r>
            <w:r w:rsidR="00135E0F">
              <w:rPr>
                <w:noProof/>
                <w:webHidden/>
              </w:rPr>
              <w:tab/>
            </w:r>
            <w:r w:rsidR="00135E0F">
              <w:rPr>
                <w:noProof/>
                <w:webHidden/>
              </w:rPr>
              <w:fldChar w:fldCharType="begin"/>
            </w:r>
            <w:r w:rsidR="00135E0F">
              <w:rPr>
                <w:noProof/>
                <w:webHidden/>
              </w:rPr>
              <w:instrText xml:space="preserve"> PAGEREF _Toc21861283 \h </w:instrText>
            </w:r>
            <w:r w:rsidR="00135E0F">
              <w:rPr>
                <w:noProof/>
                <w:webHidden/>
              </w:rPr>
            </w:r>
            <w:r w:rsidR="00135E0F">
              <w:rPr>
                <w:noProof/>
                <w:webHidden/>
              </w:rPr>
              <w:fldChar w:fldCharType="separate"/>
            </w:r>
            <w:r w:rsidR="00F95F7F">
              <w:rPr>
                <w:noProof/>
                <w:webHidden/>
              </w:rPr>
              <w:t>12</w:t>
            </w:r>
            <w:r w:rsidR="00135E0F">
              <w:rPr>
                <w:noProof/>
                <w:webHidden/>
              </w:rPr>
              <w:fldChar w:fldCharType="end"/>
            </w:r>
          </w:hyperlink>
        </w:p>
        <w:p w14:paraId="0BBEAECD" w14:textId="53D02369" w:rsidR="00135E0F" w:rsidRDefault="00315883">
          <w:pPr>
            <w:pStyle w:val="TOC1"/>
            <w:tabs>
              <w:tab w:val="right" w:leader="dot" w:pos="9350"/>
            </w:tabs>
            <w:rPr>
              <w:b w:val="0"/>
              <w:bCs w:val="0"/>
              <w:i w:val="0"/>
              <w:iCs w:val="0"/>
              <w:noProof/>
            </w:rPr>
          </w:pPr>
          <w:hyperlink w:anchor="_Toc21861284" w:history="1">
            <w:r w:rsidR="00135E0F" w:rsidRPr="00870B7B">
              <w:rPr>
                <w:rStyle w:val="Hyperlink"/>
                <w:rFonts w:ascii="Times New Roman" w:hAnsi="Times New Roman" w:cs="Times New Roman"/>
                <w:noProof/>
              </w:rPr>
              <w:t>Chapter 2 Spatiotemporal Analysis of Near-Miss Violent Tornadoes in the United States</w:t>
            </w:r>
            <w:r w:rsidR="00135E0F">
              <w:rPr>
                <w:noProof/>
                <w:webHidden/>
              </w:rPr>
              <w:tab/>
            </w:r>
            <w:r w:rsidR="00135E0F">
              <w:rPr>
                <w:noProof/>
                <w:webHidden/>
              </w:rPr>
              <w:fldChar w:fldCharType="begin"/>
            </w:r>
            <w:r w:rsidR="00135E0F">
              <w:rPr>
                <w:noProof/>
                <w:webHidden/>
              </w:rPr>
              <w:instrText xml:space="preserve"> PAGEREF _Toc21861284 \h </w:instrText>
            </w:r>
            <w:r w:rsidR="00135E0F">
              <w:rPr>
                <w:noProof/>
                <w:webHidden/>
              </w:rPr>
            </w:r>
            <w:r w:rsidR="00135E0F">
              <w:rPr>
                <w:noProof/>
                <w:webHidden/>
              </w:rPr>
              <w:fldChar w:fldCharType="separate"/>
            </w:r>
            <w:r w:rsidR="00F95F7F">
              <w:rPr>
                <w:noProof/>
                <w:webHidden/>
              </w:rPr>
              <w:t>14</w:t>
            </w:r>
            <w:r w:rsidR="00135E0F">
              <w:rPr>
                <w:noProof/>
                <w:webHidden/>
              </w:rPr>
              <w:fldChar w:fldCharType="end"/>
            </w:r>
          </w:hyperlink>
        </w:p>
        <w:p w14:paraId="2D44B030" w14:textId="4A1A3884" w:rsidR="00135E0F" w:rsidRDefault="00315883">
          <w:pPr>
            <w:pStyle w:val="TOC2"/>
            <w:tabs>
              <w:tab w:val="right" w:leader="dot" w:pos="9350"/>
            </w:tabs>
            <w:rPr>
              <w:b w:val="0"/>
              <w:bCs w:val="0"/>
              <w:noProof/>
              <w:sz w:val="24"/>
              <w:szCs w:val="24"/>
            </w:rPr>
          </w:pPr>
          <w:hyperlink w:anchor="_Toc21861285" w:history="1">
            <w:r w:rsidR="00135E0F" w:rsidRPr="00870B7B">
              <w:rPr>
                <w:rStyle w:val="Hyperlink"/>
                <w:rFonts w:ascii="Times New Roman" w:hAnsi="Times New Roman" w:cs="Times New Roman"/>
                <w:noProof/>
              </w:rPr>
              <w:t>2.1) Introduction</w:t>
            </w:r>
            <w:r w:rsidR="00135E0F">
              <w:rPr>
                <w:noProof/>
                <w:webHidden/>
              </w:rPr>
              <w:tab/>
            </w:r>
            <w:r w:rsidR="00135E0F">
              <w:rPr>
                <w:noProof/>
                <w:webHidden/>
              </w:rPr>
              <w:fldChar w:fldCharType="begin"/>
            </w:r>
            <w:r w:rsidR="00135E0F">
              <w:rPr>
                <w:noProof/>
                <w:webHidden/>
              </w:rPr>
              <w:instrText xml:space="preserve"> PAGEREF _Toc21861285 \h </w:instrText>
            </w:r>
            <w:r w:rsidR="00135E0F">
              <w:rPr>
                <w:noProof/>
                <w:webHidden/>
              </w:rPr>
            </w:r>
            <w:r w:rsidR="00135E0F">
              <w:rPr>
                <w:noProof/>
                <w:webHidden/>
              </w:rPr>
              <w:fldChar w:fldCharType="separate"/>
            </w:r>
            <w:r w:rsidR="00F95F7F">
              <w:rPr>
                <w:noProof/>
                <w:webHidden/>
              </w:rPr>
              <w:t>15</w:t>
            </w:r>
            <w:r w:rsidR="00135E0F">
              <w:rPr>
                <w:noProof/>
                <w:webHidden/>
              </w:rPr>
              <w:fldChar w:fldCharType="end"/>
            </w:r>
          </w:hyperlink>
        </w:p>
        <w:p w14:paraId="3F27E061" w14:textId="22915320" w:rsidR="00135E0F" w:rsidRDefault="00315883">
          <w:pPr>
            <w:pStyle w:val="TOC2"/>
            <w:tabs>
              <w:tab w:val="right" w:leader="dot" w:pos="9350"/>
            </w:tabs>
            <w:rPr>
              <w:b w:val="0"/>
              <w:bCs w:val="0"/>
              <w:noProof/>
              <w:sz w:val="24"/>
              <w:szCs w:val="24"/>
            </w:rPr>
          </w:pPr>
          <w:hyperlink w:anchor="_Toc21861286" w:history="1">
            <w:r w:rsidR="00135E0F" w:rsidRPr="00870B7B">
              <w:rPr>
                <w:rStyle w:val="Hyperlink"/>
                <w:rFonts w:ascii="Times New Roman" w:eastAsia="Times New Roman" w:hAnsi="Times New Roman" w:cs="Times New Roman"/>
                <w:noProof/>
              </w:rPr>
              <w:t>2.2) Data and Methods</w:t>
            </w:r>
            <w:r w:rsidR="00135E0F">
              <w:rPr>
                <w:noProof/>
                <w:webHidden/>
              </w:rPr>
              <w:tab/>
            </w:r>
            <w:r w:rsidR="00135E0F">
              <w:rPr>
                <w:noProof/>
                <w:webHidden/>
              </w:rPr>
              <w:fldChar w:fldCharType="begin"/>
            </w:r>
            <w:r w:rsidR="00135E0F">
              <w:rPr>
                <w:noProof/>
                <w:webHidden/>
              </w:rPr>
              <w:instrText xml:space="preserve"> PAGEREF _Toc21861286 \h </w:instrText>
            </w:r>
            <w:r w:rsidR="00135E0F">
              <w:rPr>
                <w:noProof/>
                <w:webHidden/>
              </w:rPr>
            </w:r>
            <w:r w:rsidR="00135E0F">
              <w:rPr>
                <w:noProof/>
                <w:webHidden/>
              </w:rPr>
              <w:fldChar w:fldCharType="separate"/>
            </w:r>
            <w:r w:rsidR="00F95F7F">
              <w:rPr>
                <w:noProof/>
                <w:webHidden/>
              </w:rPr>
              <w:t>18</w:t>
            </w:r>
            <w:r w:rsidR="00135E0F">
              <w:rPr>
                <w:noProof/>
                <w:webHidden/>
              </w:rPr>
              <w:fldChar w:fldCharType="end"/>
            </w:r>
          </w:hyperlink>
        </w:p>
        <w:p w14:paraId="77D7B2E4" w14:textId="649B85A2" w:rsidR="00135E0F" w:rsidRDefault="00315883">
          <w:pPr>
            <w:pStyle w:val="TOC3"/>
            <w:tabs>
              <w:tab w:val="right" w:leader="dot" w:pos="9350"/>
            </w:tabs>
            <w:rPr>
              <w:noProof/>
              <w:sz w:val="24"/>
              <w:szCs w:val="24"/>
            </w:rPr>
          </w:pPr>
          <w:hyperlink w:anchor="_Toc21861287" w:history="1">
            <w:r w:rsidR="00135E0F" w:rsidRPr="00870B7B">
              <w:rPr>
                <w:rStyle w:val="Hyperlink"/>
                <w:rFonts w:ascii="Times New Roman" w:eastAsia="Times New Roman" w:hAnsi="Times New Roman" w:cs="Times New Roman"/>
                <w:i/>
                <w:iCs/>
                <w:noProof/>
              </w:rPr>
              <w:t>2.2.1) Data and Data Accuracy</w:t>
            </w:r>
            <w:r w:rsidR="00135E0F">
              <w:rPr>
                <w:noProof/>
                <w:webHidden/>
              </w:rPr>
              <w:tab/>
            </w:r>
            <w:r w:rsidR="00135E0F">
              <w:rPr>
                <w:noProof/>
                <w:webHidden/>
              </w:rPr>
              <w:fldChar w:fldCharType="begin"/>
            </w:r>
            <w:r w:rsidR="00135E0F">
              <w:rPr>
                <w:noProof/>
                <w:webHidden/>
              </w:rPr>
              <w:instrText xml:space="preserve"> PAGEREF _Toc21861287 \h </w:instrText>
            </w:r>
            <w:r w:rsidR="00135E0F">
              <w:rPr>
                <w:noProof/>
                <w:webHidden/>
              </w:rPr>
            </w:r>
            <w:r w:rsidR="00135E0F">
              <w:rPr>
                <w:noProof/>
                <w:webHidden/>
              </w:rPr>
              <w:fldChar w:fldCharType="separate"/>
            </w:r>
            <w:r w:rsidR="00F95F7F">
              <w:rPr>
                <w:noProof/>
                <w:webHidden/>
              </w:rPr>
              <w:t>19</w:t>
            </w:r>
            <w:r w:rsidR="00135E0F">
              <w:rPr>
                <w:noProof/>
                <w:webHidden/>
              </w:rPr>
              <w:fldChar w:fldCharType="end"/>
            </w:r>
          </w:hyperlink>
        </w:p>
        <w:p w14:paraId="28F6C3E0" w14:textId="0717894D" w:rsidR="00135E0F" w:rsidRDefault="00315883">
          <w:pPr>
            <w:pStyle w:val="TOC3"/>
            <w:tabs>
              <w:tab w:val="right" w:leader="dot" w:pos="9350"/>
            </w:tabs>
            <w:rPr>
              <w:noProof/>
              <w:sz w:val="24"/>
              <w:szCs w:val="24"/>
            </w:rPr>
          </w:pPr>
          <w:hyperlink w:anchor="_Toc21861288" w:history="1">
            <w:r w:rsidR="00135E0F" w:rsidRPr="00870B7B">
              <w:rPr>
                <w:rStyle w:val="Hyperlink"/>
                <w:rFonts w:ascii="Times New Roman" w:hAnsi="Times New Roman" w:cs="Times New Roman"/>
                <w:i/>
                <w:iCs/>
                <w:noProof/>
              </w:rPr>
              <w:t>2.2.2) Violent Tornado Climatology</w:t>
            </w:r>
            <w:r w:rsidR="00135E0F">
              <w:rPr>
                <w:noProof/>
                <w:webHidden/>
              </w:rPr>
              <w:tab/>
            </w:r>
            <w:r w:rsidR="00135E0F">
              <w:rPr>
                <w:noProof/>
                <w:webHidden/>
              </w:rPr>
              <w:fldChar w:fldCharType="begin"/>
            </w:r>
            <w:r w:rsidR="00135E0F">
              <w:rPr>
                <w:noProof/>
                <w:webHidden/>
              </w:rPr>
              <w:instrText xml:space="preserve"> PAGEREF _Toc21861288 \h </w:instrText>
            </w:r>
            <w:r w:rsidR="00135E0F">
              <w:rPr>
                <w:noProof/>
                <w:webHidden/>
              </w:rPr>
            </w:r>
            <w:r w:rsidR="00135E0F">
              <w:rPr>
                <w:noProof/>
                <w:webHidden/>
              </w:rPr>
              <w:fldChar w:fldCharType="separate"/>
            </w:r>
            <w:r w:rsidR="00F95F7F">
              <w:rPr>
                <w:noProof/>
                <w:webHidden/>
              </w:rPr>
              <w:t>22</w:t>
            </w:r>
            <w:r w:rsidR="00135E0F">
              <w:rPr>
                <w:noProof/>
                <w:webHidden/>
              </w:rPr>
              <w:fldChar w:fldCharType="end"/>
            </w:r>
          </w:hyperlink>
        </w:p>
        <w:p w14:paraId="1DC52359" w14:textId="3499C773" w:rsidR="00135E0F" w:rsidRDefault="00315883">
          <w:pPr>
            <w:pStyle w:val="TOC3"/>
            <w:tabs>
              <w:tab w:val="right" w:leader="dot" w:pos="9350"/>
            </w:tabs>
            <w:rPr>
              <w:noProof/>
              <w:sz w:val="24"/>
              <w:szCs w:val="24"/>
            </w:rPr>
          </w:pPr>
          <w:hyperlink w:anchor="_Toc21861289" w:history="1">
            <w:r w:rsidR="00135E0F" w:rsidRPr="00870B7B">
              <w:rPr>
                <w:rStyle w:val="Hyperlink"/>
                <w:rFonts w:ascii="Times New Roman" w:eastAsia="Times New Roman" w:hAnsi="Times New Roman" w:cs="Times New Roman"/>
                <w:i/>
                <w:iCs/>
                <w:noProof/>
              </w:rPr>
              <w:t>2.2.3) Sensitivity Test for Grid Resolution</w:t>
            </w:r>
            <w:r w:rsidR="00135E0F">
              <w:rPr>
                <w:noProof/>
                <w:webHidden/>
              </w:rPr>
              <w:tab/>
            </w:r>
            <w:r w:rsidR="00135E0F">
              <w:rPr>
                <w:noProof/>
                <w:webHidden/>
              </w:rPr>
              <w:fldChar w:fldCharType="begin"/>
            </w:r>
            <w:r w:rsidR="00135E0F">
              <w:rPr>
                <w:noProof/>
                <w:webHidden/>
              </w:rPr>
              <w:instrText xml:space="preserve"> PAGEREF _Toc21861289 \h </w:instrText>
            </w:r>
            <w:r w:rsidR="00135E0F">
              <w:rPr>
                <w:noProof/>
                <w:webHidden/>
              </w:rPr>
            </w:r>
            <w:r w:rsidR="00135E0F">
              <w:rPr>
                <w:noProof/>
                <w:webHidden/>
              </w:rPr>
              <w:fldChar w:fldCharType="separate"/>
            </w:r>
            <w:r w:rsidR="00F95F7F">
              <w:rPr>
                <w:noProof/>
                <w:webHidden/>
              </w:rPr>
              <w:t>23</w:t>
            </w:r>
            <w:r w:rsidR="00135E0F">
              <w:rPr>
                <w:noProof/>
                <w:webHidden/>
              </w:rPr>
              <w:fldChar w:fldCharType="end"/>
            </w:r>
          </w:hyperlink>
        </w:p>
        <w:p w14:paraId="2EE9BEF0" w14:textId="39C71FD9" w:rsidR="00135E0F" w:rsidRDefault="00315883">
          <w:pPr>
            <w:pStyle w:val="TOC3"/>
            <w:tabs>
              <w:tab w:val="right" w:leader="dot" w:pos="9350"/>
            </w:tabs>
            <w:rPr>
              <w:noProof/>
              <w:sz w:val="24"/>
              <w:szCs w:val="24"/>
            </w:rPr>
          </w:pPr>
          <w:hyperlink w:anchor="_Toc21861290" w:history="1">
            <w:r w:rsidR="00135E0F" w:rsidRPr="00870B7B">
              <w:rPr>
                <w:rStyle w:val="Hyperlink"/>
                <w:rFonts w:ascii="Times New Roman" w:eastAsia="Times New Roman" w:hAnsi="Times New Roman" w:cs="Times New Roman"/>
                <w:i/>
                <w:iCs/>
                <w:noProof/>
              </w:rPr>
              <w:t>2.2.4) Exposure Distributions</w:t>
            </w:r>
            <w:r w:rsidR="00135E0F">
              <w:rPr>
                <w:noProof/>
                <w:webHidden/>
              </w:rPr>
              <w:tab/>
            </w:r>
            <w:r w:rsidR="00135E0F">
              <w:rPr>
                <w:noProof/>
                <w:webHidden/>
              </w:rPr>
              <w:fldChar w:fldCharType="begin"/>
            </w:r>
            <w:r w:rsidR="00135E0F">
              <w:rPr>
                <w:noProof/>
                <w:webHidden/>
              </w:rPr>
              <w:instrText xml:space="preserve"> PAGEREF _Toc21861290 \h </w:instrText>
            </w:r>
            <w:r w:rsidR="00135E0F">
              <w:rPr>
                <w:noProof/>
                <w:webHidden/>
              </w:rPr>
            </w:r>
            <w:r w:rsidR="00135E0F">
              <w:rPr>
                <w:noProof/>
                <w:webHidden/>
              </w:rPr>
              <w:fldChar w:fldCharType="separate"/>
            </w:r>
            <w:r w:rsidR="00F95F7F">
              <w:rPr>
                <w:noProof/>
                <w:webHidden/>
              </w:rPr>
              <w:t>26</w:t>
            </w:r>
            <w:r w:rsidR="00135E0F">
              <w:rPr>
                <w:noProof/>
                <w:webHidden/>
              </w:rPr>
              <w:fldChar w:fldCharType="end"/>
            </w:r>
          </w:hyperlink>
        </w:p>
        <w:p w14:paraId="584EBA1A" w14:textId="34B3AD78" w:rsidR="00135E0F" w:rsidRDefault="00315883">
          <w:pPr>
            <w:pStyle w:val="TOC3"/>
            <w:tabs>
              <w:tab w:val="right" w:leader="dot" w:pos="9350"/>
            </w:tabs>
            <w:rPr>
              <w:noProof/>
              <w:sz w:val="24"/>
              <w:szCs w:val="24"/>
            </w:rPr>
          </w:pPr>
          <w:hyperlink w:anchor="_Toc21861291" w:history="1">
            <w:r w:rsidR="00135E0F" w:rsidRPr="00870B7B">
              <w:rPr>
                <w:rStyle w:val="Hyperlink"/>
                <w:rFonts w:ascii="Times New Roman" w:eastAsia="Times New Roman" w:hAnsi="Times New Roman" w:cs="Times New Roman"/>
                <w:i/>
                <w:iCs/>
                <w:noProof/>
              </w:rPr>
              <w:t>2.2.5) Comparing Exposures Using Synthetic and Observed Damage Paths</w:t>
            </w:r>
            <w:r w:rsidR="00135E0F">
              <w:rPr>
                <w:noProof/>
                <w:webHidden/>
              </w:rPr>
              <w:tab/>
            </w:r>
            <w:r w:rsidR="00135E0F">
              <w:rPr>
                <w:noProof/>
                <w:webHidden/>
              </w:rPr>
              <w:fldChar w:fldCharType="begin"/>
            </w:r>
            <w:r w:rsidR="00135E0F">
              <w:rPr>
                <w:noProof/>
                <w:webHidden/>
              </w:rPr>
              <w:instrText xml:space="preserve"> PAGEREF _Toc21861291 \h </w:instrText>
            </w:r>
            <w:r w:rsidR="00135E0F">
              <w:rPr>
                <w:noProof/>
                <w:webHidden/>
              </w:rPr>
            </w:r>
            <w:r w:rsidR="00135E0F">
              <w:rPr>
                <w:noProof/>
                <w:webHidden/>
              </w:rPr>
              <w:fldChar w:fldCharType="separate"/>
            </w:r>
            <w:r w:rsidR="00F95F7F">
              <w:rPr>
                <w:noProof/>
                <w:webHidden/>
              </w:rPr>
              <w:t>29</w:t>
            </w:r>
            <w:r w:rsidR="00135E0F">
              <w:rPr>
                <w:noProof/>
                <w:webHidden/>
              </w:rPr>
              <w:fldChar w:fldCharType="end"/>
            </w:r>
          </w:hyperlink>
        </w:p>
        <w:p w14:paraId="5F466B22" w14:textId="24C8DDD7" w:rsidR="00135E0F" w:rsidRDefault="00315883">
          <w:pPr>
            <w:pStyle w:val="TOC2"/>
            <w:tabs>
              <w:tab w:val="right" w:leader="dot" w:pos="9350"/>
            </w:tabs>
            <w:rPr>
              <w:b w:val="0"/>
              <w:bCs w:val="0"/>
              <w:noProof/>
              <w:sz w:val="24"/>
              <w:szCs w:val="24"/>
            </w:rPr>
          </w:pPr>
          <w:hyperlink w:anchor="_Toc21861292" w:history="1">
            <w:r w:rsidR="00135E0F" w:rsidRPr="00870B7B">
              <w:rPr>
                <w:rStyle w:val="Hyperlink"/>
                <w:rFonts w:ascii="Times New Roman" w:eastAsia="Times New Roman" w:hAnsi="Times New Roman" w:cs="Times New Roman"/>
                <w:noProof/>
              </w:rPr>
              <w:t>2.3) Results</w:t>
            </w:r>
            <w:r w:rsidR="00135E0F">
              <w:rPr>
                <w:noProof/>
                <w:webHidden/>
              </w:rPr>
              <w:tab/>
            </w:r>
            <w:r w:rsidR="00135E0F">
              <w:rPr>
                <w:noProof/>
                <w:webHidden/>
              </w:rPr>
              <w:fldChar w:fldCharType="begin"/>
            </w:r>
            <w:r w:rsidR="00135E0F">
              <w:rPr>
                <w:noProof/>
                <w:webHidden/>
              </w:rPr>
              <w:instrText xml:space="preserve"> PAGEREF _Toc21861292 \h </w:instrText>
            </w:r>
            <w:r w:rsidR="00135E0F">
              <w:rPr>
                <w:noProof/>
                <w:webHidden/>
              </w:rPr>
            </w:r>
            <w:r w:rsidR="00135E0F">
              <w:rPr>
                <w:noProof/>
                <w:webHidden/>
              </w:rPr>
              <w:fldChar w:fldCharType="separate"/>
            </w:r>
            <w:r w:rsidR="00F95F7F">
              <w:rPr>
                <w:noProof/>
                <w:webHidden/>
              </w:rPr>
              <w:t>29</w:t>
            </w:r>
            <w:r w:rsidR="00135E0F">
              <w:rPr>
                <w:noProof/>
                <w:webHidden/>
              </w:rPr>
              <w:fldChar w:fldCharType="end"/>
            </w:r>
          </w:hyperlink>
        </w:p>
        <w:p w14:paraId="2B88E293" w14:textId="3A53CED4" w:rsidR="00135E0F" w:rsidRDefault="00315883">
          <w:pPr>
            <w:pStyle w:val="TOC3"/>
            <w:tabs>
              <w:tab w:val="right" w:leader="dot" w:pos="9350"/>
            </w:tabs>
            <w:rPr>
              <w:noProof/>
              <w:sz w:val="24"/>
              <w:szCs w:val="24"/>
            </w:rPr>
          </w:pPr>
          <w:hyperlink w:anchor="_Toc21861293" w:history="1">
            <w:r w:rsidR="00135E0F" w:rsidRPr="00870B7B">
              <w:rPr>
                <w:rStyle w:val="Hyperlink"/>
                <w:rFonts w:ascii="Times New Roman" w:eastAsia="Times New Roman" w:hAnsi="Times New Roman" w:cs="Times New Roman"/>
                <w:i/>
                <w:iCs/>
                <w:noProof/>
              </w:rPr>
              <w:t>2.3.1) Violent Tornado Climatology</w:t>
            </w:r>
            <w:r w:rsidR="00135E0F">
              <w:rPr>
                <w:noProof/>
                <w:webHidden/>
              </w:rPr>
              <w:tab/>
            </w:r>
            <w:r w:rsidR="00135E0F">
              <w:rPr>
                <w:noProof/>
                <w:webHidden/>
              </w:rPr>
              <w:fldChar w:fldCharType="begin"/>
            </w:r>
            <w:r w:rsidR="00135E0F">
              <w:rPr>
                <w:noProof/>
                <w:webHidden/>
              </w:rPr>
              <w:instrText xml:space="preserve"> PAGEREF _Toc21861293 \h </w:instrText>
            </w:r>
            <w:r w:rsidR="00135E0F">
              <w:rPr>
                <w:noProof/>
                <w:webHidden/>
              </w:rPr>
            </w:r>
            <w:r w:rsidR="00135E0F">
              <w:rPr>
                <w:noProof/>
                <w:webHidden/>
              </w:rPr>
              <w:fldChar w:fldCharType="separate"/>
            </w:r>
            <w:r w:rsidR="00F95F7F">
              <w:rPr>
                <w:noProof/>
                <w:webHidden/>
              </w:rPr>
              <w:t>29</w:t>
            </w:r>
            <w:r w:rsidR="00135E0F">
              <w:rPr>
                <w:noProof/>
                <w:webHidden/>
              </w:rPr>
              <w:fldChar w:fldCharType="end"/>
            </w:r>
          </w:hyperlink>
        </w:p>
        <w:p w14:paraId="3D68F878" w14:textId="76BF86F8" w:rsidR="00135E0F" w:rsidRDefault="00315883">
          <w:pPr>
            <w:pStyle w:val="TOC3"/>
            <w:tabs>
              <w:tab w:val="right" w:leader="dot" w:pos="9350"/>
            </w:tabs>
            <w:rPr>
              <w:noProof/>
              <w:sz w:val="24"/>
              <w:szCs w:val="24"/>
            </w:rPr>
          </w:pPr>
          <w:hyperlink w:anchor="_Toc21861294" w:history="1">
            <w:r w:rsidR="00135E0F" w:rsidRPr="00870B7B">
              <w:rPr>
                <w:rStyle w:val="Hyperlink"/>
                <w:rFonts w:ascii="Times New Roman" w:eastAsia="Times New Roman" w:hAnsi="Times New Roman" w:cs="Times New Roman"/>
                <w:i/>
                <w:iCs/>
                <w:noProof/>
              </w:rPr>
              <w:t>2.3.2) Population Distribution in Potential Impact Zones</w:t>
            </w:r>
            <w:r w:rsidR="00135E0F">
              <w:rPr>
                <w:noProof/>
                <w:webHidden/>
              </w:rPr>
              <w:tab/>
            </w:r>
            <w:r w:rsidR="00135E0F">
              <w:rPr>
                <w:noProof/>
                <w:webHidden/>
              </w:rPr>
              <w:fldChar w:fldCharType="begin"/>
            </w:r>
            <w:r w:rsidR="00135E0F">
              <w:rPr>
                <w:noProof/>
                <w:webHidden/>
              </w:rPr>
              <w:instrText xml:space="preserve"> PAGEREF _Toc21861294 \h </w:instrText>
            </w:r>
            <w:r w:rsidR="00135E0F">
              <w:rPr>
                <w:noProof/>
                <w:webHidden/>
              </w:rPr>
            </w:r>
            <w:r w:rsidR="00135E0F">
              <w:rPr>
                <w:noProof/>
                <w:webHidden/>
              </w:rPr>
              <w:fldChar w:fldCharType="separate"/>
            </w:r>
            <w:r w:rsidR="00F95F7F">
              <w:rPr>
                <w:noProof/>
                <w:webHidden/>
              </w:rPr>
              <w:t>30</w:t>
            </w:r>
            <w:r w:rsidR="00135E0F">
              <w:rPr>
                <w:noProof/>
                <w:webHidden/>
              </w:rPr>
              <w:fldChar w:fldCharType="end"/>
            </w:r>
          </w:hyperlink>
        </w:p>
        <w:p w14:paraId="7F10EFFA" w14:textId="098E3C5D" w:rsidR="00135E0F" w:rsidRDefault="00315883">
          <w:pPr>
            <w:pStyle w:val="TOC3"/>
            <w:tabs>
              <w:tab w:val="right" w:leader="dot" w:pos="9350"/>
            </w:tabs>
            <w:rPr>
              <w:noProof/>
              <w:sz w:val="24"/>
              <w:szCs w:val="24"/>
            </w:rPr>
          </w:pPr>
          <w:hyperlink w:anchor="_Toc21861295" w:history="1">
            <w:r w:rsidR="00135E0F" w:rsidRPr="00870B7B">
              <w:rPr>
                <w:rStyle w:val="Hyperlink"/>
                <w:rFonts w:ascii="Times New Roman" w:eastAsia="Times New Roman" w:hAnsi="Times New Roman" w:cs="Times New Roman"/>
                <w:i/>
                <w:iCs/>
                <w:noProof/>
              </w:rPr>
              <w:t>2.3.3) Sensitivity Test</w:t>
            </w:r>
            <w:r w:rsidR="00135E0F">
              <w:rPr>
                <w:noProof/>
                <w:webHidden/>
              </w:rPr>
              <w:tab/>
            </w:r>
            <w:r w:rsidR="00135E0F">
              <w:rPr>
                <w:noProof/>
                <w:webHidden/>
              </w:rPr>
              <w:fldChar w:fldCharType="begin"/>
            </w:r>
            <w:r w:rsidR="00135E0F">
              <w:rPr>
                <w:noProof/>
                <w:webHidden/>
              </w:rPr>
              <w:instrText xml:space="preserve"> PAGEREF _Toc21861295 \h </w:instrText>
            </w:r>
            <w:r w:rsidR="00135E0F">
              <w:rPr>
                <w:noProof/>
                <w:webHidden/>
              </w:rPr>
            </w:r>
            <w:r w:rsidR="00135E0F">
              <w:rPr>
                <w:noProof/>
                <w:webHidden/>
              </w:rPr>
              <w:fldChar w:fldCharType="separate"/>
            </w:r>
            <w:r w:rsidR="00F95F7F">
              <w:rPr>
                <w:noProof/>
                <w:webHidden/>
              </w:rPr>
              <w:t>31</w:t>
            </w:r>
            <w:r w:rsidR="00135E0F">
              <w:rPr>
                <w:noProof/>
                <w:webHidden/>
              </w:rPr>
              <w:fldChar w:fldCharType="end"/>
            </w:r>
          </w:hyperlink>
        </w:p>
        <w:p w14:paraId="47D34899" w14:textId="2CCFE775" w:rsidR="00135E0F" w:rsidRDefault="00315883">
          <w:pPr>
            <w:pStyle w:val="TOC3"/>
            <w:tabs>
              <w:tab w:val="right" w:leader="dot" w:pos="9350"/>
            </w:tabs>
            <w:rPr>
              <w:noProof/>
              <w:sz w:val="24"/>
              <w:szCs w:val="24"/>
            </w:rPr>
          </w:pPr>
          <w:hyperlink w:anchor="_Toc21861296" w:history="1">
            <w:r w:rsidR="00135E0F" w:rsidRPr="00870B7B">
              <w:rPr>
                <w:rStyle w:val="Hyperlink"/>
                <w:rFonts w:ascii="Times New Roman" w:eastAsia="Times New Roman" w:hAnsi="Times New Roman" w:cs="Times New Roman"/>
                <w:i/>
                <w:iCs/>
                <w:noProof/>
              </w:rPr>
              <w:t>2.3.4) Potential Exposure to Violent Tornadoes</w:t>
            </w:r>
            <w:r w:rsidR="00135E0F">
              <w:rPr>
                <w:noProof/>
                <w:webHidden/>
              </w:rPr>
              <w:tab/>
            </w:r>
            <w:r w:rsidR="00135E0F">
              <w:rPr>
                <w:noProof/>
                <w:webHidden/>
              </w:rPr>
              <w:fldChar w:fldCharType="begin"/>
            </w:r>
            <w:r w:rsidR="00135E0F">
              <w:rPr>
                <w:noProof/>
                <w:webHidden/>
              </w:rPr>
              <w:instrText xml:space="preserve"> PAGEREF _Toc21861296 \h </w:instrText>
            </w:r>
            <w:r w:rsidR="00135E0F">
              <w:rPr>
                <w:noProof/>
                <w:webHidden/>
              </w:rPr>
            </w:r>
            <w:r w:rsidR="00135E0F">
              <w:rPr>
                <w:noProof/>
                <w:webHidden/>
              </w:rPr>
              <w:fldChar w:fldCharType="separate"/>
            </w:r>
            <w:r w:rsidR="00F95F7F">
              <w:rPr>
                <w:noProof/>
                <w:webHidden/>
              </w:rPr>
              <w:t>32</w:t>
            </w:r>
            <w:r w:rsidR="00135E0F">
              <w:rPr>
                <w:noProof/>
                <w:webHidden/>
              </w:rPr>
              <w:fldChar w:fldCharType="end"/>
            </w:r>
          </w:hyperlink>
        </w:p>
        <w:p w14:paraId="0F94FC50" w14:textId="79638995" w:rsidR="00135E0F" w:rsidRDefault="00315883">
          <w:pPr>
            <w:pStyle w:val="TOC3"/>
            <w:tabs>
              <w:tab w:val="right" w:leader="dot" w:pos="9350"/>
            </w:tabs>
            <w:rPr>
              <w:noProof/>
              <w:sz w:val="24"/>
              <w:szCs w:val="24"/>
            </w:rPr>
          </w:pPr>
          <w:hyperlink w:anchor="_Toc21861297" w:history="1">
            <w:r w:rsidR="00135E0F" w:rsidRPr="00870B7B">
              <w:rPr>
                <w:rStyle w:val="Hyperlink"/>
                <w:rFonts w:ascii="Times New Roman" w:eastAsia="Times New Roman" w:hAnsi="Times New Roman" w:cs="Times New Roman"/>
                <w:i/>
                <w:iCs/>
                <w:noProof/>
              </w:rPr>
              <w:t>2.3.5) Near-Misses and Far-Misses</w:t>
            </w:r>
            <w:r w:rsidR="00135E0F">
              <w:rPr>
                <w:noProof/>
                <w:webHidden/>
              </w:rPr>
              <w:tab/>
            </w:r>
            <w:r w:rsidR="00135E0F">
              <w:rPr>
                <w:noProof/>
                <w:webHidden/>
              </w:rPr>
              <w:fldChar w:fldCharType="begin"/>
            </w:r>
            <w:r w:rsidR="00135E0F">
              <w:rPr>
                <w:noProof/>
                <w:webHidden/>
              </w:rPr>
              <w:instrText xml:space="preserve"> PAGEREF _Toc21861297 \h </w:instrText>
            </w:r>
            <w:r w:rsidR="00135E0F">
              <w:rPr>
                <w:noProof/>
                <w:webHidden/>
              </w:rPr>
            </w:r>
            <w:r w:rsidR="00135E0F">
              <w:rPr>
                <w:noProof/>
                <w:webHidden/>
              </w:rPr>
              <w:fldChar w:fldCharType="separate"/>
            </w:r>
            <w:r w:rsidR="00F95F7F">
              <w:rPr>
                <w:noProof/>
                <w:webHidden/>
              </w:rPr>
              <w:t>34</w:t>
            </w:r>
            <w:r w:rsidR="00135E0F">
              <w:rPr>
                <w:noProof/>
                <w:webHidden/>
              </w:rPr>
              <w:fldChar w:fldCharType="end"/>
            </w:r>
          </w:hyperlink>
        </w:p>
        <w:p w14:paraId="61A03DA9" w14:textId="3798C4DE" w:rsidR="00135E0F" w:rsidRDefault="00315883">
          <w:pPr>
            <w:pStyle w:val="TOC3"/>
            <w:tabs>
              <w:tab w:val="right" w:leader="dot" w:pos="9350"/>
            </w:tabs>
            <w:rPr>
              <w:noProof/>
              <w:sz w:val="24"/>
              <w:szCs w:val="24"/>
            </w:rPr>
          </w:pPr>
          <w:hyperlink w:anchor="_Toc21861298" w:history="1">
            <w:r w:rsidR="00135E0F" w:rsidRPr="00870B7B">
              <w:rPr>
                <w:rStyle w:val="Hyperlink"/>
                <w:rFonts w:ascii="Times New Roman" w:eastAsia="Times New Roman" w:hAnsi="Times New Roman" w:cs="Times New Roman"/>
                <w:i/>
                <w:iCs/>
                <w:noProof/>
              </w:rPr>
              <w:t>2.3.6) Hits</w:t>
            </w:r>
            <w:r w:rsidR="00135E0F">
              <w:rPr>
                <w:noProof/>
                <w:webHidden/>
              </w:rPr>
              <w:tab/>
            </w:r>
            <w:r w:rsidR="00135E0F">
              <w:rPr>
                <w:noProof/>
                <w:webHidden/>
              </w:rPr>
              <w:fldChar w:fldCharType="begin"/>
            </w:r>
            <w:r w:rsidR="00135E0F">
              <w:rPr>
                <w:noProof/>
                <w:webHidden/>
              </w:rPr>
              <w:instrText xml:space="preserve"> PAGEREF _Toc21861298 \h </w:instrText>
            </w:r>
            <w:r w:rsidR="00135E0F">
              <w:rPr>
                <w:noProof/>
                <w:webHidden/>
              </w:rPr>
            </w:r>
            <w:r w:rsidR="00135E0F">
              <w:rPr>
                <w:noProof/>
                <w:webHidden/>
              </w:rPr>
              <w:fldChar w:fldCharType="separate"/>
            </w:r>
            <w:r w:rsidR="00F95F7F">
              <w:rPr>
                <w:noProof/>
                <w:webHidden/>
              </w:rPr>
              <w:t>35</w:t>
            </w:r>
            <w:r w:rsidR="00135E0F">
              <w:rPr>
                <w:noProof/>
                <w:webHidden/>
              </w:rPr>
              <w:fldChar w:fldCharType="end"/>
            </w:r>
          </w:hyperlink>
        </w:p>
        <w:p w14:paraId="5B6A69DD" w14:textId="7B120416" w:rsidR="00135E0F" w:rsidRDefault="00315883">
          <w:pPr>
            <w:pStyle w:val="TOC3"/>
            <w:tabs>
              <w:tab w:val="right" w:leader="dot" w:pos="9350"/>
            </w:tabs>
            <w:rPr>
              <w:noProof/>
              <w:sz w:val="24"/>
              <w:szCs w:val="24"/>
            </w:rPr>
          </w:pPr>
          <w:hyperlink w:anchor="_Toc21861299" w:history="1">
            <w:r w:rsidR="00135E0F" w:rsidRPr="00870B7B">
              <w:rPr>
                <w:rStyle w:val="Hyperlink"/>
                <w:rFonts w:ascii="Times New Roman" w:eastAsia="Times New Roman" w:hAnsi="Times New Roman" w:cs="Times New Roman"/>
                <w:i/>
                <w:iCs/>
                <w:noProof/>
              </w:rPr>
              <w:t>2.3.7) Characteristics of Select Violent Tornadoes</w:t>
            </w:r>
            <w:r w:rsidR="00135E0F">
              <w:rPr>
                <w:noProof/>
                <w:webHidden/>
              </w:rPr>
              <w:tab/>
            </w:r>
            <w:r w:rsidR="00135E0F">
              <w:rPr>
                <w:noProof/>
                <w:webHidden/>
              </w:rPr>
              <w:fldChar w:fldCharType="begin"/>
            </w:r>
            <w:r w:rsidR="00135E0F">
              <w:rPr>
                <w:noProof/>
                <w:webHidden/>
              </w:rPr>
              <w:instrText xml:space="preserve"> PAGEREF _Toc21861299 \h </w:instrText>
            </w:r>
            <w:r w:rsidR="00135E0F">
              <w:rPr>
                <w:noProof/>
                <w:webHidden/>
              </w:rPr>
            </w:r>
            <w:r w:rsidR="00135E0F">
              <w:rPr>
                <w:noProof/>
                <w:webHidden/>
              </w:rPr>
              <w:fldChar w:fldCharType="separate"/>
            </w:r>
            <w:r w:rsidR="00F95F7F">
              <w:rPr>
                <w:noProof/>
                <w:webHidden/>
              </w:rPr>
              <w:t>36</w:t>
            </w:r>
            <w:r w:rsidR="00135E0F">
              <w:rPr>
                <w:noProof/>
                <w:webHidden/>
              </w:rPr>
              <w:fldChar w:fldCharType="end"/>
            </w:r>
          </w:hyperlink>
        </w:p>
        <w:p w14:paraId="1C6C2B96" w14:textId="41C9394C" w:rsidR="00135E0F" w:rsidRDefault="00315883">
          <w:pPr>
            <w:pStyle w:val="TOC3"/>
            <w:tabs>
              <w:tab w:val="right" w:leader="dot" w:pos="9350"/>
            </w:tabs>
            <w:rPr>
              <w:noProof/>
              <w:sz w:val="24"/>
              <w:szCs w:val="24"/>
            </w:rPr>
          </w:pPr>
          <w:hyperlink w:anchor="_Toc21861300" w:history="1">
            <w:r w:rsidR="00135E0F" w:rsidRPr="00870B7B">
              <w:rPr>
                <w:rStyle w:val="Hyperlink"/>
                <w:rFonts w:ascii="Times New Roman" w:eastAsia="Times New Roman" w:hAnsi="Times New Roman" w:cs="Times New Roman"/>
                <w:i/>
                <w:iCs/>
                <w:noProof/>
              </w:rPr>
              <w:t>2.3.8) Comparison of Synthetic and Observed Damage Paths</w:t>
            </w:r>
            <w:r w:rsidR="00135E0F">
              <w:rPr>
                <w:noProof/>
                <w:webHidden/>
              </w:rPr>
              <w:tab/>
            </w:r>
            <w:r w:rsidR="00135E0F">
              <w:rPr>
                <w:noProof/>
                <w:webHidden/>
              </w:rPr>
              <w:fldChar w:fldCharType="begin"/>
            </w:r>
            <w:r w:rsidR="00135E0F">
              <w:rPr>
                <w:noProof/>
                <w:webHidden/>
              </w:rPr>
              <w:instrText xml:space="preserve"> PAGEREF _Toc21861300 \h </w:instrText>
            </w:r>
            <w:r w:rsidR="00135E0F">
              <w:rPr>
                <w:noProof/>
                <w:webHidden/>
              </w:rPr>
            </w:r>
            <w:r w:rsidR="00135E0F">
              <w:rPr>
                <w:noProof/>
                <w:webHidden/>
              </w:rPr>
              <w:fldChar w:fldCharType="separate"/>
            </w:r>
            <w:r w:rsidR="00F95F7F">
              <w:rPr>
                <w:noProof/>
                <w:webHidden/>
              </w:rPr>
              <w:t>36</w:t>
            </w:r>
            <w:r w:rsidR="00135E0F">
              <w:rPr>
                <w:noProof/>
                <w:webHidden/>
              </w:rPr>
              <w:fldChar w:fldCharType="end"/>
            </w:r>
          </w:hyperlink>
        </w:p>
        <w:p w14:paraId="7CD0ED55" w14:textId="46721574" w:rsidR="00135E0F" w:rsidRDefault="00315883">
          <w:pPr>
            <w:pStyle w:val="TOC3"/>
            <w:tabs>
              <w:tab w:val="right" w:leader="dot" w:pos="9350"/>
            </w:tabs>
            <w:rPr>
              <w:noProof/>
              <w:sz w:val="24"/>
              <w:szCs w:val="24"/>
            </w:rPr>
          </w:pPr>
          <w:hyperlink w:anchor="_Toc21861301" w:history="1">
            <w:r w:rsidR="00135E0F" w:rsidRPr="00870B7B">
              <w:rPr>
                <w:rStyle w:val="Hyperlink"/>
                <w:rFonts w:ascii="Times New Roman" w:eastAsia="Times New Roman" w:hAnsi="Times New Roman" w:cs="Times New Roman"/>
                <w:i/>
                <w:iCs/>
                <w:noProof/>
              </w:rPr>
              <w:t>2.3.9) Spatial Autocorrelation of Violent Tornadoes</w:t>
            </w:r>
            <w:r w:rsidR="00135E0F">
              <w:rPr>
                <w:noProof/>
                <w:webHidden/>
              </w:rPr>
              <w:tab/>
            </w:r>
            <w:r w:rsidR="00135E0F">
              <w:rPr>
                <w:noProof/>
                <w:webHidden/>
              </w:rPr>
              <w:fldChar w:fldCharType="begin"/>
            </w:r>
            <w:r w:rsidR="00135E0F">
              <w:rPr>
                <w:noProof/>
                <w:webHidden/>
              </w:rPr>
              <w:instrText xml:space="preserve"> PAGEREF _Toc21861301 \h </w:instrText>
            </w:r>
            <w:r w:rsidR="00135E0F">
              <w:rPr>
                <w:noProof/>
                <w:webHidden/>
              </w:rPr>
            </w:r>
            <w:r w:rsidR="00135E0F">
              <w:rPr>
                <w:noProof/>
                <w:webHidden/>
              </w:rPr>
              <w:fldChar w:fldCharType="separate"/>
            </w:r>
            <w:r w:rsidR="00F95F7F">
              <w:rPr>
                <w:noProof/>
                <w:webHidden/>
              </w:rPr>
              <w:t>37</w:t>
            </w:r>
            <w:r w:rsidR="00135E0F">
              <w:rPr>
                <w:noProof/>
                <w:webHidden/>
              </w:rPr>
              <w:fldChar w:fldCharType="end"/>
            </w:r>
          </w:hyperlink>
        </w:p>
        <w:p w14:paraId="762DDFE5" w14:textId="257F20CE" w:rsidR="00135E0F" w:rsidRDefault="00315883">
          <w:pPr>
            <w:pStyle w:val="TOC2"/>
            <w:tabs>
              <w:tab w:val="right" w:leader="dot" w:pos="9350"/>
            </w:tabs>
            <w:rPr>
              <w:b w:val="0"/>
              <w:bCs w:val="0"/>
              <w:noProof/>
              <w:sz w:val="24"/>
              <w:szCs w:val="24"/>
            </w:rPr>
          </w:pPr>
          <w:hyperlink w:anchor="_Toc21861302" w:history="1">
            <w:r w:rsidR="00135E0F" w:rsidRPr="00870B7B">
              <w:rPr>
                <w:rStyle w:val="Hyperlink"/>
                <w:rFonts w:ascii="Times New Roman" w:eastAsia="Times New Roman" w:hAnsi="Times New Roman" w:cs="Times New Roman"/>
                <w:noProof/>
              </w:rPr>
              <w:t>2.4) Discussion</w:t>
            </w:r>
            <w:r w:rsidR="00135E0F">
              <w:rPr>
                <w:noProof/>
                <w:webHidden/>
              </w:rPr>
              <w:tab/>
            </w:r>
            <w:r w:rsidR="00135E0F">
              <w:rPr>
                <w:noProof/>
                <w:webHidden/>
              </w:rPr>
              <w:fldChar w:fldCharType="begin"/>
            </w:r>
            <w:r w:rsidR="00135E0F">
              <w:rPr>
                <w:noProof/>
                <w:webHidden/>
              </w:rPr>
              <w:instrText xml:space="preserve"> PAGEREF _Toc21861302 \h </w:instrText>
            </w:r>
            <w:r w:rsidR="00135E0F">
              <w:rPr>
                <w:noProof/>
                <w:webHidden/>
              </w:rPr>
            </w:r>
            <w:r w:rsidR="00135E0F">
              <w:rPr>
                <w:noProof/>
                <w:webHidden/>
              </w:rPr>
              <w:fldChar w:fldCharType="separate"/>
            </w:r>
            <w:r w:rsidR="00F95F7F">
              <w:rPr>
                <w:noProof/>
                <w:webHidden/>
              </w:rPr>
              <w:t>38</w:t>
            </w:r>
            <w:r w:rsidR="00135E0F">
              <w:rPr>
                <w:noProof/>
                <w:webHidden/>
              </w:rPr>
              <w:fldChar w:fldCharType="end"/>
            </w:r>
          </w:hyperlink>
        </w:p>
        <w:p w14:paraId="58F34482" w14:textId="22613B2D" w:rsidR="00135E0F" w:rsidRDefault="00315883">
          <w:pPr>
            <w:pStyle w:val="TOC2"/>
            <w:tabs>
              <w:tab w:val="right" w:leader="dot" w:pos="9350"/>
            </w:tabs>
            <w:rPr>
              <w:b w:val="0"/>
              <w:bCs w:val="0"/>
              <w:noProof/>
              <w:sz w:val="24"/>
              <w:szCs w:val="24"/>
            </w:rPr>
          </w:pPr>
          <w:hyperlink w:anchor="_Toc21861303" w:history="1">
            <w:r w:rsidR="00135E0F" w:rsidRPr="00870B7B">
              <w:rPr>
                <w:rStyle w:val="Hyperlink"/>
                <w:rFonts w:ascii="Times New Roman" w:eastAsia="Times New Roman" w:hAnsi="Times New Roman" w:cs="Times New Roman"/>
                <w:noProof/>
              </w:rPr>
              <w:t>2.5) Conclusions</w:t>
            </w:r>
            <w:r w:rsidR="00135E0F">
              <w:rPr>
                <w:noProof/>
                <w:webHidden/>
              </w:rPr>
              <w:tab/>
            </w:r>
            <w:r w:rsidR="00135E0F">
              <w:rPr>
                <w:noProof/>
                <w:webHidden/>
              </w:rPr>
              <w:fldChar w:fldCharType="begin"/>
            </w:r>
            <w:r w:rsidR="00135E0F">
              <w:rPr>
                <w:noProof/>
                <w:webHidden/>
              </w:rPr>
              <w:instrText xml:space="preserve"> PAGEREF _Toc21861303 \h </w:instrText>
            </w:r>
            <w:r w:rsidR="00135E0F">
              <w:rPr>
                <w:noProof/>
                <w:webHidden/>
              </w:rPr>
            </w:r>
            <w:r w:rsidR="00135E0F">
              <w:rPr>
                <w:noProof/>
                <w:webHidden/>
              </w:rPr>
              <w:fldChar w:fldCharType="separate"/>
            </w:r>
            <w:r w:rsidR="00F95F7F">
              <w:rPr>
                <w:noProof/>
                <w:webHidden/>
              </w:rPr>
              <w:t>45</w:t>
            </w:r>
            <w:r w:rsidR="00135E0F">
              <w:rPr>
                <w:noProof/>
                <w:webHidden/>
              </w:rPr>
              <w:fldChar w:fldCharType="end"/>
            </w:r>
          </w:hyperlink>
        </w:p>
        <w:p w14:paraId="079813DC" w14:textId="24D3D7AE" w:rsidR="00135E0F" w:rsidRDefault="00315883">
          <w:pPr>
            <w:pStyle w:val="TOC1"/>
            <w:tabs>
              <w:tab w:val="right" w:leader="dot" w:pos="9350"/>
            </w:tabs>
            <w:rPr>
              <w:b w:val="0"/>
              <w:bCs w:val="0"/>
              <w:i w:val="0"/>
              <w:iCs w:val="0"/>
              <w:noProof/>
            </w:rPr>
          </w:pPr>
          <w:hyperlink w:anchor="_Toc21861304" w:history="1">
            <w:r w:rsidR="00135E0F" w:rsidRPr="00870B7B">
              <w:rPr>
                <w:rStyle w:val="Hyperlink"/>
                <w:rFonts w:ascii="Times New Roman" w:hAnsi="Times New Roman" w:cs="Times New Roman"/>
                <w:noProof/>
              </w:rPr>
              <w:t>Chapter 3 A Tornado Daily Impacts Simulator for the Central and Southern United States</w:t>
            </w:r>
            <w:r w:rsidR="00135E0F">
              <w:rPr>
                <w:noProof/>
                <w:webHidden/>
              </w:rPr>
              <w:tab/>
            </w:r>
            <w:r w:rsidR="00135E0F">
              <w:rPr>
                <w:noProof/>
                <w:webHidden/>
              </w:rPr>
              <w:fldChar w:fldCharType="begin"/>
            </w:r>
            <w:r w:rsidR="00135E0F">
              <w:rPr>
                <w:noProof/>
                <w:webHidden/>
              </w:rPr>
              <w:instrText xml:space="preserve"> PAGEREF _Toc21861304 \h </w:instrText>
            </w:r>
            <w:r w:rsidR="00135E0F">
              <w:rPr>
                <w:noProof/>
                <w:webHidden/>
              </w:rPr>
            </w:r>
            <w:r w:rsidR="00135E0F">
              <w:rPr>
                <w:noProof/>
                <w:webHidden/>
              </w:rPr>
              <w:fldChar w:fldCharType="separate"/>
            </w:r>
            <w:r w:rsidR="00F95F7F">
              <w:rPr>
                <w:noProof/>
                <w:webHidden/>
              </w:rPr>
              <w:t>65</w:t>
            </w:r>
            <w:r w:rsidR="00135E0F">
              <w:rPr>
                <w:noProof/>
                <w:webHidden/>
              </w:rPr>
              <w:fldChar w:fldCharType="end"/>
            </w:r>
          </w:hyperlink>
        </w:p>
        <w:p w14:paraId="703E9039" w14:textId="7813B088" w:rsidR="00135E0F" w:rsidRDefault="00315883">
          <w:pPr>
            <w:pStyle w:val="TOC2"/>
            <w:tabs>
              <w:tab w:val="right" w:leader="dot" w:pos="9350"/>
            </w:tabs>
            <w:rPr>
              <w:b w:val="0"/>
              <w:bCs w:val="0"/>
              <w:noProof/>
              <w:sz w:val="24"/>
              <w:szCs w:val="24"/>
            </w:rPr>
          </w:pPr>
          <w:hyperlink w:anchor="_Toc21861305" w:history="1">
            <w:r w:rsidR="00135E0F" w:rsidRPr="00870B7B">
              <w:rPr>
                <w:rStyle w:val="Hyperlink"/>
                <w:rFonts w:ascii="Times New Roman" w:hAnsi="Times New Roman" w:cs="Times New Roman"/>
                <w:noProof/>
              </w:rPr>
              <w:t>3.1) Introduction</w:t>
            </w:r>
            <w:r w:rsidR="00135E0F">
              <w:rPr>
                <w:noProof/>
                <w:webHidden/>
              </w:rPr>
              <w:tab/>
            </w:r>
            <w:r w:rsidR="00135E0F">
              <w:rPr>
                <w:noProof/>
                <w:webHidden/>
              </w:rPr>
              <w:fldChar w:fldCharType="begin"/>
            </w:r>
            <w:r w:rsidR="00135E0F">
              <w:rPr>
                <w:noProof/>
                <w:webHidden/>
              </w:rPr>
              <w:instrText xml:space="preserve"> PAGEREF _Toc21861305 \h </w:instrText>
            </w:r>
            <w:r w:rsidR="00135E0F">
              <w:rPr>
                <w:noProof/>
                <w:webHidden/>
              </w:rPr>
            </w:r>
            <w:r w:rsidR="00135E0F">
              <w:rPr>
                <w:noProof/>
                <w:webHidden/>
              </w:rPr>
              <w:fldChar w:fldCharType="separate"/>
            </w:r>
            <w:r w:rsidR="00F95F7F">
              <w:rPr>
                <w:noProof/>
                <w:webHidden/>
              </w:rPr>
              <w:t>66</w:t>
            </w:r>
            <w:r w:rsidR="00135E0F">
              <w:rPr>
                <w:noProof/>
                <w:webHidden/>
              </w:rPr>
              <w:fldChar w:fldCharType="end"/>
            </w:r>
          </w:hyperlink>
        </w:p>
        <w:p w14:paraId="2B2FC87B" w14:textId="07C84530" w:rsidR="00135E0F" w:rsidRDefault="00315883">
          <w:pPr>
            <w:pStyle w:val="TOC2"/>
            <w:tabs>
              <w:tab w:val="right" w:leader="dot" w:pos="9350"/>
            </w:tabs>
            <w:rPr>
              <w:b w:val="0"/>
              <w:bCs w:val="0"/>
              <w:noProof/>
              <w:sz w:val="24"/>
              <w:szCs w:val="24"/>
            </w:rPr>
          </w:pPr>
          <w:hyperlink w:anchor="_Toc21861306" w:history="1">
            <w:r w:rsidR="00135E0F" w:rsidRPr="00870B7B">
              <w:rPr>
                <w:rStyle w:val="Hyperlink"/>
                <w:rFonts w:ascii="Times New Roman" w:hAnsi="Times New Roman" w:cs="Times New Roman"/>
                <w:noProof/>
              </w:rPr>
              <w:t>3.2) TorDIS Development</w:t>
            </w:r>
            <w:r w:rsidR="00135E0F">
              <w:rPr>
                <w:noProof/>
                <w:webHidden/>
              </w:rPr>
              <w:tab/>
            </w:r>
            <w:r w:rsidR="00135E0F">
              <w:rPr>
                <w:noProof/>
                <w:webHidden/>
              </w:rPr>
              <w:fldChar w:fldCharType="begin"/>
            </w:r>
            <w:r w:rsidR="00135E0F">
              <w:rPr>
                <w:noProof/>
                <w:webHidden/>
              </w:rPr>
              <w:instrText xml:space="preserve"> PAGEREF _Toc21861306 \h </w:instrText>
            </w:r>
            <w:r w:rsidR="00135E0F">
              <w:rPr>
                <w:noProof/>
                <w:webHidden/>
              </w:rPr>
            </w:r>
            <w:r w:rsidR="00135E0F">
              <w:rPr>
                <w:noProof/>
                <w:webHidden/>
              </w:rPr>
              <w:fldChar w:fldCharType="separate"/>
            </w:r>
            <w:r w:rsidR="00F95F7F">
              <w:rPr>
                <w:noProof/>
                <w:webHidden/>
              </w:rPr>
              <w:t>68</w:t>
            </w:r>
            <w:r w:rsidR="00135E0F">
              <w:rPr>
                <w:noProof/>
                <w:webHidden/>
              </w:rPr>
              <w:fldChar w:fldCharType="end"/>
            </w:r>
          </w:hyperlink>
        </w:p>
        <w:p w14:paraId="632ACE34" w14:textId="54C7A254" w:rsidR="00135E0F" w:rsidRDefault="00315883">
          <w:pPr>
            <w:pStyle w:val="TOC3"/>
            <w:tabs>
              <w:tab w:val="right" w:leader="dot" w:pos="9350"/>
            </w:tabs>
            <w:rPr>
              <w:noProof/>
              <w:sz w:val="24"/>
              <w:szCs w:val="24"/>
            </w:rPr>
          </w:pPr>
          <w:hyperlink w:anchor="_Toc21861307" w:history="1">
            <w:r w:rsidR="00135E0F" w:rsidRPr="00870B7B">
              <w:rPr>
                <w:rStyle w:val="Hyperlink"/>
                <w:rFonts w:ascii="Times New Roman" w:hAnsi="Times New Roman" w:cs="Times New Roman"/>
                <w:i/>
                <w:iCs/>
                <w:noProof/>
              </w:rPr>
              <w:t>3.2.1) Model Input</w:t>
            </w:r>
            <w:r w:rsidR="00135E0F">
              <w:rPr>
                <w:noProof/>
                <w:webHidden/>
              </w:rPr>
              <w:tab/>
            </w:r>
            <w:r w:rsidR="00135E0F">
              <w:rPr>
                <w:noProof/>
                <w:webHidden/>
              </w:rPr>
              <w:fldChar w:fldCharType="begin"/>
            </w:r>
            <w:r w:rsidR="00135E0F">
              <w:rPr>
                <w:noProof/>
                <w:webHidden/>
              </w:rPr>
              <w:instrText xml:space="preserve"> PAGEREF _Toc21861307 \h </w:instrText>
            </w:r>
            <w:r w:rsidR="00135E0F">
              <w:rPr>
                <w:noProof/>
                <w:webHidden/>
              </w:rPr>
            </w:r>
            <w:r w:rsidR="00135E0F">
              <w:rPr>
                <w:noProof/>
                <w:webHidden/>
              </w:rPr>
              <w:fldChar w:fldCharType="separate"/>
            </w:r>
            <w:r w:rsidR="00F95F7F">
              <w:rPr>
                <w:noProof/>
                <w:webHidden/>
              </w:rPr>
              <w:t>69</w:t>
            </w:r>
            <w:r w:rsidR="00135E0F">
              <w:rPr>
                <w:noProof/>
                <w:webHidden/>
              </w:rPr>
              <w:fldChar w:fldCharType="end"/>
            </w:r>
          </w:hyperlink>
        </w:p>
        <w:p w14:paraId="7C359194" w14:textId="0DE2991E" w:rsidR="00135E0F" w:rsidRDefault="00315883">
          <w:pPr>
            <w:pStyle w:val="TOC3"/>
            <w:tabs>
              <w:tab w:val="right" w:leader="dot" w:pos="9350"/>
            </w:tabs>
            <w:rPr>
              <w:noProof/>
              <w:sz w:val="24"/>
              <w:szCs w:val="24"/>
            </w:rPr>
          </w:pPr>
          <w:hyperlink w:anchor="_Toc21861308" w:history="1">
            <w:r w:rsidR="00135E0F" w:rsidRPr="00870B7B">
              <w:rPr>
                <w:rStyle w:val="Hyperlink"/>
                <w:rFonts w:ascii="Times New Roman" w:hAnsi="Times New Roman" w:cs="Times New Roman"/>
                <w:i/>
                <w:iCs/>
                <w:noProof/>
              </w:rPr>
              <w:t>3.2.2) Model Mode and Study Area Selection</w:t>
            </w:r>
            <w:r w:rsidR="00135E0F">
              <w:rPr>
                <w:noProof/>
                <w:webHidden/>
              </w:rPr>
              <w:tab/>
            </w:r>
            <w:r w:rsidR="00135E0F">
              <w:rPr>
                <w:noProof/>
                <w:webHidden/>
              </w:rPr>
              <w:fldChar w:fldCharType="begin"/>
            </w:r>
            <w:r w:rsidR="00135E0F">
              <w:rPr>
                <w:noProof/>
                <w:webHidden/>
              </w:rPr>
              <w:instrText xml:space="preserve"> PAGEREF _Toc21861308 \h </w:instrText>
            </w:r>
            <w:r w:rsidR="00135E0F">
              <w:rPr>
                <w:noProof/>
                <w:webHidden/>
              </w:rPr>
            </w:r>
            <w:r w:rsidR="00135E0F">
              <w:rPr>
                <w:noProof/>
                <w:webHidden/>
              </w:rPr>
              <w:fldChar w:fldCharType="separate"/>
            </w:r>
            <w:r w:rsidR="00F95F7F">
              <w:rPr>
                <w:noProof/>
                <w:webHidden/>
              </w:rPr>
              <w:t>71</w:t>
            </w:r>
            <w:r w:rsidR="00135E0F">
              <w:rPr>
                <w:noProof/>
                <w:webHidden/>
              </w:rPr>
              <w:fldChar w:fldCharType="end"/>
            </w:r>
          </w:hyperlink>
        </w:p>
        <w:p w14:paraId="2E1EE22A" w14:textId="58E185CF" w:rsidR="00135E0F" w:rsidRDefault="00315883">
          <w:pPr>
            <w:pStyle w:val="TOC3"/>
            <w:tabs>
              <w:tab w:val="right" w:leader="dot" w:pos="9350"/>
            </w:tabs>
            <w:rPr>
              <w:noProof/>
              <w:sz w:val="24"/>
              <w:szCs w:val="24"/>
            </w:rPr>
          </w:pPr>
          <w:hyperlink w:anchor="_Toc21861309" w:history="1">
            <w:r w:rsidR="00135E0F" w:rsidRPr="00870B7B">
              <w:rPr>
                <w:rStyle w:val="Hyperlink"/>
                <w:rFonts w:ascii="Times New Roman" w:hAnsi="Times New Roman" w:cs="Times New Roman"/>
                <w:i/>
                <w:iCs/>
                <w:noProof/>
              </w:rPr>
              <w:t>3.2.3) Tornado Probability Surface and Daily Tornado Count</w:t>
            </w:r>
            <w:r w:rsidR="00135E0F">
              <w:rPr>
                <w:noProof/>
                <w:webHidden/>
              </w:rPr>
              <w:tab/>
            </w:r>
            <w:r w:rsidR="00135E0F">
              <w:rPr>
                <w:noProof/>
                <w:webHidden/>
              </w:rPr>
              <w:fldChar w:fldCharType="begin"/>
            </w:r>
            <w:r w:rsidR="00135E0F">
              <w:rPr>
                <w:noProof/>
                <w:webHidden/>
              </w:rPr>
              <w:instrText xml:space="preserve"> PAGEREF _Toc21861309 \h </w:instrText>
            </w:r>
            <w:r w:rsidR="00135E0F">
              <w:rPr>
                <w:noProof/>
                <w:webHidden/>
              </w:rPr>
            </w:r>
            <w:r w:rsidR="00135E0F">
              <w:rPr>
                <w:noProof/>
                <w:webHidden/>
              </w:rPr>
              <w:fldChar w:fldCharType="separate"/>
            </w:r>
            <w:r w:rsidR="00F95F7F">
              <w:rPr>
                <w:noProof/>
                <w:webHidden/>
              </w:rPr>
              <w:t>72</w:t>
            </w:r>
            <w:r w:rsidR="00135E0F">
              <w:rPr>
                <w:noProof/>
                <w:webHidden/>
              </w:rPr>
              <w:fldChar w:fldCharType="end"/>
            </w:r>
          </w:hyperlink>
        </w:p>
        <w:p w14:paraId="71D7216C" w14:textId="03DE78D4" w:rsidR="00135E0F" w:rsidRDefault="00315883">
          <w:pPr>
            <w:pStyle w:val="TOC3"/>
            <w:tabs>
              <w:tab w:val="right" w:leader="dot" w:pos="9350"/>
            </w:tabs>
            <w:rPr>
              <w:noProof/>
              <w:sz w:val="24"/>
              <w:szCs w:val="24"/>
            </w:rPr>
          </w:pPr>
          <w:hyperlink w:anchor="_Toc21861310" w:history="1">
            <w:r w:rsidR="00135E0F" w:rsidRPr="00870B7B">
              <w:rPr>
                <w:rStyle w:val="Hyperlink"/>
                <w:rFonts w:ascii="Times New Roman" w:hAnsi="Times New Roman" w:cs="Times New Roman"/>
                <w:i/>
                <w:iCs/>
                <w:noProof/>
              </w:rPr>
              <w:t>3.2.4) Tornado Intensity</w:t>
            </w:r>
            <w:r w:rsidR="00135E0F">
              <w:rPr>
                <w:noProof/>
                <w:webHidden/>
              </w:rPr>
              <w:tab/>
            </w:r>
            <w:r w:rsidR="00135E0F">
              <w:rPr>
                <w:noProof/>
                <w:webHidden/>
              </w:rPr>
              <w:fldChar w:fldCharType="begin"/>
            </w:r>
            <w:r w:rsidR="00135E0F">
              <w:rPr>
                <w:noProof/>
                <w:webHidden/>
              </w:rPr>
              <w:instrText xml:space="preserve"> PAGEREF _Toc21861310 \h </w:instrText>
            </w:r>
            <w:r w:rsidR="00135E0F">
              <w:rPr>
                <w:noProof/>
                <w:webHidden/>
              </w:rPr>
            </w:r>
            <w:r w:rsidR="00135E0F">
              <w:rPr>
                <w:noProof/>
                <w:webHidden/>
              </w:rPr>
              <w:fldChar w:fldCharType="separate"/>
            </w:r>
            <w:r w:rsidR="00F95F7F">
              <w:rPr>
                <w:noProof/>
                <w:webHidden/>
              </w:rPr>
              <w:t>75</w:t>
            </w:r>
            <w:r w:rsidR="00135E0F">
              <w:rPr>
                <w:noProof/>
                <w:webHidden/>
              </w:rPr>
              <w:fldChar w:fldCharType="end"/>
            </w:r>
          </w:hyperlink>
        </w:p>
        <w:p w14:paraId="652A26F7" w14:textId="66750B42" w:rsidR="00135E0F" w:rsidRDefault="00315883">
          <w:pPr>
            <w:pStyle w:val="TOC3"/>
            <w:tabs>
              <w:tab w:val="right" w:leader="dot" w:pos="9350"/>
            </w:tabs>
            <w:rPr>
              <w:noProof/>
              <w:sz w:val="24"/>
              <w:szCs w:val="24"/>
            </w:rPr>
          </w:pPr>
          <w:hyperlink w:anchor="_Toc21861311" w:history="1">
            <w:r w:rsidR="00135E0F" w:rsidRPr="00870B7B">
              <w:rPr>
                <w:rStyle w:val="Hyperlink"/>
                <w:rFonts w:ascii="Times New Roman" w:hAnsi="Times New Roman" w:cs="Times New Roman"/>
                <w:i/>
                <w:iCs/>
                <w:noProof/>
              </w:rPr>
              <w:t>3.2.5) Path Length and Width</w:t>
            </w:r>
            <w:r w:rsidR="00135E0F">
              <w:rPr>
                <w:noProof/>
                <w:webHidden/>
              </w:rPr>
              <w:tab/>
            </w:r>
            <w:r w:rsidR="00135E0F">
              <w:rPr>
                <w:noProof/>
                <w:webHidden/>
              </w:rPr>
              <w:fldChar w:fldCharType="begin"/>
            </w:r>
            <w:r w:rsidR="00135E0F">
              <w:rPr>
                <w:noProof/>
                <w:webHidden/>
              </w:rPr>
              <w:instrText xml:space="preserve"> PAGEREF _Toc21861311 \h </w:instrText>
            </w:r>
            <w:r w:rsidR="00135E0F">
              <w:rPr>
                <w:noProof/>
                <w:webHidden/>
              </w:rPr>
            </w:r>
            <w:r w:rsidR="00135E0F">
              <w:rPr>
                <w:noProof/>
                <w:webHidden/>
              </w:rPr>
              <w:fldChar w:fldCharType="separate"/>
            </w:r>
            <w:r w:rsidR="00F95F7F">
              <w:rPr>
                <w:noProof/>
                <w:webHidden/>
              </w:rPr>
              <w:t>76</w:t>
            </w:r>
            <w:r w:rsidR="00135E0F">
              <w:rPr>
                <w:noProof/>
                <w:webHidden/>
              </w:rPr>
              <w:fldChar w:fldCharType="end"/>
            </w:r>
          </w:hyperlink>
        </w:p>
        <w:p w14:paraId="1D25BFF4" w14:textId="67AE93FA" w:rsidR="00135E0F" w:rsidRDefault="00315883">
          <w:pPr>
            <w:pStyle w:val="TOC3"/>
            <w:tabs>
              <w:tab w:val="right" w:leader="dot" w:pos="9350"/>
            </w:tabs>
            <w:rPr>
              <w:noProof/>
              <w:sz w:val="24"/>
              <w:szCs w:val="24"/>
            </w:rPr>
          </w:pPr>
          <w:hyperlink w:anchor="_Toc21861312" w:history="1">
            <w:r w:rsidR="00135E0F" w:rsidRPr="00870B7B">
              <w:rPr>
                <w:rStyle w:val="Hyperlink"/>
                <w:rFonts w:ascii="Times New Roman" w:hAnsi="Times New Roman" w:cs="Times New Roman"/>
                <w:i/>
                <w:iCs/>
                <w:noProof/>
              </w:rPr>
              <w:t>3.2.6) Tornado Direction</w:t>
            </w:r>
            <w:r w:rsidR="00135E0F">
              <w:rPr>
                <w:noProof/>
                <w:webHidden/>
              </w:rPr>
              <w:tab/>
            </w:r>
            <w:r w:rsidR="00135E0F">
              <w:rPr>
                <w:noProof/>
                <w:webHidden/>
              </w:rPr>
              <w:fldChar w:fldCharType="begin"/>
            </w:r>
            <w:r w:rsidR="00135E0F">
              <w:rPr>
                <w:noProof/>
                <w:webHidden/>
              </w:rPr>
              <w:instrText xml:space="preserve"> PAGEREF _Toc21861312 \h </w:instrText>
            </w:r>
            <w:r w:rsidR="00135E0F">
              <w:rPr>
                <w:noProof/>
                <w:webHidden/>
              </w:rPr>
            </w:r>
            <w:r w:rsidR="00135E0F">
              <w:rPr>
                <w:noProof/>
                <w:webHidden/>
              </w:rPr>
              <w:fldChar w:fldCharType="separate"/>
            </w:r>
            <w:r w:rsidR="00F95F7F">
              <w:rPr>
                <w:noProof/>
                <w:webHidden/>
              </w:rPr>
              <w:t>77</w:t>
            </w:r>
            <w:r w:rsidR="00135E0F">
              <w:rPr>
                <w:noProof/>
                <w:webHidden/>
              </w:rPr>
              <w:fldChar w:fldCharType="end"/>
            </w:r>
          </w:hyperlink>
        </w:p>
        <w:p w14:paraId="4C41AE89" w14:textId="6E94A128" w:rsidR="00135E0F" w:rsidRDefault="00315883">
          <w:pPr>
            <w:pStyle w:val="TOC3"/>
            <w:tabs>
              <w:tab w:val="right" w:leader="dot" w:pos="9350"/>
            </w:tabs>
            <w:rPr>
              <w:noProof/>
              <w:sz w:val="24"/>
              <w:szCs w:val="24"/>
            </w:rPr>
          </w:pPr>
          <w:hyperlink w:anchor="_Toc21861313" w:history="1">
            <w:r w:rsidR="00135E0F" w:rsidRPr="00870B7B">
              <w:rPr>
                <w:rStyle w:val="Hyperlink"/>
                <w:rFonts w:ascii="Times New Roman" w:hAnsi="Times New Roman" w:cs="Times New Roman"/>
                <w:i/>
                <w:iCs/>
                <w:noProof/>
              </w:rPr>
              <w:t>3.2.7) Cost Extraction</w:t>
            </w:r>
            <w:r w:rsidR="00135E0F">
              <w:rPr>
                <w:noProof/>
                <w:webHidden/>
              </w:rPr>
              <w:tab/>
            </w:r>
            <w:r w:rsidR="00135E0F">
              <w:rPr>
                <w:noProof/>
                <w:webHidden/>
              </w:rPr>
              <w:fldChar w:fldCharType="begin"/>
            </w:r>
            <w:r w:rsidR="00135E0F">
              <w:rPr>
                <w:noProof/>
                <w:webHidden/>
              </w:rPr>
              <w:instrText xml:space="preserve"> PAGEREF _Toc21861313 \h </w:instrText>
            </w:r>
            <w:r w:rsidR="00135E0F">
              <w:rPr>
                <w:noProof/>
                <w:webHidden/>
              </w:rPr>
            </w:r>
            <w:r w:rsidR="00135E0F">
              <w:rPr>
                <w:noProof/>
                <w:webHidden/>
              </w:rPr>
              <w:fldChar w:fldCharType="separate"/>
            </w:r>
            <w:r w:rsidR="00F95F7F">
              <w:rPr>
                <w:noProof/>
                <w:webHidden/>
              </w:rPr>
              <w:t>77</w:t>
            </w:r>
            <w:r w:rsidR="00135E0F">
              <w:rPr>
                <w:noProof/>
                <w:webHidden/>
              </w:rPr>
              <w:fldChar w:fldCharType="end"/>
            </w:r>
          </w:hyperlink>
        </w:p>
        <w:p w14:paraId="0ED18EC5" w14:textId="6B61BA5C" w:rsidR="00135E0F" w:rsidRDefault="00315883">
          <w:pPr>
            <w:pStyle w:val="TOC3"/>
            <w:tabs>
              <w:tab w:val="right" w:leader="dot" w:pos="9350"/>
            </w:tabs>
            <w:rPr>
              <w:noProof/>
              <w:sz w:val="24"/>
              <w:szCs w:val="24"/>
            </w:rPr>
          </w:pPr>
          <w:hyperlink w:anchor="_Toc21861314" w:history="1">
            <w:r w:rsidR="00135E0F" w:rsidRPr="00870B7B">
              <w:rPr>
                <w:rStyle w:val="Hyperlink"/>
                <w:rFonts w:ascii="Times New Roman" w:hAnsi="Times New Roman" w:cs="Times New Roman"/>
                <w:i/>
                <w:iCs/>
                <w:noProof/>
              </w:rPr>
              <w:t>3.2.8) Model Output</w:t>
            </w:r>
            <w:r w:rsidR="00135E0F">
              <w:rPr>
                <w:noProof/>
                <w:webHidden/>
              </w:rPr>
              <w:tab/>
            </w:r>
            <w:r w:rsidR="00135E0F">
              <w:rPr>
                <w:noProof/>
                <w:webHidden/>
              </w:rPr>
              <w:fldChar w:fldCharType="begin"/>
            </w:r>
            <w:r w:rsidR="00135E0F">
              <w:rPr>
                <w:noProof/>
                <w:webHidden/>
              </w:rPr>
              <w:instrText xml:space="preserve"> PAGEREF _Toc21861314 \h </w:instrText>
            </w:r>
            <w:r w:rsidR="00135E0F">
              <w:rPr>
                <w:noProof/>
                <w:webHidden/>
              </w:rPr>
            </w:r>
            <w:r w:rsidR="00135E0F">
              <w:rPr>
                <w:noProof/>
                <w:webHidden/>
              </w:rPr>
              <w:fldChar w:fldCharType="separate"/>
            </w:r>
            <w:r w:rsidR="00F95F7F">
              <w:rPr>
                <w:noProof/>
                <w:webHidden/>
              </w:rPr>
              <w:t>78</w:t>
            </w:r>
            <w:r w:rsidR="00135E0F">
              <w:rPr>
                <w:noProof/>
                <w:webHidden/>
              </w:rPr>
              <w:fldChar w:fldCharType="end"/>
            </w:r>
          </w:hyperlink>
        </w:p>
        <w:p w14:paraId="185EDC9B" w14:textId="27FF8F41" w:rsidR="00135E0F" w:rsidRDefault="00315883">
          <w:pPr>
            <w:pStyle w:val="TOC2"/>
            <w:tabs>
              <w:tab w:val="right" w:leader="dot" w:pos="9350"/>
            </w:tabs>
            <w:rPr>
              <w:b w:val="0"/>
              <w:bCs w:val="0"/>
              <w:noProof/>
              <w:sz w:val="24"/>
              <w:szCs w:val="24"/>
            </w:rPr>
          </w:pPr>
          <w:hyperlink w:anchor="_Toc21861315" w:history="1">
            <w:r w:rsidR="00135E0F" w:rsidRPr="00870B7B">
              <w:rPr>
                <w:rStyle w:val="Hyperlink"/>
                <w:rFonts w:ascii="Times New Roman" w:hAnsi="Times New Roman" w:cs="Times New Roman"/>
                <w:noProof/>
              </w:rPr>
              <w:t>3.3) Model Application</w:t>
            </w:r>
            <w:r w:rsidR="00135E0F">
              <w:rPr>
                <w:noProof/>
                <w:webHidden/>
              </w:rPr>
              <w:tab/>
            </w:r>
            <w:r w:rsidR="00135E0F">
              <w:rPr>
                <w:noProof/>
                <w:webHidden/>
              </w:rPr>
              <w:fldChar w:fldCharType="begin"/>
            </w:r>
            <w:r w:rsidR="00135E0F">
              <w:rPr>
                <w:noProof/>
                <w:webHidden/>
              </w:rPr>
              <w:instrText xml:space="preserve"> PAGEREF _Toc21861315 \h </w:instrText>
            </w:r>
            <w:r w:rsidR="00135E0F">
              <w:rPr>
                <w:noProof/>
                <w:webHidden/>
              </w:rPr>
            </w:r>
            <w:r w:rsidR="00135E0F">
              <w:rPr>
                <w:noProof/>
                <w:webHidden/>
              </w:rPr>
              <w:fldChar w:fldCharType="separate"/>
            </w:r>
            <w:r w:rsidR="00F95F7F">
              <w:rPr>
                <w:noProof/>
                <w:webHidden/>
              </w:rPr>
              <w:t>78</w:t>
            </w:r>
            <w:r w:rsidR="00135E0F">
              <w:rPr>
                <w:noProof/>
                <w:webHidden/>
              </w:rPr>
              <w:fldChar w:fldCharType="end"/>
            </w:r>
          </w:hyperlink>
        </w:p>
        <w:p w14:paraId="0A41F343" w14:textId="0D76A9AD" w:rsidR="00135E0F" w:rsidRDefault="00315883">
          <w:pPr>
            <w:pStyle w:val="TOC3"/>
            <w:tabs>
              <w:tab w:val="right" w:leader="dot" w:pos="9350"/>
            </w:tabs>
            <w:rPr>
              <w:noProof/>
              <w:sz w:val="24"/>
              <w:szCs w:val="24"/>
            </w:rPr>
          </w:pPr>
          <w:hyperlink w:anchor="_Toc21861316" w:history="1">
            <w:r w:rsidR="00135E0F" w:rsidRPr="00870B7B">
              <w:rPr>
                <w:rStyle w:val="Hyperlink"/>
                <w:rFonts w:ascii="Times New Roman" w:hAnsi="Times New Roman" w:cs="Times New Roman"/>
                <w:i/>
                <w:iCs/>
                <w:noProof/>
              </w:rPr>
              <w:t>3.3.1) Model Performance</w:t>
            </w:r>
            <w:r w:rsidR="00135E0F">
              <w:rPr>
                <w:noProof/>
                <w:webHidden/>
              </w:rPr>
              <w:tab/>
            </w:r>
            <w:r w:rsidR="00135E0F">
              <w:rPr>
                <w:noProof/>
                <w:webHidden/>
              </w:rPr>
              <w:fldChar w:fldCharType="begin"/>
            </w:r>
            <w:r w:rsidR="00135E0F">
              <w:rPr>
                <w:noProof/>
                <w:webHidden/>
              </w:rPr>
              <w:instrText xml:space="preserve"> PAGEREF _Toc21861316 \h </w:instrText>
            </w:r>
            <w:r w:rsidR="00135E0F">
              <w:rPr>
                <w:noProof/>
                <w:webHidden/>
              </w:rPr>
            </w:r>
            <w:r w:rsidR="00135E0F">
              <w:rPr>
                <w:noProof/>
                <w:webHidden/>
              </w:rPr>
              <w:fldChar w:fldCharType="separate"/>
            </w:r>
            <w:r w:rsidR="00F95F7F">
              <w:rPr>
                <w:noProof/>
                <w:webHidden/>
              </w:rPr>
              <w:t>78</w:t>
            </w:r>
            <w:r w:rsidR="00135E0F">
              <w:rPr>
                <w:noProof/>
                <w:webHidden/>
              </w:rPr>
              <w:fldChar w:fldCharType="end"/>
            </w:r>
          </w:hyperlink>
        </w:p>
        <w:p w14:paraId="1F1E19B9" w14:textId="782FEE8E" w:rsidR="00135E0F" w:rsidRDefault="00315883">
          <w:pPr>
            <w:pStyle w:val="TOC3"/>
            <w:tabs>
              <w:tab w:val="right" w:leader="dot" w:pos="9350"/>
            </w:tabs>
            <w:rPr>
              <w:noProof/>
              <w:sz w:val="24"/>
              <w:szCs w:val="24"/>
            </w:rPr>
          </w:pPr>
          <w:hyperlink w:anchor="_Toc21861317" w:history="1">
            <w:r w:rsidR="00135E0F" w:rsidRPr="00870B7B">
              <w:rPr>
                <w:rStyle w:val="Hyperlink"/>
                <w:rFonts w:ascii="Times New Roman" w:hAnsi="Times New Roman" w:cs="Times New Roman"/>
                <w:i/>
                <w:iCs/>
                <w:noProof/>
              </w:rPr>
              <w:t>3.3.2) Comparison of Tornado Risk across Major Metropolitan Statistical Areas</w:t>
            </w:r>
            <w:r w:rsidR="00135E0F">
              <w:rPr>
                <w:noProof/>
                <w:webHidden/>
              </w:rPr>
              <w:tab/>
            </w:r>
            <w:r w:rsidR="00135E0F">
              <w:rPr>
                <w:noProof/>
                <w:webHidden/>
              </w:rPr>
              <w:fldChar w:fldCharType="begin"/>
            </w:r>
            <w:r w:rsidR="00135E0F">
              <w:rPr>
                <w:noProof/>
                <w:webHidden/>
              </w:rPr>
              <w:instrText xml:space="preserve"> PAGEREF _Toc21861317 \h </w:instrText>
            </w:r>
            <w:r w:rsidR="00135E0F">
              <w:rPr>
                <w:noProof/>
                <w:webHidden/>
              </w:rPr>
            </w:r>
            <w:r w:rsidR="00135E0F">
              <w:rPr>
                <w:noProof/>
                <w:webHidden/>
              </w:rPr>
              <w:fldChar w:fldCharType="separate"/>
            </w:r>
            <w:r w:rsidR="00F95F7F">
              <w:rPr>
                <w:noProof/>
                <w:webHidden/>
              </w:rPr>
              <w:t>82</w:t>
            </w:r>
            <w:r w:rsidR="00135E0F">
              <w:rPr>
                <w:noProof/>
                <w:webHidden/>
              </w:rPr>
              <w:fldChar w:fldCharType="end"/>
            </w:r>
          </w:hyperlink>
        </w:p>
        <w:p w14:paraId="60CD9384" w14:textId="5C4D8510" w:rsidR="00135E0F" w:rsidRDefault="00315883">
          <w:pPr>
            <w:pStyle w:val="TOC3"/>
            <w:tabs>
              <w:tab w:val="right" w:leader="dot" w:pos="9350"/>
            </w:tabs>
            <w:rPr>
              <w:noProof/>
              <w:sz w:val="24"/>
              <w:szCs w:val="24"/>
            </w:rPr>
          </w:pPr>
          <w:hyperlink w:anchor="_Toc21861318" w:history="1">
            <w:r w:rsidR="00135E0F" w:rsidRPr="00870B7B">
              <w:rPr>
                <w:rStyle w:val="Hyperlink"/>
                <w:rFonts w:ascii="Times New Roman" w:hAnsi="Times New Roman" w:cs="Times New Roman"/>
                <w:i/>
                <w:iCs/>
                <w:noProof/>
              </w:rPr>
              <w:t>3.3.3) Tornado Impacts on a Daily Time Scale</w:t>
            </w:r>
            <w:r w:rsidR="00135E0F">
              <w:rPr>
                <w:noProof/>
                <w:webHidden/>
              </w:rPr>
              <w:tab/>
            </w:r>
            <w:r w:rsidR="00135E0F">
              <w:rPr>
                <w:noProof/>
                <w:webHidden/>
              </w:rPr>
              <w:fldChar w:fldCharType="begin"/>
            </w:r>
            <w:r w:rsidR="00135E0F">
              <w:rPr>
                <w:noProof/>
                <w:webHidden/>
              </w:rPr>
              <w:instrText xml:space="preserve"> PAGEREF _Toc21861318 \h </w:instrText>
            </w:r>
            <w:r w:rsidR="00135E0F">
              <w:rPr>
                <w:noProof/>
                <w:webHidden/>
              </w:rPr>
            </w:r>
            <w:r w:rsidR="00135E0F">
              <w:rPr>
                <w:noProof/>
                <w:webHidden/>
              </w:rPr>
              <w:fldChar w:fldCharType="separate"/>
            </w:r>
            <w:r w:rsidR="00F95F7F">
              <w:rPr>
                <w:noProof/>
                <w:webHidden/>
              </w:rPr>
              <w:t>83</w:t>
            </w:r>
            <w:r w:rsidR="00135E0F">
              <w:rPr>
                <w:noProof/>
                <w:webHidden/>
              </w:rPr>
              <w:fldChar w:fldCharType="end"/>
            </w:r>
          </w:hyperlink>
        </w:p>
        <w:p w14:paraId="49A10977" w14:textId="21E74A8A" w:rsidR="00135E0F" w:rsidRDefault="00315883">
          <w:pPr>
            <w:pStyle w:val="TOC3"/>
            <w:tabs>
              <w:tab w:val="right" w:leader="dot" w:pos="9350"/>
            </w:tabs>
            <w:rPr>
              <w:noProof/>
              <w:sz w:val="24"/>
              <w:szCs w:val="24"/>
            </w:rPr>
          </w:pPr>
          <w:hyperlink w:anchor="_Toc21861319" w:history="1">
            <w:r w:rsidR="00135E0F" w:rsidRPr="00870B7B">
              <w:rPr>
                <w:rStyle w:val="Hyperlink"/>
                <w:rFonts w:ascii="Times New Roman" w:hAnsi="Times New Roman" w:cs="Times New Roman"/>
                <w:i/>
                <w:iCs/>
                <w:noProof/>
              </w:rPr>
              <w:t>3.3.4) Limitations and Future Development of TorDIS</w:t>
            </w:r>
            <w:r w:rsidR="00135E0F">
              <w:rPr>
                <w:noProof/>
                <w:webHidden/>
              </w:rPr>
              <w:tab/>
            </w:r>
            <w:r w:rsidR="00135E0F">
              <w:rPr>
                <w:noProof/>
                <w:webHidden/>
              </w:rPr>
              <w:fldChar w:fldCharType="begin"/>
            </w:r>
            <w:r w:rsidR="00135E0F">
              <w:rPr>
                <w:noProof/>
                <w:webHidden/>
              </w:rPr>
              <w:instrText xml:space="preserve"> PAGEREF _Toc21861319 \h </w:instrText>
            </w:r>
            <w:r w:rsidR="00135E0F">
              <w:rPr>
                <w:noProof/>
                <w:webHidden/>
              </w:rPr>
            </w:r>
            <w:r w:rsidR="00135E0F">
              <w:rPr>
                <w:noProof/>
                <w:webHidden/>
              </w:rPr>
              <w:fldChar w:fldCharType="separate"/>
            </w:r>
            <w:r w:rsidR="00F95F7F">
              <w:rPr>
                <w:noProof/>
                <w:webHidden/>
              </w:rPr>
              <w:t>85</w:t>
            </w:r>
            <w:r w:rsidR="00135E0F">
              <w:rPr>
                <w:noProof/>
                <w:webHidden/>
              </w:rPr>
              <w:fldChar w:fldCharType="end"/>
            </w:r>
          </w:hyperlink>
        </w:p>
        <w:p w14:paraId="41F50441" w14:textId="0594336B" w:rsidR="00135E0F" w:rsidRDefault="00315883">
          <w:pPr>
            <w:pStyle w:val="TOC2"/>
            <w:tabs>
              <w:tab w:val="right" w:leader="dot" w:pos="9350"/>
            </w:tabs>
            <w:rPr>
              <w:b w:val="0"/>
              <w:bCs w:val="0"/>
              <w:noProof/>
              <w:sz w:val="24"/>
              <w:szCs w:val="24"/>
            </w:rPr>
          </w:pPr>
          <w:hyperlink w:anchor="_Toc21861320" w:history="1">
            <w:r w:rsidR="00135E0F" w:rsidRPr="00870B7B">
              <w:rPr>
                <w:rStyle w:val="Hyperlink"/>
                <w:rFonts w:ascii="Times New Roman" w:hAnsi="Times New Roman" w:cs="Times New Roman"/>
                <w:noProof/>
              </w:rPr>
              <w:t>3.4) Conclusion</w:t>
            </w:r>
            <w:r w:rsidR="00135E0F">
              <w:rPr>
                <w:noProof/>
                <w:webHidden/>
              </w:rPr>
              <w:tab/>
            </w:r>
            <w:r w:rsidR="00135E0F">
              <w:rPr>
                <w:noProof/>
                <w:webHidden/>
              </w:rPr>
              <w:fldChar w:fldCharType="begin"/>
            </w:r>
            <w:r w:rsidR="00135E0F">
              <w:rPr>
                <w:noProof/>
                <w:webHidden/>
              </w:rPr>
              <w:instrText xml:space="preserve"> PAGEREF _Toc21861320 \h </w:instrText>
            </w:r>
            <w:r w:rsidR="00135E0F">
              <w:rPr>
                <w:noProof/>
                <w:webHidden/>
              </w:rPr>
            </w:r>
            <w:r w:rsidR="00135E0F">
              <w:rPr>
                <w:noProof/>
                <w:webHidden/>
              </w:rPr>
              <w:fldChar w:fldCharType="separate"/>
            </w:r>
            <w:r w:rsidR="00F95F7F">
              <w:rPr>
                <w:noProof/>
                <w:webHidden/>
              </w:rPr>
              <w:t>86</w:t>
            </w:r>
            <w:r w:rsidR="00135E0F">
              <w:rPr>
                <w:noProof/>
                <w:webHidden/>
              </w:rPr>
              <w:fldChar w:fldCharType="end"/>
            </w:r>
          </w:hyperlink>
        </w:p>
        <w:p w14:paraId="6FB10C46" w14:textId="11921234" w:rsidR="00135E0F" w:rsidRDefault="00315883">
          <w:pPr>
            <w:pStyle w:val="TOC1"/>
            <w:tabs>
              <w:tab w:val="right" w:leader="dot" w:pos="9350"/>
            </w:tabs>
            <w:rPr>
              <w:b w:val="0"/>
              <w:bCs w:val="0"/>
              <w:i w:val="0"/>
              <w:iCs w:val="0"/>
              <w:noProof/>
            </w:rPr>
          </w:pPr>
          <w:hyperlink w:anchor="_Toc21861321" w:history="1">
            <w:r w:rsidR="00135E0F" w:rsidRPr="00870B7B">
              <w:rPr>
                <w:rStyle w:val="Hyperlink"/>
                <w:rFonts w:ascii="Times New Roman" w:hAnsi="Times New Roman" w:cs="Times New Roman"/>
                <w:noProof/>
              </w:rPr>
              <w:t>Chapter 4 Analyzing the Combined Effects of Urbanization and a Changing Climate on Tornado Exposure: A Case Study for the Oklahoma City Metropolitan Area</w:t>
            </w:r>
            <w:r w:rsidR="00135E0F">
              <w:rPr>
                <w:noProof/>
                <w:webHidden/>
              </w:rPr>
              <w:tab/>
            </w:r>
            <w:r w:rsidR="00135E0F">
              <w:rPr>
                <w:noProof/>
                <w:webHidden/>
              </w:rPr>
              <w:fldChar w:fldCharType="begin"/>
            </w:r>
            <w:r w:rsidR="00135E0F">
              <w:rPr>
                <w:noProof/>
                <w:webHidden/>
              </w:rPr>
              <w:instrText xml:space="preserve"> PAGEREF _Toc21861321 \h </w:instrText>
            </w:r>
            <w:r w:rsidR="00135E0F">
              <w:rPr>
                <w:noProof/>
                <w:webHidden/>
              </w:rPr>
            </w:r>
            <w:r w:rsidR="00135E0F">
              <w:rPr>
                <w:noProof/>
                <w:webHidden/>
              </w:rPr>
              <w:fldChar w:fldCharType="separate"/>
            </w:r>
            <w:r w:rsidR="00F95F7F">
              <w:rPr>
                <w:noProof/>
                <w:webHidden/>
              </w:rPr>
              <w:t>99</w:t>
            </w:r>
            <w:r w:rsidR="00135E0F">
              <w:rPr>
                <w:noProof/>
                <w:webHidden/>
              </w:rPr>
              <w:fldChar w:fldCharType="end"/>
            </w:r>
          </w:hyperlink>
        </w:p>
        <w:p w14:paraId="7630D163" w14:textId="0F43186A" w:rsidR="00135E0F" w:rsidRDefault="00315883">
          <w:pPr>
            <w:pStyle w:val="TOC2"/>
            <w:tabs>
              <w:tab w:val="right" w:leader="dot" w:pos="9350"/>
            </w:tabs>
            <w:rPr>
              <w:b w:val="0"/>
              <w:bCs w:val="0"/>
              <w:noProof/>
              <w:sz w:val="24"/>
              <w:szCs w:val="24"/>
            </w:rPr>
          </w:pPr>
          <w:hyperlink w:anchor="_Toc21861322" w:history="1">
            <w:r w:rsidR="00135E0F" w:rsidRPr="00870B7B">
              <w:rPr>
                <w:rStyle w:val="Hyperlink"/>
                <w:rFonts w:ascii="Times New Roman" w:hAnsi="Times New Roman" w:cs="Times New Roman"/>
                <w:noProof/>
              </w:rPr>
              <w:t>4.1) Introduction</w:t>
            </w:r>
            <w:r w:rsidR="00135E0F">
              <w:rPr>
                <w:noProof/>
                <w:webHidden/>
              </w:rPr>
              <w:tab/>
            </w:r>
            <w:r w:rsidR="00135E0F">
              <w:rPr>
                <w:noProof/>
                <w:webHidden/>
              </w:rPr>
              <w:fldChar w:fldCharType="begin"/>
            </w:r>
            <w:r w:rsidR="00135E0F">
              <w:rPr>
                <w:noProof/>
                <w:webHidden/>
              </w:rPr>
              <w:instrText xml:space="preserve"> PAGEREF _Toc21861322 \h </w:instrText>
            </w:r>
            <w:r w:rsidR="00135E0F">
              <w:rPr>
                <w:noProof/>
                <w:webHidden/>
              </w:rPr>
            </w:r>
            <w:r w:rsidR="00135E0F">
              <w:rPr>
                <w:noProof/>
                <w:webHidden/>
              </w:rPr>
              <w:fldChar w:fldCharType="separate"/>
            </w:r>
            <w:r w:rsidR="00F95F7F">
              <w:rPr>
                <w:noProof/>
                <w:webHidden/>
              </w:rPr>
              <w:t>100</w:t>
            </w:r>
            <w:r w:rsidR="00135E0F">
              <w:rPr>
                <w:noProof/>
                <w:webHidden/>
              </w:rPr>
              <w:fldChar w:fldCharType="end"/>
            </w:r>
          </w:hyperlink>
        </w:p>
        <w:p w14:paraId="49DDBBD3" w14:textId="223A8A24" w:rsidR="00135E0F" w:rsidRDefault="00315883">
          <w:pPr>
            <w:pStyle w:val="TOC2"/>
            <w:tabs>
              <w:tab w:val="right" w:leader="dot" w:pos="9350"/>
            </w:tabs>
            <w:rPr>
              <w:b w:val="0"/>
              <w:bCs w:val="0"/>
              <w:noProof/>
              <w:sz w:val="24"/>
              <w:szCs w:val="24"/>
            </w:rPr>
          </w:pPr>
          <w:hyperlink w:anchor="_Toc21861323" w:history="1">
            <w:r w:rsidR="00135E0F" w:rsidRPr="00870B7B">
              <w:rPr>
                <w:rStyle w:val="Hyperlink"/>
                <w:rFonts w:ascii="Times New Roman" w:hAnsi="Times New Roman" w:cs="Times New Roman"/>
                <w:noProof/>
              </w:rPr>
              <w:t>4.2) Data and Methods</w:t>
            </w:r>
            <w:r w:rsidR="00135E0F">
              <w:rPr>
                <w:noProof/>
                <w:webHidden/>
              </w:rPr>
              <w:tab/>
            </w:r>
            <w:r w:rsidR="00135E0F">
              <w:rPr>
                <w:noProof/>
                <w:webHidden/>
              </w:rPr>
              <w:fldChar w:fldCharType="begin"/>
            </w:r>
            <w:r w:rsidR="00135E0F">
              <w:rPr>
                <w:noProof/>
                <w:webHidden/>
              </w:rPr>
              <w:instrText xml:space="preserve"> PAGEREF _Toc21861323 \h </w:instrText>
            </w:r>
            <w:r w:rsidR="00135E0F">
              <w:rPr>
                <w:noProof/>
                <w:webHidden/>
              </w:rPr>
            </w:r>
            <w:r w:rsidR="00135E0F">
              <w:rPr>
                <w:noProof/>
                <w:webHidden/>
              </w:rPr>
              <w:fldChar w:fldCharType="separate"/>
            </w:r>
            <w:r w:rsidR="00F95F7F">
              <w:rPr>
                <w:noProof/>
                <w:webHidden/>
              </w:rPr>
              <w:t>103</w:t>
            </w:r>
            <w:r w:rsidR="00135E0F">
              <w:rPr>
                <w:noProof/>
                <w:webHidden/>
              </w:rPr>
              <w:fldChar w:fldCharType="end"/>
            </w:r>
          </w:hyperlink>
        </w:p>
        <w:p w14:paraId="5A7B670A" w14:textId="2E370A18" w:rsidR="00135E0F" w:rsidRDefault="00315883">
          <w:pPr>
            <w:pStyle w:val="TOC3"/>
            <w:tabs>
              <w:tab w:val="right" w:leader="dot" w:pos="9350"/>
            </w:tabs>
            <w:rPr>
              <w:noProof/>
              <w:sz w:val="24"/>
              <w:szCs w:val="24"/>
            </w:rPr>
          </w:pPr>
          <w:hyperlink w:anchor="_Toc21861324" w:history="1">
            <w:r w:rsidR="00135E0F" w:rsidRPr="00870B7B">
              <w:rPr>
                <w:rStyle w:val="Hyperlink"/>
                <w:rFonts w:ascii="Times New Roman" w:hAnsi="Times New Roman" w:cs="Times New Roman"/>
                <w:i/>
                <w:iCs/>
                <w:noProof/>
              </w:rPr>
              <w:t>4.2.1) Study Area</w:t>
            </w:r>
            <w:r w:rsidR="00135E0F">
              <w:rPr>
                <w:noProof/>
                <w:webHidden/>
              </w:rPr>
              <w:tab/>
            </w:r>
            <w:r w:rsidR="00135E0F">
              <w:rPr>
                <w:noProof/>
                <w:webHidden/>
              </w:rPr>
              <w:fldChar w:fldCharType="begin"/>
            </w:r>
            <w:r w:rsidR="00135E0F">
              <w:rPr>
                <w:noProof/>
                <w:webHidden/>
              </w:rPr>
              <w:instrText xml:space="preserve"> PAGEREF _Toc21861324 \h </w:instrText>
            </w:r>
            <w:r w:rsidR="00135E0F">
              <w:rPr>
                <w:noProof/>
                <w:webHidden/>
              </w:rPr>
            </w:r>
            <w:r w:rsidR="00135E0F">
              <w:rPr>
                <w:noProof/>
                <w:webHidden/>
              </w:rPr>
              <w:fldChar w:fldCharType="separate"/>
            </w:r>
            <w:r w:rsidR="00F95F7F">
              <w:rPr>
                <w:noProof/>
                <w:webHidden/>
              </w:rPr>
              <w:t>103</w:t>
            </w:r>
            <w:r w:rsidR="00135E0F">
              <w:rPr>
                <w:noProof/>
                <w:webHidden/>
              </w:rPr>
              <w:fldChar w:fldCharType="end"/>
            </w:r>
          </w:hyperlink>
        </w:p>
        <w:p w14:paraId="4B2CDF39" w14:textId="42C02233" w:rsidR="00135E0F" w:rsidRDefault="00315883">
          <w:pPr>
            <w:pStyle w:val="TOC3"/>
            <w:tabs>
              <w:tab w:val="right" w:leader="dot" w:pos="9350"/>
            </w:tabs>
            <w:rPr>
              <w:noProof/>
              <w:sz w:val="24"/>
              <w:szCs w:val="24"/>
            </w:rPr>
          </w:pPr>
          <w:hyperlink w:anchor="_Toc21861325" w:history="1">
            <w:r w:rsidR="00135E0F" w:rsidRPr="00870B7B">
              <w:rPr>
                <w:rStyle w:val="Hyperlink"/>
                <w:rFonts w:ascii="Times New Roman" w:hAnsi="Times New Roman" w:cs="Times New Roman"/>
                <w:i/>
                <w:iCs/>
                <w:noProof/>
              </w:rPr>
              <w:t>4.2.2) Potential Future Urbanization Patterns in the Oklahoma City Metropolitan Area</w:t>
            </w:r>
            <w:r w:rsidR="00135E0F">
              <w:rPr>
                <w:noProof/>
                <w:webHidden/>
              </w:rPr>
              <w:tab/>
            </w:r>
            <w:r w:rsidR="00135E0F">
              <w:rPr>
                <w:noProof/>
                <w:webHidden/>
              </w:rPr>
              <w:fldChar w:fldCharType="begin"/>
            </w:r>
            <w:r w:rsidR="00135E0F">
              <w:rPr>
                <w:noProof/>
                <w:webHidden/>
              </w:rPr>
              <w:instrText xml:space="preserve"> PAGEREF _Toc21861325 \h </w:instrText>
            </w:r>
            <w:r w:rsidR="00135E0F">
              <w:rPr>
                <w:noProof/>
                <w:webHidden/>
              </w:rPr>
            </w:r>
            <w:r w:rsidR="00135E0F">
              <w:rPr>
                <w:noProof/>
                <w:webHidden/>
              </w:rPr>
              <w:fldChar w:fldCharType="separate"/>
            </w:r>
            <w:r w:rsidR="00F95F7F">
              <w:rPr>
                <w:noProof/>
                <w:webHidden/>
              </w:rPr>
              <w:t>104</w:t>
            </w:r>
            <w:r w:rsidR="00135E0F">
              <w:rPr>
                <w:noProof/>
                <w:webHidden/>
              </w:rPr>
              <w:fldChar w:fldCharType="end"/>
            </w:r>
          </w:hyperlink>
        </w:p>
        <w:p w14:paraId="137C5976" w14:textId="1B18CCA0" w:rsidR="00135E0F" w:rsidRDefault="00315883">
          <w:pPr>
            <w:pStyle w:val="TOC3"/>
            <w:tabs>
              <w:tab w:val="right" w:leader="dot" w:pos="9350"/>
            </w:tabs>
            <w:rPr>
              <w:noProof/>
              <w:sz w:val="24"/>
              <w:szCs w:val="24"/>
            </w:rPr>
          </w:pPr>
          <w:hyperlink w:anchor="_Toc21861326" w:history="1">
            <w:r w:rsidR="00135E0F" w:rsidRPr="00870B7B">
              <w:rPr>
                <w:rStyle w:val="Hyperlink"/>
                <w:rFonts w:ascii="Times New Roman" w:hAnsi="Times New Roman" w:cs="Times New Roman"/>
                <w:i/>
                <w:iCs/>
                <w:noProof/>
              </w:rPr>
              <w:t>4.2.3) North American Regional Climate Change Assessment Program Current and Future Climate Scenarios</w:t>
            </w:r>
            <w:r w:rsidR="00135E0F">
              <w:rPr>
                <w:noProof/>
                <w:webHidden/>
              </w:rPr>
              <w:tab/>
            </w:r>
            <w:r w:rsidR="00135E0F">
              <w:rPr>
                <w:noProof/>
                <w:webHidden/>
              </w:rPr>
              <w:fldChar w:fldCharType="begin"/>
            </w:r>
            <w:r w:rsidR="00135E0F">
              <w:rPr>
                <w:noProof/>
                <w:webHidden/>
              </w:rPr>
              <w:instrText xml:space="preserve"> PAGEREF _Toc21861326 \h </w:instrText>
            </w:r>
            <w:r w:rsidR="00135E0F">
              <w:rPr>
                <w:noProof/>
                <w:webHidden/>
              </w:rPr>
            </w:r>
            <w:r w:rsidR="00135E0F">
              <w:rPr>
                <w:noProof/>
                <w:webHidden/>
              </w:rPr>
              <w:fldChar w:fldCharType="separate"/>
            </w:r>
            <w:r w:rsidR="00F95F7F">
              <w:rPr>
                <w:noProof/>
                <w:webHidden/>
              </w:rPr>
              <w:t>105</w:t>
            </w:r>
            <w:r w:rsidR="00135E0F">
              <w:rPr>
                <w:noProof/>
                <w:webHidden/>
              </w:rPr>
              <w:fldChar w:fldCharType="end"/>
            </w:r>
          </w:hyperlink>
        </w:p>
        <w:p w14:paraId="2480CFD9" w14:textId="35CDE15D" w:rsidR="00135E0F" w:rsidRDefault="00315883">
          <w:pPr>
            <w:pStyle w:val="TOC3"/>
            <w:tabs>
              <w:tab w:val="right" w:leader="dot" w:pos="9350"/>
            </w:tabs>
            <w:rPr>
              <w:noProof/>
              <w:sz w:val="24"/>
              <w:szCs w:val="24"/>
            </w:rPr>
          </w:pPr>
          <w:hyperlink w:anchor="_Toc21861327" w:history="1">
            <w:r w:rsidR="00135E0F" w:rsidRPr="00870B7B">
              <w:rPr>
                <w:rStyle w:val="Hyperlink"/>
                <w:rFonts w:ascii="Times New Roman" w:hAnsi="Times New Roman" w:cs="Times New Roman"/>
                <w:i/>
                <w:iCs/>
                <w:noProof/>
              </w:rPr>
              <w:t>4.2.4) Tornado Daily Impacts Simulator</w:t>
            </w:r>
            <w:r w:rsidR="00135E0F">
              <w:rPr>
                <w:noProof/>
                <w:webHidden/>
              </w:rPr>
              <w:tab/>
            </w:r>
            <w:r w:rsidR="00135E0F">
              <w:rPr>
                <w:noProof/>
                <w:webHidden/>
              </w:rPr>
              <w:fldChar w:fldCharType="begin"/>
            </w:r>
            <w:r w:rsidR="00135E0F">
              <w:rPr>
                <w:noProof/>
                <w:webHidden/>
              </w:rPr>
              <w:instrText xml:space="preserve"> PAGEREF _Toc21861327 \h </w:instrText>
            </w:r>
            <w:r w:rsidR="00135E0F">
              <w:rPr>
                <w:noProof/>
                <w:webHidden/>
              </w:rPr>
            </w:r>
            <w:r w:rsidR="00135E0F">
              <w:rPr>
                <w:noProof/>
                <w:webHidden/>
              </w:rPr>
              <w:fldChar w:fldCharType="separate"/>
            </w:r>
            <w:r w:rsidR="00F95F7F">
              <w:rPr>
                <w:noProof/>
                <w:webHidden/>
              </w:rPr>
              <w:t>106</w:t>
            </w:r>
            <w:r w:rsidR="00135E0F">
              <w:rPr>
                <w:noProof/>
                <w:webHidden/>
              </w:rPr>
              <w:fldChar w:fldCharType="end"/>
            </w:r>
          </w:hyperlink>
        </w:p>
        <w:p w14:paraId="7CB27259" w14:textId="08DD6C4B" w:rsidR="00135E0F" w:rsidRDefault="00315883">
          <w:pPr>
            <w:pStyle w:val="TOC3"/>
            <w:tabs>
              <w:tab w:val="right" w:leader="dot" w:pos="9350"/>
            </w:tabs>
            <w:rPr>
              <w:noProof/>
              <w:sz w:val="24"/>
              <w:szCs w:val="24"/>
            </w:rPr>
          </w:pPr>
          <w:hyperlink w:anchor="_Toc21861328" w:history="1">
            <w:r w:rsidR="00135E0F" w:rsidRPr="00870B7B">
              <w:rPr>
                <w:rStyle w:val="Hyperlink"/>
                <w:rFonts w:ascii="Times New Roman" w:hAnsi="Times New Roman" w:cs="Times New Roman"/>
                <w:i/>
                <w:iCs/>
                <w:noProof/>
              </w:rPr>
              <w:t>4.2.5) Study Design</w:t>
            </w:r>
            <w:r w:rsidR="00135E0F">
              <w:rPr>
                <w:noProof/>
                <w:webHidden/>
              </w:rPr>
              <w:tab/>
            </w:r>
            <w:r w:rsidR="00135E0F">
              <w:rPr>
                <w:noProof/>
                <w:webHidden/>
              </w:rPr>
              <w:fldChar w:fldCharType="begin"/>
            </w:r>
            <w:r w:rsidR="00135E0F">
              <w:rPr>
                <w:noProof/>
                <w:webHidden/>
              </w:rPr>
              <w:instrText xml:space="preserve"> PAGEREF _Toc21861328 \h </w:instrText>
            </w:r>
            <w:r w:rsidR="00135E0F">
              <w:rPr>
                <w:noProof/>
                <w:webHidden/>
              </w:rPr>
            </w:r>
            <w:r w:rsidR="00135E0F">
              <w:rPr>
                <w:noProof/>
                <w:webHidden/>
              </w:rPr>
              <w:fldChar w:fldCharType="separate"/>
            </w:r>
            <w:r w:rsidR="00F95F7F">
              <w:rPr>
                <w:noProof/>
                <w:webHidden/>
              </w:rPr>
              <w:t>107</w:t>
            </w:r>
            <w:r w:rsidR="00135E0F">
              <w:rPr>
                <w:noProof/>
                <w:webHidden/>
              </w:rPr>
              <w:fldChar w:fldCharType="end"/>
            </w:r>
          </w:hyperlink>
        </w:p>
        <w:p w14:paraId="64D9BB36" w14:textId="05130FBC" w:rsidR="00135E0F" w:rsidRDefault="00315883">
          <w:pPr>
            <w:pStyle w:val="TOC2"/>
            <w:tabs>
              <w:tab w:val="right" w:leader="dot" w:pos="9350"/>
            </w:tabs>
            <w:rPr>
              <w:b w:val="0"/>
              <w:bCs w:val="0"/>
              <w:noProof/>
              <w:sz w:val="24"/>
              <w:szCs w:val="24"/>
            </w:rPr>
          </w:pPr>
          <w:hyperlink w:anchor="_Toc21861329" w:history="1">
            <w:r w:rsidR="00135E0F" w:rsidRPr="00870B7B">
              <w:rPr>
                <w:rStyle w:val="Hyperlink"/>
                <w:rFonts w:ascii="Times New Roman" w:hAnsi="Times New Roman" w:cs="Times New Roman"/>
                <w:noProof/>
              </w:rPr>
              <w:t>4.3) Results</w:t>
            </w:r>
            <w:r w:rsidR="00135E0F">
              <w:rPr>
                <w:noProof/>
                <w:webHidden/>
              </w:rPr>
              <w:tab/>
            </w:r>
            <w:r w:rsidR="00135E0F">
              <w:rPr>
                <w:noProof/>
                <w:webHidden/>
              </w:rPr>
              <w:fldChar w:fldCharType="begin"/>
            </w:r>
            <w:r w:rsidR="00135E0F">
              <w:rPr>
                <w:noProof/>
                <w:webHidden/>
              </w:rPr>
              <w:instrText xml:space="preserve"> PAGEREF _Toc21861329 \h </w:instrText>
            </w:r>
            <w:r w:rsidR="00135E0F">
              <w:rPr>
                <w:noProof/>
                <w:webHidden/>
              </w:rPr>
            </w:r>
            <w:r w:rsidR="00135E0F">
              <w:rPr>
                <w:noProof/>
                <w:webHidden/>
              </w:rPr>
              <w:fldChar w:fldCharType="separate"/>
            </w:r>
            <w:r w:rsidR="00F95F7F">
              <w:rPr>
                <w:noProof/>
                <w:webHidden/>
              </w:rPr>
              <w:t>110</w:t>
            </w:r>
            <w:r w:rsidR="00135E0F">
              <w:rPr>
                <w:noProof/>
                <w:webHidden/>
              </w:rPr>
              <w:fldChar w:fldCharType="end"/>
            </w:r>
          </w:hyperlink>
        </w:p>
        <w:p w14:paraId="0FF002A0" w14:textId="47C5B782" w:rsidR="00135E0F" w:rsidRDefault="00315883">
          <w:pPr>
            <w:pStyle w:val="TOC3"/>
            <w:tabs>
              <w:tab w:val="right" w:leader="dot" w:pos="9350"/>
            </w:tabs>
            <w:rPr>
              <w:noProof/>
              <w:sz w:val="24"/>
              <w:szCs w:val="24"/>
            </w:rPr>
          </w:pPr>
          <w:hyperlink w:anchor="_Toc21861330" w:history="1">
            <w:r w:rsidR="00135E0F" w:rsidRPr="00870B7B">
              <w:rPr>
                <w:rStyle w:val="Hyperlink"/>
                <w:rFonts w:ascii="Times New Roman" w:hAnsi="Times New Roman" w:cs="Times New Roman"/>
                <w:i/>
                <w:iCs/>
                <w:noProof/>
              </w:rPr>
              <w:t>4.3.1) Projections of Future Tornado Risk and Urban Development over OKCMA</w:t>
            </w:r>
            <w:r w:rsidR="00135E0F">
              <w:rPr>
                <w:noProof/>
                <w:webHidden/>
              </w:rPr>
              <w:tab/>
            </w:r>
            <w:r w:rsidR="00135E0F">
              <w:rPr>
                <w:noProof/>
                <w:webHidden/>
              </w:rPr>
              <w:fldChar w:fldCharType="begin"/>
            </w:r>
            <w:r w:rsidR="00135E0F">
              <w:rPr>
                <w:noProof/>
                <w:webHidden/>
              </w:rPr>
              <w:instrText xml:space="preserve"> PAGEREF _Toc21861330 \h </w:instrText>
            </w:r>
            <w:r w:rsidR="00135E0F">
              <w:rPr>
                <w:noProof/>
                <w:webHidden/>
              </w:rPr>
            </w:r>
            <w:r w:rsidR="00135E0F">
              <w:rPr>
                <w:noProof/>
                <w:webHidden/>
              </w:rPr>
              <w:fldChar w:fldCharType="separate"/>
            </w:r>
            <w:r w:rsidR="00F95F7F">
              <w:rPr>
                <w:noProof/>
                <w:webHidden/>
              </w:rPr>
              <w:t>110</w:t>
            </w:r>
            <w:r w:rsidR="00135E0F">
              <w:rPr>
                <w:noProof/>
                <w:webHidden/>
              </w:rPr>
              <w:fldChar w:fldCharType="end"/>
            </w:r>
          </w:hyperlink>
        </w:p>
        <w:p w14:paraId="05A17F35" w14:textId="1EEC0088" w:rsidR="00135E0F" w:rsidRDefault="00315883">
          <w:pPr>
            <w:pStyle w:val="TOC3"/>
            <w:tabs>
              <w:tab w:val="right" w:leader="dot" w:pos="9350"/>
            </w:tabs>
            <w:rPr>
              <w:noProof/>
              <w:sz w:val="24"/>
              <w:szCs w:val="24"/>
            </w:rPr>
          </w:pPr>
          <w:hyperlink w:anchor="_Toc21861331" w:history="1">
            <w:r w:rsidR="00135E0F" w:rsidRPr="00870B7B">
              <w:rPr>
                <w:rStyle w:val="Hyperlink"/>
                <w:rFonts w:ascii="Times New Roman" w:hAnsi="Times New Roman" w:cs="Times New Roman"/>
                <w:i/>
                <w:iCs/>
                <w:noProof/>
              </w:rPr>
              <w:t>4.3.2) Baseline Simulation</w:t>
            </w:r>
            <w:r w:rsidR="00135E0F">
              <w:rPr>
                <w:noProof/>
                <w:webHidden/>
              </w:rPr>
              <w:tab/>
            </w:r>
            <w:r w:rsidR="00135E0F">
              <w:rPr>
                <w:noProof/>
                <w:webHidden/>
              </w:rPr>
              <w:fldChar w:fldCharType="begin"/>
            </w:r>
            <w:r w:rsidR="00135E0F">
              <w:rPr>
                <w:noProof/>
                <w:webHidden/>
              </w:rPr>
              <w:instrText xml:space="preserve"> PAGEREF _Toc21861331 \h </w:instrText>
            </w:r>
            <w:r w:rsidR="00135E0F">
              <w:rPr>
                <w:noProof/>
                <w:webHidden/>
              </w:rPr>
            </w:r>
            <w:r w:rsidR="00135E0F">
              <w:rPr>
                <w:noProof/>
                <w:webHidden/>
              </w:rPr>
              <w:fldChar w:fldCharType="separate"/>
            </w:r>
            <w:r w:rsidR="00F95F7F">
              <w:rPr>
                <w:noProof/>
                <w:webHidden/>
              </w:rPr>
              <w:t>111</w:t>
            </w:r>
            <w:r w:rsidR="00135E0F">
              <w:rPr>
                <w:noProof/>
                <w:webHidden/>
              </w:rPr>
              <w:fldChar w:fldCharType="end"/>
            </w:r>
          </w:hyperlink>
        </w:p>
        <w:p w14:paraId="1F99C7E2" w14:textId="6206D8D1" w:rsidR="00135E0F" w:rsidRDefault="00315883">
          <w:pPr>
            <w:pStyle w:val="TOC3"/>
            <w:tabs>
              <w:tab w:val="right" w:leader="dot" w:pos="9350"/>
            </w:tabs>
            <w:rPr>
              <w:noProof/>
              <w:sz w:val="24"/>
              <w:szCs w:val="24"/>
            </w:rPr>
          </w:pPr>
          <w:hyperlink w:anchor="_Toc21861332" w:history="1">
            <w:r w:rsidR="00135E0F" w:rsidRPr="00870B7B">
              <w:rPr>
                <w:rStyle w:val="Hyperlink"/>
                <w:rFonts w:ascii="Times New Roman" w:hAnsi="Times New Roman" w:cs="Times New Roman"/>
                <w:i/>
                <w:iCs/>
                <w:noProof/>
              </w:rPr>
              <w:t>4.3.3) Climate Change Scenario</w:t>
            </w:r>
            <w:r w:rsidR="00135E0F">
              <w:rPr>
                <w:noProof/>
                <w:webHidden/>
              </w:rPr>
              <w:tab/>
            </w:r>
            <w:r w:rsidR="00135E0F">
              <w:rPr>
                <w:noProof/>
                <w:webHidden/>
              </w:rPr>
              <w:fldChar w:fldCharType="begin"/>
            </w:r>
            <w:r w:rsidR="00135E0F">
              <w:rPr>
                <w:noProof/>
                <w:webHidden/>
              </w:rPr>
              <w:instrText xml:space="preserve"> PAGEREF _Toc21861332 \h </w:instrText>
            </w:r>
            <w:r w:rsidR="00135E0F">
              <w:rPr>
                <w:noProof/>
                <w:webHidden/>
              </w:rPr>
            </w:r>
            <w:r w:rsidR="00135E0F">
              <w:rPr>
                <w:noProof/>
                <w:webHidden/>
              </w:rPr>
              <w:fldChar w:fldCharType="separate"/>
            </w:r>
            <w:r w:rsidR="00F95F7F">
              <w:rPr>
                <w:noProof/>
                <w:webHidden/>
              </w:rPr>
              <w:t>112</w:t>
            </w:r>
            <w:r w:rsidR="00135E0F">
              <w:rPr>
                <w:noProof/>
                <w:webHidden/>
              </w:rPr>
              <w:fldChar w:fldCharType="end"/>
            </w:r>
          </w:hyperlink>
        </w:p>
        <w:p w14:paraId="6995E258" w14:textId="3674FC1B" w:rsidR="00135E0F" w:rsidRDefault="00315883">
          <w:pPr>
            <w:pStyle w:val="TOC3"/>
            <w:tabs>
              <w:tab w:val="right" w:leader="dot" w:pos="9350"/>
            </w:tabs>
            <w:rPr>
              <w:noProof/>
              <w:sz w:val="24"/>
              <w:szCs w:val="24"/>
            </w:rPr>
          </w:pPr>
          <w:hyperlink w:anchor="_Toc21861333" w:history="1">
            <w:r w:rsidR="00135E0F" w:rsidRPr="00870B7B">
              <w:rPr>
                <w:rStyle w:val="Hyperlink"/>
                <w:rFonts w:ascii="Times New Roman" w:hAnsi="Times New Roman" w:cs="Times New Roman"/>
                <w:i/>
                <w:iCs/>
                <w:noProof/>
              </w:rPr>
              <w:t>4.3.4) Urban Development Scenario</w:t>
            </w:r>
            <w:r w:rsidR="00135E0F">
              <w:rPr>
                <w:noProof/>
                <w:webHidden/>
              </w:rPr>
              <w:tab/>
            </w:r>
            <w:r w:rsidR="00135E0F">
              <w:rPr>
                <w:noProof/>
                <w:webHidden/>
              </w:rPr>
              <w:fldChar w:fldCharType="begin"/>
            </w:r>
            <w:r w:rsidR="00135E0F">
              <w:rPr>
                <w:noProof/>
                <w:webHidden/>
              </w:rPr>
              <w:instrText xml:space="preserve"> PAGEREF _Toc21861333 \h </w:instrText>
            </w:r>
            <w:r w:rsidR="00135E0F">
              <w:rPr>
                <w:noProof/>
                <w:webHidden/>
              </w:rPr>
            </w:r>
            <w:r w:rsidR="00135E0F">
              <w:rPr>
                <w:noProof/>
                <w:webHidden/>
              </w:rPr>
              <w:fldChar w:fldCharType="separate"/>
            </w:r>
            <w:r w:rsidR="00F95F7F">
              <w:rPr>
                <w:noProof/>
                <w:webHidden/>
              </w:rPr>
              <w:t>112</w:t>
            </w:r>
            <w:r w:rsidR="00135E0F">
              <w:rPr>
                <w:noProof/>
                <w:webHidden/>
              </w:rPr>
              <w:fldChar w:fldCharType="end"/>
            </w:r>
          </w:hyperlink>
        </w:p>
        <w:p w14:paraId="3619417B" w14:textId="176610E2" w:rsidR="00135E0F" w:rsidRDefault="00315883">
          <w:pPr>
            <w:pStyle w:val="TOC3"/>
            <w:tabs>
              <w:tab w:val="right" w:leader="dot" w:pos="9350"/>
            </w:tabs>
            <w:rPr>
              <w:noProof/>
              <w:sz w:val="24"/>
              <w:szCs w:val="24"/>
            </w:rPr>
          </w:pPr>
          <w:hyperlink w:anchor="_Toc21861334" w:history="1">
            <w:r w:rsidR="00135E0F" w:rsidRPr="00870B7B">
              <w:rPr>
                <w:rStyle w:val="Hyperlink"/>
                <w:rFonts w:ascii="Times New Roman" w:hAnsi="Times New Roman" w:cs="Times New Roman"/>
                <w:i/>
                <w:iCs/>
                <w:noProof/>
              </w:rPr>
              <w:t>4.3.5) Climate Change and Urban Development Scenario</w:t>
            </w:r>
            <w:r w:rsidR="00135E0F">
              <w:rPr>
                <w:noProof/>
                <w:webHidden/>
              </w:rPr>
              <w:tab/>
            </w:r>
            <w:r w:rsidR="00135E0F">
              <w:rPr>
                <w:noProof/>
                <w:webHidden/>
              </w:rPr>
              <w:fldChar w:fldCharType="begin"/>
            </w:r>
            <w:r w:rsidR="00135E0F">
              <w:rPr>
                <w:noProof/>
                <w:webHidden/>
              </w:rPr>
              <w:instrText xml:space="preserve"> PAGEREF _Toc21861334 \h </w:instrText>
            </w:r>
            <w:r w:rsidR="00135E0F">
              <w:rPr>
                <w:noProof/>
                <w:webHidden/>
              </w:rPr>
            </w:r>
            <w:r w:rsidR="00135E0F">
              <w:rPr>
                <w:noProof/>
                <w:webHidden/>
              </w:rPr>
              <w:fldChar w:fldCharType="separate"/>
            </w:r>
            <w:r w:rsidR="00F95F7F">
              <w:rPr>
                <w:noProof/>
                <w:webHidden/>
              </w:rPr>
              <w:t>113</w:t>
            </w:r>
            <w:r w:rsidR="00135E0F">
              <w:rPr>
                <w:noProof/>
                <w:webHidden/>
              </w:rPr>
              <w:fldChar w:fldCharType="end"/>
            </w:r>
          </w:hyperlink>
        </w:p>
        <w:p w14:paraId="01F1DAAA" w14:textId="0F2149F2" w:rsidR="00135E0F" w:rsidRDefault="00315883">
          <w:pPr>
            <w:pStyle w:val="TOC3"/>
            <w:tabs>
              <w:tab w:val="right" w:leader="dot" w:pos="9350"/>
            </w:tabs>
            <w:rPr>
              <w:noProof/>
              <w:sz w:val="24"/>
              <w:szCs w:val="24"/>
            </w:rPr>
          </w:pPr>
          <w:hyperlink w:anchor="_Toc21861335" w:history="1">
            <w:r w:rsidR="00135E0F" w:rsidRPr="00870B7B">
              <w:rPr>
                <w:rStyle w:val="Hyperlink"/>
                <w:rFonts w:ascii="Times New Roman" w:hAnsi="Times New Roman" w:cs="Times New Roman"/>
                <w:i/>
                <w:iCs/>
                <w:noProof/>
              </w:rPr>
              <w:t>4.3.6) Exposure of Urban Versus Rural Population</w:t>
            </w:r>
            <w:r w:rsidR="00135E0F">
              <w:rPr>
                <w:noProof/>
                <w:webHidden/>
              </w:rPr>
              <w:tab/>
            </w:r>
            <w:r w:rsidR="00135E0F">
              <w:rPr>
                <w:noProof/>
                <w:webHidden/>
              </w:rPr>
              <w:fldChar w:fldCharType="begin"/>
            </w:r>
            <w:r w:rsidR="00135E0F">
              <w:rPr>
                <w:noProof/>
                <w:webHidden/>
              </w:rPr>
              <w:instrText xml:space="preserve"> PAGEREF _Toc21861335 \h </w:instrText>
            </w:r>
            <w:r w:rsidR="00135E0F">
              <w:rPr>
                <w:noProof/>
                <w:webHidden/>
              </w:rPr>
            </w:r>
            <w:r w:rsidR="00135E0F">
              <w:rPr>
                <w:noProof/>
                <w:webHidden/>
              </w:rPr>
              <w:fldChar w:fldCharType="separate"/>
            </w:r>
            <w:r w:rsidR="00F95F7F">
              <w:rPr>
                <w:noProof/>
                <w:webHidden/>
              </w:rPr>
              <w:t>114</w:t>
            </w:r>
            <w:r w:rsidR="00135E0F">
              <w:rPr>
                <w:noProof/>
                <w:webHidden/>
              </w:rPr>
              <w:fldChar w:fldCharType="end"/>
            </w:r>
          </w:hyperlink>
        </w:p>
        <w:p w14:paraId="365E4A1B" w14:textId="2F31907D" w:rsidR="00135E0F" w:rsidRDefault="00315883">
          <w:pPr>
            <w:pStyle w:val="TOC2"/>
            <w:tabs>
              <w:tab w:val="right" w:leader="dot" w:pos="9350"/>
            </w:tabs>
            <w:rPr>
              <w:b w:val="0"/>
              <w:bCs w:val="0"/>
              <w:noProof/>
              <w:sz w:val="24"/>
              <w:szCs w:val="24"/>
            </w:rPr>
          </w:pPr>
          <w:hyperlink w:anchor="_Toc21861336" w:history="1">
            <w:r w:rsidR="00135E0F" w:rsidRPr="00870B7B">
              <w:rPr>
                <w:rStyle w:val="Hyperlink"/>
                <w:rFonts w:ascii="Times New Roman" w:hAnsi="Times New Roman" w:cs="Times New Roman"/>
                <w:noProof/>
              </w:rPr>
              <w:t>4.4) Discussion</w:t>
            </w:r>
            <w:r w:rsidR="00135E0F">
              <w:rPr>
                <w:noProof/>
                <w:webHidden/>
              </w:rPr>
              <w:tab/>
            </w:r>
            <w:r w:rsidR="00135E0F">
              <w:rPr>
                <w:noProof/>
                <w:webHidden/>
              </w:rPr>
              <w:fldChar w:fldCharType="begin"/>
            </w:r>
            <w:r w:rsidR="00135E0F">
              <w:rPr>
                <w:noProof/>
                <w:webHidden/>
              </w:rPr>
              <w:instrText xml:space="preserve"> PAGEREF _Toc21861336 \h </w:instrText>
            </w:r>
            <w:r w:rsidR="00135E0F">
              <w:rPr>
                <w:noProof/>
                <w:webHidden/>
              </w:rPr>
            </w:r>
            <w:r w:rsidR="00135E0F">
              <w:rPr>
                <w:noProof/>
                <w:webHidden/>
              </w:rPr>
              <w:fldChar w:fldCharType="separate"/>
            </w:r>
            <w:r w:rsidR="00F95F7F">
              <w:rPr>
                <w:noProof/>
                <w:webHidden/>
              </w:rPr>
              <w:t>115</w:t>
            </w:r>
            <w:r w:rsidR="00135E0F">
              <w:rPr>
                <w:noProof/>
                <w:webHidden/>
              </w:rPr>
              <w:fldChar w:fldCharType="end"/>
            </w:r>
          </w:hyperlink>
        </w:p>
        <w:p w14:paraId="5A4DB6F1" w14:textId="38105AA4" w:rsidR="00135E0F" w:rsidRDefault="00315883">
          <w:pPr>
            <w:pStyle w:val="TOC2"/>
            <w:tabs>
              <w:tab w:val="right" w:leader="dot" w:pos="9350"/>
            </w:tabs>
            <w:rPr>
              <w:b w:val="0"/>
              <w:bCs w:val="0"/>
              <w:noProof/>
              <w:sz w:val="24"/>
              <w:szCs w:val="24"/>
            </w:rPr>
          </w:pPr>
          <w:hyperlink w:anchor="_Toc21861337" w:history="1">
            <w:r w:rsidR="00135E0F" w:rsidRPr="00870B7B">
              <w:rPr>
                <w:rStyle w:val="Hyperlink"/>
                <w:rFonts w:ascii="Times New Roman" w:hAnsi="Times New Roman" w:cs="Times New Roman"/>
                <w:noProof/>
              </w:rPr>
              <w:t>4.5) Conclusion</w:t>
            </w:r>
            <w:r w:rsidR="00135E0F">
              <w:rPr>
                <w:noProof/>
                <w:webHidden/>
              </w:rPr>
              <w:tab/>
            </w:r>
            <w:r w:rsidR="00135E0F">
              <w:rPr>
                <w:noProof/>
                <w:webHidden/>
              </w:rPr>
              <w:fldChar w:fldCharType="begin"/>
            </w:r>
            <w:r w:rsidR="00135E0F">
              <w:rPr>
                <w:noProof/>
                <w:webHidden/>
              </w:rPr>
              <w:instrText xml:space="preserve"> PAGEREF _Toc21861337 \h </w:instrText>
            </w:r>
            <w:r w:rsidR="00135E0F">
              <w:rPr>
                <w:noProof/>
                <w:webHidden/>
              </w:rPr>
            </w:r>
            <w:r w:rsidR="00135E0F">
              <w:rPr>
                <w:noProof/>
                <w:webHidden/>
              </w:rPr>
              <w:fldChar w:fldCharType="separate"/>
            </w:r>
            <w:r w:rsidR="00F95F7F">
              <w:rPr>
                <w:noProof/>
                <w:webHidden/>
              </w:rPr>
              <w:t>119</w:t>
            </w:r>
            <w:r w:rsidR="00135E0F">
              <w:rPr>
                <w:noProof/>
                <w:webHidden/>
              </w:rPr>
              <w:fldChar w:fldCharType="end"/>
            </w:r>
          </w:hyperlink>
        </w:p>
        <w:p w14:paraId="727010D1" w14:textId="4420728D" w:rsidR="00135E0F" w:rsidRDefault="00315883">
          <w:pPr>
            <w:pStyle w:val="TOC1"/>
            <w:tabs>
              <w:tab w:val="right" w:leader="dot" w:pos="9350"/>
            </w:tabs>
            <w:rPr>
              <w:b w:val="0"/>
              <w:bCs w:val="0"/>
              <w:i w:val="0"/>
              <w:iCs w:val="0"/>
              <w:noProof/>
            </w:rPr>
          </w:pPr>
          <w:hyperlink w:anchor="_Toc21861338" w:history="1">
            <w:r w:rsidR="00135E0F" w:rsidRPr="00870B7B">
              <w:rPr>
                <w:rStyle w:val="Hyperlink"/>
                <w:rFonts w:ascii="Times New Roman" w:hAnsi="Times New Roman" w:cs="Times New Roman"/>
                <w:noProof/>
              </w:rPr>
              <w:t>Chapter 5 Conclusions and Future Work</w:t>
            </w:r>
            <w:r w:rsidR="00135E0F">
              <w:rPr>
                <w:noProof/>
                <w:webHidden/>
              </w:rPr>
              <w:tab/>
            </w:r>
            <w:r w:rsidR="00135E0F">
              <w:rPr>
                <w:noProof/>
                <w:webHidden/>
              </w:rPr>
              <w:fldChar w:fldCharType="begin"/>
            </w:r>
            <w:r w:rsidR="00135E0F">
              <w:rPr>
                <w:noProof/>
                <w:webHidden/>
              </w:rPr>
              <w:instrText xml:space="preserve"> PAGEREF _Toc21861338 \h </w:instrText>
            </w:r>
            <w:r w:rsidR="00135E0F">
              <w:rPr>
                <w:noProof/>
                <w:webHidden/>
              </w:rPr>
            </w:r>
            <w:r w:rsidR="00135E0F">
              <w:rPr>
                <w:noProof/>
                <w:webHidden/>
              </w:rPr>
              <w:fldChar w:fldCharType="separate"/>
            </w:r>
            <w:r w:rsidR="00F95F7F">
              <w:rPr>
                <w:noProof/>
                <w:webHidden/>
              </w:rPr>
              <w:t>131</w:t>
            </w:r>
            <w:r w:rsidR="00135E0F">
              <w:rPr>
                <w:noProof/>
                <w:webHidden/>
              </w:rPr>
              <w:fldChar w:fldCharType="end"/>
            </w:r>
          </w:hyperlink>
        </w:p>
        <w:p w14:paraId="504216E3" w14:textId="007B11EE" w:rsidR="00135E0F" w:rsidRDefault="00315883">
          <w:pPr>
            <w:pStyle w:val="TOC1"/>
            <w:tabs>
              <w:tab w:val="right" w:leader="dot" w:pos="9350"/>
            </w:tabs>
            <w:rPr>
              <w:b w:val="0"/>
              <w:bCs w:val="0"/>
              <w:i w:val="0"/>
              <w:iCs w:val="0"/>
              <w:noProof/>
            </w:rPr>
          </w:pPr>
          <w:hyperlink w:anchor="_Toc21861339" w:history="1">
            <w:r w:rsidR="00135E0F" w:rsidRPr="00870B7B">
              <w:rPr>
                <w:rStyle w:val="Hyperlink"/>
                <w:rFonts w:ascii="Times New Roman" w:eastAsia="Times New Roman" w:hAnsi="Times New Roman" w:cs="Times New Roman"/>
                <w:noProof/>
              </w:rPr>
              <w:t>References</w:t>
            </w:r>
            <w:r w:rsidR="00135E0F">
              <w:rPr>
                <w:noProof/>
                <w:webHidden/>
              </w:rPr>
              <w:tab/>
            </w:r>
            <w:r w:rsidR="00135E0F">
              <w:rPr>
                <w:noProof/>
                <w:webHidden/>
              </w:rPr>
              <w:fldChar w:fldCharType="begin"/>
            </w:r>
            <w:r w:rsidR="00135E0F">
              <w:rPr>
                <w:noProof/>
                <w:webHidden/>
              </w:rPr>
              <w:instrText xml:space="preserve"> PAGEREF _Toc21861339 \h </w:instrText>
            </w:r>
            <w:r w:rsidR="00135E0F">
              <w:rPr>
                <w:noProof/>
                <w:webHidden/>
              </w:rPr>
            </w:r>
            <w:r w:rsidR="00135E0F">
              <w:rPr>
                <w:noProof/>
                <w:webHidden/>
              </w:rPr>
              <w:fldChar w:fldCharType="separate"/>
            </w:r>
            <w:r w:rsidR="00F95F7F">
              <w:rPr>
                <w:noProof/>
                <w:webHidden/>
              </w:rPr>
              <w:t>142</w:t>
            </w:r>
            <w:r w:rsidR="00135E0F">
              <w:rPr>
                <w:noProof/>
                <w:webHidden/>
              </w:rPr>
              <w:fldChar w:fldCharType="end"/>
            </w:r>
          </w:hyperlink>
        </w:p>
        <w:p w14:paraId="1274F123" w14:textId="13C3D61D" w:rsidR="00135E0F" w:rsidRDefault="00315883">
          <w:pPr>
            <w:pStyle w:val="TOC1"/>
            <w:tabs>
              <w:tab w:val="right" w:leader="dot" w:pos="9350"/>
            </w:tabs>
            <w:rPr>
              <w:b w:val="0"/>
              <w:bCs w:val="0"/>
              <w:i w:val="0"/>
              <w:iCs w:val="0"/>
              <w:noProof/>
            </w:rPr>
          </w:pPr>
          <w:hyperlink w:anchor="_Toc21861340" w:history="1">
            <w:r w:rsidR="00135E0F" w:rsidRPr="00870B7B">
              <w:rPr>
                <w:rStyle w:val="Hyperlink"/>
                <w:rFonts w:ascii="Times New Roman" w:hAnsi="Times New Roman" w:cs="Times New Roman"/>
                <w:noProof/>
              </w:rPr>
              <w:t>Appendix A - Supplementary Material for Tordis Model Validation</w:t>
            </w:r>
            <w:r w:rsidR="00135E0F">
              <w:rPr>
                <w:noProof/>
                <w:webHidden/>
              </w:rPr>
              <w:tab/>
            </w:r>
            <w:r w:rsidR="00135E0F">
              <w:rPr>
                <w:noProof/>
                <w:webHidden/>
              </w:rPr>
              <w:fldChar w:fldCharType="begin"/>
            </w:r>
            <w:r w:rsidR="00135E0F">
              <w:rPr>
                <w:noProof/>
                <w:webHidden/>
              </w:rPr>
              <w:instrText xml:space="preserve"> PAGEREF _Toc21861340 \h </w:instrText>
            </w:r>
            <w:r w:rsidR="00135E0F">
              <w:rPr>
                <w:noProof/>
                <w:webHidden/>
              </w:rPr>
            </w:r>
            <w:r w:rsidR="00135E0F">
              <w:rPr>
                <w:noProof/>
                <w:webHidden/>
              </w:rPr>
              <w:fldChar w:fldCharType="separate"/>
            </w:r>
            <w:r w:rsidR="00F95F7F">
              <w:rPr>
                <w:noProof/>
                <w:webHidden/>
              </w:rPr>
              <w:t>157</w:t>
            </w:r>
            <w:r w:rsidR="00135E0F">
              <w:rPr>
                <w:noProof/>
                <w:webHidden/>
              </w:rPr>
              <w:fldChar w:fldCharType="end"/>
            </w:r>
          </w:hyperlink>
        </w:p>
        <w:p w14:paraId="2B538A0F" w14:textId="3F6C6CCC" w:rsidR="00135E0F" w:rsidRDefault="00315883">
          <w:pPr>
            <w:pStyle w:val="TOC2"/>
            <w:tabs>
              <w:tab w:val="right" w:leader="dot" w:pos="9350"/>
            </w:tabs>
            <w:rPr>
              <w:b w:val="0"/>
              <w:bCs w:val="0"/>
              <w:noProof/>
              <w:sz w:val="24"/>
              <w:szCs w:val="24"/>
            </w:rPr>
          </w:pPr>
          <w:hyperlink w:anchor="_Toc21861341" w:history="1">
            <w:r w:rsidR="00135E0F" w:rsidRPr="00870B7B">
              <w:rPr>
                <w:rStyle w:val="Hyperlink"/>
                <w:rFonts w:ascii="Times New Roman" w:hAnsi="Times New Roman" w:cs="Times New Roman"/>
                <w:noProof/>
              </w:rPr>
              <w:t>A.1) Tornado Forecast Model Selection and Validation</w:t>
            </w:r>
            <w:r w:rsidR="00135E0F">
              <w:rPr>
                <w:noProof/>
                <w:webHidden/>
              </w:rPr>
              <w:tab/>
            </w:r>
            <w:r w:rsidR="00135E0F">
              <w:rPr>
                <w:noProof/>
                <w:webHidden/>
              </w:rPr>
              <w:fldChar w:fldCharType="begin"/>
            </w:r>
            <w:r w:rsidR="00135E0F">
              <w:rPr>
                <w:noProof/>
                <w:webHidden/>
              </w:rPr>
              <w:instrText xml:space="preserve"> PAGEREF _Toc21861341 \h </w:instrText>
            </w:r>
            <w:r w:rsidR="00135E0F">
              <w:rPr>
                <w:noProof/>
                <w:webHidden/>
              </w:rPr>
            </w:r>
            <w:r w:rsidR="00135E0F">
              <w:rPr>
                <w:noProof/>
                <w:webHidden/>
              </w:rPr>
              <w:fldChar w:fldCharType="separate"/>
            </w:r>
            <w:r w:rsidR="00F95F7F">
              <w:rPr>
                <w:noProof/>
                <w:webHidden/>
              </w:rPr>
              <w:t>157</w:t>
            </w:r>
            <w:r w:rsidR="00135E0F">
              <w:rPr>
                <w:noProof/>
                <w:webHidden/>
              </w:rPr>
              <w:fldChar w:fldCharType="end"/>
            </w:r>
          </w:hyperlink>
        </w:p>
        <w:p w14:paraId="3EE419B9" w14:textId="55969F64" w:rsidR="00135E0F" w:rsidRDefault="00315883">
          <w:pPr>
            <w:pStyle w:val="TOC2"/>
            <w:tabs>
              <w:tab w:val="right" w:leader="dot" w:pos="9350"/>
            </w:tabs>
            <w:rPr>
              <w:b w:val="0"/>
              <w:bCs w:val="0"/>
              <w:noProof/>
              <w:sz w:val="24"/>
              <w:szCs w:val="24"/>
            </w:rPr>
          </w:pPr>
          <w:hyperlink w:anchor="_Toc21861342" w:history="1">
            <w:r w:rsidR="00135E0F" w:rsidRPr="00870B7B">
              <w:rPr>
                <w:rStyle w:val="Hyperlink"/>
                <w:rFonts w:ascii="Times New Roman" w:hAnsi="Times New Roman" w:cs="Times New Roman"/>
                <w:noProof/>
              </w:rPr>
              <w:t>A.2) Predicting Tornado Direction</w:t>
            </w:r>
            <w:r w:rsidR="00135E0F">
              <w:rPr>
                <w:noProof/>
                <w:webHidden/>
              </w:rPr>
              <w:tab/>
            </w:r>
            <w:r w:rsidR="00135E0F">
              <w:rPr>
                <w:noProof/>
                <w:webHidden/>
              </w:rPr>
              <w:fldChar w:fldCharType="begin"/>
            </w:r>
            <w:r w:rsidR="00135E0F">
              <w:rPr>
                <w:noProof/>
                <w:webHidden/>
              </w:rPr>
              <w:instrText xml:space="preserve"> PAGEREF _Toc21861342 \h </w:instrText>
            </w:r>
            <w:r w:rsidR="00135E0F">
              <w:rPr>
                <w:noProof/>
                <w:webHidden/>
              </w:rPr>
            </w:r>
            <w:r w:rsidR="00135E0F">
              <w:rPr>
                <w:noProof/>
                <w:webHidden/>
              </w:rPr>
              <w:fldChar w:fldCharType="separate"/>
            </w:r>
            <w:r w:rsidR="00F95F7F">
              <w:rPr>
                <w:noProof/>
                <w:webHidden/>
              </w:rPr>
              <w:t>159</w:t>
            </w:r>
            <w:r w:rsidR="00135E0F">
              <w:rPr>
                <w:noProof/>
                <w:webHidden/>
              </w:rPr>
              <w:fldChar w:fldCharType="end"/>
            </w:r>
          </w:hyperlink>
        </w:p>
        <w:p w14:paraId="559B2406" w14:textId="6ACF32E2" w:rsidR="00C645E5" w:rsidRPr="00F23623" w:rsidRDefault="00C645E5" w:rsidP="00F23623">
          <w:pPr>
            <w:keepLines/>
            <w:spacing w:after="120"/>
          </w:pPr>
          <w:r w:rsidRPr="00F23623">
            <w:rPr>
              <w:b/>
              <w:bCs/>
              <w:noProof/>
            </w:rPr>
            <w:fldChar w:fldCharType="end"/>
          </w:r>
        </w:p>
      </w:sdtContent>
    </w:sdt>
    <w:p w14:paraId="4C79746C" w14:textId="6A742B7F" w:rsidR="00135E0F" w:rsidRDefault="00135E0F" w:rsidP="00135E0F">
      <w:pPr>
        <w:pStyle w:val="Heading1"/>
        <w:numPr>
          <w:ilvl w:val="0"/>
          <w:numId w:val="0"/>
        </w:numPr>
        <w:rPr>
          <w:rFonts w:ascii="Times New Roman" w:hAnsi="Times New Roman" w:cs="Times New Roman"/>
          <w:b/>
          <w:bCs/>
          <w:noProof/>
          <w:color w:val="auto"/>
        </w:rPr>
      </w:pPr>
      <w:bookmarkStart w:id="3" w:name="_Toc21861276"/>
    </w:p>
    <w:p w14:paraId="05B5A64B" w14:textId="24B94817" w:rsidR="00135E0F" w:rsidRDefault="00135E0F" w:rsidP="00135E0F"/>
    <w:p w14:paraId="730F60B6" w14:textId="2FFE1576" w:rsidR="00135E0F" w:rsidRDefault="00135E0F" w:rsidP="00135E0F"/>
    <w:p w14:paraId="418A26B6" w14:textId="6BFBDB99" w:rsidR="00135E0F" w:rsidRDefault="00135E0F" w:rsidP="00135E0F"/>
    <w:p w14:paraId="3824615D" w14:textId="66B7EC19" w:rsidR="00135E0F" w:rsidRDefault="00135E0F" w:rsidP="00135E0F"/>
    <w:p w14:paraId="38E96794" w14:textId="6D377334" w:rsidR="00135E0F" w:rsidRDefault="00135E0F" w:rsidP="00135E0F"/>
    <w:p w14:paraId="034B74F3" w14:textId="77777777" w:rsidR="00135E0F" w:rsidRPr="00135E0F" w:rsidRDefault="00135E0F" w:rsidP="00135E0F"/>
    <w:p w14:paraId="675C9392" w14:textId="659633A2" w:rsidR="00135E0F" w:rsidRPr="00135E0F" w:rsidRDefault="009554C7" w:rsidP="00E4455C">
      <w:pPr>
        <w:pStyle w:val="Heading1"/>
        <w:numPr>
          <w:ilvl w:val="0"/>
          <w:numId w:val="0"/>
        </w:numPr>
        <w:spacing w:before="0" w:after="240" w:line="276" w:lineRule="auto"/>
        <w:rPr>
          <w:rFonts w:ascii="Times New Roman" w:hAnsi="Times New Roman" w:cs="Times New Roman"/>
          <w:b/>
          <w:bCs/>
          <w:noProof/>
          <w:color w:val="auto"/>
        </w:rPr>
      </w:pPr>
      <w:r w:rsidRPr="004F469F">
        <w:rPr>
          <w:rFonts w:ascii="Times New Roman" w:hAnsi="Times New Roman" w:cs="Times New Roman"/>
          <w:b/>
          <w:bCs/>
          <w:noProof/>
          <w:color w:val="auto"/>
        </w:rPr>
        <w:lastRenderedPageBreak/>
        <w:t>L</w:t>
      </w:r>
      <w:r w:rsidR="00B83DA4" w:rsidRPr="004F469F">
        <w:rPr>
          <w:rFonts w:ascii="Times New Roman" w:hAnsi="Times New Roman" w:cs="Times New Roman"/>
          <w:b/>
          <w:bCs/>
          <w:noProof/>
          <w:color w:val="auto"/>
        </w:rPr>
        <w:t>ist of Tables</w:t>
      </w:r>
      <w:bookmarkEnd w:id="3"/>
    </w:p>
    <w:p w14:paraId="524EFB0E" w14:textId="5F0D46DF" w:rsidR="00453357" w:rsidRPr="00453357" w:rsidRDefault="00453357"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r w:rsidRPr="00453357">
        <w:rPr>
          <w:rFonts w:ascii="Times New Roman" w:hAnsi="Times New Roman" w:cs="Times New Roman"/>
          <w:i w:val="0"/>
          <w:iCs w:val="0"/>
          <w:noProof/>
          <w:sz w:val="24"/>
          <w:szCs w:val="24"/>
        </w:rPr>
        <w:fldChar w:fldCharType="begin"/>
      </w:r>
      <w:r w:rsidRPr="00453357">
        <w:rPr>
          <w:rFonts w:ascii="Times New Roman" w:hAnsi="Times New Roman" w:cs="Times New Roman"/>
          <w:i w:val="0"/>
          <w:iCs w:val="0"/>
          <w:noProof/>
          <w:sz w:val="24"/>
          <w:szCs w:val="24"/>
        </w:rPr>
        <w:instrText xml:space="preserve"> TOC \h \z \c "Table" </w:instrText>
      </w:r>
      <w:r w:rsidRPr="00453357">
        <w:rPr>
          <w:rFonts w:ascii="Times New Roman" w:hAnsi="Times New Roman" w:cs="Times New Roman"/>
          <w:i w:val="0"/>
          <w:iCs w:val="0"/>
          <w:noProof/>
          <w:sz w:val="24"/>
          <w:szCs w:val="24"/>
        </w:rPr>
        <w:fldChar w:fldCharType="separate"/>
      </w:r>
      <w:hyperlink w:anchor="_Toc22034989" w:history="1">
        <w:r w:rsidRPr="00453357">
          <w:rPr>
            <w:rStyle w:val="Hyperlink"/>
            <w:rFonts w:ascii="Times New Roman" w:hAnsi="Times New Roman" w:cs="Times New Roman"/>
            <w:i w:val="0"/>
            <w:iCs w:val="0"/>
            <w:noProof/>
            <w:sz w:val="24"/>
            <w:szCs w:val="24"/>
          </w:rPr>
          <w:t xml:space="preserve">Table 2.1. </w:t>
        </w:r>
        <w:r w:rsidRPr="00453357">
          <w:rPr>
            <w:rStyle w:val="Hyperlink"/>
            <w:rFonts w:ascii="Times New Roman" w:eastAsiaTheme="minorHAnsi" w:hAnsi="Times New Roman" w:cs="Times New Roman"/>
            <w:i w:val="0"/>
            <w:iCs w:val="0"/>
            <w:noProof/>
            <w:sz w:val="24"/>
            <w:szCs w:val="24"/>
          </w:rPr>
          <w:t>Comparison of exposure, potential exposure, and type between synthetic and observed tornado footprints for select violent tornadoes between 1995 and 2016. Variables include the date (DATE) and location (LOCATION) of the tornado, its exposure (OBS), and maximum potential exposure within the specified radius (PPEMAX) and whether the tornado is a near-miss, far-miss, or hit (TYPE).</w:t>
        </w:r>
        <w:r w:rsidRPr="00453357">
          <w:rPr>
            <w:rFonts w:ascii="Times New Roman" w:hAnsi="Times New Roman" w:cs="Times New Roman"/>
            <w:i w:val="0"/>
            <w:iCs w:val="0"/>
            <w:noProof/>
            <w:webHidden/>
            <w:sz w:val="24"/>
            <w:szCs w:val="24"/>
          </w:rPr>
          <w:tab/>
        </w:r>
        <w:r w:rsidRPr="00453357">
          <w:rPr>
            <w:rFonts w:ascii="Times New Roman" w:hAnsi="Times New Roman" w:cs="Times New Roman"/>
            <w:i w:val="0"/>
            <w:iCs w:val="0"/>
            <w:noProof/>
            <w:webHidden/>
            <w:sz w:val="24"/>
            <w:szCs w:val="24"/>
          </w:rPr>
          <w:fldChar w:fldCharType="begin"/>
        </w:r>
        <w:r w:rsidRPr="00453357">
          <w:rPr>
            <w:rFonts w:ascii="Times New Roman" w:hAnsi="Times New Roman" w:cs="Times New Roman"/>
            <w:i w:val="0"/>
            <w:iCs w:val="0"/>
            <w:noProof/>
            <w:webHidden/>
            <w:sz w:val="24"/>
            <w:szCs w:val="24"/>
          </w:rPr>
          <w:instrText xml:space="preserve"> PAGEREF _Toc22034989 \h </w:instrText>
        </w:r>
        <w:r w:rsidRPr="00453357">
          <w:rPr>
            <w:rFonts w:ascii="Times New Roman" w:hAnsi="Times New Roman" w:cs="Times New Roman"/>
            <w:i w:val="0"/>
            <w:iCs w:val="0"/>
            <w:noProof/>
            <w:webHidden/>
            <w:sz w:val="24"/>
            <w:szCs w:val="24"/>
          </w:rPr>
        </w:r>
        <w:r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47</w:t>
        </w:r>
        <w:r w:rsidRPr="00453357">
          <w:rPr>
            <w:rFonts w:ascii="Times New Roman" w:hAnsi="Times New Roman" w:cs="Times New Roman"/>
            <w:i w:val="0"/>
            <w:iCs w:val="0"/>
            <w:noProof/>
            <w:webHidden/>
            <w:sz w:val="24"/>
            <w:szCs w:val="24"/>
          </w:rPr>
          <w:fldChar w:fldCharType="end"/>
        </w:r>
      </w:hyperlink>
    </w:p>
    <w:p w14:paraId="3B022E37" w14:textId="03D1A87B"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0" w:history="1">
        <w:r w:rsidR="00453357" w:rsidRPr="00453357">
          <w:rPr>
            <w:rStyle w:val="Hyperlink"/>
            <w:rFonts w:ascii="Times New Roman" w:hAnsi="Times New Roman" w:cs="Times New Roman"/>
            <w:i w:val="0"/>
            <w:iCs w:val="0"/>
            <w:noProof/>
            <w:sz w:val="24"/>
            <w:szCs w:val="24"/>
          </w:rPr>
          <w:t xml:space="preserve">Table 2.2. </w:t>
        </w:r>
        <w:r w:rsidR="00453357" w:rsidRPr="00453357">
          <w:rPr>
            <w:rStyle w:val="Hyperlink"/>
            <w:rFonts w:ascii="Times New Roman" w:eastAsiaTheme="minorHAnsi" w:hAnsi="Times New Roman" w:cs="Times New Roman"/>
            <w:i w:val="0"/>
            <w:iCs w:val="0"/>
            <w:noProof/>
            <w:sz w:val="24"/>
            <w:szCs w:val="24"/>
          </w:rPr>
          <w:t>Population distributions and violent tornado recurrence intervals for each region in the study area. For the potential impact zones the data was interpolated to a grid with a resolution equivalent to the mean census block size in each impact zone while for the other tables the data is in the original census blocks for each decennial census (1990 - 2010). Variables include: region name (REGION), area of impact zone or total land area for census blocks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AREA), percent of blocks or grid cells with a population density exceeding 386 persons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xml:space="preserve"> (PCTURB; one definition of an urban area; Ratcliffe </w:t>
        </w:r>
        <w:r w:rsidR="00453357" w:rsidRPr="00453357">
          <w:rPr>
            <w:rStyle w:val="Hyperlink"/>
            <w:rFonts w:ascii="Times New Roman" w:eastAsiaTheme="minorHAnsi" w:hAnsi="Times New Roman" w:cs="Times New Roman"/>
            <w:noProof/>
            <w:sz w:val="24"/>
            <w:szCs w:val="24"/>
          </w:rPr>
          <w:t>et al.</w:t>
        </w:r>
        <w:r w:rsidR="00453357" w:rsidRPr="00453357">
          <w:rPr>
            <w:rStyle w:val="Hyperlink"/>
            <w:rFonts w:ascii="Times New Roman" w:eastAsiaTheme="minorHAnsi" w:hAnsi="Times New Roman" w:cs="Times New Roman"/>
            <w:i w:val="0"/>
            <w:iCs w:val="0"/>
            <w:noProof/>
            <w:sz w:val="24"/>
            <w:szCs w:val="24"/>
          </w:rPr>
          <w:t>, 2016), percent of blocks or grid cells which are populated (PCTPOP), mean grid cell or census block population density (persons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POPDEN), and number of violent tornadoes (NTOR) and recurrence interval for the period 1995 to 2016 (months; RECUR).</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_Toc22034990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48</w:t>
        </w:r>
        <w:r w:rsidR="00453357" w:rsidRPr="00453357">
          <w:rPr>
            <w:rFonts w:ascii="Times New Roman" w:hAnsi="Times New Roman" w:cs="Times New Roman"/>
            <w:i w:val="0"/>
            <w:iCs w:val="0"/>
            <w:noProof/>
            <w:webHidden/>
            <w:sz w:val="24"/>
            <w:szCs w:val="24"/>
          </w:rPr>
          <w:fldChar w:fldCharType="end"/>
        </w:r>
      </w:hyperlink>
    </w:p>
    <w:p w14:paraId="5DB3BD8F" w14:textId="339AA982"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1" w:history="1">
        <w:r w:rsidR="00453357" w:rsidRPr="00453357">
          <w:rPr>
            <w:rStyle w:val="Hyperlink"/>
            <w:rFonts w:ascii="Times New Roman" w:hAnsi="Times New Roman" w:cs="Times New Roman"/>
            <w:i w:val="0"/>
            <w:iCs w:val="0"/>
            <w:noProof/>
            <w:sz w:val="24"/>
            <w:szCs w:val="24"/>
          </w:rPr>
          <w:t xml:space="preserve">Table 2.3. </w:t>
        </w:r>
        <w:r w:rsidR="00453357" w:rsidRPr="00453357">
          <w:rPr>
            <w:rStyle w:val="Hyperlink"/>
            <w:rFonts w:ascii="Times New Roman" w:eastAsiaTheme="minorHAnsi" w:hAnsi="Times New Roman" w:cs="Times New Roman"/>
            <w:i w:val="0"/>
            <w:iCs w:val="0"/>
            <w:noProof/>
            <w:sz w:val="24"/>
            <w:szCs w:val="24"/>
          </w:rPr>
          <w:t>Results of sensitivity test for selection of the best census level. At the grid cell-level, each grid cell is assigned a best census level which corresponds to the census level yielding the lowest root mean square error (RMSE) between the synthetic and observed population exposures. The overall best census level to use for each region (and for the while study area) corresponds to the census level which is best in the greatest number of grid cells. At the regional level, the RMSE is calculated for each census level for the entire region (study area) and the best census level corresponds to the census level with the lowest RMSE for the region.</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_Toc22034991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49</w:t>
        </w:r>
        <w:r w:rsidR="00453357" w:rsidRPr="00453357">
          <w:rPr>
            <w:rFonts w:ascii="Times New Roman" w:hAnsi="Times New Roman" w:cs="Times New Roman"/>
            <w:i w:val="0"/>
            <w:iCs w:val="0"/>
            <w:noProof/>
            <w:webHidden/>
            <w:sz w:val="24"/>
            <w:szCs w:val="24"/>
          </w:rPr>
          <w:fldChar w:fldCharType="end"/>
        </w:r>
      </w:hyperlink>
    </w:p>
    <w:p w14:paraId="537BFF06" w14:textId="0CF90BD8"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2" w:history="1">
        <w:r w:rsidR="00453357" w:rsidRPr="00453357">
          <w:rPr>
            <w:rStyle w:val="Hyperlink"/>
            <w:rFonts w:ascii="Times New Roman" w:hAnsi="Times New Roman" w:cs="Times New Roman"/>
            <w:i w:val="0"/>
            <w:iCs w:val="0"/>
            <w:noProof/>
            <w:sz w:val="24"/>
            <w:szCs w:val="24"/>
          </w:rPr>
          <w:t xml:space="preserve">Table 2.4. </w:t>
        </w:r>
        <w:r w:rsidR="00453357" w:rsidRPr="00453357">
          <w:rPr>
            <w:rStyle w:val="Hyperlink"/>
            <w:rFonts w:ascii="Times New Roman" w:eastAsiaTheme="minorHAnsi" w:hAnsi="Times New Roman" w:cs="Times New Roman"/>
            <w:i w:val="0"/>
            <w:iCs w:val="0"/>
            <w:noProof/>
            <w:sz w:val="24"/>
            <w:szCs w:val="24"/>
          </w:rPr>
          <w:t>Characteristics of violent tornadoes and the regions they strike in the United States between 1995 and 2016. Tornado footprint area (AREA) refers to the area of the tornado footprint polygon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Persons Exposed (OBS) refers to the residential population (based on the US Census data at the time of each tornado) within the tornado footprint. Median Persons Potentially Exposed (PPEMED) refers to the median value of the residential population within the footprint of all replicate tornadoes within the specified distance radius. Probability that a replicate tornado within the specified distance from the original footprint will have a potential exposure of at least 5,000 persons (EP5K) is also shown. Statistics included are minimum (MIN), median (MED), interquartile range (IQR), and maximum (MAX) values for all tornadoes within each region.</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_Toc22034992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50</w:t>
        </w:r>
        <w:r w:rsidR="00453357" w:rsidRPr="00453357">
          <w:rPr>
            <w:rFonts w:ascii="Times New Roman" w:hAnsi="Times New Roman" w:cs="Times New Roman"/>
            <w:i w:val="0"/>
            <w:iCs w:val="0"/>
            <w:noProof/>
            <w:webHidden/>
            <w:sz w:val="24"/>
            <w:szCs w:val="24"/>
          </w:rPr>
          <w:fldChar w:fldCharType="end"/>
        </w:r>
      </w:hyperlink>
    </w:p>
    <w:p w14:paraId="56F36E7B" w14:textId="6AC7DC37"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3" w:history="1">
        <w:r w:rsidR="00453357" w:rsidRPr="00453357">
          <w:rPr>
            <w:rStyle w:val="Hyperlink"/>
            <w:rFonts w:ascii="Times New Roman" w:hAnsi="Times New Roman" w:cs="Times New Roman"/>
            <w:i w:val="0"/>
            <w:iCs w:val="0"/>
            <w:noProof/>
            <w:sz w:val="24"/>
            <w:szCs w:val="24"/>
          </w:rPr>
          <w:t xml:space="preserve">Table 2.5. </w:t>
        </w:r>
        <w:r w:rsidR="00453357" w:rsidRPr="00453357">
          <w:rPr>
            <w:rStyle w:val="Hyperlink"/>
            <w:rFonts w:ascii="Times New Roman" w:eastAsiaTheme="minorHAnsi" w:hAnsi="Times New Roman" w:cs="Times New Roman"/>
            <w:i w:val="0"/>
            <w:iCs w:val="0"/>
            <w:noProof/>
            <w:sz w:val="24"/>
            <w:szCs w:val="24"/>
          </w:rPr>
          <w:t>Characteristics of violent tornadoes by type and region. Characteristics include the median value for each region of persons exposed (OBS), tornado footprint area (AREA) in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maximum persons potentially exposed (PPEMAX), probability (%) that the persons potentially exposed exceeds the persons exposed (EPOBS), 5,000 persons (EP5K), or 20,000 persons (EP20K) within the specified distance radius (r). * denotes sample size for probability calculation was less than 3.</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_Toc22034993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51</w:t>
        </w:r>
        <w:r w:rsidR="00453357" w:rsidRPr="00453357">
          <w:rPr>
            <w:rFonts w:ascii="Times New Roman" w:hAnsi="Times New Roman" w:cs="Times New Roman"/>
            <w:i w:val="0"/>
            <w:iCs w:val="0"/>
            <w:noProof/>
            <w:webHidden/>
            <w:sz w:val="24"/>
            <w:szCs w:val="24"/>
          </w:rPr>
          <w:fldChar w:fldCharType="end"/>
        </w:r>
      </w:hyperlink>
    </w:p>
    <w:p w14:paraId="53E254B3" w14:textId="201DCCFF"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4" w:history="1">
        <w:r w:rsidR="00453357" w:rsidRPr="00453357">
          <w:rPr>
            <w:rStyle w:val="Hyperlink"/>
            <w:rFonts w:ascii="Times New Roman" w:hAnsi="Times New Roman" w:cs="Times New Roman"/>
            <w:i w:val="0"/>
            <w:iCs w:val="0"/>
            <w:noProof/>
            <w:sz w:val="24"/>
            <w:szCs w:val="24"/>
          </w:rPr>
          <w:t xml:space="preserve">Table 2.6. </w:t>
        </w:r>
        <w:r w:rsidR="00453357" w:rsidRPr="00453357">
          <w:rPr>
            <w:rStyle w:val="Hyperlink"/>
            <w:rFonts w:ascii="Times New Roman" w:eastAsiaTheme="minorHAnsi" w:hAnsi="Times New Roman" w:cs="Times New Roman"/>
            <w:i w:val="0"/>
            <w:iCs w:val="0"/>
            <w:noProof/>
            <w:sz w:val="24"/>
            <w:szCs w:val="24"/>
          </w:rPr>
          <w:t>Characteristics of all near-misses from 1995 to 2016. Characteristics include the date (DATE) and location (LOCATION) of the tornado, its magnitude on the EF scale (MAG), tornado footprint area (AREA) in km</w:t>
        </w:r>
        <w:r w:rsidR="00453357" w:rsidRPr="00453357">
          <w:rPr>
            <w:rStyle w:val="Hyperlink"/>
            <w:rFonts w:ascii="Times New Roman" w:eastAsiaTheme="minorHAnsi" w:hAnsi="Times New Roman" w:cs="Times New Roman"/>
            <w:i w:val="0"/>
            <w:iCs w:val="0"/>
            <w:noProof/>
            <w:sz w:val="24"/>
            <w:szCs w:val="24"/>
            <w:vertAlign w:val="superscript"/>
          </w:rPr>
          <w:t>2</w:t>
        </w:r>
        <w:r w:rsidR="00453357" w:rsidRPr="00453357">
          <w:rPr>
            <w:rStyle w:val="Hyperlink"/>
            <w:rFonts w:ascii="Times New Roman" w:eastAsiaTheme="minorHAnsi" w:hAnsi="Times New Roman" w:cs="Times New Roman"/>
            <w:i w:val="0"/>
            <w:iCs w:val="0"/>
            <w:noProof/>
            <w:sz w:val="24"/>
            <w:szCs w:val="24"/>
          </w:rPr>
          <w:t>, fatalities (FAT), persons exposed (OBS), median (PPEMED) and maximum (PPEMAX) persons potentially exposed, and the probability that the persons potentially exposed exceeds the persons exposed (EPOBS), or 5,000 persons (EP5K) within 10 km. Table is sorted by the probability that the near-miss would have been a hit. Bolded rows have a maximum potential exposure (within 10 km) of 20,000 persons or more.</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_Toc22034994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52</w:t>
        </w:r>
        <w:r w:rsidR="00453357" w:rsidRPr="00453357">
          <w:rPr>
            <w:rFonts w:ascii="Times New Roman" w:hAnsi="Times New Roman" w:cs="Times New Roman"/>
            <w:i w:val="0"/>
            <w:iCs w:val="0"/>
            <w:noProof/>
            <w:webHidden/>
            <w:sz w:val="24"/>
            <w:szCs w:val="24"/>
          </w:rPr>
          <w:fldChar w:fldCharType="end"/>
        </w:r>
      </w:hyperlink>
    </w:p>
    <w:p w14:paraId="2CD84613" w14:textId="76A67432"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5" w:history="1">
        <w:r w:rsidR="00453357" w:rsidRPr="00453357">
          <w:rPr>
            <w:rStyle w:val="Hyperlink"/>
            <w:rFonts w:ascii="Times New Roman" w:hAnsi="Times New Roman" w:cs="Times New Roman"/>
            <w:i w:val="0"/>
            <w:iCs w:val="0"/>
            <w:noProof/>
            <w:sz w:val="24"/>
            <w:szCs w:val="24"/>
          </w:rPr>
          <w:t xml:space="preserve">Table 2.7. </w:t>
        </w:r>
        <w:r w:rsidR="00453357" w:rsidRPr="00453357">
          <w:rPr>
            <w:rStyle w:val="Hyperlink"/>
            <w:rFonts w:ascii="Times New Roman" w:eastAsiaTheme="minorHAnsi" w:hAnsi="Times New Roman" w:cs="Times New Roman"/>
            <w:i w:val="0"/>
            <w:iCs w:val="0"/>
            <w:noProof/>
            <w:sz w:val="24"/>
            <w:szCs w:val="24"/>
          </w:rPr>
          <w:t>Same as Table 2.6, but for hits.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_Toc22034995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54</w:t>
        </w:r>
        <w:r w:rsidR="00453357" w:rsidRPr="00453357">
          <w:rPr>
            <w:rFonts w:ascii="Times New Roman" w:hAnsi="Times New Roman" w:cs="Times New Roman"/>
            <w:i w:val="0"/>
            <w:iCs w:val="0"/>
            <w:noProof/>
            <w:webHidden/>
            <w:sz w:val="24"/>
            <w:szCs w:val="24"/>
          </w:rPr>
          <w:fldChar w:fldCharType="end"/>
        </w:r>
      </w:hyperlink>
    </w:p>
    <w:p w14:paraId="000501BA" w14:textId="129EB875"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6" w:history="1">
        <w:r w:rsidR="00453357" w:rsidRPr="00453357">
          <w:rPr>
            <w:rStyle w:val="Hyperlink"/>
            <w:rFonts w:ascii="Times New Roman" w:hAnsi="Times New Roman" w:cs="Times New Roman"/>
            <w:i w:val="0"/>
            <w:iCs w:val="0"/>
            <w:noProof/>
            <w:sz w:val="24"/>
            <w:szCs w:val="24"/>
          </w:rPr>
          <w:t>Table 3.1. Parameters and coefficients for logistic regression equations for the tornado probability forecasts. Parameters which were not included in an equation are marked with a dash. Parameters include Convective Available Potential Energy (CAPE), Convective Inhibition (CIN), and Lifted Condensation Level (LCL) for a mixed-layer (lowest 100 mb) parcel; surface height (ELEV); 2 – 4 km lapse rate (LR24); 0 – 1 (VWS1) and 0 – 6 (VWS6) km vertical wind shear; and vertical velocity at 850 mb (</w:t>
        </w:r>
        <m:oMath>
          <m:r>
            <w:rPr>
              <w:rStyle w:val="Hyperlink"/>
              <w:rFonts w:ascii="Cambria Math" w:hAnsi="Cambria Math" w:cs="Times New Roman"/>
              <w:noProof/>
              <w:sz w:val="24"/>
              <w:szCs w:val="24"/>
            </w:rPr>
            <m:t>ω850</m:t>
          </m:r>
        </m:oMath>
        <w:r w:rsidR="00453357" w:rsidRPr="00453357">
          <w:rPr>
            <w:rStyle w:val="Hyperlink"/>
            <w:rFonts w:ascii="Times New Roman" w:hAnsi="Times New Roman" w:cs="Times New Roman"/>
            <w:i w:val="0"/>
            <w:iCs w:val="0"/>
            <w:noProof/>
            <w:sz w:val="24"/>
            <w:szCs w:val="24"/>
          </w:rPr>
          <w:t>) and 500 mb (</w:t>
        </w:r>
        <m:oMath>
          <m:r>
            <w:rPr>
              <w:rStyle w:val="Hyperlink"/>
              <w:rFonts w:ascii="Cambria Math" w:hAnsi="Cambria Math" w:cs="Times New Roman"/>
              <w:noProof/>
              <w:sz w:val="24"/>
              <w:szCs w:val="24"/>
            </w:rPr>
            <m:t>ω500</m:t>
          </m:r>
        </m:oMath>
        <w:r w:rsidR="00453357" w:rsidRPr="00453357">
          <w:rPr>
            <w:rStyle w:val="Hyperlink"/>
            <w:rFonts w:ascii="Times New Roman" w:hAnsi="Times New Roman" w:cs="Times New Roman"/>
            <w:i w:val="0"/>
            <w:iCs w:val="0"/>
            <w:noProof/>
            <w:sz w:val="24"/>
            <w:szCs w:val="24"/>
          </w:rPr>
          <w:t>), and 0 – 3 km Storm Relative Helicity (SRH3). Predictors are the probability of severe weather (svr</w:t>
        </w:r>
        <w:r w:rsidR="00453357" w:rsidRPr="00453357">
          <w:rPr>
            <w:rStyle w:val="Hyperlink"/>
            <w:rFonts w:ascii="Times New Roman" w:hAnsi="Times New Roman" w:cs="Times New Roman"/>
            <w:i w:val="0"/>
            <w:iCs w:val="0"/>
            <w:noProof/>
            <w:sz w:val="24"/>
            <w:szCs w:val="24"/>
            <w:vertAlign w:val="subscript"/>
          </w:rPr>
          <w:t>low</w:t>
        </w:r>
        <w:r w:rsidR="00453357" w:rsidRPr="00453357">
          <w:rPr>
            <w:rStyle w:val="Hyperlink"/>
            <w:rFonts w:ascii="Times New Roman" w:hAnsi="Times New Roman" w:cs="Times New Roman"/>
            <w:i w:val="0"/>
            <w:iCs w:val="0"/>
            <w:noProof/>
            <w:sz w:val="24"/>
            <w:szCs w:val="24"/>
          </w:rPr>
          <w:t>; svr</w:t>
        </w:r>
        <w:r w:rsidR="00453357" w:rsidRPr="00453357">
          <w:rPr>
            <w:rStyle w:val="Hyperlink"/>
            <w:rFonts w:ascii="Times New Roman" w:hAnsi="Times New Roman" w:cs="Times New Roman"/>
            <w:i w:val="0"/>
            <w:iCs w:val="0"/>
            <w:noProof/>
            <w:sz w:val="24"/>
            <w:szCs w:val="24"/>
            <w:vertAlign w:val="subscript"/>
          </w:rPr>
          <w:t>mod</w:t>
        </w:r>
        <w:r w:rsidR="00453357" w:rsidRPr="00453357">
          <w:rPr>
            <w:rStyle w:val="Hyperlink"/>
            <w:rFonts w:ascii="Times New Roman" w:hAnsi="Times New Roman" w:cs="Times New Roman"/>
            <w:i w:val="0"/>
            <w:iCs w:val="0"/>
            <w:noProof/>
            <w:sz w:val="24"/>
            <w:szCs w:val="24"/>
          </w:rPr>
          <w:t>) or tornadoes given severe weather (torn</w:t>
        </w:r>
        <w:r w:rsidR="00453357" w:rsidRPr="00453357">
          <w:rPr>
            <w:rStyle w:val="Hyperlink"/>
            <w:rFonts w:ascii="Times New Roman" w:hAnsi="Times New Roman" w:cs="Times New Roman"/>
            <w:i w:val="0"/>
            <w:iCs w:val="0"/>
            <w:noProof/>
            <w:sz w:val="24"/>
            <w:szCs w:val="24"/>
            <w:vertAlign w:val="subscript"/>
          </w:rPr>
          <w:t>low</w:t>
        </w:r>
        <w:r w:rsidR="00453357" w:rsidRPr="00453357">
          <w:rPr>
            <w:rStyle w:val="Hyperlink"/>
            <w:rFonts w:ascii="Times New Roman" w:hAnsi="Times New Roman" w:cs="Times New Roman"/>
            <w:i w:val="0"/>
            <w:iCs w:val="0"/>
            <w:noProof/>
            <w:sz w:val="24"/>
            <w:szCs w:val="24"/>
          </w:rPr>
          <w:t>; torn</w:t>
        </w:r>
        <w:r w:rsidR="00453357" w:rsidRPr="00453357">
          <w:rPr>
            <w:rStyle w:val="Hyperlink"/>
            <w:rFonts w:ascii="Times New Roman" w:hAnsi="Times New Roman" w:cs="Times New Roman"/>
            <w:i w:val="0"/>
            <w:iCs w:val="0"/>
            <w:noProof/>
            <w:sz w:val="24"/>
            <w:szCs w:val="24"/>
            <w:vertAlign w:val="subscript"/>
          </w:rPr>
          <w:t>mod</w:t>
        </w:r>
        <w:r w:rsidR="00453357" w:rsidRPr="00453357">
          <w:rPr>
            <w:rStyle w:val="Hyperlink"/>
            <w:rFonts w:ascii="Times New Roman" w:hAnsi="Times New Roman" w:cs="Times New Roman"/>
            <w:i w:val="0"/>
            <w:iCs w:val="0"/>
            <w:noProof/>
            <w:sz w:val="24"/>
            <w:szCs w:val="24"/>
          </w:rPr>
          <w:t>) in low or moderate to high CAPE environments. Here, low CAPE refers to values at or below 500 J kg</w:t>
        </w:r>
        <w:r w:rsidR="00453357" w:rsidRPr="00453357">
          <w:rPr>
            <w:rStyle w:val="Hyperlink"/>
            <w:rFonts w:ascii="Times New Roman" w:hAnsi="Times New Roman" w:cs="Times New Roman"/>
            <w:i w:val="0"/>
            <w:iCs w:val="0"/>
            <w:noProof/>
            <w:sz w:val="24"/>
            <w:szCs w:val="24"/>
            <w:vertAlign w:val="superscript"/>
          </w:rPr>
          <w:t>-1</w:t>
        </w:r>
        <w:r w:rsidR="00453357" w:rsidRPr="00453357">
          <w:rPr>
            <w:rStyle w:val="Hyperlink"/>
            <w:rFonts w:ascii="Times New Roman" w:hAnsi="Times New Roman" w:cs="Times New Roman"/>
            <w:i w:val="0"/>
            <w:iCs w:val="0"/>
            <w:noProof/>
            <w:sz w:val="24"/>
            <w:szCs w:val="24"/>
          </w:rPr>
          <w:t xml:space="preserve"> while moderate to high refers to values above 500 J kg</w:t>
        </w:r>
        <w:r w:rsidR="00453357" w:rsidRPr="00453357">
          <w:rPr>
            <w:rStyle w:val="Hyperlink"/>
            <w:rFonts w:ascii="Times New Roman" w:hAnsi="Times New Roman" w:cs="Times New Roman"/>
            <w:i w:val="0"/>
            <w:iCs w:val="0"/>
            <w:noProof/>
            <w:sz w:val="24"/>
            <w:szCs w:val="24"/>
            <w:vertAlign w:val="superscript"/>
          </w:rPr>
          <w:t>-1</w:t>
        </w:r>
        <w:r w:rsidR="00453357" w:rsidRPr="00453357">
          <w:rPr>
            <w:rStyle w:val="Hyperlink"/>
            <w:rFonts w:ascii="Times New Roman" w:hAnsi="Times New Roman" w:cs="Times New Roman"/>
            <w:i w:val="0"/>
            <w:iCs w:val="0"/>
            <w:noProof/>
            <w:sz w:val="24"/>
            <w:szCs w:val="24"/>
          </w:rPr>
          <w:t>.</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_Toc22034996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88</w:t>
        </w:r>
        <w:r w:rsidR="00453357" w:rsidRPr="00453357">
          <w:rPr>
            <w:rFonts w:ascii="Times New Roman" w:hAnsi="Times New Roman" w:cs="Times New Roman"/>
            <w:i w:val="0"/>
            <w:iCs w:val="0"/>
            <w:noProof/>
            <w:webHidden/>
            <w:sz w:val="24"/>
            <w:szCs w:val="24"/>
          </w:rPr>
          <w:fldChar w:fldCharType="end"/>
        </w:r>
      </w:hyperlink>
    </w:p>
    <w:p w14:paraId="5B1FE03C" w14:textId="052FE3D4"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7" w:history="1">
        <w:r w:rsidR="00453357" w:rsidRPr="00453357">
          <w:rPr>
            <w:rStyle w:val="Hyperlink"/>
            <w:rFonts w:ascii="Times New Roman" w:hAnsi="Times New Roman" w:cs="Times New Roman"/>
            <w:i w:val="0"/>
            <w:iCs w:val="0"/>
            <w:noProof/>
            <w:sz w:val="24"/>
            <w:szCs w:val="24"/>
          </w:rPr>
          <w:t>Table 3.2. Tornado attributes from a 1,000-year TorDIS simulation over the Oklahoma City Metropolitan Statistical Area. Attributes presented include tornado magnitude (EF scale), count, mean length, mean width, and mean direction.</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_Toc22034997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89</w:t>
        </w:r>
        <w:r w:rsidR="00453357" w:rsidRPr="00453357">
          <w:rPr>
            <w:rFonts w:ascii="Times New Roman" w:hAnsi="Times New Roman" w:cs="Times New Roman"/>
            <w:i w:val="0"/>
            <w:iCs w:val="0"/>
            <w:noProof/>
            <w:webHidden/>
            <w:sz w:val="24"/>
            <w:szCs w:val="24"/>
          </w:rPr>
          <w:fldChar w:fldCharType="end"/>
        </w:r>
      </w:hyperlink>
    </w:p>
    <w:p w14:paraId="70EA4951" w14:textId="5BF1A158"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8" w:history="1">
        <w:r w:rsidR="00453357" w:rsidRPr="00453357">
          <w:rPr>
            <w:rStyle w:val="Hyperlink"/>
            <w:rFonts w:ascii="Times New Roman" w:hAnsi="Times New Roman" w:cs="Times New Roman"/>
            <w:i w:val="0"/>
            <w:iCs w:val="0"/>
            <w:noProof/>
            <w:sz w:val="24"/>
            <w:szCs w:val="24"/>
          </w:rPr>
          <w:t>Table 3.3. Impact analysis from a 1,000-year TorDIS simulation over the Oklahoma City Metropolitan Statistical Area. Results are organised by tornado magnitude and include annual occurrence probability, return period, mean number of persons impacted by an individual tornado, and the mean number of persons impacted per year.</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_Toc22034998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90</w:t>
        </w:r>
        <w:r w:rsidR="00453357" w:rsidRPr="00453357">
          <w:rPr>
            <w:rFonts w:ascii="Times New Roman" w:hAnsi="Times New Roman" w:cs="Times New Roman"/>
            <w:i w:val="0"/>
            <w:iCs w:val="0"/>
            <w:noProof/>
            <w:webHidden/>
            <w:sz w:val="24"/>
            <w:szCs w:val="24"/>
          </w:rPr>
          <w:fldChar w:fldCharType="end"/>
        </w:r>
      </w:hyperlink>
    </w:p>
    <w:p w14:paraId="670BA93A" w14:textId="06742EE4"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4999" w:history="1">
        <w:r w:rsidR="00453357" w:rsidRPr="00453357">
          <w:rPr>
            <w:rStyle w:val="Hyperlink"/>
            <w:rFonts w:ascii="Times New Roman" w:hAnsi="Times New Roman" w:cs="Times New Roman"/>
            <w:i w:val="0"/>
            <w:iCs w:val="0"/>
            <w:noProof/>
            <w:sz w:val="24"/>
            <w:szCs w:val="24"/>
          </w:rPr>
          <w:t>Table 3.4. The annual number of persons impacted by significant tornado winds per 1000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xml:space="preserve"> over select metropolitan statistical areas during a 1000 year TorDIS simulation using the 2010 SEDAC gridded population counts. Summary statistics include the normalised count of significant tornadoes, mean, median, maximum, and standard deviation of annual persons impacted, and the probability that a tornado hitting each metro area would impact more than 5000 (EP</w:t>
        </w:r>
        <w:r w:rsidR="00453357" w:rsidRPr="00453357">
          <w:rPr>
            <w:rStyle w:val="Hyperlink"/>
            <w:rFonts w:ascii="Times New Roman" w:hAnsi="Times New Roman" w:cs="Times New Roman"/>
            <w:i w:val="0"/>
            <w:iCs w:val="0"/>
            <w:noProof/>
            <w:sz w:val="24"/>
            <w:szCs w:val="24"/>
            <w:vertAlign w:val="subscript"/>
          </w:rPr>
          <w:t>5000</w:t>
        </w:r>
        <w:r w:rsidR="00453357" w:rsidRPr="00453357">
          <w:rPr>
            <w:rStyle w:val="Hyperlink"/>
            <w:rFonts w:ascii="Times New Roman" w:hAnsi="Times New Roman" w:cs="Times New Roman"/>
            <w:i w:val="0"/>
            <w:iCs w:val="0"/>
            <w:noProof/>
            <w:sz w:val="24"/>
            <w:szCs w:val="24"/>
          </w:rPr>
          <w:t>) or 20000 persons (EP</w:t>
        </w:r>
        <w:r w:rsidR="00453357" w:rsidRPr="00453357">
          <w:rPr>
            <w:rStyle w:val="Hyperlink"/>
            <w:rFonts w:ascii="Times New Roman" w:hAnsi="Times New Roman" w:cs="Times New Roman"/>
            <w:i w:val="0"/>
            <w:iCs w:val="0"/>
            <w:noProof/>
            <w:sz w:val="24"/>
            <w:szCs w:val="24"/>
            <w:vertAlign w:val="subscript"/>
          </w:rPr>
          <w:t>20000</w:t>
        </w:r>
        <w:r w:rsidR="00453357" w:rsidRPr="00453357">
          <w:rPr>
            <w:rStyle w:val="Hyperlink"/>
            <w:rFonts w:ascii="Times New Roman" w:hAnsi="Times New Roman" w:cs="Times New Roman"/>
            <w:i w:val="0"/>
            <w:iCs w:val="0"/>
            <w:noProof/>
            <w:sz w:val="24"/>
            <w:szCs w:val="24"/>
          </w:rPr>
          <w:t>).</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_Toc22034999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91</w:t>
        </w:r>
        <w:r w:rsidR="00453357" w:rsidRPr="00453357">
          <w:rPr>
            <w:rFonts w:ascii="Times New Roman" w:hAnsi="Times New Roman" w:cs="Times New Roman"/>
            <w:i w:val="0"/>
            <w:iCs w:val="0"/>
            <w:noProof/>
            <w:webHidden/>
            <w:sz w:val="24"/>
            <w:szCs w:val="24"/>
          </w:rPr>
          <w:fldChar w:fldCharType="end"/>
        </w:r>
      </w:hyperlink>
    </w:p>
    <w:p w14:paraId="4567F933" w14:textId="17AED81E"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0" w:history="1">
        <w:r w:rsidR="00453357" w:rsidRPr="00453357">
          <w:rPr>
            <w:rStyle w:val="Hyperlink"/>
            <w:rFonts w:ascii="Times New Roman" w:hAnsi="Times New Roman" w:cs="Times New Roman"/>
            <w:i w:val="0"/>
            <w:iCs w:val="0"/>
            <w:noProof/>
            <w:sz w:val="24"/>
            <w:szCs w:val="24"/>
          </w:rPr>
          <w:t>Table 3.5. TorDIS model results from a 10,000-year simulation of all tornadoes over the domain on the specified days. Summary statistics include the mean, median and maximum values for both tornado count (by magnitude) and persons exposed per tornado.</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_Toc22035000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92</w:t>
        </w:r>
        <w:r w:rsidR="00453357" w:rsidRPr="00453357">
          <w:rPr>
            <w:rFonts w:ascii="Times New Roman" w:hAnsi="Times New Roman" w:cs="Times New Roman"/>
            <w:i w:val="0"/>
            <w:iCs w:val="0"/>
            <w:noProof/>
            <w:webHidden/>
            <w:sz w:val="24"/>
            <w:szCs w:val="24"/>
          </w:rPr>
          <w:fldChar w:fldCharType="end"/>
        </w:r>
      </w:hyperlink>
    </w:p>
    <w:p w14:paraId="40CFFF48" w14:textId="53AE34BC"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1" w:history="1">
        <w:r w:rsidR="00453357" w:rsidRPr="00453357">
          <w:rPr>
            <w:rStyle w:val="Hyperlink"/>
            <w:rFonts w:ascii="Times New Roman" w:hAnsi="Times New Roman" w:cs="Times New Roman"/>
            <w:i w:val="0"/>
            <w:iCs w:val="0"/>
            <w:noProof/>
            <w:sz w:val="24"/>
            <w:szCs w:val="24"/>
          </w:rPr>
          <w:t>Table 4.1. Parcel-based population and land use statistics for the Oklahoma City Metropolitan Area by county from the 2010 census and 2050 population projections. Variables include county area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population count (persons), population density (persons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and percentage of parcels under each of three land use classes. Land use classes are based on the definitions from Laidley (2016) with parcels classified as rural if they have a population density of under 518 persons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low density if the population density is between 518 and 9,064 persons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and high density if the population density is 9,065 persons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xml:space="preserve"> or greater (high density here corresponds to Laidley’s moderate to high density definition).</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_Toc22035001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120</w:t>
        </w:r>
        <w:r w:rsidR="00453357" w:rsidRPr="00453357">
          <w:rPr>
            <w:rFonts w:ascii="Times New Roman" w:hAnsi="Times New Roman" w:cs="Times New Roman"/>
            <w:i w:val="0"/>
            <w:iCs w:val="0"/>
            <w:noProof/>
            <w:webHidden/>
            <w:sz w:val="24"/>
            <w:szCs w:val="24"/>
          </w:rPr>
          <w:fldChar w:fldCharType="end"/>
        </w:r>
      </w:hyperlink>
    </w:p>
    <w:p w14:paraId="06813A43" w14:textId="2ED0F251"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2" w:history="1">
        <w:r w:rsidR="00453357" w:rsidRPr="00453357">
          <w:rPr>
            <w:rStyle w:val="Hyperlink"/>
            <w:rFonts w:ascii="Times New Roman" w:hAnsi="Times New Roman" w:cs="Times New Roman"/>
            <w:i w:val="0"/>
            <w:iCs w:val="0"/>
            <w:noProof/>
            <w:sz w:val="24"/>
            <w:szCs w:val="24"/>
          </w:rPr>
          <w:t>Table 4.2. Rules for allocation of population density at each time step for the urbanization scenarios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_Toc22035002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121</w:t>
        </w:r>
        <w:r w:rsidR="00453357" w:rsidRPr="00453357">
          <w:rPr>
            <w:rFonts w:ascii="Times New Roman" w:hAnsi="Times New Roman" w:cs="Times New Roman"/>
            <w:i w:val="0"/>
            <w:iCs w:val="0"/>
            <w:noProof/>
            <w:webHidden/>
            <w:sz w:val="24"/>
            <w:szCs w:val="24"/>
          </w:rPr>
          <w:fldChar w:fldCharType="end"/>
        </w:r>
      </w:hyperlink>
    </w:p>
    <w:p w14:paraId="26A4CC4C" w14:textId="37B0D892"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3" w:history="1">
        <w:r w:rsidR="00453357" w:rsidRPr="00453357">
          <w:rPr>
            <w:rStyle w:val="Hyperlink"/>
            <w:rFonts w:ascii="Times New Roman" w:hAnsi="Times New Roman" w:cs="Times New Roman"/>
            <w:i w:val="0"/>
            <w:iCs w:val="0"/>
            <w:noProof/>
            <w:sz w:val="24"/>
            <w:szCs w:val="24"/>
          </w:rPr>
          <w:t>Table 4.3. Number of simulated significant tornadoes impacting each county by land use class. The land use class represents the land use of the most densely populated parcel the simulated tornado impacted (i.e., a tornado hitting mostly rural parcels but a single urban-high parcel would be classified as urban-high). Counts are normalized by county area (per 2,500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Counts are averaged between scenarios using the same population estimates (baseline with CC and UD with CCUD) as climate change did not significantly alter tornado counts.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_Toc22035003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122</w:t>
        </w:r>
        <w:r w:rsidR="00453357" w:rsidRPr="00453357">
          <w:rPr>
            <w:rFonts w:ascii="Times New Roman" w:hAnsi="Times New Roman" w:cs="Times New Roman"/>
            <w:i w:val="0"/>
            <w:iCs w:val="0"/>
            <w:noProof/>
            <w:webHidden/>
            <w:sz w:val="24"/>
            <w:szCs w:val="24"/>
          </w:rPr>
          <w:fldChar w:fldCharType="end"/>
        </w:r>
      </w:hyperlink>
    </w:p>
    <w:p w14:paraId="1B3E3CAE" w14:textId="0EF63C35"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4" w:history="1">
        <w:r w:rsidR="00453357" w:rsidRPr="00453357">
          <w:rPr>
            <w:rStyle w:val="Hyperlink"/>
            <w:rFonts w:ascii="Times New Roman" w:hAnsi="Times New Roman" w:cs="Times New Roman"/>
            <w:i w:val="0"/>
            <w:iCs w:val="0"/>
            <w:noProof/>
            <w:sz w:val="24"/>
            <w:szCs w:val="24"/>
          </w:rPr>
          <w:t>Table 4.4. Normalized (per 2,500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number of simulated significant (EF2+) tornadoes and significant tornado days using the 1990 – 1999 atmospheric environment and the projected 2045 – 2054 environment.</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_Toc22035004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123</w:t>
        </w:r>
        <w:r w:rsidR="00453357" w:rsidRPr="00453357">
          <w:rPr>
            <w:rFonts w:ascii="Times New Roman" w:hAnsi="Times New Roman" w:cs="Times New Roman"/>
            <w:i w:val="0"/>
            <w:iCs w:val="0"/>
            <w:noProof/>
            <w:webHidden/>
            <w:sz w:val="24"/>
            <w:szCs w:val="24"/>
          </w:rPr>
          <w:fldChar w:fldCharType="end"/>
        </w:r>
      </w:hyperlink>
    </w:p>
    <w:p w14:paraId="3DAA941C" w14:textId="5150B435"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5" w:history="1">
        <w:r w:rsidR="00453357" w:rsidRPr="00453357">
          <w:rPr>
            <w:rStyle w:val="Hyperlink"/>
            <w:rFonts w:ascii="Times New Roman" w:hAnsi="Times New Roman" w:cs="Times New Roman"/>
            <w:i w:val="0"/>
            <w:iCs w:val="0"/>
            <w:noProof/>
            <w:sz w:val="24"/>
            <w:szCs w:val="24"/>
          </w:rPr>
          <w:t>Table 4.5. Summary statistics for the normalized (by county per 2,500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annual number of persons exposed to significant tornado damage paths for each scenario by county and for the entire Oklahoma City Metropolitan Area. Statistics include median, mean, 95th and 99th percentiles, and maximum. Also included are the probability that the normalized annual exposure total will exceed 5,000 or 20,000 persons.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_Toc22035005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124</w:t>
        </w:r>
        <w:r w:rsidR="00453357" w:rsidRPr="00453357">
          <w:rPr>
            <w:rFonts w:ascii="Times New Roman" w:hAnsi="Times New Roman" w:cs="Times New Roman"/>
            <w:i w:val="0"/>
            <w:iCs w:val="0"/>
            <w:noProof/>
            <w:webHidden/>
            <w:sz w:val="24"/>
            <w:szCs w:val="24"/>
          </w:rPr>
          <w:fldChar w:fldCharType="end"/>
        </w:r>
      </w:hyperlink>
    </w:p>
    <w:p w14:paraId="5400D927" w14:textId="404985AB"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6" w:history="1">
        <w:r w:rsidR="00453357" w:rsidRPr="00453357">
          <w:rPr>
            <w:rStyle w:val="Hyperlink"/>
            <w:rFonts w:ascii="Times New Roman" w:hAnsi="Times New Roman" w:cs="Times New Roman"/>
            <w:i w:val="0"/>
            <w:iCs w:val="0"/>
            <w:noProof/>
            <w:sz w:val="24"/>
            <w:szCs w:val="24"/>
          </w:rPr>
          <w:t>Table 4.6. Same as for Table 4.5 but for</w:t>
        </w:r>
        <w:r w:rsidR="00453357" w:rsidRPr="00453357">
          <w:rPr>
            <w:rStyle w:val="Hyperlink"/>
            <w:rFonts w:ascii="Times New Roman" w:eastAsiaTheme="minorHAnsi" w:hAnsi="Times New Roman" w:cs="Times New Roman"/>
            <w:i w:val="0"/>
            <w:iCs w:val="0"/>
            <w:noProof/>
            <w:sz w:val="24"/>
            <w:szCs w:val="24"/>
          </w:rPr>
          <w:t xml:space="preserve"> persons exposed to individual significant tornado damage paths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_Toc22035006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125</w:t>
        </w:r>
        <w:r w:rsidR="00453357" w:rsidRPr="00453357">
          <w:rPr>
            <w:rFonts w:ascii="Times New Roman" w:hAnsi="Times New Roman" w:cs="Times New Roman"/>
            <w:i w:val="0"/>
            <w:iCs w:val="0"/>
            <w:noProof/>
            <w:webHidden/>
            <w:sz w:val="24"/>
            <w:szCs w:val="24"/>
          </w:rPr>
          <w:fldChar w:fldCharType="end"/>
        </w:r>
      </w:hyperlink>
    </w:p>
    <w:p w14:paraId="3F9784FC" w14:textId="2942DA18" w:rsidR="00453357" w:rsidRPr="00453357" w:rsidRDefault="00315883" w:rsidP="00453357">
      <w:pPr>
        <w:pStyle w:val="TableofFigures"/>
        <w:keepNext/>
        <w:keepLines/>
        <w:tabs>
          <w:tab w:val="right" w:leader="dot" w:pos="9350"/>
        </w:tabs>
        <w:spacing w:after="120" w:line="276" w:lineRule="auto"/>
        <w:ind w:left="720" w:hanging="720"/>
        <w:rPr>
          <w:rFonts w:ascii="Times New Roman" w:eastAsiaTheme="minorEastAsia" w:hAnsi="Times New Roman" w:cs="Times New Roman"/>
          <w:i w:val="0"/>
          <w:iCs w:val="0"/>
          <w:noProof/>
          <w:sz w:val="24"/>
          <w:szCs w:val="24"/>
        </w:rPr>
      </w:pPr>
      <w:hyperlink w:anchor="_Toc22035007" w:history="1">
        <w:r w:rsidR="00453357" w:rsidRPr="00453357">
          <w:rPr>
            <w:rStyle w:val="Hyperlink"/>
            <w:rFonts w:ascii="Times New Roman" w:hAnsi="Times New Roman" w:cs="Times New Roman"/>
            <w:i w:val="0"/>
            <w:iCs w:val="0"/>
            <w:noProof/>
            <w:sz w:val="24"/>
            <w:szCs w:val="24"/>
          </w:rPr>
          <w:t>Table A.1. Verification metrics (in per cent) for the spatial distribution of tornadoes as well as for the ability to forecast a tornado day (a day with at least one reported tornado in the model domain) by season and annually. Metrics include Probability of Detection (POD), False Alarm Rate (FAR), and Heidke Skill Score (HSS) and were calculated before and after the model parameter screening procedure.</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_Toc22035007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160</w:t>
        </w:r>
        <w:r w:rsidR="00453357" w:rsidRPr="00453357">
          <w:rPr>
            <w:rFonts w:ascii="Times New Roman" w:hAnsi="Times New Roman" w:cs="Times New Roman"/>
            <w:i w:val="0"/>
            <w:iCs w:val="0"/>
            <w:noProof/>
            <w:webHidden/>
            <w:sz w:val="24"/>
            <w:szCs w:val="24"/>
          </w:rPr>
          <w:fldChar w:fldCharType="end"/>
        </w:r>
      </w:hyperlink>
    </w:p>
    <w:p w14:paraId="057AF8E4" w14:textId="7536281F" w:rsidR="00C270C6" w:rsidRPr="004F469F" w:rsidRDefault="00453357" w:rsidP="00453357">
      <w:pPr>
        <w:keepNext/>
        <w:keepLines/>
        <w:spacing w:after="120" w:line="276" w:lineRule="auto"/>
        <w:ind w:left="720" w:hanging="720"/>
        <w:rPr>
          <w:noProof/>
        </w:rPr>
      </w:pPr>
      <w:r w:rsidRPr="00453357">
        <w:rPr>
          <w:noProof/>
        </w:rPr>
        <w:fldChar w:fldCharType="end"/>
      </w:r>
    </w:p>
    <w:p w14:paraId="5723E57F" w14:textId="58D47F21" w:rsidR="00C270C6" w:rsidRPr="00135E0F" w:rsidRDefault="003B79DC" w:rsidP="00E4455C">
      <w:pPr>
        <w:pStyle w:val="Heading1"/>
        <w:numPr>
          <w:ilvl w:val="0"/>
          <w:numId w:val="0"/>
        </w:numPr>
        <w:spacing w:before="0" w:after="240"/>
        <w:rPr>
          <w:rFonts w:ascii="Times New Roman" w:hAnsi="Times New Roman" w:cs="Times New Roman"/>
          <w:b/>
          <w:bCs/>
          <w:noProof/>
          <w:color w:val="auto"/>
        </w:rPr>
      </w:pPr>
      <w:bookmarkStart w:id="4" w:name="_Toc21861277"/>
      <w:r w:rsidRPr="004F469F">
        <w:rPr>
          <w:rFonts w:ascii="Times New Roman" w:hAnsi="Times New Roman" w:cs="Times New Roman"/>
          <w:b/>
          <w:bCs/>
          <w:noProof/>
          <w:color w:val="auto"/>
        </w:rPr>
        <w:lastRenderedPageBreak/>
        <w:t>L</w:t>
      </w:r>
      <w:r w:rsidR="00B83DA4" w:rsidRPr="004F469F">
        <w:rPr>
          <w:rFonts w:ascii="Times New Roman" w:hAnsi="Times New Roman" w:cs="Times New Roman"/>
          <w:b/>
          <w:bCs/>
          <w:noProof/>
          <w:color w:val="auto"/>
        </w:rPr>
        <w:t>ist of Figures</w:t>
      </w:r>
      <w:bookmarkEnd w:id="4"/>
    </w:p>
    <w:p w14:paraId="17046A4F" w14:textId="44A27436" w:rsidR="00453357" w:rsidRPr="00453357" w:rsidRDefault="00453357"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r w:rsidRPr="00453357">
        <w:rPr>
          <w:rFonts w:ascii="Times New Roman" w:hAnsi="Times New Roman" w:cs="Times New Roman"/>
          <w:i w:val="0"/>
          <w:iCs w:val="0"/>
          <w:smallCaps/>
          <w:noProof/>
          <w:sz w:val="24"/>
          <w:szCs w:val="24"/>
        </w:rPr>
        <w:fldChar w:fldCharType="begin"/>
      </w:r>
      <w:r w:rsidRPr="00453357">
        <w:rPr>
          <w:rFonts w:ascii="Times New Roman" w:hAnsi="Times New Roman" w:cs="Times New Roman"/>
          <w:i w:val="0"/>
          <w:iCs w:val="0"/>
          <w:smallCaps/>
          <w:noProof/>
          <w:sz w:val="24"/>
          <w:szCs w:val="24"/>
        </w:rPr>
        <w:instrText xml:space="preserve"> TOC \h \z \c "Figure" </w:instrText>
      </w:r>
      <w:r w:rsidRPr="00453357">
        <w:rPr>
          <w:rFonts w:ascii="Times New Roman" w:hAnsi="Times New Roman" w:cs="Times New Roman"/>
          <w:i w:val="0"/>
          <w:iCs w:val="0"/>
          <w:smallCaps/>
          <w:noProof/>
          <w:sz w:val="24"/>
          <w:szCs w:val="24"/>
        </w:rPr>
        <w:fldChar w:fldCharType="separate"/>
      </w:r>
      <w:hyperlink w:anchor="_Toc22035185" w:history="1">
        <w:r w:rsidRPr="00453357">
          <w:rPr>
            <w:rStyle w:val="Hyperlink"/>
            <w:rFonts w:ascii="Times New Roman" w:hAnsi="Times New Roman" w:cs="Times New Roman"/>
            <w:i w:val="0"/>
            <w:iCs w:val="0"/>
            <w:noProof/>
            <w:sz w:val="24"/>
            <w:szCs w:val="24"/>
          </w:rPr>
          <w:t>Figure 2.1. Four regions used in this study: Northern Plains (NP); Southern Plains (SP); Great Lakes(GL); Southeast (SE).</w:t>
        </w:r>
        <w:r w:rsidRPr="00453357">
          <w:rPr>
            <w:rFonts w:ascii="Times New Roman" w:hAnsi="Times New Roman" w:cs="Times New Roman"/>
            <w:i w:val="0"/>
            <w:iCs w:val="0"/>
            <w:noProof/>
            <w:webHidden/>
            <w:sz w:val="24"/>
            <w:szCs w:val="24"/>
          </w:rPr>
          <w:tab/>
        </w:r>
        <w:r w:rsidRPr="00453357">
          <w:rPr>
            <w:rFonts w:ascii="Times New Roman" w:hAnsi="Times New Roman" w:cs="Times New Roman"/>
            <w:i w:val="0"/>
            <w:iCs w:val="0"/>
            <w:noProof/>
            <w:webHidden/>
            <w:sz w:val="24"/>
            <w:szCs w:val="24"/>
          </w:rPr>
          <w:fldChar w:fldCharType="begin"/>
        </w:r>
        <w:r w:rsidRPr="00453357">
          <w:rPr>
            <w:rFonts w:ascii="Times New Roman" w:hAnsi="Times New Roman" w:cs="Times New Roman"/>
            <w:i w:val="0"/>
            <w:iCs w:val="0"/>
            <w:noProof/>
            <w:webHidden/>
            <w:sz w:val="24"/>
            <w:szCs w:val="24"/>
          </w:rPr>
          <w:instrText xml:space="preserve"> PAGEREF _Toc22035185 \h </w:instrText>
        </w:r>
        <w:r w:rsidRPr="00453357">
          <w:rPr>
            <w:rFonts w:ascii="Times New Roman" w:hAnsi="Times New Roman" w:cs="Times New Roman"/>
            <w:i w:val="0"/>
            <w:iCs w:val="0"/>
            <w:noProof/>
            <w:webHidden/>
            <w:sz w:val="24"/>
            <w:szCs w:val="24"/>
          </w:rPr>
        </w:r>
        <w:r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55</w:t>
        </w:r>
        <w:r w:rsidRPr="00453357">
          <w:rPr>
            <w:rFonts w:ascii="Times New Roman" w:hAnsi="Times New Roman" w:cs="Times New Roman"/>
            <w:i w:val="0"/>
            <w:iCs w:val="0"/>
            <w:noProof/>
            <w:webHidden/>
            <w:sz w:val="24"/>
            <w:szCs w:val="24"/>
          </w:rPr>
          <w:fldChar w:fldCharType="end"/>
        </w:r>
      </w:hyperlink>
    </w:p>
    <w:p w14:paraId="1F6F092E" w14:textId="6D07374B"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86" w:history="1">
        <w:r w:rsidR="00453357" w:rsidRPr="00453357">
          <w:rPr>
            <w:rStyle w:val="Hyperlink"/>
            <w:rFonts w:ascii="Times New Roman" w:hAnsi="Times New Roman" w:cs="Times New Roman"/>
            <w:i w:val="0"/>
            <w:iCs w:val="0"/>
            <w:noProof/>
            <w:sz w:val="24"/>
            <w:szCs w:val="24"/>
          </w:rPr>
          <w:t>Figure 2.2. Simplified workflow for the replication procedure: a) Create a uniform grid surrounding the tornado footprint to be replicated. b) Make copies of the tornado footprint maintaining the size and orientation of the original footprint. c) Move each copy to the center of its corresponding grid cell. d) Repeat b and c until all grid cells have a copy of the original footprint. This example is not to scale; the actual grid is a uniform circular grid with a radius of 40 km and a resolution of 0.5 km for a total of 20,140 grid cells.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_Toc22035186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56</w:t>
        </w:r>
        <w:r w:rsidR="00453357" w:rsidRPr="00453357">
          <w:rPr>
            <w:rFonts w:ascii="Times New Roman" w:hAnsi="Times New Roman" w:cs="Times New Roman"/>
            <w:i w:val="0"/>
            <w:iCs w:val="0"/>
            <w:noProof/>
            <w:webHidden/>
            <w:sz w:val="24"/>
            <w:szCs w:val="24"/>
          </w:rPr>
          <w:fldChar w:fldCharType="end"/>
        </w:r>
      </w:hyperlink>
    </w:p>
    <w:p w14:paraId="01BFF132" w14:textId="01E6750C"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87" w:history="1">
        <w:r w:rsidR="00453357" w:rsidRPr="00453357">
          <w:rPr>
            <w:rStyle w:val="Hyperlink"/>
            <w:rFonts w:ascii="Times New Roman" w:hAnsi="Times New Roman" w:cs="Times New Roman"/>
            <w:i w:val="0"/>
            <w:iCs w:val="0"/>
            <w:noProof/>
            <w:sz w:val="24"/>
            <w:szCs w:val="24"/>
          </w:rPr>
          <w:t xml:space="preserve">Figure 2.3. Mean number of violent tornado days in the US per millennium for the period of a) 1880 - 2016 and select 30 year periods (b) 1880 - 1909, c) 1930 - 1959, d) 1987 - 2016. Figure created following the methods of (Concannon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2000).</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_Toc22035187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57</w:t>
        </w:r>
        <w:r w:rsidR="00453357" w:rsidRPr="00453357">
          <w:rPr>
            <w:rFonts w:ascii="Times New Roman" w:hAnsi="Times New Roman" w:cs="Times New Roman"/>
            <w:i w:val="0"/>
            <w:iCs w:val="0"/>
            <w:noProof/>
            <w:webHidden/>
            <w:sz w:val="24"/>
            <w:szCs w:val="24"/>
          </w:rPr>
          <w:fldChar w:fldCharType="end"/>
        </w:r>
      </w:hyperlink>
    </w:p>
    <w:p w14:paraId="3B94C994" w14:textId="03F6FF69"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88" w:history="1">
        <w:r w:rsidR="00453357" w:rsidRPr="00453357">
          <w:rPr>
            <w:rStyle w:val="Hyperlink"/>
            <w:rFonts w:ascii="Times New Roman" w:hAnsi="Times New Roman" w:cs="Times New Roman"/>
            <w:i w:val="0"/>
            <w:iCs w:val="0"/>
            <w:noProof/>
            <w:sz w:val="24"/>
            <w:szCs w:val="24"/>
          </w:rPr>
          <w:t>Figure 2.4. Violent tornado counts (a) and days with a violent tornado (b) per year from 1880 to 2016. Stacked bars are colored by region. Dashed line is the best fit using a linear model.</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_Toc22035188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58</w:t>
        </w:r>
        <w:r w:rsidR="00453357" w:rsidRPr="00453357">
          <w:rPr>
            <w:rFonts w:ascii="Times New Roman" w:hAnsi="Times New Roman" w:cs="Times New Roman"/>
            <w:i w:val="0"/>
            <w:iCs w:val="0"/>
            <w:noProof/>
            <w:webHidden/>
            <w:sz w:val="24"/>
            <w:szCs w:val="24"/>
          </w:rPr>
          <w:fldChar w:fldCharType="end"/>
        </w:r>
      </w:hyperlink>
    </w:p>
    <w:p w14:paraId="5606185F" w14:textId="669F64DF"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89" w:history="1">
        <w:r w:rsidR="00453357" w:rsidRPr="00453357">
          <w:rPr>
            <w:rStyle w:val="Hyperlink"/>
            <w:rFonts w:ascii="Times New Roman" w:hAnsi="Times New Roman" w:cs="Times New Roman"/>
            <w:i w:val="0"/>
            <w:iCs w:val="0"/>
            <w:noProof/>
            <w:sz w:val="24"/>
            <w:szCs w:val="24"/>
          </w:rPr>
          <w:t>Figure 2.5. Results of the sensitivity test for best census resolution at the grid cell-level over the study area. The best census level was the one that yielded the lowest root mean square error for the estimation error between the observed and synthetic footprint exposures. The sensitivity test involved replicating the 3 May 1999 Oklahoma tornado outbreak in each grid cell over a uniform rectangular grid with a resolution of 10 km spanning the entire study area.</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_Toc22035189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59</w:t>
        </w:r>
        <w:r w:rsidR="00453357" w:rsidRPr="00453357">
          <w:rPr>
            <w:rFonts w:ascii="Times New Roman" w:hAnsi="Times New Roman" w:cs="Times New Roman"/>
            <w:i w:val="0"/>
            <w:iCs w:val="0"/>
            <w:noProof/>
            <w:webHidden/>
            <w:sz w:val="24"/>
            <w:szCs w:val="24"/>
          </w:rPr>
          <w:fldChar w:fldCharType="end"/>
        </w:r>
      </w:hyperlink>
    </w:p>
    <w:p w14:paraId="42E1CAAE" w14:textId="390D06D4"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0" w:history="1">
        <w:r w:rsidR="00453357" w:rsidRPr="00453357">
          <w:rPr>
            <w:rStyle w:val="Hyperlink"/>
            <w:rFonts w:ascii="Times New Roman" w:hAnsi="Times New Roman" w:cs="Times New Roman"/>
            <w:i w:val="0"/>
            <w:iCs w:val="0"/>
            <w:noProof/>
            <w:sz w:val="24"/>
            <w:szCs w:val="24"/>
          </w:rPr>
          <w:t>Figure 2.6. Centroids of (a) violent tornadoes, (b) hits, (c) near-misses, and (d) far-misses between 1995 and 2016. Population density, at the county level, from the 2010 census is included for reference.</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_Toc22035190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60</w:t>
        </w:r>
        <w:r w:rsidR="00453357" w:rsidRPr="00453357">
          <w:rPr>
            <w:rFonts w:ascii="Times New Roman" w:hAnsi="Times New Roman" w:cs="Times New Roman"/>
            <w:i w:val="0"/>
            <w:iCs w:val="0"/>
            <w:noProof/>
            <w:webHidden/>
            <w:sz w:val="24"/>
            <w:szCs w:val="24"/>
          </w:rPr>
          <w:fldChar w:fldCharType="end"/>
        </w:r>
      </w:hyperlink>
    </w:p>
    <w:p w14:paraId="6B294AB4" w14:textId="7B09100A"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1" w:history="1">
        <w:r w:rsidR="00453357" w:rsidRPr="00453357">
          <w:rPr>
            <w:rStyle w:val="Hyperlink"/>
            <w:rFonts w:ascii="Times New Roman" w:hAnsi="Times New Roman" w:cs="Times New Roman"/>
            <w:i w:val="0"/>
            <w:iCs w:val="0"/>
            <w:noProof/>
            <w:sz w:val="24"/>
            <w:szCs w:val="24"/>
          </w:rPr>
          <w:t xml:space="preserve">Figure 2.7. High-risk area for all violent tornadoes (grey) and near-misses or hits (stippled) between 1995 and 2016. High-risk area is defined as the area expected to have had at least two violent tornado days per century. High-risk areas were calculated after the data had been smoothed with a Gaussian lowpass filter with a standard deviation of 120 km (Concannon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2000).</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_Toc22035191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61</w:t>
        </w:r>
        <w:r w:rsidR="00453357" w:rsidRPr="00453357">
          <w:rPr>
            <w:rFonts w:ascii="Times New Roman" w:hAnsi="Times New Roman" w:cs="Times New Roman"/>
            <w:i w:val="0"/>
            <w:iCs w:val="0"/>
            <w:noProof/>
            <w:webHidden/>
            <w:sz w:val="24"/>
            <w:szCs w:val="24"/>
          </w:rPr>
          <w:fldChar w:fldCharType="end"/>
        </w:r>
      </w:hyperlink>
    </w:p>
    <w:p w14:paraId="2A23BEE6" w14:textId="50F39998"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2" w:history="1">
        <w:r w:rsidR="00453357" w:rsidRPr="00453357">
          <w:rPr>
            <w:rStyle w:val="Hyperlink"/>
            <w:rFonts w:ascii="Times New Roman" w:hAnsi="Times New Roman" w:cs="Times New Roman"/>
            <w:i w:val="0"/>
            <w:iCs w:val="0"/>
            <w:noProof/>
            <w:sz w:val="24"/>
            <w:szCs w:val="24"/>
          </w:rPr>
          <w:t>Figure 2.8. Probability that a violent tornado hitting within 10 km of its original footprint would have resulted in a hit between 1995 and 2016. Population density, at the county level, from the 2010 census is included for reference. The size of the dots relate to the probability category with higher probabilities represented by larger circles.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_Toc22035192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62</w:t>
        </w:r>
        <w:r w:rsidR="00453357" w:rsidRPr="00453357">
          <w:rPr>
            <w:rFonts w:ascii="Times New Roman" w:hAnsi="Times New Roman" w:cs="Times New Roman"/>
            <w:i w:val="0"/>
            <w:iCs w:val="0"/>
            <w:noProof/>
            <w:webHidden/>
            <w:sz w:val="24"/>
            <w:szCs w:val="24"/>
          </w:rPr>
          <w:fldChar w:fldCharType="end"/>
        </w:r>
      </w:hyperlink>
    </w:p>
    <w:p w14:paraId="385F396C" w14:textId="4DABDFCE"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3" w:history="1">
        <w:r w:rsidR="00453357" w:rsidRPr="00453357">
          <w:rPr>
            <w:rStyle w:val="Hyperlink"/>
            <w:rFonts w:ascii="Times New Roman" w:hAnsi="Times New Roman" w:cs="Times New Roman"/>
            <w:i w:val="0"/>
            <w:iCs w:val="0"/>
            <w:noProof/>
            <w:sz w:val="24"/>
            <w:szCs w:val="24"/>
          </w:rPr>
          <w:t xml:space="preserve">Figure 2.9. Examples of the tornado footprints for a near-miss, far-miss, and hit. a) A reference map of the US displaying the extent for each example. b) A near-miss on the City of Norman, Oklahoma on 10 May 2010. c) A far-miss for the Cities of Canton and Pekin in Illinois on 13 May 1995. d) A hit on the City of Cleveland, Tennessee on 27 April 2011. The population grids (for each potential impact zone) were generated following the method of (Ashley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2014) and use the block-level census data from the 1990 and 2010 censuses and a grid cell resolution matching the mean block size in the potential impact zone. The population was linearly interpolated to the year of the tornado.</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_Toc22035193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63</w:t>
        </w:r>
        <w:r w:rsidR="00453357" w:rsidRPr="00453357">
          <w:rPr>
            <w:rFonts w:ascii="Times New Roman" w:hAnsi="Times New Roman" w:cs="Times New Roman"/>
            <w:i w:val="0"/>
            <w:iCs w:val="0"/>
            <w:noProof/>
            <w:webHidden/>
            <w:sz w:val="24"/>
            <w:szCs w:val="24"/>
          </w:rPr>
          <w:fldChar w:fldCharType="end"/>
        </w:r>
      </w:hyperlink>
    </w:p>
    <w:p w14:paraId="382AC318" w14:textId="370A97BD"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4" w:history="1">
        <w:r w:rsidR="00453357" w:rsidRPr="00453357">
          <w:rPr>
            <w:rStyle w:val="Hyperlink"/>
            <w:rFonts w:ascii="Times New Roman" w:hAnsi="Times New Roman" w:cs="Times New Roman"/>
            <w:i w:val="0"/>
            <w:iCs w:val="0"/>
            <w:noProof/>
            <w:sz w:val="24"/>
            <w:szCs w:val="24"/>
          </w:rPr>
          <w:t xml:space="preserve">Figure 2.10. Counties with clusters of (a) violent tornadoes, (b) hits, (c) near-misses, and (d) far-misses. Counties are identified as clusters based on a local Moran's I test with </w:t>
        </w:r>
        <m:oMath>
          <m:r>
            <w:rPr>
              <w:rStyle w:val="Hyperlink"/>
              <w:rFonts w:ascii="Cambria Math" w:hAnsi="Cambria Math" w:cs="Times New Roman"/>
              <w:noProof/>
              <w:sz w:val="24"/>
              <w:szCs w:val="24"/>
            </w:rPr>
            <m:t>α=0.05</m:t>
          </m:r>
        </m:oMath>
        <w:r w:rsidR="00453357" w:rsidRPr="00453357">
          <w:rPr>
            <w:rStyle w:val="Hyperlink"/>
            <w:rFonts w:ascii="Times New Roman" w:hAnsi="Times New Roman" w:cs="Times New Roman"/>
            <w:i w:val="0"/>
            <w:iCs w:val="0"/>
            <w:noProof/>
            <w:sz w:val="24"/>
            <w:szCs w:val="24"/>
          </w:rPr>
          <w:t>. Metropolitan Statistical Areas with populations greater than or equal to 500,000 persons are also plotted for reference.</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_Toc22035194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64</w:t>
        </w:r>
        <w:r w:rsidR="00453357" w:rsidRPr="00453357">
          <w:rPr>
            <w:rFonts w:ascii="Times New Roman" w:hAnsi="Times New Roman" w:cs="Times New Roman"/>
            <w:i w:val="0"/>
            <w:iCs w:val="0"/>
            <w:noProof/>
            <w:webHidden/>
            <w:sz w:val="24"/>
            <w:szCs w:val="24"/>
          </w:rPr>
          <w:fldChar w:fldCharType="end"/>
        </w:r>
      </w:hyperlink>
    </w:p>
    <w:p w14:paraId="5B8B47E8" w14:textId="44634DF6"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5" w:history="1">
        <w:r w:rsidR="00453357" w:rsidRPr="00453357">
          <w:rPr>
            <w:rStyle w:val="Hyperlink"/>
            <w:rFonts w:ascii="Times New Roman" w:hAnsi="Times New Roman" w:cs="Times New Roman"/>
            <w:i w:val="0"/>
            <w:iCs w:val="0"/>
            <w:noProof/>
            <w:sz w:val="24"/>
            <w:szCs w:val="24"/>
          </w:rPr>
          <w:t xml:space="preserve">Figure 3.1. Tornado Daily Impacts Simulator (TorDIS) model flow chart. Rhombus shapes represent model input, squares represent model processes, rounded rectangles represent model decisions, and the oval represents the model output. Modelled after Figure 1 in Strader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xml:space="preserve"> (2016) for comparison.</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_Toc22035195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93</w:t>
        </w:r>
        <w:r w:rsidR="00453357" w:rsidRPr="00453357">
          <w:rPr>
            <w:rFonts w:ascii="Times New Roman" w:hAnsi="Times New Roman" w:cs="Times New Roman"/>
            <w:i w:val="0"/>
            <w:iCs w:val="0"/>
            <w:noProof/>
            <w:webHidden/>
            <w:sz w:val="24"/>
            <w:szCs w:val="24"/>
          </w:rPr>
          <w:fldChar w:fldCharType="end"/>
        </w:r>
      </w:hyperlink>
    </w:p>
    <w:p w14:paraId="09528778" w14:textId="51751A8E"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6" w:history="1">
        <w:r w:rsidR="00453357" w:rsidRPr="00453357">
          <w:rPr>
            <w:rStyle w:val="Hyperlink"/>
            <w:rFonts w:ascii="Times New Roman" w:hAnsi="Times New Roman" w:cs="Times New Roman"/>
            <w:i w:val="0"/>
            <w:iCs w:val="0"/>
            <w:noProof/>
            <w:sz w:val="24"/>
            <w:szCs w:val="24"/>
          </w:rPr>
          <w:t>Figure 3.2. Population for major cities within the model domain. The dashed line refers to the maximum study area size for a model run assuming a 50 km buffer to reduce edge effects.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_Toc22035196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94</w:t>
        </w:r>
        <w:r w:rsidR="00453357" w:rsidRPr="00453357">
          <w:rPr>
            <w:rFonts w:ascii="Times New Roman" w:hAnsi="Times New Roman" w:cs="Times New Roman"/>
            <w:i w:val="0"/>
            <w:iCs w:val="0"/>
            <w:noProof/>
            <w:webHidden/>
            <w:sz w:val="24"/>
            <w:szCs w:val="24"/>
          </w:rPr>
          <w:fldChar w:fldCharType="end"/>
        </w:r>
      </w:hyperlink>
    </w:p>
    <w:p w14:paraId="3E23C78F" w14:textId="586C98AC"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7" w:history="1">
        <w:r w:rsidR="00453357" w:rsidRPr="00453357">
          <w:rPr>
            <w:rStyle w:val="Hyperlink"/>
            <w:rFonts w:ascii="Times New Roman" w:hAnsi="Times New Roman" w:cs="Times New Roman"/>
            <w:i w:val="0"/>
            <w:iCs w:val="0"/>
            <w:noProof/>
            <w:sz w:val="24"/>
            <w:szCs w:val="24"/>
          </w:rPr>
          <w:t xml:space="preserve">Figure 3.3.  Comparison between probabilistic tornado forecasts for 2015 May 10 generated by the SPC (a) and TorDIS (b). Tornado reports for 2015 May 10 are plotted as upside-down triangles to show the accuracy of the forecast areas. Probabilistic forecasts are smoothed using a Gaussian low-pass filter with a 120 km standard deviation. All smoothed forecasts with a probability of less than 2% are set to 0 to match the SPC’s practice of not showing probabilities below 2% (Hitchens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2013).</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_Toc22035197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95</w:t>
        </w:r>
        <w:r w:rsidR="00453357" w:rsidRPr="00453357">
          <w:rPr>
            <w:rFonts w:ascii="Times New Roman" w:hAnsi="Times New Roman" w:cs="Times New Roman"/>
            <w:i w:val="0"/>
            <w:iCs w:val="0"/>
            <w:noProof/>
            <w:webHidden/>
            <w:sz w:val="24"/>
            <w:szCs w:val="24"/>
          </w:rPr>
          <w:fldChar w:fldCharType="end"/>
        </w:r>
      </w:hyperlink>
    </w:p>
    <w:p w14:paraId="7DAB7EEE" w14:textId="35A49698"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8" w:history="1">
        <w:r w:rsidR="00453357" w:rsidRPr="00453357">
          <w:rPr>
            <w:rStyle w:val="Hyperlink"/>
            <w:rFonts w:ascii="Times New Roman" w:hAnsi="Times New Roman" w:cs="Times New Roman"/>
            <w:i w:val="0"/>
            <w:iCs w:val="0"/>
            <w:noProof/>
            <w:sz w:val="24"/>
            <w:szCs w:val="24"/>
          </w:rPr>
          <w:t xml:space="preserve">Figure 3.4. (a) Observed tornado footprints for 1979 to 2016 from SVRGIS over gridded 2010 population counts from SEDAC for the Oklahoma City Metropolitan Area. (b) Same as (a) but for a random sample of 38 years of simulated tornado footprints. (c) Same as (a) but for all tornado footprints from the 38 most impactful years over the Oklahoma City Metropolitan Area (in terms of total persons exposed to tornado winds per year). Sample sizes were chosen to be over 38 years since it matches the length of 1979 to 2016 observed period. The figure is modelled after Figure 4 from Strader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xml:space="preserve"> (2016).</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_Toc22035198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96</w:t>
        </w:r>
        <w:r w:rsidR="00453357" w:rsidRPr="00453357">
          <w:rPr>
            <w:rFonts w:ascii="Times New Roman" w:hAnsi="Times New Roman" w:cs="Times New Roman"/>
            <w:i w:val="0"/>
            <w:iCs w:val="0"/>
            <w:noProof/>
            <w:webHidden/>
            <w:sz w:val="24"/>
            <w:szCs w:val="24"/>
          </w:rPr>
          <w:fldChar w:fldCharType="end"/>
        </w:r>
      </w:hyperlink>
    </w:p>
    <w:p w14:paraId="37316354" w14:textId="47DC224A"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199" w:history="1">
        <w:r w:rsidR="00453357" w:rsidRPr="00453357">
          <w:rPr>
            <w:rStyle w:val="Hyperlink"/>
            <w:rFonts w:ascii="Times New Roman" w:hAnsi="Times New Roman" w:cs="Times New Roman"/>
            <w:i w:val="0"/>
            <w:iCs w:val="0"/>
            <w:noProof/>
            <w:sz w:val="24"/>
            <w:szCs w:val="24"/>
          </w:rPr>
          <w:t>Figure 3.5. Monthly variation in significant tornado counts and mean annual persons exposed to significant tornado winds over the Oklahoma City Metropolitan Statistical Area.</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_Toc22035199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97</w:t>
        </w:r>
        <w:r w:rsidR="00453357" w:rsidRPr="00453357">
          <w:rPr>
            <w:rFonts w:ascii="Times New Roman" w:hAnsi="Times New Roman" w:cs="Times New Roman"/>
            <w:i w:val="0"/>
            <w:iCs w:val="0"/>
            <w:noProof/>
            <w:webHidden/>
            <w:sz w:val="24"/>
            <w:szCs w:val="24"/>
          </w:rPr>
          <w:fldChar w:fldCharType="end"/>
        </w:r>
      </w:hyperlink>
    </w:p>
    <w:p w14:paraId="7CBC5285" w14:textId="515CB681"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0" w:history="1">
        <w:r w:rsidR="00453357" w:rsidRPr="00453357">
          <w:rPr>
            <w:rStyle w:val="Hyperlink"/>
            <w:rFonts w:ascii="Times New Roman" w:hAnsi="Times New Roman" w:cs="Times New Roman"/>
            <w:i w:val="0"/>
            <w:iCs w:val="0"/>
            <w:noProof/>
            <w:sz w:val="24"/>
            <w:szCs w:val="24"/>
          </w:rPr>
          <w:t>Figure 3.6. The probability that a significant (a) or violent (b) tornado would impact more persons than a set threshold for a 1,000-year simulation over the Birmingham, Dallas/Fort Worth, Omaha, Chicago, Oklahoma City and St. Louis Metropolitan Statistical Areas.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_Toc22035200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98</w:t>
        </w:r>
        <w:r w:rsidR="00453357" w:rsidRPr="00453357">
          <w:rPr>
            <w:rFonts w:ascii="Times New Roman" w:hAnsi="Times New Roman" w:cs="Times New Roman"/>
            <w:i w:val="0"/>
            <w:iCs w:val="0"/>
            <w:noProof/>
            <w:webHidden/>
            <w:sz w:val="24"/>
            <w:szCs w:val="24"/>
          </w:rPr>
          <w:fldChar w:fldCharType="end"/>
        </w:r>
      </w:hyperlink>
    </w:p>
    <w:p w14:paraId="5FB6C3AE" w14:textId="5D286C4A"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1" w:history="1">
        <w:r w:rsidR="00453357" w:rsidRPr="00453357">
          <w:rPr>
            <w:rStyle w:val="Hyperlink"/>
            <w:rFonts w:ascii="Times New Roman" w:hAnsi="Times New Roman" w:cs="Times New Roman"/>
            <w:i w:val="0"/>
            <w:iCs w:val="0"/>
            <w:noProof/>
            <w:sz w:val="24"/>
            <w:szCs w:val="24"/>
          </w:rPr>
          <w:t xml:space="preserve">Figure 4.1. Study area representing the three primary counties of the Oklahoma City Metropolitan Area (Canadian, Cleveland, and Oklahoma) in the state of Oklahoma. The dashed line represents the 100 kilometer buffer used by the TorDIS model (Hatzis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in review) to reduce edge effects.</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_Toc22035201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126</w:t>
        </w:r>
        <w:r w:rsidR="00453357" w:rsidRPr="00453357">
          <w:rPr>
            <w:rFonts w:ascii="Times New Roman" w:hAnsi="Times New Roman" w:cs="Times New Roman"/>
            <w:i w:val="0"/>
            <w:iCs w:val="0"/>
            <w:noProof/>
            <w:webHidden/>
            <w:sz w:val="24"/>
            <w:szCs w:val="24"/>
          </w:rPr>
          <w:fldChar w:fldCharType="end"/>
        </w:r>
      </w:hyperlink>
    </w:p>
    <w:p w14:paraId="017DE4B9" w14:textId="154914F6"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2" w:history="1">
        <w:r w:rsidR="00453357" w:rsidRPr="00453357">
          <w:rPr>
            <w:rStyle w:val="Hyperlink"/>
            <w:rFonts w:ascii="Times New Roman" w:hAnsi="Times New Roman" w:cs="Times New Roman"/>
            <w:i w:val="0"/>
            <w:iCs w:val="0"/>
            <w:noProof/>
            <w:sz w:val="24"/>
            <w:szCs w:val="24"/>
          </w:rPr>
          <w:t>Figure 4.2. Population and tornado climate change over the Oklahoma City Metropolitan Area in the 21</w:t>
        </w:r>
        <w:r w:rsidR="00453357" w:rsidRPr="00453357">
          <w:rPr>
            <w:rStyle w:val="Hyperlink"/>
            <w:rFonts w:ascii="Times New Roman" w:hAnsi="Times New Roman" w:cs="Times New Roman"/>
            <w:i w:val="0"/>
            <w:iCs w:val="0"/>
            <w:noProof/>
            <w:sz w:val="24"/>
            <w:szCs w:val="24"/>
            <w:vertAlign w:val="superscript"/>
          </w:rPr>
          <w:t>st</w:t>
        </w:r>
        <w:r w:rsidR="00453357" w:rsidRPr="00453357">
          <w:rPr>
            <w:rStyle w:val="Hyperlink"/>
            <w:rFonts w:ascii="Times New Roman" w:hAnsi="Times New Roman" w:cs="Times New Roman"/>
            <w:i w:val="0"/>
            <w:iCs w:val="0"/>
            <w:noProof/>
            <w:sz w:val="24"/>
            <w:szCs w:val="24"/>
          </w:rPr>
          <w:t xml:space="preserve"> century. a.) 2010 parcel-based estimates of population density (persons km</w:t>
        </w:r>
        <w:r w:rsidR="00453357" w:rsidRPr="00453357">
          <w:rPr>
            <w:rStyle w:val="Hyperlink"/>
            <w:rFonts w:ascii="Times New Roman" w:hAnsi="Times New Roman" w:cs="Times New Roman"/>
            <w:i w:val="0"/>
            <w:iCs w:val="0"/>
            <w:noProof/>
            <w:sz w:val="24"/>
            <w:szCs w:val="24"/>
            <w:vertAlign w:val="superscript"/>
          </w:rPr>
          <w:t>-2</w:t>
        </w:r>
        <w:r w:rsidR="00453357" w:rsidRPr="00453357">
          <w:rPr>
            <w:rStyle w:val="Hyperlink"/>
            <w:rFonts w:ascii="Times New Roman" w:hAnsi="Times New Roman" w:cs="Times New Roman"/>
            <w:i w:val="0"/>
            <w:iCs w:val="0"/>
            <w:noProof/>
            <w:sz w:val="24"/>
            <w:szCs w:val="24"/>
          </w:rPr>
          <w:t>). (b) Same as a) but for 2050 parcel-based projections of population density. c.) Mean number of days with tornado favorable conditions (based on the severe weather regression equations) during the 1990 – 1999 period on a 50 km resolution grid. d.) Same as c) but for the projected period of 2045 – 2054, based on the NARCCAP climate data.</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_Toc22035202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127</w:t>
        </w:r>
        <w:r w:rsidR="00453357" w:rsidRPr="00453357">
          <w:rPr>
            <w:rFonts w:ascii="Times New Roman" w:hAnsi="Times New Roman" w:cs="Times New Roman"/>
            <w:i w:val="0"/>
            <w:iCs w:val="0"/>
            <w:noProof/>
            <w:webHidden/>
            <w:sz w:val="24"/>
            <w:szCs w:val="24"/>
          </w:rPr>
          <w:fldChar w:fldCharType="end"/>
        </w:r>
      </w:hyperlink>
    </w:p>
    <w:p w14:paraId="55BC4002" w14:textId="70B5917B"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3" w:history="1">
        <w:r w:rsidR="00453357" w:rsidRPr="00453357">
          <w:rPr>
            <w:rStyle w:val="Hyperlink"/>
            <w:rFonts w:ascii="Times New Roman" w:hAnsi="Times New Roman" w:cs="Times New Roman"/>
            <w:i w:val="0"/>
            <w:iCs w:val="0"/>
            <w:noProof/>
            <w:sz w:val="24"/>
            <w:szCs w:val="24"/>
          </w:rPr>
          <w:t xml:space="preserve">Figure 4.3. Flowchart for each daily simulation using TorDIS. Rhombus shapes represent model input, squares represent model processes, rounded rectangles represent model decisions, cross in circle shapes represents a choice between two inputs (two climate scenarios or two urban development scenarios) and the oval represents the model output. Adapted from Figure 1 in Hatzis </w:t>
        </w:r>
        <w:r w:rsidR="00453357" w:rsidRPr="00453357">
          <w:rPr>
            <w:rStyle w:val="Hyperlink"/>
            <w:rFonts w:ascii="Times New Roman" w:hAnsi="Times New Roman" w:cs="Times New Roman"/>
            <w:noProof/>
            <w:sz w:val="24"/>
            <w:szCs w:val="24"/>
          </w:rPr>
          <w:t>et al.</w:t>
        </w:r>
        <w:r w:rsidR="00453357" w:rsidRPr="00453357">
          <w:rPr>
            <w:rStyle w:val="Hyperlink"/>
            <w:rFonts w:ascii="Times New Roman" w:hAnsi="Times New Roman" w:cs="Times New Roman"/>
            <w:i w:val="0"/>
            <w:iCs w:val="0"/>
            <w:noProof/>
            <w:sz w:val="24"/>
            <w:szCs w:val="24"/>
          </w:rPr>
          <w:t xml:space="preserve"> (in review).</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_Toc22035203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128</w:t>
        </w:r>
        <w:r w:rsidR="00453357" w:rsidRPr="00453357">
          <w:rPr>
            <w:rFonts w:ascii="Times New Roman" w:hAnsi="Times New Roman" w:cs="Times New Roman"/>
            <w:i w:val="0"/>
            <w:iCs w:val="0"/>
            <w:noProof/>
            <w:webHidden/>
            <w:sz w:val="24"/>
            <w:szCs w:val="24"/>
          </w:rPr>
          <w:fldChar w:fldCharType="end"/>
        </w:r>
      </w:hyperlink>
    </w:p>
    <w:p w14:paraId="31F06C6A" w14:textId="54EF1A3C"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4" w:history="1">
        <w:r w:rsidR="00453357" w:rsidRPr="00453357">
          <w:rPr>
            <w:rStyle w:val="Hyperlink"/>
            <w:rFonts w:ascii="Times New Roman" w:hAnsi="Times New Roman" w:cs="Times New Roman"/>
            <w:i w:val="0"/>
            <w:iCs w:val="0"/>
            <w:noProof/>
            <w:sz w:val="24"/>
            <w:szCs w:val="24"/>
          </w:rPr>
          <w:t>Figure 4.4. Significant tornado footprints from the ten most impactful years of each simulation. Footprints correspond to the following scenarios: baseline control a), climate change only b), urban development only c), and urban development and climate change d). Footprints are overlaid upon the population densities used in each scenario: 2010 estimates (a and b) and 2050 projections (c and d).</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_Toc22035204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129</w:t>
        </w:r>
        <w:r w:rsidR="00453357" w:rsidRPr="00453357">
          <w:rPr>
            <w:rFonts w:ascii="Times New Roman" w:hAnsi="Times New Roman" w:cs="Times New Roman"/>
            <w:i w:val="0"/>
            <w:iCs w:val="0"/>
            <w:noProof/>
            <w:webHidden/>
            <w:sz w:val="24"/>
            <w:szCs w:val="24"/>
          </w:rPr>
          <w:fldChar w:fldCharType="end"/>
        </w:r>
      </w:hyperlink>
    </w:p>
    <w:p w14:paraId="6F7BDBB9" w14:textId="4D252141"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5" w:history="1">
        <w:r w:rsidR="00453357" w:rsidRPr="00453357">
          <w:rPr>
            <w:rStyle w:val="Hyperlink"/>
            <w:rFonts w:ascii="Times New Roman" w:hAnsi="Times New Roman" w:cs="Times New Roman"/>
            <w:i w:val="0"/>
            <w:iCs w:val="0"/>
            <w:noProof/>
            <w:sz w:val="24"/>
            <w:szCs w:val="24"/>
          </w:rPr>
          <w:t>Figure 4.5. Probability of exceedance curves for the annual total population exposed to tornado winds for (a) the Oklahoma City Metropolitan Area, (b) Oklahoma County, (c) Cleveland County, and (d) Canadian County. Black line represents the baseline scenario, blue represents the climate change only scenario, red represents the population change only scenario, and purple represents the climate and population change scenario.</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_Toc22035205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130</w:t>
        </w:r>
        <w:r w:rsidR="00453357" w:rsidRPr="00453357">
          <w:rPr>
            <w:rFonts w:ascii="Times New Roman" w:hAnsi="Times New Roman" w:cs="Times New Roman"/>
            <w:i w:val="0"/>
            <w:iCs w:val="0"/>
            <w:noProof/>
            <w:webHidden/>
            <w:sz w:val="24"/>
            <w:szCs w:val="24"/>
          </w:rPr>
          <w:fldChar w:fldCharType="end"/>
        </w:r>
      </w:hyperlink>
    </w:p>
    <w:p w14:paraId="7DA93167" w14:textId="67A87328" w:rsidR="00453357" w:rsidRPr="00453357" w:rsidRDefault="00315883" w:rsidP="00453357">
      <w:pPr>
        <w:pStyle w:val="TableofFigures"/>
        <w:keepNext/>
        <w:keepLines/>
        <w:tabs>
          <w:tab w:val="right" w:leader="dot" w:pos="9350"/>
        </w:tabs>
        <w:spacing w:after="120"/>
        <w:ind w:left="720" w:hanging="720"/>
        <w:rPr>
          <w:rFonts w:ascii="Times New Roman" w:eastAsiaTheme="minorEastAsia" w:hAnsi="Times New Roman" w:cs="Times New Roman"/>
          <w:i w:val="0"/>
          <w:iCs w:val="0"/>
          <w:noProof/>
          <w:sz w:val="24"/>
          <w:szCs w:val="24"/>
        </w:rPr>
      </w:pPr>
      <w:hyperlink w:anchor="_Toc22035206" w:history="1">
        <w:r w:rsidR="00453357" w:rsidRPr="00453357">
          <w:rPr>
            <w:rStyle w:val="Hyperlink"/>
            <w:rFonts w:ascii="Times New Roman" w:hAnsi="Times New Roman" w:cs="Times New Roman"/>
            <w:i w:val="0"/>
            <w:iCs w:val="0"/>
            <w:noProof/>
            <w:sz w:val="24"/>
            <w:szCs w:val="24"/>
          </w:rPr>
          <w:t>Figure A.1. Total order global sensitivity indices for all logistic regression parameters following the method of Sobol (1993). The following equations are included: the probability of severe weather in a low or moderate to high CAPE environment (a, c) and the probability of tornadoes given severe weather in a low or moderate to high CAPE environment (b, d). Parameter indices with values above 5% are labelled.</w:t>
        </w:r>
        <w:r w:rsidR="00453357" w:rsidRPr="00453357">
          <w:rPr>
            <w:rFonts w:ascii="Times New Roman" w:hAnsi="Times New Roman" w:cs="Times New Roman"/>
            <w:i w:val="0"/>
            <w:iCs w:val="0"/>
            <w:noProof/>
            <w:webHidden/>
            <w:sz w:val="24"/>
            <w:szCs w:val="24"/>
          </w:rPr>
          <w:tab/>
        </w:r>
        <w:r w:rsidR="00453357" w:rsidRPr="00453357">
          <w:rPr>
            <w:rFonts w:ascii="Times New Roman" w:hAnsi="Times New Roman" w:cs="Times New Roman"/>
            <w:i w:val="0"/>
            <w:iCs w:val="0"/>
            <w:noProof/>
            <w:webHidden/>
            <w:sz w:val="24"/>
            <w:szCs w:val="24"/>
          </w:rPr>
          <w:fldChar w:fldCharType="begin"/>
        </w:r>
        <w:r w:rsidR="00453357" w:rsidRPr="00453357">
          <w:rPr>
            <w:rFonts w:ascii="Times New Roman" w:hAnsi="Times New Roman" w:cs="Times New Roman"/>
            <w:i w:val="0"/>
            <w:iCs w:val="0"/>
            <w:noProof/>
            <w:webHidden/>
            <w:sz w:val="24"/>
            <w:szCs w:val="24"/>
          </w:rPr>
          <w:instrText xml:space="preserve"> PAGEREF _Toc22035206 \h </w:instrText>
        </w:r>
        <w:r w:rsidR="00453357" w:rsidRPr="00453357">
          <w:rPr>
            <w:rFonts w:ascii="Times New Roman" w:hAnsi="Times New Roman" w:cs="Times New Roman"/>
            <w:i w:val="0"/>
            <w:iCs w:val="0"/>
            <w:noProof/>
            <w:webHidden/>
            <w:sz w:val="24"/>
            <w:szCs w:val="24"/>
          </w:rPr>
        </w:r>
        <w:r w:rsidR="00453357" w:rsidRPr="00453357">
          <w:rPr>
            <w:rFonts w:ascii="Times New Roman" w:hAnsi="Times New Roman" w:cs="Times New Roman"/>
            <w:i w:val="0"/>
            <w:iCs w:val="0"/>
            <w:noProof/>
            <w:webHidden/>
            <w:sz w:val="24"/>
            <w:szCs w:val="24"/>
          </w:rPr>
          <w:fldChar w:fldCharType="separate"/>
        </w:r>
        <w:r w:rsidR="00F95F7F">
          <w:rPr>
            <w:rFonts w:ascii="Times New Roman" w:hAnsi="Times New Roman" w:cs="Times New Roman"/>
            <w:i w:val="0"/>
            <w:iCs w:val="0"/>
            <w:noProof/>
            <w:webHidden/>
            <w:sz w:val="24"/>
            <w:szCs w:val="24"/>
          </w:rPr>
          <w:t>161</w:t>
        </w:r>
        <w:r w:rsidR="00453357" w:rsidRPr="00453357">
          <w:rPr>
            <w:rFonts w:ascii="Times New Roman" w:hAnsi="Times New Roman" w:cs="Times New Roman"/>
            <w:i w:val="0"/>
            <w:iCs w:val="0"/>
            <w:noProof/>
            <w:webHidden/>
            <w:sz w:val="24"/>
            <w:szCs w:val="24"/>
          </w:rPr>
          <w:fldChar w:fldCharType="end"/>
        </w:r>
      </w:hyperlink>
    </w:p>
    <w:p w14:paraId="687E3047" w14:textId="4D9805E3" w:rsidR="009554C7" w:rsidRPr="004F469F" w:rsidRDefault="00453357" w:rsidP="00453357">
      <w:pPr>
        <w:keepNext/>
        <w:keepLines/>
        <w:spacing w:after="120"/>
        <w:ind w:left="720" w:hanging="720"/>
        <w:rPr>
          <w:noProof/>
        </w:rPr>
      </w:pPr>
      <w:r w:rsidRPr="00453357">
        <w:rPr>
          <w:smallCaps/>
          <w:noProof/>
        </w:rPr>
        <w:fldChar w:fldCharType="end"/>
      </w:r>
    </w:p>
    <w:p w14:paraId="1D888682" w14:textId="77777777" w:rsidR="00387354" w:rsidRPr="004F469F" w:rsidRDefault="00387354" w:rsidP="005C144D">
      <w:pPr>
        <w:rPr>
          <w:noProof/>
        </w:rPr>
      </w:pPr>
    </w:p>
    <w:p w14:paraId="1820FDF2" w14:textId="61C20040" w:rsidR="00C645E5" w:rsidRPr="004F469F" w:rsidRDefault="00C645E5" w:rsidP="005C144D">
      <w:pPr>
        <w:rPr>
          <w:noProof/>
        </w:rPr>
      </w:pPr>
    </w:p>
    <w:p w14:paraId="2AFBF460" w14:textId="77777777" w:rsidR="005F58DF" w:rsidRPr="004F469F" w:rsidRDefault="005F58DF" w:rsidP="005C144D">
      <w:pPr>
        <w:rPr>
          <w:noProof/>
        </w:rPr>
        <w:sectPr w:rsidR="005F58DF" w:rsidRPr="004F469F" w:rsidSect="003C3EF2">
          <w:footerReference w:type="default" r:id="rId10"/>
          <w:pgSz w:w="12240" w:h="15840"/>
          <w:pgMar w:top="1440" w:right="1440" w:bottom="1440" w:left="1440" w:header="720" w:footer="720" w:gutter="0"/>
          <w:pgNumType w:fmt="lowerRoman"/>
          <w:cols w:space="720"/>
          <w:docGrid w:linePitch="360"/>
        </w:sectPr>
      </w:pPr>
    </w:p>
    <w:p w14:paraId="4C57ECC2" w14:textId="5D522D16" w:rsidR="00797351" w:rsidRPr="00E5297C" w:rsidRDefault="00CB3570" w:rsidP="00CA0FB7">
      <w:pPr>
        <w:pStyle w:val="Heading1"/>
        <w:spacing w:before="0"/>
        <w:rPr>
          <w:rFonts w:ascii="Times New Roman" w:hAnsi="Times New Roman" w:cs="Times New Roman"/>
          <w:b/>
          <w:bCs/>
          <w:color w:val="auto"/>
        </w:rPr>
      </w:pPr>
      <w:bookmarkStart w:id="5" w:name="_Toc21861278"/>
      <w:r w:rsidRPr="00E5297C">
        <w:rPr>
          <w:rFonts w:ascii="Times New Roman" w:hAnsi="Times New Roman" w:cs="Times New Roman"/>
          <w:b/>
          <w:bCs/>
          <w:color w:val="auto"/>
        </w:rPr>
        <w:lastRenderedPageBreak/>
        <w:t>Introduction</w:t>
      </w:r>
      <w:bookmarkEnd w:id="5"/>
    </w:p>
    <w:p w14:paraId="1F5237DA" w14:textId="77777777" w:rsidR="004F469F" w:rsidRPr="004F469F" w:rsidRDefault="004F469F" w:rsidP="004F469F">
      <w:pPr>
        <w:rPr>
          <w:sz w:val="32"/>
          <w:szCs w:val="32"/>
        </w:rPr>
      </w:pPr>
    </w:p>
    <w:p w14:paraId="6422BA5F" w14:textId="2328E693" w:rsidR="00797351" w:rsidRPr="004F469F" w:rsidRDefault="00797351" w:rsidP="00AA740D">
      <w:pPr>
        <w:snapToGrid w:val="0"/>
        <w:spacing w:after="120" w:line="480" w:lineRule="auto"/>
        <w:ind w:firstLine="720"/>
      </w:pPr>
      <w:r w:rsidRPr="004F469F">
        <w:t xml:space="preserve">Tornadoes are an extremely powerful force of nature capable of posing a significant threat to both life and property. Based on the 1981 – 2010 climate norms, an average of 1,100 tornadoes are reported in the United States each year </w:t>
      </w:r>
      <w:r w:rsidRPr="004F469F">
        <w:fldChar w:fldCharType="begin" w:fldLock="1"/>
      </w:r>
      <w:r w:rsidR="001F078B"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001F078B" w:rsidRPr="004F469F">
        <w:rPr>
          <w:noProof/>
        </w:rPr>
        <w:t>(SPC, 2017)</w:t>
      </w:r>
      <w:r w:rsidRPr="004F469F">
        <w:fldChar w:fldCharType="end"/>
      </w:r>
      <w:r w:rsidRPr="004F469F">
        <w:t xml:space="preserve"> and, while most tornadoes cause relatively little damage and few casualties </w:t>
      </w:r>
      <w:r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Pr="004F469F">
        <w:fldChar w:fldCharType="separate"/>
      </w:r>
      <w:r w:rsidR="0076275F" w:rsidRPr="004F469F">
        <w:rPr>
          <w:noProof/>
        </w:rPr>
        <w:t>(Ashley, 2007)</w:t>
      </w:r>
      <w:r w:rsidRPr="004F469F">
        <w:fldChar w:fldCharType="end"/>
      </w:r>
      <w:r w:rsidRPr="004F469F">
        <w:t xml:space="preserve">, a single tornado can cause a large number of fatalities </w:t>
      </w:r>
      <w:r w:rsidRPr="004F469F">
        <w:fldChar w:fldCharType="begin" w:fldLock="1"/>
      </w:r>
      <w:r w:rsidR="0010658B">
        <w:instrText>ADDIN CSL_CITATION {"citationItems":[{"id":"ITEM-1","itemData":{"ISBN":"1879362031","author":[{"dropping-particle":"","family":"Grazulis","given":"Thomas P.","non-dropping-particle":"","parse-names":false,"suffix":""}],"id":"ITEM-1","issued":{"date-parts":[["1993"]]},"number-of-pages":"1326","publisher":"Enviromental Films","title":"Significant Tornadoes: 1680-1991","type":"book"},"uris":["http://www.mendeley.com/documents/?uuid=38eac11f-29c5-48cb-8964-889060b73087"]},{"id":"ITEM-2","itemData":{"DOI":"10.1175/BAMS-D-11-00126.1","ISSN":"00030007","abstract":"The 27 April 2011 tornado outbreak across the southern United States set a record for the most tornadoes in a 24-h period and was the second deadliest in U.S. history. Less than a month later, the Joplin, Missouri, tornado added another record: the most fatalities from a single storm since official records began being kept. Numerous commentators have asked how such a death toll could occur today, given all of the available communications technologies and extensive knowledge of atmospheric conditions leading to the formation of tornadoes. Both the Joplin tornado and the 27 April outbreak were well anticipated and warned; the Storm Prediction Center's convective outlook for 27 April included an area of high risk centered over northern Alabama, where the deadliest tornadoes occurred, and all of the deaths occurred within tornado watches. Similarly, the Joplin tornado had watches covering the area and a tornado warning of more than 20 minutes...","author":[{"dropping-particle":"","family":"Simmons","given":"Kevin M.","non-dropping-particle":"","parse-names":false,"suffix":""},{"dropping-particle":"","family":"Sutter","given":"Daniel","non-dropping-particle":"","parse-names":false,"suffix":""}],"container-title":"Bulletin of the American Meteorological Society","id":"ITEM-2","issue":"7","issued":{"date-parts":[["2012"]]},"page":"959-961","publisher":"American Meteorological Society","title":"The 2011 tornadoes and the future of tornado research","type":"article-journal","volume":"93"},"uris":["http://www.mendeley.com/documents/?uuid=bcf9cd43-a6d4-44d2-a10b-3b563ecd84b5"]}],"mendeley":{"formattedCitation":"(Grazulis, 1993; Simmons and Sutter, 2012)","plainTextFormattedCitation":"(Grazulis, 1993; Simmons and Sutter, 2012)","previouslyFormattedCitation":"(Grazulis, 1993; Simmons and Sutter, 2012)"},"properties":{"noteIndex":0},"schema":"https://github.com/citation-style-language/schema/raw/master/csl-citation.json"}</w:instrText>
      </w:r>
      <w:r w:rsidRPr="004F469F">
        <w:fldChar w:fldCharType="separate"/>
      </w:r>
      <w:r w:rsidR="0010658B" w:rsidRPr="0010658B">
        <w:rPr>
          <w:noProof/>
        </w:rPr>
        <w:t>(Grazulis, 1993; Simmons and Sutter, 2012)</w:t>
      </w:r>
      <w:r w:rsidRPr="004F469F">
        <w:fldChar w:fldCharType="end"/>
      </w:r>
      <w:r w:rsidRPr="004F469F">
        <w:t xml:space="preserve"> and result in billions of dollars in damages </w:t>
      </w:r>
      <w:r w:rsidRPr="004F469F">
        <w:fldChar w:fldCharType="begin" w:fldLock="1"/>
      </w:r>
      <w:r w:rsidR="0010658B">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id":"ITEM-2","itemData":{"DOI":"10.1175/1520-0434(2001)016&lt;0168:NDFMTI&gt;2.0.CO;2","ISBN":"0882-8156","ISSN":"0882-8156","PMID":"7754995","abstract":"Historical records of damage from major tornadoes in the United States are taken and adjusted for inflation and wealth. Such adjustments provide a more reliable method to compare losses over time in the context of significant societal change. From 1890 to 1999, the costliest tornado on the record, adjusted for inflation, is the 3 May 1999 Oklahoma City tornado, with an adjusted $963 million in damage (constant 1997 dollars). Including an adjustment for growth in wealth, on the other hand, clearly shows the 27 May 1896 Saint Louis–East Saint Louis tornado to be the costliest on record. An extremely conservative adjustment for the 1896 tornado gives a value of $2.2 billion. A more realistic adjustment yields a figure of $2.9 billion. A comparison of the ratio of deaths to wealth-adjusted damage shows a clear break in 1953, at the beginning of the watch/warning/awareness program of the National Weather Service. 1. Introduction Economic damage from tornadoes will tend to in-crease with time, in general, for at least three reasons. First, inflation means that prices of goods increase; sec-ond, except for periods of recession or depression, peo-ple and institutions have tended to acquire more wealth through time (Katz and Herman 1997); and third, pop-ulation increases. Pielke and Landsea (1998) adjusted historical hurricane damage for inflation and wealth by considering the population in the counties affected by hurricane landfall. For the tornado problem, including population information is problematic. Although a typ-ical county is small compared to the size of a land-falling hurricane, only a small part of most counties is directly affected by even the largest tornadoes. As a result, inclusion of population in adjusting for tornado damage would properly be on a finer scale for the tor-nado problem. Given the difficulties of obtaining suf-ficiently accurate and precise tornado track and popu-lation information, we have chosen not to use population directly in the analysis that follows. Instead, we will consider simple methods to adjust for inflation and for wealth. The wealth measure does include the effects of population growth at a national level. However, given the variability of population demographics at the scale of tornado damage, this should be considered only a rough approximation of the effects of population chang-es on the normalized values.","author":[{"dropping-particle":"","family":"Brooks","given":"Harold E.","non-dropping-particle":"","parse-names":false,"suffix":""},{"dropping-particle":"","family":"Doswell","given":"Charles A. III","non-dropping-particle":"","parse-names":false,"suffix":""}],"container-title":"Weather and Forecasting","id":"ITEM-2","issue":"1","issued":{"date-parts":[["2001"]]},"page":"168-176","title":"Normalized Damage from Major Tornadoes in the United States: 1890–1999","type":"article-journal","volume":"16"},"uris":["http://www.mendeley.com/documents/?uuid=1814cbe7-24e3-47c9-bd43-28242c13e5e9"]}],"mendeley":{"formattedCitation":"(Brooks and Doswell, 2001a; Paul and Stimers, 2012)","plainTextFormattedCitation":"(Brooks and Doswell, 2001a; Paul and Stimers, 2012)","previouslyFormattedCitation":"(Brooks and Doswell, 2001a; Paul and Stimers, 2012)"},"properties":{"noteIndex":0},"schema":"https://github.com/citation-style-language/schema/raw/master/csl-citation.json"}</w:instrText>
      </w:r>
      <w:r w:rsidRPr="004F469F">
        <w:fldChar w:fldCharType="separate"/>
      </w:r>
      <w:r w:rsidR="0010658B" w:rsidRPr="0010658B">
        <w:rPr>
          <w:noProof/>
        </w:rPr>
        <w:t>(Brooks and Doswell, 2001a; Paul and Stimers, 2012)</w:t>
      </w:r>
      <w:r w:rsidRPr="004F469F">
        <w:fldChar w:fldCharType="end"/>
      </w:r>
      <w:r w:rsidRPr="004F469F">
        <w:t>.</w:t>
      </w:r>
    </w:p>
    <w:p w14:paraId="2354BDEF" w14:textId="35455CB2" w:rsidR="00797351" w:rsidRPr="004F469F" w:rsidRDefault="00797351" w:rsidP="00AA740D">
      <w:pPr>
        <w:snapToGrid w:val="0"/>
        <w:spacing w:after="120" w:line="480" w:lineRule="auto"/>
        <w:ind w:firstLine="720"/>
      </w:pPr>
      <w:r w:rsidRPr="004F469F">
        <w:t>While major improvements in tornado detection, tornado warning dissemination systems, and greater public awareness have led to a reduction in tornado casualties since the early 20</w:t>
      </w:r>
      <w:r w:rsidRPr="004F469F">
        <w:rPr>
          <w:vertAlign w:val="superscript"/>
        </w:rPr>
        <w:t>th</w:t>
      </w:r>
      <w:r w:rsidRPr="004F469F">
        <w:t xml:space="preserve"> century </w:t>
      </w:r>
      <w:r w:rsidRPr="004F469F">
        <w:fldChar w:fldCharType="begin" w:fldLock="1"/>
      </w:r>
      <w:r w:rsidR="00123266">
        <w:instrText>ADDIN CSL_CITATION {"citationItems":[{"id":"ITEM-1","itemData":{"DOI":"10.1175/BAMS-D-12-00147.1","ISBN":"1520-0477","ISSN":"00030007","PMID":"17798761","abstract":"ne of the scientific community’s greatest achievements in meteorology during the twentieth century has been the development of a largely effective public tornado warning system. O Between 1912 and 1936, tornadoes killed an average 260 persons per year, about 1.8 deaths per million people when normalized by population (Brooks and Doswell 2001). Between 1975 and 2000, that number had declined to 54 deaths per year, or 0.12 deaths per million people in 2000 (Brooks and Doswell 2001), a reduction of 93% from 1925. In 1986 the tornado warning lead time was approximately five minutes, with only 25% of tornadoes warned; by 2004, the mean lead time was 13 min, with about 75% of tor- nadoes warned (Erickson and Brooks 2006). Far from simple, the tornado warning process is a complex chain of events, encompassing institu- tional action and individual responses, that utilizes sensing technologies, conceptual models, numerical AFFILIATIONS: BROTZGE—University of Oklahoma, Norman, Oklahoma; DONNER—Department of Sociology and Anthropology, The University of Texas–Pan American, Edinburg, Texas CORRESPONDING AUTHOR: Jerry Brotzge, Center for Analysis and Prediction of Storms, University of Oklahoma, 120 David L. Boren Blvd., Suite 2500, Norman, OK 73072-7309 E-mail: jbrotzge@ou.edu The abstract for this article can be found in this issue, following the table of contents. DOI:10.1175/BAMS-D-12-00147.1 In final form 16 April 2013 ©2013 American Meteorological Society weather prediction (NWP), forecaster and emergency management (EM) decision making, warning dis- semination technologies, and public experience and education (Fig. 1). The sequential steps of this process—forecast, detection, warning decision, dissemination, and public response—are known as the Integrated Warning System (IWS; Leik et al. 1981; Doswell et al. 1999). This article reviews the end-to-end tornado warning process and related research, considers the challenges to improving the current system, and explores possible next steps. While this article cannot provide a completely comprehensive review of all research in each specific area, the goal is to provide a broad overview of the tornado warning process and a brief summary of the many avenues of research that could contribute to improvements in the current system","author":[{"dropping-particle":"","family":"Brotzge","given":"J.","non-dropping-particle":"","parse-names":false,"suffix":""},{"dropping-particle":"","family":"Donner","given":"W.","non-dropping-particle":"","parse-names":false,"suffix":""}],"container-title":"Bulletin of the American Meteorological Society","id":"ITEM-1","issue":"11","issued":{"date-parts":[["2013"]]},"page":"1715-1733","title":"The tornado warning process: A review of current research, challenges, and opportunities","type":"article-journal","volume":"94"},"uris":["http://www.mendeley.com/documents/?uuid=e45c23bd-cce2-499e-81d3-4506ffe92500"]},{"id":"ITEM-2","itemData":{"ISBN":"1477-8696","author":[{"dropping-particle":"","family":"Doswell","given":"Charles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perspective","type":"article-journal","volume":"67"},"uris":["http://www.mendeley.com/documents/?uuid=42235697-4e43-4cf7-9772-fa9a876de81d"]},{"id":"ITEM-3","itemData":{"DOI":"10.1175/2007WAF2007004.1","ISBN":"0882-8156","ISSN":"0882-8156","abstract":"A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Forecasting","id":"ITEM-3","issue":"6","issued":{"date-parts":[["2007"]]},"page":"1214-1228","title":"Spatial and Temporal Analysis of Tornado Fatalities in the United States: 1880–2005","type":"article-journal","volume":"22"},"uris":["http://www.mendeley.com/documents/?uuid=14fd8bf9-6b84-4fc3-bae5-6fa5f66b5ccf"]}],"mendeley":{"formattedCitation":"(Ashley, 2007; Doswell et al., 2012; Brotzge and Donner, 2013)","plainTextFormattedCitation":"(Ashley, 2007; Doswell et al., 2012; Brotzge and Donner, 2013)","previouslyFormattedCitation":"(Ashley, 2007; Doswell et al., 2012; Brotzge and Donner, 2013)"},"properties":{"noteIndex":0},"schema":"https://github.com/citation-style-language/schema/raw/master/csl-citation.json"}</w:instrText>
      </w:r>
      <w:r w:rsidRPr="004F469F">
        <w:fldChar w:fldCharType="separate"/>
      </w:r>
      <w:r w:rsidR="00123266" w:rsidRPr="00123266">
        <w:rPr>
          <w:noProof/>
        </w:rPr>
        <w:t xml:space="preserve">(Ashley, 2007; Doswell </w:t>
      </w:r>
      <w:r w:rsidR="00123266" w:rsidRPr="00453357">
        <w:rPr>
          <w:i/>
          <w:iCs/>
          <w:noProof/>
        </w:rPr>
        <w:t>et al.</w:t>
      </w:r>
      <w:r w:rsidR="00123266" w:rsidRPr="00123266">
        <w:rPr>
          <w:noProof/>
        </w:rPr>
        <w:t>, 2012; Brotzge and Donner, 2013)</w:t>
      </w:r>
      <w:r w:rsidRPr="004F469F">
        <w:fldChar w:fldCharType="end"/>
      </w:r>
      <w:r w:rsidRPr="004F469F">
        <w:t xml:space="preserve"> the damages caused by the strongest tornadoes have increased due to population growth and the expansion of urban area and more expensive built structures in the damage path of tornadoes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Change","id":"ITEM-2","issue":"2","issued":{"date-parts":[["2017"]]},"page":"301-313","publisher":"Springer","title":"Projected 21st century changes in tornado exposure, risk, and disaster potential","type":"article-journal","volume":"141"},"uris":["http://www.mendeley.com/documents/?uuid=f875dd0e-da5d-4186-8536-d8e3921d37a0"]}],"mendeley":{"formattedCitation":"(Ashley and Strader, 2016; Strader et al., 2017a)","plainTextFormattedCitation":"(Ashley and Strader, 2016; Strader et al., 2017a)","previouslyFormattedCitation":"(Ashley and Strader, 2016; Strader et al., 2017a)"},"properties":{"noteIndex":0},"schema":"https://github.com/citation-style-language/schema/raw/master/csl-citation.json"}</w:instrText>
      </w:r>
      <w:r w:rsidRPr="004F469F">
        <w:fldChar w:fldCharType="separate"/>
      </w:r>
      <w:r w:rsidR="00123266" w:rsidRPr="00123266">
        <w:rPr>
          <w:noProof/>
        </w:rPr>
        <w:t xml:space="preserve">(Ashley and Strader, 2016; Strader </w:t>
      </w:r>
      <w:r w:rsidR="00123266" w:rsidRPr="00453357">
        <w:rPr>
          <w:i/>
          <w:iCs/>
          <w:noProof/>
        </w:rPr>
        <w:t>et al.</w:t>
      </w:r>
      <w:r w:rsidR="00123266" w:rsidRPr="00123266">
        <w:rPr>
          <w:noProof/>
        </w:rPr>
        <w:t>, 2017a)</w:t>
      </w:r>
      <w:r w:rsidRPr="004F469F">
        <w:fldChar w:fldCharType="end"/>
      </w:r>
      <w:r w:rsidRPr="004F469F">
        <w:t xml:space="preserve">. As the climate continues to change, it is possible that tornado frequency and intensity may also change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Climatology","id":"ITEM-2","issue":"5","issued":{"date-parts":[["2014"]]},"page":"1699-1705","title":"Future convective environments using NARCCAP","type":"article-journal","volume":"34"},"uris":["http://www.mendeley.com/documents/?uuid=bcd3292d-bda8-4322-96cd-a32ad75b2206"]}],"mendeley":{"formattedCitation":"(Trapp et al., 2007; Gensini et al., 2014b)","plainTextFormattedCitation":"(Trapp et al., 2007; Gensini et al., 2014b)","previouslyFormattedCitation":"(Trapp et al., 2007;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Gensini </w:t>
      </w:r>
      <w:r w:rsidR="00123266" w:rsidRPr="00453357">
        <w:rPr>
          <w:i/>
          <w:iCs/>
          <w:noProof/>
        </w:rPr>
        <w:t>et al.</w:t>
      </w:r>
      <w:r w:rsidR="00123266" w:rsidRPr="00123266">
        <w:rPr>
          <w:noProof/>
        </w:rPr>
        <w:t>, 2014b)</w:t>
      </w:r>
      <w:r w:rsidRPr="004F469F">
        <w:fldChar w:fldCharType="end"/>
      </w:r>
      <w:r w:rsidRPr="004F469F">
        <w:t xml:space="preserve">. Concurrently, the population within the United States is becoming increasingly urban, with projections suggesting that 89% of the population will be living in urban areas by 2050 </w:t>
      </w:r>
      <w:r w:rsidRPr="004F469F">
        <w:fldChar w:fldCharType="begin" w:fldLock="1"/>
      </w:r>
      <w:r w:rsidRPr="004F469F">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prospects","type":"article"},"uris":["http://www.mendeley.com/documents/?uuid=05745bf1-955f-4014-b410-06d6d4abe6d0"]}],"mendeley":{"formattedCitation":"(United Nations, 2018)","plainTextFormattedCitation":"(United Nations, 2018)","previouslyFormattedCitation":"(United Nations, 2018)"},"properties":{"noteIndex":0},"schema":"https://github.com/citation-style-language/schema/raw/master/csl-citation.json"}</w:instrText>
      </w:r>
      <w:r w:rsidRPr="004F469F">
        <w:fldChar w:fldCharType="separate"/>
      </w:r>
      <w:r w:rsidRPr="004F469F">
        <w:rPr>
          <w:noProof/>
        </w:rPr>
        <w:t>(United Nations, 2018)</w:t>
      </w:r>
      <w:r w:rsidRPr="004F469F">
        <w:fldChar w:fldCharType="end"/>
      </w:r>
      <w:r w:rsidRPr="004F469F">
        <w:t>. To better understand the effects climate change and urbanization may have on future tornado impacts it is important to understand the risk and vulnerability as well as how models can be used to improve understanding of the processes and their interlinkages associated with tornadoes.</w:t>
      </w:r>
    </w:p>
    <w:p w14:paraId="05073120" w14:textId="77777777" w:rsidR="00797351" w:rsidRPr="004F469F" w:rsidRDefault="00797351" w:rsidP="00AA740D">
      <w:pPr>
        <w:pStyle w:val="Heading2"/>
        <w:snapToGrid w:val="0"/>
        <w:spacing w:before="0" w:after="120" w:line="480" w:lineRule="auto"/>
        <w:rPr>
          <w:rFonts w:ascii="Times New Roman" w:hAnsi="Times New Roman" w:cs="Times New Roman"/>
          <w:b/>
          <w:bCs/>
          <w:color w:val="auto"/>
          <w:sz w:val="28"/>
          <w:szCs w:val="28"/>
        </w:rPr>
      </w:pPr>
      <w:bookmarkStart w:id="6" w:name="_Toc21861279"/>
      <w:r w:rsidRPr="004F469F">
        <w:rPr>
          <w:rFonts w:ascii="Times New Roman" w:hAnsi="Times New Roman" w:cs="Times New Roman"/>
          <w:b/>
          <w:bCs/>
          <w:color w:val="auto"/>
          <w:sz w:val="28"/>
          <w:szCs w:val="28"/>
        </w:rPr>
        <w:t>Risk and Vulnerability</w:t>
      </w:r>
      <w:bookmarkEnd w:id="6"/>
    </w:p>
    <w:p w14:paraId="7FF44E0C" w14:textId="33580C94" w:rsidR="00797351" w:rsidRPr="004F469F" w:rsidRDefault="00797351" w:rsidP="00AA740D">
      <w:pPr>
        <w:snapToGrid w:val="0"/>
        <w:spacing w:after="120" w:line="480" w:lineRule="auto"/>
        <w:ind w:firstLine="720"/>
      </w:pPr>
      <w:r w:rsidRPr="004F469F">
        <w:t xml:space="preserve">The hazards literature has many definitions of risk and vulnerability </w:t>
      </w:r>
      <w:r w:rsidRPr="004F469F">
        <w:fldChar w:fldCharType="begin" w:fldLock="1"/>
      </w:r>
      <w:r w:rsidRPr="004F469F">
        <w:instrText>ADDIN CSL_CITATION {"citationItems":[{"id":"ITEM-1","itemData":{"author":[{"dropping-particle":"","family":"Paul","given":"Bimal Kanti","non-dropping-particle":"","parse-names":false,"suffix":""}],"id":"ITEM-1","issued":{"date-parts":[["2011"]]},"publisher":"John Wiley &amp; Sons","title":"Environmental hazards and disasters: contexts, perspectives and management","type":"book"},"uris":["http://www.mendeley.com/documents/?uuid=0364d322-9e15-497c-aac4-e7d6f440b27f"]}],"mendeley":{"formattedCitation":"(Paul, 2011)","plainTextFormattedCitation":"(Paul, 2011)","previouslyFormattedCitation":"(Paul, 2011)"},"properties":{"noteIndex":0},"schema":"https://github.com/citation-style-language/schema/raw/master/csl-citation.json"}</w:instrText>
      </w:r>
      <w:r w:rsidRPr="004F469F">
        <w:fldChar w:fldCharType="separate"/>
      </w:r>
      <w:r w:rsidRPr="004F469F">
        <w:rPr>
          <w:noProof/>
        </w:rPr>
        <w:t>(Paul, 2011)</w:t>
      </w:r>
      <w:r w:rsidRPr="004F469F">
        <w:fldChar w:fldCharType="end"/>
      </w:r>
      <w:r w:rsidRPr="004F469F">
        <w:t xml:space="preserve">. In this study, risk is defined as the likelihood that a hazard will occur and impact an area at a given time </w:t>
      </w:r>
      <w:r w:rsidRPr="004F469F">
        <w:lastRenderedPageBreak/>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Pr="004F469F">
        <w:fldChar w:fldCharType="separate"/>
      </w:r>
      <w:r w:rsidR="0010658B" w:rsidRPr="0010658B">
        <w:rPr>
          <w:noProof/>
        </w:rPr>
        <w:t>(Ashley and Strader, 2016)</w:t>
      </w:r>
      <w:r w:rsidRPr="004F469F">
        <w:fldChar w:fldCharType="end"/>
      </w:r>
      <w:r w:rsidRPr="004F469F">
        <w:t xml:space="preserve">. Vulnerability is defined as the potential for loss </w:t>
      </w:r>
      <w:r w:rsidRPr="004F469F">
        <w:fldChar w:fldCharType="begin" w:fldLock="1"/>
      </w:r>
      <w:r w:rsidR="00123266">
        <w:instrText>ADDIN CSL_CITATION {"citationItems":[{"id":"ITEM-1","itemData":{"DOI":"10.1111/1540-6237.8402002","ISBN":"1540-6237","ISSN":"00384941","PMID":"9841166","abstract":"Objective. County-level socioeconomic and demographic data were used to construct an index of social vulnerability to environmental hazards, called the Social Vulnerability Index (SoVI) for the United States based on 1990 data. Methods. Using a factor analytic approach, 42 variables were reduced to 11 independent factors that accounted for about 76 percent of the variance. These factors were placed in an additive model to compute a summary score—the Social Vulnerability Index. Results. There are some distinct spatial patterns in the SoVI, with the most vulnerable counties clustered in metropolitan counties in the east, south Texas, and the Mississippi Delta region. Conclusion. Those factors that contribute to the overall score often are different for each county, underscoring the interactive nature of social vulnerability—some components increase vulnerability; others moderate the effects.","author":[{"dropping-particle":"","family":"Cutter","given":"Susan L.","non-dropping-particle":"","parse-names":false,"suffix":""},{"dropping-particle":"","family":"Boruff","given":"Bryan J.","non-dropping-particle":"","parse-names":false,"suffix":""},{"dropping-particle":"","family":"Shirley","given":"W. Lynn","non-dropping-particle":"","parse-names":false,"suffix":""}],"container-title":"Social Science Quarterly","id":"ITEM-1","issue":"2","issued":{"date-parts":[["2003"]]},"page":"242-261","title":"Social vulnerability to environmental hazards","type":"article-journal","volume":"84"},"uris":["http://www.mendeley.com/documents/?uuid=d49c5493-2335-4145-b3e1-6ba9bc1f1236"]}],"mendeley":{"formattedCitation":"(Cutter et al., 2003)","plainTextFormattedCitation":"(Cutter et al., 2003)","previouslyFormattedCitation":"(Cutter et al., 2003)"},"properties":{"noteIndex":0},"schema":"https://github.com/citation-style-language/schema/raw/master/csl-citation.json"}</w:instrText>
      </w:r>
      <w:r w:rsidRPr="004F469F">
        <w:fldChar w:fldCharType="separate"/>
      </w:r>
      <w:r w:rsidR="00123266" w:rsidRPr="00123266">
        <w:rPr>
          <w:noProof/>
        </w:rPr>
        <w:t xml:space="preserve">(Cutter </w:t>
      </w:r>
      <w:r w:rsidR="00123266" w:rsidRPr="00453357">
        <w:rPr>
          <w:i/>
          <w:iCs/>
          <w:noProof/>
        </w:rPr>
        <w:t>et al.</w:t>
      </w:r>
      <w:r w:rsidR="00123266" w:rsidRPr="00123266">
        <w:rPr>
          <w:noProof/>
        </w:rPr>
        <w:t>, 2003)</w:t>
      </w:r>
      <w:r w:rsidRPr="004F469F">
        <w:fldChar w:fldCharType="end"/>
      </w:r>
      <w:r w:rsidRPr="004F469F">
        <w:t>. This potential itself is a function of exposure (the placement of a system in position to experience a hazard), sensitivity (the degree to which a system is affected by the hazard), and adaptive capacity (the ability or potential of a system to modify itself to better cope/adapt to current and future hazards</w:t>
      </w:r>
      <w:r w:rsidR="004018A9">
        <w:t>;</w:t>
      </w:r>
      <w:r w:rsidRPr="004F469F">
        <w:t xml:space="preserve"> </w:t>
      </w:r>
      <w:r w:rsidRPr="004F469F">
        <w:fldChar w:fldCharType="begin" w:fldLock="1"/>
      </w:r>
      <w:r w:rsidR="004018A9">
        <w:instrText>ADDIN CSL_CITATION {"citationItems":[{"id":"ITEM-1","itemData":{"author":[{"dropping-particle":"","family":"Morss","given":"Rebecca E","non-dropping-particle":"","parse-names":false,"suffix":""},{"dropping-particle":"V","family":"Wilhelmi","given":"Olga","non-dropping-particle":"","parse-names":false,"suffix":""},{"dropping-particle":"","family":"Meehl","given":"Gerald A","non-dropping-particle":"","parse-names":false,"suffix":""},{"dropping-particle":"","family":"Dilling","given":"Lisa","non-dropping-particle":"","parse-names":false,"suffix":""}],"container-title":"Annual Review of Environment and Resources","id":"ITEM-1","issued":{"date-parts":[["2011"]]},"page":"1-25","publisher":"Annual Reviews","title":"Improving societal outcomes of extreme weather in a changing climate: an integrated perspective","type":"article-journal","volume":"36"},"uris":["http://www.mendeley.com/documents/?uuid=d926a0f5-60f2-44ca-8f94-08be918644ac"]},{"id":"ITEM-2","itemData":{"author":[{"dropping-particle":"","family":"Yohe","given":"Gary","non-dropping-particle":"","parse-names":false,"suffix":""},{"dropping-particle":"","family":"Tol","given":"Richard S J","non-dropping-particle":"","parse-names":false,"suffix":""}],"container-title":"Global environmental change","id":"ITEM-2","issue":"1","issued":{"date-parts":[["2002"]]},"page":"25-40","publisher":"Elsevier","title":"Indicators for social and economic coping capacity—moving toward a working definition of adaptive capacity","type":"article-journal","volume":"12"},"uris":["http://www.mendeley.com/documents/?uuid=91f6fd8f-b09f-4bb1-8670-c2ee6f088aca"]},{"id":"ITEM-3","itemData":{"author":[{"dropping-particle":"","family":"Eakin","given":"Hallie","non-dropping-particle":"","parse-names":false,"suffix":""},{"dropping-particle":"","family":"Luers","given":"Amy Lynd","non-dropping-particle":"","parse-names":false,"suffix":""}],"container-title":"Annu. Rev. Environ. Resour.","id":"ITEM-3","issued":{"date-parts":[["2006"]]},"page":"365-394","publisher":"Annual Reviews","title":"Assessing the vulnerability of social-environmental systems","type":"article-journal","volume":"31"},"uris":["http://www.mendeley.com/documents/?uuid=eb932ccd-31e8-4793-97ef-8707600fe8ec"]}],"mendeley":{"formattedCitation":"(Yohe and Tol, 2002; Eakin and Luers, 2006; Morss et al., 2011)","manualFormatting":"Yohe and Tol, 2002; Eakin and Luers, 2006; Morss et al., 2011)","plainTextFormattedCitation":"(Yohe and Tol, 2002; Eakin and Luers, 2006; Morss et al., 2011)","previouslyFormattedCitation":"(Yohe and Tol, 2002; Eakin and Luers, 2006; Morss et al., 2011)"},"properties":{"noteIndex":0},"schema":"https://github.com/citation-style-language/schema/raw/master/csl-citation.json"}</w:instrText>
      </w:r>
      <w:r w:rsidRPr="004F469F">
        <w:fldChar w:fldCharType="separate"/>
      </w:r>
      <w:r w:rsidR="0010658B" w:rsidRPr="00123266">
        <w:rPr>
          <w:noProof/>
        </w:rPr>
        <w:t xml:space="preserve">Yohe and Tol, 2002; Eakin and Luers, 2006; Morss </w:t>
      </w:r>
      <w:r w:rsidR="0010658B" w:rsidRPr="00453357">
        <w:rPr>
          <w:i/>
          <w:iCs/>
          <w:noProof/>
        </w:rPr>
        <w:t>et al.</w:t>
      </w:r>
      <w:r w:rsidR="0010658B" w:rsidRPr="00123266">
        <w:rPr>
          <w:noProof/>
        </w:rPr>
        <w:t>, 2011)</w:t>
      </w:r>
      <w:r w:rsidRPr="004F469F">
        <w:fldChar w:fldCharType="end"/>
      </w:r>
      <w:r w:rsidRPr="004F469F">
        <w:t xml:space="preserve">. Specifically, the hazard of interest here – a tornado – is defined as a violently rotating column of air which descends to the ground from a cumuliform cloud and is usually visible as a funnel cloud </w:t>
      </w:r>
      <w:r w:rsidRPr="004F469F">
        <w:fldChar w:fldCharType="begin" w:fldLock="1"/>
      </w:r>
      <w:r w:rsidRPr="004F469F">
        <w:instrText>ADDIN CSL_CITATION {"citationItems":[{"id":"ITEM-1","itemData":{"author":[{"dropping-particle":"","family":"Federal Emergency Management Agency","given":"","non-dropping-particle":"","parse-names":false,"suffix":""}],"container-title":"FEMA V-1010","id":"ITEM-1","issued":{"date-parts":[["2018"]]},"title":"Be prepared for a tornado","type":"webpage"},"uris":["http://www.mendeley.com/documents/?uuid=b48d389e-51dc-48f7-8066-4d8788d8ce9e"]}],"mendeley":{"formattedCitation":"(Federal Emergency Management Agency, 2018)","plainTextFormattedCitation":"(Federal Emergency Management Agency, 2018)","previouslyFormattedCitation":"(Federal Emergency Management Agency, 2018)"},"properties":{"noteIndex":0},"schema":"https://github.com/citation-style-language/schema/raw/master/csl-citation.json"}</w:instrText>
      </w:r>
      <w:r w:rsidRPr="004F469F">
        <w:fldChar w:fldCharType="separate"/>
      </w:r>
      <w:r w:rsidRPr="004F469F">
        <w:rPr>
          <w:noProof/>
        </w:rPr>
        <w:t>(Federal Emergency Management Agency, 2018)</w:t>
      </w:r>
      <w:r w:rsidRPr="004F469F">
        <w:fldChar w:fldCharType="end"/>
      </w:r>
      <w:r w:rsidRPr="004F469F">
        <w:t>. With respect to tornadoes, exposure</w:t>
      </w:r>
      <w:r w:rsidR="00DE5691">
        <w:t>,</w:t>
      </w:r>
      <w:r w:rsidR="00DE5691" w:rsidRPr="00DE5691">
        <w:t xml:space="preserve"> </w:t>
      </w:r>
      <w:r w:rsidR="00DE5691">
        <w:t xml:space="preserve">for this study, </w:t>
      </w:r>
      <w:r w:rsidRPr="004F469F">
        <w:t xml:space="preserve">is defined as the number of persons residing in the damage path of the tornado </w:t>
      </w:r>
      <w:r w:rsidRPr="004F469F">
        <w:fldChar w:fldCharType="begin" w:fldLock="1"/>
      </w:r>
      <w:r w:rsidR="00123266">
        <w:instrText>ADDIN CSL_CITATION {"citationItems":[{"id":"ITEM-1","itemData":{"DOI":"10.1007/s11069-015-1704-z","ISBN":"1106901517","ISSN":"0921030X","abstract":"Weather-related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Hazards","id":"ITEM-1","issue":"1","issued":{"date-parts":[["2015"]]},"page":"121-140","publisher":"Springer Netherlands","title":"Spatiotemporal analysis of tornado exposure in five US metropolitan areas","type":"article-journal","volume":"78"},"uris":["http://www.mendeley.com/documents/?uuid=d44d442f-d7b1-46d3-9316-83a25acff696"]},{"id":"ITEM-2","itemData":{"DOI":"10.1175/BAMS-88-1-31","ISBN":"0003-0007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areas","type":"article-journal","volume":"88"},"uris":["http://www.mendeley.com/documents/?uuid=6b61d9bd-055f-4858-8645-03943c0892b6"]},{"id":"ITEM-3","itemData":{"author":[{"dropping-particle":"","family":"Ashley","given":"Walker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Society","id":"ITEM-3","issue":"2","issued":{"date-parts":[["2014"]]},"page":"175-193","title":"Spatiotemporal changes in tornado hazard exposure: The case of the expanding bull's-eye effect in Chicago, illinois","type":"article-journal","volume":"6"},"uris":["http://www.mendeley.com/documents/?uuid=0e441156-498a-43d6-9545-e97b6fa0d5df"]}],"mendeley":{"formattedCitation":"(Wurman et al., 2007; Ashley et al., 2014; Rosencrants and Ashley, 2015)","plainTextFormattedCitation":"(Wurman et al., 2007; Ashley et al., 2014; Rosencrants and Ashley, 2015)","previouslyFormattedCitation":"(Wurman et al., 2007; Ashley et al., 2014; Rosencrants and Ashley, 2015)"},"properties":{"noteIndex":0},"schema":"https://github.com/citation-style-language/schema/raw/master/csl-citation.json"}</w:instrText>
      </w:r>
      <w:r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2014; Rosencrants and Ashley, 2015)</w:t>
      </w:r>
      <w:r w:rsidRPr="004F469F">
        <w:fldChar w:fldCharType="end"/>
      </w:r>
      <w:r w:rsidRPr="004F469F">
        <w:t>. In this research, exposure is the primary metric of tornado impact.</w:t>
      </w:r>
    </w:p>
    <w:p w14:paraId="5A630FC1" w14:textId="2244C11E" w:rsidR="00797351" w:rsidRPr="004F469F" w:rsidRDefault="00797351" w:rsidP="00AA740D">
      <w:pPr>
        <w:snapToGrid w:val="0"/>
        <w:spacing w:after="120" w:line="480" w:lineRule="auto"/>
        <w:ind w:firstLine="720"/>
      </w:pPr>
      <w:r w:rsidRPr="004F469F">
        <w:t>Tornadoes are typically generated from thunderstorms with the majority being produced by a specific type of thunderstorm with a rotating updraft (supercell</w:t>
      </w:r>
      <w:r w:rsidR="004018A9">
        <w:t>;</w:t>
      </w:r>
      <w:r w:rsidRPr="004F469F">
        <w:t xml:space="preserve"> </w:t>
      </w:r>
      <w:r w:rsidRPr="004F469F">
        <w:fldChar w:fldCharType="begin" w:fldLock="1"/>
      </w:r>
      <w:r w:rsidR="004018A9">
        <w:instrText>ADDIN CSL_CITATION {"citationItems":[{"id":"ITEM-1","itemData":{"DOI":"10.1175/WAF-D-11-00142.1","ISSN":"0882-8156","abstract":"The areal extent of severeweather parameters favorable for significant severeweather is evaluated as a means of identifying major severe weather outbreaks. The first areal coverage method uses kernel density estimation (KDE) to identify severeweather outbreak locations. Aselected severeweather parameter value is computed at each grid point within the region identified by KDE. The average, median, or sum value is used to diagnose the event's severity. The second areal coverage method finds the largest contiguous region where a severe weather parameter exceeds a specified threshold that intersects theKDEregion. The severeweather parameter values at grid points within the parameter exceedance region are computed, with the average, median, or sumvalue used to diagnose the event's severity. A total of 4057 severe weather outbreaks from 1979 to 2008 are analyzed. An event is considered a major outbreak if it exceeds a selected ranking index score (developed in previous work), and is a minor event otherwise. The areal coverage method is also compared to Storm Prediction Center (SPC) day-1 convective outlooks from 2003 to 2008. Comparisons of the SPC forecasts and areal coverage diagnoses indicate the areal coverage methods have similar skill to SPC convective outlooks in discriminating major and minor severe weather outbreaks. Despite a seemingly large sample size, the rare-events nature of the dataset leads to sample size sensitivities. Nevertheless, the findings of this study suggest that areal coverage should be tested in a forecasting environment as a means of providing guidance in future outbreak scenarios. © 2012 American Meteorological Society.","author":[{"dropping-particle":"","family":"Shafer","given":"Chad M.","non-dropping-particle":"","parse-names":false,"suffix":""},{"dropping-particle":"","family":"Mercer","given":"Andrew E.","non-dropping-particle":"","parse-names":false,"suffix":""},{"dropping-particle":"","family":"Richman","given":"Michael B.","non-dropping-particle":"","parse-names":false,"suffix":""},{"dropping-particle":"","family":"Leslie","given":"Lance M.","non-dropping-particle":"","parse-names":false,"suffix":""},{"dropping-particle":"","family":"Doswell","given":"Charles A. III","non-dropping-particle":"","parse-names":false,"suffix":""}],"container-title":"Weather and Forecasting","id":"ITEM-1","issue":"4","issued":{"date-parts":[["2012"]]},"page":"809-831","title":"An Assessment of Areal Coverage of Severe Weather Parameters for Severe Weather Outbreak Diagnosis","type":"article-journal","volume":"27"},"uris":["http://www.mendeley.com/documents/?uuid=f6edcdf2-2777-46b4-9753-923220893d38"]},{"id":"ITEM-2","itemData":{"author":[{"dropping-particle":"","family":"Moller","given":"Alan R.","non-dropping-particle":"","parse-names":false,"suffix":""},{"dropping-particle":"","family":"Doswell","given":"Charles A. III","non-dropping-particle":"","parse-names":false,"suffix":""},{"dropping-particle":"","family":"Foster","given":"Michael P.","non-dropping-particle":"","parse-names":false,"suffix":""},{"dropping-particle":"","family":"Woodall","given":"Gary R.","non-dropping-particle":"","parse-names":false,"suffix":""}],"container-title":"Weather and Forecasting","id":"ITEM-2","issue":"3","issued":{"date-parts":[["1994"]]},"page":"327-347","title":"The operational recognition of supercell thunderstorm environments and storm structures","type":"article-journal","volume":"9"},"uris":["http://www.mendeley.com/documents/?uuid=bf6032bc-b45b-491d-aec7-87a088b5cccf"]}],"mendeley":{"formattedCitation":"(Moller et al., 1994; Shafer et al., 2012)","manualFormatting":"Moller et al., 1994; Shafer et al., 2012)","plainTextFormattedCitation":"(Moller et al., 1994; Shafer et al., 2012)","previouslyFormattedCitation":"(Moller et al., 1994; Shafer et al., 2012)"},"properties":{"noteIndex":0},"schema":"https://github.com/citation-style-language/schema/raw/master/csl-citation.json"}</w:instrText>
      </w:r>
      <w:r w:rsidRPr="004F469F">
        <w:fldChar w:fldCharType="separate"/>
      </w:r>
      <w:r w:rsidR="0010658B" w:rsidRPr="00123266">
        <w:rPr>
          <w:noProof/>
        </w:rPr>
        <w:t xml:space="preserve">Moller </w:t>
      </w:r>
      <w:r w:rsidR="0010658B" w:rsidRPr="00453357">
        <w:rPr>
          <w:i/>
          <w:iCs/>
          <w:noProof/>
        </w:rPr>
        <w:t>et al.</w:t>
      </w:r>
      <w:r w:rsidR="0010658B" w:rsidRPr="00123266">
        <w:rPr>
          <w:noProof/>
        </w:rPr>
        <w:t xml:space="preserve">, 1994; Shafer </w:t>
      </w:r>
      <w:r w:rsidR="0010658B" w:rsidRPr="00453357">
        <w:rPr>
          <w:i/>
          <w:iCs/>
          <w:noProof/>
        </w:rPr>
        <w:t>et al.</w:t>
      </w:r>
      <w:r w:rsidR="0010658B" w:rsidRPr="00123266">
        <w:rPr>
          <w:noProof/>
        </w:rPr>
        <w:t>, 2012)</w:t>
      </w:r>
      <w:r w:rsidRPr="004F469F">
        <w:fldChar w:fldCharType="end"/>
      </w:r>
      <w:r w:rsidRPr="004F469F">
        <w:t>. These types of thunderstorms and the accompanying tornadoes require several key ingredients to form: (1) warm, moist air at the surface, (2) cold, dry air aloft, (3) steep vertical lapse rates (instability), (4) strong vertical wind shear (change in wind speed and/or direction with height), and (5) a source of lift (</w:t>
      </w:r>
      <w:r w:rsidRPr="002614B3">
        <w:rPr>
          <w:i/>
          <w:iCs/>
        </w:rPr>
        <w:t>e.g.</w:t>
      </w:r>
      <w:r w:rsidRPr="004F469F">
        <w:t xml:space="preserve"> convection or frontal boundaries</w:t>
      </w:r>
      <w:r w:rsidR="004018A9">
        <w:t>;</w:t>
      </w:r>
      <w:r w:rsidRPr="004F469F">
        <w:t xml:space="preserve"> </w:t>
      </w:r>
      <w:r w:rsidRPr="004F469F">
        <w:fldChar w:fldCharType="begin" w:fldLock="1"/>
      </w:r>
      <w:r w:rsidR="004018A9">
        <w:instrText>ADDIN CSL_CITATION {"citationItems":[{"id":"ITEM-1","itemData":{"DOI":"10.1175/BAMS-D-13-00252.1","ISBN":"1520-0477","abstract":"After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Society","id":"ITEM-1","issue":"11","issued":{"date-parts":[["2014"]]},"page":"1704-1712","title":"Tornadoes in the central United States and the “Clash of Air Masses”","type":"article-journal","volume":"95"},"uris":["http://www.mendeley.com/documents/?uuid=58c1ddd7-3d45-47c3-9b2a-cf4ed234e964"]},{"id":"ITEM-2","itemData":{"author":[{"dropping-particle":"","family":"Sherburn","given":"Keith D","non-dropping-particle":"","parse-names":false,"suffix":""},{"dropping-particle":"","family":"Parker","given":"Matthew D","non-dropping-particle":"","parse-names":false,"suffix":""}],"container-title":"Weather and forecasting","id":"ITEM-2","issue":"4","issued":{"date-parts":[["2014"]]},"page":"854-877","title":"Climatology and ingredients of significant severe convection in high-shear, low-CAPE environments","type":"article-journal","volume":"29"},"uris":["http://www.mendeley.com/documents/?uuid=b801798a-5229-4b5c-960f-e35b1e287cba"]}],"mendeley":{"formattedCitation":"(Schultz et al., 2014; Sherburn and Parker, 2014)","manualFormatting":"Schultz et al., 2014; Sherburn and Parker, 2014)","plainTextFormattedCitation":"(Schultz et al., 2014; Sherburn and Parker, 2014)","previouslyFormattedCitation":"(Schultz et al., 2014; Sherburn and Parker, 2014)"},"properties":{"noteIndex":0},"schema":"https://github.com/citation-style-language/schema/raw/master/csl-citation.json"}</w:instrText>
      </w:r>
      <w:r w:rsidRPr="004F469F">
        <w:fldChar w:fldCharType="separate"/>
      </w:r>
      <w:r w:rsidR="0010658B" w:rsidRPr="00123266">
        <w:rPr>
          <w:noProof/>
        </w:rPr>
        <w:t xml:space="preserve">Schultz </w:t>
      </w:r>
      <w:r w:rsidR="0010658B" w:rsidRPr="00453357">
        <w:rPr>
          <w:i/>
          <w:iCs/>
          <w:noProof/>
        </w:rPr>
        <w:t>et al.</w:t>
      </w:r>
      <w:r w:rsidR="0010658B" w:rsidRPr="00123266">
        <w:rPr>
          <w:noProof/>
        </w:rPr>
        <w:t>, 2014; Sherburn and Parker, 2014)</w:t>
      </w:r>
      <w:r w:rsidRPr="004F469F">
        <w:fldChar w:fldCharType="end"/>
      </w:r>
      <w:r w:rsidRPr="004F469F">
        <w:t xml:space="preserve">. These ingredients are most prevalent in North America with mountains to the west and warm oceans to the southeast, but tornadoes have been reported on every continent except Antarctica </w:t>
      </w:r>
      <w:r w:rsidRPr="004F469F">
        <w:fldChar w:fldCharType="begin" w:fldLock="1"/>
      </w:r>
      <w:r w:rsidR="0010658B">
        <w:instrText>ADDIN CSL_CITATION {"citationItems":[{"id":"ITEM-1","itemData":{"ISBN":"0169-8095","abstract":"Reports of tornadoes, broken down by damage, from seven countries have been examined. In particular, the long-term relatively high-quality dataset from the US is used to develop distribu- tions which indicate that the number of tornadoes decreases log-linearly with increasing F-scale. Two distinct distributions, one apparently associated with supercell tornadogenesis processes and the other with non-supercell processes, are found in both the US data and in other countries. The similarity of the distribution in the US prior to the 1950s, when an official, organized collection effort began, and the French record, suggests that only 15% of French tornadoes are being reported currently. In addition, we can use the simple statistical distributions to estimate the return period of violent tornadoes in France approximately one every 5–10 years and the UK approximately one every 250–300 years .","author":[{"dropping-particle":"","family":"Brooks","given":"Harold E.","non-dropping-particle":"","parse-names":false,"suffix":""},{"dropping-particle":"","family":"Doswell","given":"Charles A. III","non-dropping-particle":"","parse-names":false,"suffix":""}],"container-title":"Atmospheric Research","id":"ITEM-1","issue":"1","issued":{"date-parts":[["2001"]]},"page":"191-201","title":"Some aspects of the international climatology of tornadoes by damage classification","type":"article-journal","volume":"56"},"uris":["http://www.mendeley.com/documents/?uuid=d66e9f16-06dd-437f-8fef-a3d48c4430e2"]},{"id":"ITEM-2","itemData":{"DOI":"10.1016/S0167-6105(98)00009-9","ISSN":"01676105","abstract":"The objective of the present study was to re-visit and up-date data on tornado occurrences throughout the world. This was carried out by accessing the relevant literature, analysing, re-analysing and comparing the data on tornado occurrence from various sources. The investigation was aimed at those countries/regions for which no or little information is available. In addition to the literature survey, nearly 30 Weather Monitoring Authorities in various countries throughout the world were contacted. For some countries/regions a more detailed description of tornado occurrences than that found in the literature, was obtained. Several discrepancies between various sources of information were also identified. In addition in South Africa, contour maps of the mean rate of occurrence for France, Austria and Australia were developed.","author":[{"dropping-particle":"","family":"Goliger","given":"A. M.","non-dropping-particle":"","parse-names":false,"suffix":""},{"dropping-particle":"V.","family":"Milford","given":"R.","non-dropping-particle":"","parse-names":false,"suffix":""}],"container-title":"Journal of Wind Engineering and Industrial Aerodynamics","id":"ITEM-2","issued":{"date-parts":[["1998"]]},"page":"111-121","title":"A review of worldwide occurrence of tornadoes","type":"article-journal","volume":"74-76"},"uris":["http://www.mendeley.com/documents/?uuid=b43e2d85-38cf-4c29-886b-3fa984ef4649"]},{"id":"ITEM-3","itemData":{"author":[{"dropping-particle":"","family":"Groenemeijer","given":"Pieter","non-dropping-particle":"","parse-names":false,"suffix":""},{"dropping-particle":"","family":"Kühne","given":"Thilo","non-dropping-particle":"","parse-names":false,"suffix":""}],"container-title":"Monthly Weather Review","id":"ITEM-3","issue":"12","issued":{"date-parts":[["2014"]]},"page":"4775-4790","title":"A climatology of tornadoes in Europe: Results from the European Severe Weather Database","type":"article-journal","volume":"142"},"uris":["http://www.mendeley.com/documents/?uuid=98ddbff6-41e6-4732-8d13-56f7e17466e9"]}],"mendeley":{"formattedCitation":"(Goliger and Milford, 1998; Brooks and Doswell, 2001b; Groenemeijer and Kühne, 2014)","plainTextFormattedCitation":"(Goliger and Milford, 1998; Brooks and Doswell, 2001b; Groenemeijer and Kühne, 2014)","previouslyFormattedCitation":"(Goliger and Milford, 1998; Brooks and Doswell, 2001b; Groenemeijer and Kühne, 2014)"},"properties":{"noteIndex":0},"schema":"https://github.com/citation-style-language/schema/raw/master/csl-citation.json"}</w:instrText>
      </w:r>
      <w:r w:rsidRPr="004F469F">
        <w:fldChar w:fldCharType="separate"/>
      </w:r>
      <w:r w:rsidR="0010658B" w:rsidRPr="0010658B">
        <w:rPr>
          <w:noProof/>
        </w:rPr>
        <w:t>(Goliger and Milford, 1998; Brooks and Doswell, 2001b; Groenemeijer and Kühne, 2014)</w:t>
      </w:r>
      <w:r w:rsidRPr="004F469F">
        <w:fldChar w:fldCharType="end"/>
      </w:r>
      <w:r w:rsidRPr="004F469F">
        <w:t xml:space="preserve">. Within the United States, these ingredients are present most frequently in the central and southern states, where dry air aloft, from the Rocky Mountains, meets moist southerly flow from the Gulf of Mexico in close proximity to the jet stream </w:t>
      </w:r>
      <w:r w:rsidRPr="004F469F">
        <w:fldChar w:fldCharType="begin" w:fldLock="1"/>
      </w:r>
      <w:r w:rsidR="00123266">
        <w:instrText>ADDIN CSL_CITATION {"citationItems":[{"id":"ITEM-1","itemData":{"DOI":"10.1175/BAMS-D-13-00252.1","ISBN":"1520-0477","abstract":"After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Society","id":"ITEM-1","issue":"11","issued":{"date-parts":[["2014"]]},"page":"1704-1712","title":"Tornadoes in the central United States and the “Clash of Air Masses”","type":"article-journal","volume":"95"},"uris":["http://www.mendeley.com/documents/?uuid=58c1ddd7-3d45-47c3-9b2a-cf4ed234e964"]},{"id":"ITEM-2","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Society","id":"ITEM-2","issue":"4","issued":{"date-parts":[["2011"]]},"page":"433","title":"Tornado risk analysis: is Dixie Alley an extension of Tornado Alley?","type":"article-journal","volume":"92"},"uris":["http://www.mendeley.com/documents/?uuid=7a3e5f30-55c6-4dfa-a460-4f44599b65d8"]},{"id":"ITEM-3","itemData":{"DOI":"10.1175/2007WAF2007004.1","ISBN":"0882-8156","ISSN":"0882-8156","abstract":"A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Forecasting","id":"ITEM-3","issue":"6","issued":{"date-parts":[["2007"]]},"page":"1214-1228","title":"Spatial and Temporal Analysis of Tornado Fatalities in the United States: 1880–2005","type":"article-journal","volume":"22"},"uris":["http://www.mendeley.com/documents/?uuid=14fd8bf9-6b84-4fc3-bae5-6fa5f66b5ccf"]}],"mendeley":{"formattedCitation":"(Ashley, 2007; Dixon et al., 2011; Schultz et al., 2014)","plainTextFormattedCitation":"(Ashley, 2007; Dixon et al., 2011; Schultz et al., 2014)","previouslyFormattedCitation":"(Ashley, 2007; Dixon et al., 2011; Schultz et al., 2014)"},"properties":{"noteIndex":0},"schema":"https://github.com/citation-style-language/schema/raw/master/csl-citation.json"}</w:instrText>
      </w:r>
      <w:r w:rsidRPr="004F469F">
        <w:fldChar w:fldCharType="separate"/>
      </w:r>
      <w:r w:rsidR="0010658B" w:rsidRPr="00123266">
        <w:rPr>
          <w:noProof/>
        </w:rPr>
        <w:t xml:space="preserve">(Ashley, </w:t>
      </w:r>
      <w:r w:rsidR="0010658B" w:rsidRPr="00123266">
        <w:rPr>
          <w:noProof/>
        </w:rPr>
        <w:lastRenderedPageBreak/>
        <w:t xml:space="preserve">2007; Dixon </w:t>
      </w:r>
      <w:r w:rsidR="0010658B" w:rsidRPr="00453357">
        <w:rPr>
          <w:i/>
          <w:iCs/>
          <w:noProof/>
        </w:rPr>
        <w:t>et al.</w:t>
      </w:r>
      <w:r w:rsidR="0010658B" w:rsidRPr="00123266">
        <w:rPr>
          <w:noProof/>
        </w:rPr>
        <w:t xml:space="preserve">, 2011; Schultz </w:t>
      </w:r>
      <w:r w:rsidR="0010658B" w:rsidRPr="00453357">
        <w:rPr>
          <w:i/>
          <w:iCs/>
          <w:noProof/>
        </w:rPr>
        <w:t>et al.</w:t>
      </w:r>
      <w:r w:rsidR="0010658B" w:rsidRPr="00123266">
        <w:rPr>
          <w:noProof/>
        </w:rPr>
        <w:t>, 2014)</w:t>
      </w:r>
      <w:r w:rsidRPr="004F469F">
        <w:fldChar w:fldCharType="end"/>
      </w:r>
      <w:r w:rsidRPr="004F469F">
        <w:t xml:space="preserve">. Peaks in the significant (rated two or higher on the Enhanced Fujita scale [EF2+]) and violent (EF4+) tornadoes occur along an “L”-shaped corridor extending from Iowa in the north down through Oklahoma to Alabama in the east </w:t>
      </w:r>
      <w:r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perspective","type":"article-journal","volume":"67"},"uris":["http://www.mendeley.com/documents/?uuid=42235697-4e43-4cf7-9772-fa9a876de81d"]}],"mendeley":{"formattedCitation":"(Concannon et al., 2000; Doswell et al., 2012)","plainTextFormattedCitation":"(Concannon et al., 2000; Doswell et al., 2012)","previouslyFormattedCitation":"(Concannon et al., 2000; Doswell et al., 2012)"},"properties":{"noteIndex":0},"schema":"https://github.com/citation-style-language/schema/raw/master/csl-citation.json"}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w:t>
      </w:r>
      <w:r w:rsidRPr="004F469F">
        <w:fldChar w:fldCharType="end"/>
      </w:r>
      <w:r w:rsidRPr="004F469F">
        <w:t>.</w:t>
      </w:r>
    </w:p>
    <w:p w14:paraId="25604072" w14:textId="1E01A5C6" w:rsidR="00797351" w:rsidRPr="004F469F" w:rsidRDefault="00797351" w:rsidP="00AA740D">
      <w:pPr>
        <w:snapToGrid w:val="0"/>
        <w:spacing w:after="120" w:line="480" w:lineRule="auto"/>
        <w:ind w:firstLine="720"/>
      </w:pPr>
      <w:r w:rsidRPr="004F469F">
        <w:t xml:space="preserve">Tornado risk peaks, in the contiguous U. S., between March and June when temperature differences between north and south are greatest, but tornadoes can occur at any time of year </w:t>
      </w:r>
      <w:r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States","type":"article-journal","volume":"18"},"uris":["http://www.mendeley.com/documents/?uuid=d2c29800-b258-46b1-9db2-3480e3ee0273"]},{"id":"ITEM-2","itemData":{"author":[{"dropping-particle":"","family":"Krocak","given":"Makenzie J.","non-dropping-particle":"","parse-names":false,"suffix":""},{"dropping-particle":"","family":"Brooks","given":"Harold E.","non-dropping-particle":"","parse-names":false,"suffix":""}],"container-title":"Weather and Forecasting","id":"ITEM-2","issue":"1","issued":{"date-parts":[["2018"]]},"page":"59-69","title":"Climatological estimates of hourly tornado probability for the United States","type":"article-journal","volume":"33"},"uris":["http://www.mendeley.com/documents/?uuid=0fe36857-ec89-4240-9d10-376ed90263fc"]}],"mendeley":{"formattedCitation":"(Brooks et al., 2003a; Krocak and Brooks, 2018)","plainTextFormattedCitation":"(Brooks et al., 2003a; Krocak and Brooks, 2018)","previouslyFormattedCitation":"(Brooks et al., 2003a; Krocak and Brooks, 2018)"},"properties":{"noteIndex":0},"schema":"https://github.com/citation-style-language/schema/raw/master/csl-citation.json"}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2003a; Krocak and Brooks, 2018)</w:t>
      </w:r>
      <w:r w:rsidRPr="004F469F">
        <w:fldChar w:fldCharType="end"/>
      </w:r>
      <w:r w:rsidRPr="004F469F">
        <w:t xml:space="preserve">. In the contiguous U.S., risk peaks earliest in the south-central states and shifts northward with the jet stream and advected moisture from the Gulf of Mexico </w:t>
      </w:r>
      <w:r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Society","id":"ITEM-2","issue":"11","issued":{"date-parts":[["2014"]]},"page":"1704-1712","title":"Tornadoes in the central United States and the “Clash of Air Masses”","type":"article-journal","volume":"95"},"uris":["http://www.mendeley.com/documents/?uuid=58c1ddd7-3d45-47c3-9b2a-cf4ed234e964"]}],"mendeley":{"formattedCitation":"(Concannon et al., 2000; Schultz et al., 2014)","plainTextFormattedCitation":"(Concannon et al., 2000; Schultz et al., 2014)","previouslyFormattedCitation":"(Concannon et al., 2000; Schultz et al., 2014)"},"properties":{"noteIndex":0},"schema":"https://github.com/citation-style-language/schema/raw/master/csl-citation.json"}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Schultz </w:t>
      </w:r>
      <w:r w:rsidR="00123266" w:rsidRPr="00453357">
        <w:rPr>
          <w:i/>
          <w:iCs/>
          <w:noProof/>
        </w:rPr>
        <w:t>et al.</w:t>
      </w:r>
      <w:r w:rsidR="00123266" w:rsidRPr="00123266">
        <w:rPr>
          <w:noProof/>
        </w:rPr>
        <w:t>, 2014)</w:t>
      </w:r>
      <w:r w:rsidRPr="004F469F">
        <w:fldChar w:fldCharType="end"/>
      </w:r>
      <w:r w:rsidRPr="004F469F">
        <w:t xml:space="preserve">. States in the southeastern U.S. have more complex seasonality with respect to tornadoes, with a primary peak during spring, a secondary peak in fall, and an occasional hurricane-spawned tornado in the summer </w:t>
      </w:r>
      <w:r w:rsidRPr="004F469F">
        <w:fldChar w:fldCharType="begin" w:fldLock="1"/>
      </w:r>
      <w:r w:rsidR="00123266">
        <w:instrText>ADDIN CSL_CITATION {"citationItems":[{"id":"ITEM-1","itemData":{"ISBN":"2325-6184","author":[{"dropping-particle":"","family":"Chaney","given":"Philip L.","non-dropping-particle":"","parse-names":false,"suffix":""},{"dropping-particle":"","family":"Herbert","given":"Jonathan","non-dropping-particle":"","parse-names":false,"suffix":""},{"dropping-particle":"","family":"Curtis","given":"Amy","non-dropping-particle":"","parse-names":false,"suffix":""}],"container-title":"Journal of Operational Meteorology","id":"ITEM-1","issue":"3","issued":{"date-parts":[["2013"]]},"title":"A Climatological Perspective on the 2011 Alabama Tornado Outbreak","type":"article-journal","volume":"1"},"uris":["http://www.mendeley.com/documents/?uuid=69d80d41-7e45-4fdb-9159-8ecabff1a943"]},{"id":"ITEM-2","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Society","id":"ITEM-2","issue":"4","issued":{"date-parts":[["2011"]]},"page":"433","title":"Tornado risk analysis: is Dixie Alley an extension of Tornado Alley?","type":"article-journal","volume":"92"},"uris":["http://www.mendeley.com/documents/?uuid=7a3e5f30-55c6-4dfa-a460-4f44599b65d8"]}],"mendeley":{"formattedCitation":"(Dixon et al., 2011; Chaney et al., 2013a)","plainTextFormattedCitation":"(Dixon et al., 2011; Chaney et al., 2013a)","previouslyFormattedCitation":"(Dixon et al., 2011; Chaney et al., 2013a)"},"properties":{"noteIndex":0},"schema":"https://github.com/citation-style-language/schema/raw/master/csl-citation.json"}</w:instrText>
      </w:r>
      <w:r w:rsidRPr="004F469F">
        <w:fldChar w:fldCharType="separate"/>
      </w:r>
      <w:r w:rsidR="00123266" w:rsidRPr="00123266">
        <w:rPr>
          <w:noProof/>
        </w:rPr>
        <w:t xml:space="preserve">(Dixon </w:t>
      </w:r>
      <w:r w:rsidR="00123266" w:rsidRPr="00453357">
        <w:rPr>
          <w:i/>
          <w:iCs/>
          <w:noProof/>
        </w:rPr>
        <w:t>et al.</w:t>
      </w:r>
      <w:r w:rsidR="00123266" w:rsidRPr="00123266">
        <w:rPr>
          <w:noProof/>
        </w:rPr>
        <w:t xml:space="preserve">, 2011; Chaney </w:t>
      </w:r>
      <w:r w:rsidR="00123266" w:rsidRPr="00453357">
        <w:rPr>
          <w:i/>
          <w:iCs/>
          <w:noProof/>
        </w:rPr>
        <w:t>et al.</w:t>
      </w:r>
      <w:r w:rsidR="00123266" w:rsidRPr="00123266">
        <w:rPr>
          <w:noProof/>
        </w:rPr>
        <w:t>, 2013a)</w:t>
      </w:r>
      <w:r w:rsidRPr="004F469F">
        <w:fldChar w:fldCharType="end"/>
      </w:r>
      <w:r w:rsidRPr="004F469F">
        <w:t xml:space="preserve">. Tornadoes can occur at any time of day but are most likely to occur during late afternoon and early evening due to maxima in surface heating during those times </w:t>
      </w:r>
      <w:r w:rsidRPr="004F469F">
        <w:fldChar w:fldCharType="begin" w:fldLock="1"/>
      </w:r>
      <w:r w:rsidR="008306CC">
        <w:instrText>ADDIN CSL_CITATION {"citationItems":[{"id":"ITEM-1","itemData":{"author":[{"dropping-particle":"","family":"Davies","given":"Jonathan M","non-dropping-particle":"","parse-names":false,"suffix":""},{"dropping-particle":"","family":"Fischer","given":"Anthony","non-dropping-particle":"","parse-names":false,"suffix":""}],"container-title":"Electron. J. Oper. Meteor","id":"ITEM-1","issue":"3","issued":{"date-parts":[["2009"]]},"page":"1-29","title":"Environmental characteristics associated with nighttime tornadoes","type":"article-journal","volume":"10"},"uris":["http://www.mendeley.com/documents/?uuid=b2fb8fda-78f6-404b-ade5-ff45cc5c460c"]},{"id":"ITEM-2","itemData":{"author":[{"dropping-particle":"","family":"Krocak","given":"Makenzie J.","non-dropping-particle":"","parse-names":false,"suffix":""},{"dropping-particle":"","family":"Brooks","given":"Harold E.","non-dropping-particle":"","parse-names":false,"suffix":""}],"container-title":"Weather and Forecasting","id":"ITEM-2","issue":"1","issued":{"date-parts":[["2018"]]},"page":"59-69","title":"Climatological estimates of hourly tornado probability for the United States","type":"article-journal","volume":"33"},"uris":["http://www.mendeley.com/documents/?uuid=0fe36857-ec89-4240-9d10-376ed90263fc"]}],"mendeley":{"formattedCitation":"(Davies and Fischer, 2009; Krocak and Brooks, 2018)","plainTextFormattedCitation":"(Davies and Fischer, 2009; Krocak and Brooks, 2018)","previouslyFormattedCitation":"(Davies and Fischer, 2009; Krocak and Brooks, 2018)"},"properties":{"noteIndex":0},"schema":"https://github.com/citation-style-language/schema/raw/master/csl-citation.json"}</w:instrText>
      </w:r>
      <w:r w:rsidRPr="004F469F">
        <w:fldChar w:fldCharType="separate"/>
      </w:r>
      <w:r w:rsidR="008306CC" w:rsidRPr="008306CC">
        <w:rPr>
          <w:noProof/>
        </w:rPr>
        <w:t>(Davies and Fischer, 2009; Krocak and Brooks, 2018)</w:t>
      </w:r>
      <w:r w:rsidRPr="004F469F">
        <w:fldChar w:fldCharType="end"/>
      </w:r>
      <w:r w:rsidRPr="004F469F">
        <w:t>. Nocturnal tornadoes (</w:t>
      </w:r>
      <w:r w:rsidRPr="002614B3">
        <w:rPr>
          <w:i/>
          <w:iCs/>
        </w:rPr>
        <w:t>i.e.</w:t>
      </w:r>
      <w:r w:rsidRPr="004F469F">
        <w:t xml:space="preserve">, occurring between sunset and sunrise) represent only about a quarter of all observed events but cause 40% of tornado casualties </w:t>
      </w:r>
      <w:r w:rsidRPr="004F469F">
        <w:fldChar w:fldCharType="begin" w:fldLock="1"/>
      </w:r>
      <w:r w:rsidR="0010658B">
        <w:instrText>ADDIN CSL_CITATION {"citationItems":[{"id":"ITEM-1","itemData":{"DOI":"10.1175/2009waf2222294.1","ISBN":"0882-8156\r1520-0434","author":[{"dropping-particle":"","family":"Kis","given":"Amanda K","non-dropping-particle":"","parse-names":false,"suffix":""},{"dropping-particle":"","family":"Straka","given":"Jerry M","non-dropping-particle":"","parse-names":false,"suffix":""}],"container-title":"Weather and Forecasting","id":"ITEM-1","issue":"2","issued":{"date-parts":[["2010"]]},"page":"545-561","title":"Nocturnal Tornado Climatology*","type":"article-journal","volume":"25"},"uris":["http://www.mendeley.com/documents/?uuid=9f5afdfd-3852-4914-a930-62a5b37aea9b"]},{"id":"ITEM-2","itemData":{"DOI":"10.1175/2007WAF2007004.1","ISBN":"0882-8156","ISSN":"0882-8156","abstract":"A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1880–2005","type":"article-journal","volume":"22"},"uris":["http://www.mendeley.com/documents/?uuid=14fd8bf9-6b84-4fc3-bae5-6fa5f66b5ccf"]}],"mendeley":{"formattedCitation":"(Ashley, 2007; Kis and Straka, 2010)","plainTextFormattedCitation":"(Ashley, 2007; Kis and Straka, 2010)","previouslyFormattedCitation":"(Ashley, 2007; Kis and Straka, 2010)"},"properties":{"noteIndex":0},"schema":"https://github.com/citation-style-language/schema/raw/master/csl-citation.json"}</w:instrText>
      </w:r>
      <w:r w:rsidRPr="004F469F">
        <w:fldChar w:fldCharType="separate"/>
      </w:r>
      <w:r w:rsidR="0010658B" w:rsidRPr="0010658B">
        <w:rPr>
          <w:noProof/>
        </w:rPr>
        <w:t>(Ashley, 2007; Kis and Straka, 2010)</w:t>
      </w:r>
      <w:r w:rsidRPr="004F469F">
        <w:fldChar w:fldCharType="end"/>
      </w:r>
      <w:r w:rsidRPr="004F469F">
        <w:t xml:space="preserve">. While nocturnal tornadoes do occur anywhere daytime tornadoes occur, they represent a larger relative proportion of tornadoes in the southeastern states, with the greatest risk of nocturnal tornadoes in Arkansas and Tennessee </w:t>
      </w:r>
      <w:r w:rsidRPr="004F469F">
        <w:fldChar w:fldCharType="begin" w:fldLock="1"/>
      </w:r>
      <w:r w:rsidR="00123266">
        <w:instrText>ADDIN CSL_CITATION {"citationItems":[{"id":"ITEM-1","itemData":{"DOI":"10.1175/2008WAF2222132.1","ISBN":"0882-8156","ISSN":"0882-8156","abstract":"This study investigates the human vulnerability caused by tornadoes that occurred between sunset and sunrise from 1880 to 2007. Nocturnal tornadoes are theorized to enhance vulnerability because they are difficult to spot and occur when the public tends to be asleep and in weak building structures. Results illustrate that the nocturnal tornado death rate over the past century has not shared the same pace of decline as those events transpiring during the daytime. From 1950 to 2005, a mere 27.3% of tornadoes were nocturnal, yet 39.3% of tornado fatalities and 42.1% of killer tornado events occurred at night. Tornadoes during the overnight period (local midnight to sunrise) are 2.5 times as likely to kill as those occurring during the daytime hours. It is argued that a core reason why the national tornado fatality toll has not continued to decrease in the past few decades is due to the vulnerability to these nocturnal events. This vulnerability is magnified when other factors such as escalating mobile (or \" manufactured \") home stock and an increasing and spreading population are realized. Unlike other structure types that show no robust demarcation between nocturnal and daytime fatalities, nearly 61% of fatalities in mobile homes take place at night revealing this housing stock's distinct nocturnal tornado vulnerability. Further, spatial analysis illustrates that the American South's high nocturnal tornado risk is an important factor leading to the region's high fatality rate. The investigation emphasizes a potential break in the tornado warning dissemi-nation system utilized currently in the United States.","author":[{"dropping-particle":"","family":"Ashley","given":"Walker S.","non-dropping-particle":"","parse-names":false,"suffix":""},{"dropping-particle":"","family":"Krmenec","given":"Andrew J.","non-dropping-particle":"","parse-names":false,"suffix":""},{"dropping-particle":"","family":"Schwantes","given":"Rick","non-dropping-particle":"","parse-names":false,"suffix":""}],"container-title":"Weather and Forecasting","id":"ITEM-1","issue":"5","issued":{"date-parts":[["2008"]]},"page":"795-807","title":"Vulnerability due to Nocturnal Tornadoes","type":"article-journal","volume":"23"},"uris":["http://www.mendeley.com/documents/?uuid=19b3a4e7-c18a-4ca4-85a3-8fa219aea973"]},{"id":"ITEM-2","itemData":{"ISBN":"9781878220998","author":[{"dropping-particle":"","family":"Simmons","given":"Kevin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tornadoes","type":"book"},"uris":["http://www.mendeley.com/documents/?uuid=679dd86e-3cb6-4bd9-aa65-841ad4dddd4a"]}],"mendeley":{"formattedCitation":"(Ashley et al., 2008; Simmons and Sutter, 2011)","plainTextFormattedCitation":"(Ashley et al., 2008; Simmons and Sutter, 2011)","previouslyFormattedCitation":"(Ashley et al., 2008; Simmons and Sutter, 2011)"},"properties":{"noteIndex":0},"schema":"https://github.com/citation-style-language/schema/raw/master/csl-citation.json"}</w:instrText>
      </w:r>
      <w:r w:rsidRPr="004F469F">
        <w:fldChar w:fldCharType="separate"/>
      </w:r>
      <w:r w:rsidR="00123266" w:rsidRPr="00123266">
        <w:rPr>
          <w:noProof/>
        </w:rPr>
        <w:t xml:space="preserve">(Ashley </w:t>
      </w:r>
      <w:r w:rsidR="00123266" w:rsidRPr="00453357">
        <w:rPr>
          <w:i/>
          <w:iCs/>
          <w:noProof/>
        </w:rPr>
        <w:t>et al.</w:t>
      </w:r>
      <w:r w:rsidR="00123266" w:rsidRPr="00123266">
        <w:rPr>
          <w:noProof/>
        </w:rPr>
        <w:t>, 2008; Simmons and Sutter, 2011)</w:t>
      </w:r>
      <w:r w:rsidRPr="004F469F">
        <w:fldChar w:fldCharType="end"/>
      </w:r>
      <w:r w:rsidRPr="004F469F">
        <w:t xml:space="preserve">. </w:t>
      </w:r>
    </w:p>
    <w:p w14:paraId="78952D60" w14:textId="6E3F7CCE" w:rsidR="00797351" w:rsidRPr="004F469F" w:rsidRDefault="00797351" w:rsidP="00AA740D">
      <w:pPr>
        <w:snapToGrid w:val="0"/>
        <w:spacing w:after="120" w:line="480" w:lineRule="auto"/>
        <w:ind w:firstLine="720"/>
      </w:pPr>
      <w:r w:rsidRPr="004F469F">
        <w:t xml:space="preserve">Tornado casualties occur where tornado risk meets social and/or biophysical vulnerability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areas","type":"article-journal","volume":"88"},"uris":["http://www.mendeley.com/documents/?uuid=e0a647d9-97d9-4bb8-a0e8-d46f828d01fb"]},{"id":"ITEM-3","itemData":{"DOI":"10.1007/s11069-015-1704-z","ISBN":"1106901517","ISSN":"0921030X","abstract":"Weather-related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Hazards","id":"ITEM-3","issue":"1","issued":{"date-parts":[["2015"]]},"page":"121-140","publisher":"Springer Netherlands","title":"Spatiotemporal analysis of tornado exposure in five US metropolitan areas","type":"article-journal","volume":"78"},"uris":["http://www.mendeley.com/documents/?uuid=d44d442f-d7b1-46d3-9316-83a25acff696"]}],"mendeley":{"formattedCitation":"(Wurman et al., 2007; Rosencrants and Ashley, 2015; Ashley and Strader, 2016)","plainTextFormattedCitation":"(Wurman et al., 2007; Rosencrants and Ashley, 2015; Ashley and Strader, 2016)","previouslyFormattedCitation":"(Wurman et al., 2007; Rosencrants and Ashley, 2015; Ashley and Strader, 2016)"},"properties":{"noteIndex":0},"schema":"https://github.com/citation-style-language/schema/raw/master/csl-citation.json"}</w:instrText>
      </w:r>
      <w:r w:rsidRPr="004F469F">
        <w:fldChar w:fldCharType="separate"/>
      </w:r>
      <w:r w:rsidR="0010658B" w:rsidRPr="00123266">
        <w:rPr>
          <w:noProof/>
        </w:rPr>
        <w:t xml:space="preserve">(Wurman </w:t>
      </w:r>
      <w:r w:rsidR="0010658B" w:rsidRPr="00453357">
        <w:rPr>
          <w:i/>
          <w:iCs/>
          <w:noProof/>
        </w:rPr>
        <w:t>et al.</w:t>
      </w:r>
      <w:r w:rsidR="0010658B" w:rsidRPr="00123266">
        <w:rPr>
          <w:noProof/>
        </w:rPr>
        <w:t>, 2007; Rosencrants and Ashley, 2015; Ashley and Strader, 2016)</w:t>
      </w:r>
      <w:r w:rsidRPr="004F469F">
        <w:fldChar w:fldCharType="end"/>
      </w:r>
      <w:r w:rsidRPr="004F469F">
        <w:t xml:space="preserve">. Tornado vulnerabilities are usually related to one of three factors: situational awareness, risk perception, and ability to seek shelter </w:t>
      </w:r>
      <w:r w:rsidRPr="004F469F">
        <w:fldChar w:fldCharType="begin" w:fldLock="1"/>
      </w:r>
      <w:r w:rsidR="00123266">
        <w:instrText>ADDIN CSL_CITATION {"citationItems":[{"id":"ITEM-1","itemData":{"DOI":"10.1175/WCAS-D-11-00004.1","ISBN":"1948-8327","ISSN":"1948-8327","abstract":"Tornado vulnerability depends on the incidence of and societal exposure to tornadoes for a particular location. This study assesses the vulnerability of Texas counties to tornadoes using tornado incidence and societal exposure composite scores. Three different assessment methods are used to quantify tornado vulnerability and a geographical information system is used for visualization. Using multiple assessment methods facilitates different ways of viewing tornado vulnerability. Even though the three tornado vulnerability maps produced in this study are spatially diverse, some counties were repeatedly identified as highly vulnerable. The most highly vulnerable counties were located within the northern and northeastern portions of the state, specifically in the northeastern corner within the Shreveport, Louisiana, county warning area.","author":[{"dropping-particle":"","family":"Dixon","given":"Richard W.","non-dropping-particle":"","parse-names":false,"suffix":""},{"dropping-particle":"","family":"Moore","given":"Todd W.","non-dropping-particle":"","parse-names":false,"suffix":""}],"container-title":"Weather, Climate, and Society","id":"ITEM-1","issue":"1","issued":{"date-parts":[["2012"]]},"page":"59-68","title":"Tornado Vulnerability in Texas","type":"article-journal","volume":"4"},"uris":["http://www.mendeley.com/documents/?uuid=62e9a3c3-e4e1-403e-a09a-95d41141d556"]},{"id":"ITEM-2","itemData":{"DOI":"10.1111/1540-6237.8402002","ISBN":"1540-6237","ISSN":"00384941","PMID":"9841166","abstract":"Objective. County-level socioeconomic and demographic data were used to construct an index of social vulnerability to environmental hazards, called the Social Vulnerability Index (SoVI) for the United States based on 1990 data. Methods. Using a factor analytic approach, 42 variables were reduced to 11 independent factors that accounted for about 76 percent of the variance. These factors were placed in an additive model to compute a summary score—the Social Vulnerability Index. Results. There are some distinct spatial patterns in the SoVI, with the most vulnerable counties clustered in metropolitan counties in the east, south Texas, and the Mississippi Delta region. Conclusion. Those factors that contribute to the overall score often are different for each county, underscoring the interactive nature of social vulnerability—some components increase vulnerability; others moderate the effects.","author":[{"dropping-particle":"","family":"Cutter","given":"Susan L.","non-dropping-particle":"","parse-names":false,"suffix":""},{"dropping-particle":"","family":"Boruff","given":"Bryan J.","non-dropping-particle":"","parse-names":false,"suffix":""},{"dropping-particle":"","family":"Shirley","given":"W. Lynn","non-dropping-particle":"","parse-names":false,"suffix":""}],"container-title":"Social Science Quarterly","id":"ITEM-2","issue":"2","issued":{"date-parts":[["2003"]]},"page":"242-261","title":"Social vulnerability to environmental hazards","type":"article-journal","volume":"84"},"uris":["http://www.mendeley.com/documents/?uuid=d49c5493-2335-4145-b3e1-6ba9bc1f1236"]},{"id":"ITEM-3","itemData":{"author":[{"dropping-particle":"","family":"Merrell","given":"David","non-dropping-particle":"","parse-names":false,"suffix":""},{"dropping-particle":"","family":"Simmons","given":"Kevin M","non-dropping-particle":"","parse-names":false,"suffix":""},{"dropping-particle":"","family":"Sutter","given":"Daniel","non-dropping-particle":"","parse-names":false,"suffix":""}],"container-title":"Land Economics","id":"ITEM-3","issue":"1","issued":{"date-parts":[["2005"]]},"page":"87-99","publisher":"University of Wisconsin Press","title":"The determinants of tornado casualties and the benefits of tornado shelters","type":"article-journal","volume":"81"},"uris":["http://www.mendeley.com/documents/?uuid=c554c701-4850-4023-baa7-f2e5a333e1cc"]}],"mendeley":{"formattedCitation":"(Cutter et al., 2003; Merrell et al., 2005; Dixon and Moore, 2012)","plainTextFormattedCitation":"(Cutter et al., 2003; Merrell et al., 2005; Dixon and Moore, 2012)","previouslyFormattedCitation":"(Cutter et al., 2003; Merrell et al., 2005; Dixon and Moore, 2012)"},"properties":{"noteIndex":0},"schema":"https://github.com/citation-style-language/schema/raw/master/csl-citation.json"}</w:instrText>
      </w:r>
      <w:r w:rsidRPr="004F469F">
        <w:fldChar w:fldCharType="separate"/>
      </w:r>
      <w:r w:rsidR="00123266" w:rsidRPr="00123266">
        <w:rPr>
          <w:noProof/>
        </w:rPr>
        <w:t xml:space="preserve">(Cutter </w:t>
      </w:r>
      <w:r w:rsidR="00123266" w:rsidRPr="00453357">
        <w:rPr>
          <w:i/>
          <w:iCs/>
          <w:noProof/>
        </w:rPr>
        <w:t>et al.</w:t>
      </w:r>
      <w:r w:rsidR="00123266" w:rsidRPr="00123266">
        <w:rPr>
          <w:noProof/>
        </w:rPr>
        <w:t xml:space="preserve">, 2003; Merrell </w:t>
      </w:r>
      <w:r w:rsidR="00123266" w:rsidRPr="00453357">
        <w:rPr>
          <w:i/>
          <w:iCs/>
          <w:noProof/>
        </w:rPr>
        <w:t>et al.</w:t>
      </w:r>
      <w:r w:rsidR="00123266" w:rsidRPr="00123266">
        <w:rPr>
          <w:noProof/>
        </w:rPr>
        <w:t>, 2005; Dixon and Moore, 2012)</w:t>
      </w:r>
      <w:r w:rsidRPr="004F469F">
        <w:fldChar w:fldCharType="end"/>
      </w:r>
      <w:r w:rsidRPr="004F469F">
        <w:t xml:space="preserve">. </w:t>
      </w:r>
      <w:r w:rsidRPr="004F469F">
        <w:lastRenderedPageBreak/>
        <w:t xml:space="preserve">Since the 1990s, advanced radar and dense storm spotter networks have ensured that most tornadoes are warned. When a warning is issued it is thoroughly disseminated through many sources, including NOAA weather radio, broadcast and social media, and mobile and internet-based applications, enabling most of the population to receive the warning </w:t>
      </w:r>
      <w:r w:rsidRPr="004F469F">
        <w:fldChar w:fldCharType="begin" w:fldLock="1"/>
      </w:r>
      <w:r w:rsidR="00123266">
        <w:instrText>ADDIN CSL_CITATION {"citationItems":[{"id":"ITEM-1","itemData":{"ISBN":"0003-0007","author":[{"dropping-particle":"","family":"Coleman","given":"Timothy A","non-dropping-particle":"","parse-names":false,"suffix":""},{"dropping-particle":"","family":"Knupp","given":"Kevin R","non-dropping-particle":"","parse-names":false,"suffix":""},{"dropping-particle":"","family":"Spann","given":"James","non-dropping-particle":"","parse-names":false,"suffix":""},{"dropping-particle":"","family":"Elliott","given":"J B","non-dropping-particle":"","parse-names":false,"suffix":""},{"dropping-particle":"","family":"Peters","given":"Brian E","non-dropping-particle":"","parse-names":false,"suffix":""}],"container-title":"Bulletin of the American Meteorological Society","id":"ITEM-1","issue":"5","issued":{"date-parts":[["2011"]]},"page":"567","title":"The history (and future) of tornado warning dissemination in the United States","type":"article-journal","volume":"92"},"uris":["http://www.mendeley.com/documents/?uuid=b6c2d911-b136-4e86-a77f-3776161588c5"]},{"id":"ITEM-2","itemData":{"DOI":"10.1175/BAMS-D-12-00147.1","ISBN":"1520-0477","ISSN":"00030007","PMID":"17798761","abstract":"ne of the scientific community’s greatest achievements in meteorology during the twentieth century has been the development of a largely effective public tornado warning system. O Between 1912 and 1936, tornadoes killed an average 260 persons per year, about 1.8 deaths per million people when normalized by population (Brooks and Doswell 2001). Between 1975 and 2000, that number had declined to 54 deaths per year, or 0.12 deaths per million people in 2000 (Brooks and Doswell 2001), a reduction of 93% from 1925. In 1986 the tornado warning lead time was approximately five minutes, with only 25% of tornadoes warned; by 2004, the mean lead time was 13 min, with about 75% of tor- nadoes warned (Erickson and Brooks 2006). Far from simple, the tornado warning process is a complex chain of events, encompassing institu- tional action and individual responses, that utilizes sensing technologies, conceptual models, numerical AFFILIATIONS: BROTZGE—University of Oklahoma, Norman, Oklahoma; DONNER—Department of Sociology and Anthropology, The University of Texas–Pan American, Edinburg, Texas CORRESPONDING AUTHOR: Jerry Brotzge, Center for Analysis and Prediction of Storms, University of Oklahoma, 120 David L. Boren Blvd., Suite 2500, Norman, OK 73072-7309 E-mail: jbrotzge@ou.edu The abstract for this article can be found in this issue, following the table of contents. DOI:10.1175/BAMS-D-12-00147.1 In final form 16 April 2013 ©2013 American Meteorological Society weather prediction (NWP), forecaster and emergency management (EM) decision making, warning dis- semination technologies, and public experience and education (Fig. 1). The sequential steps of this process—forecast, detection, warning decision, dissemination, and public response—are known as the Integrated Warning System (IWS; Leik et al. 1981; Doswell et al. 1999). This article reviews the end-to-end tornado warning process and related research, considers the challenges to improving the current system, and explores possible next steps. While this article cannot provide a completely comprehensive review of all research in each specific area, the goal is to provide a broad overview of the tornado warning process and a brief summary of the many avenues of research that could contribute to improvements in the current system","author":[{"dropping-particle":"","family":"Brotzge","given":"J.","non-dropping-particle":"","parse-names":false,"suffix":""},{"dropping-particle":"","family":"Donner","given":"W.","non-dropping-particle":"","parse-names":false,"suffix":""}],"container-title":"Bulletin of the American Meteorological Society","id":"ITEM-2","issue":"11","issued":{"date-parts":[["2013"]]},"page":"1715-1733","title":"The tornado warning process: A review of current research, challenges, and opportunities","type":"article-journal","volume":"94"},"uris":["http://www.mendeley.com/documents/?uuid=e45c23bd-cce2-499e-81d3-4506ffe92500"]}],"mendeley":{"formattedCitation":"(Coleman et al., 2011; Brotzge and Donner, 2013)","plainTextFormattedCitation":"(Coleman et al., 2011; Brotzge and Donner, 2013)","previouslyFormattedCitation":"(Coleman et al., 2011; Brotzge and Donner, 2013)"},"properties":{"noteIndex":0},"schema":"https://github.com/citation-style-language/schema/raw/master/csl-citation.json"}</w:instrText>
      </w:r>
      <w:r w:rsidRPr="004F469F">
        <w:fldChar w:fldCharType="separate"/>
      </w:r>
      <w:r w:rsidR="0010658B" w:rsidRPr="00123266">
        <w:rPr>
          <w:noProof/>
        </w:rPr>
        <w:t xml:space="preserve">(Coleman </w:t>
      </w:r>
      <w:r w:rsidR="0010658B" w:rsidRPr="00453357">
        <w:rPr>
          <w:i/>
          <w:iCs/>
          <w:noProof/>
        </w:rPr>
        <w:t>et al.</w:t>
      </w:r>
      <w:r w:rsidR="0010658B" w:rsidRPr="00123266">
        <w:rPr>
          <w:noProof/>
        </w:rPr>
        <w:t>, 2011; Brotzge and Donner, 2013)</w:t>
      </w:r>
      <w:r w:rsidRPr="004F469F">
        <w:fldChar w:fldCharType="end"/>
      </w:r>
      <w:r w:rsidRPr="004F469F">
        <w:t>. In spite of these advances, many people still may remain unaware of an impending tornado due to lack of understanding (</w:t>
      </w:r>
      <w:r w:rsidRPr="002614B3">
        <w:rPr>
          <w:i/>
          <w:iCs/>
        </w:rPr>
        <w:t>e.g.</w:t>
      </w:r>
      <w:r w:rsidRPr="004F469F">
        <w:t>, language barriers), lack of reception of a warning (lack of a television, radio, computer; power outage; civil defense siren failure; being asleep), or lack of issuance of a warning (</w:t>
      </w:r>
      <w:r w:rsidRPr="002614B3">
        <w:rPr>
          <w:i/>
          <w:iCs/>
        </w:rPr>
        <w:t>e.g.</w:t>
      </w:r>
      <w:r w:rsidRPr="004F469F">
        <w:t>, failure to detect due to a lack of visibility</w:t>
      </w:r>
      <w:r w:rsidR="004018A9">
        <w:t>;</w:t>
      </w:r>
      <w:r w:rsidRPr="004F469F">
        <w:t xml:space="preserve"> </w:t>
      </w:r>
      <w:r w:rsidRPr="004F469F">
        <w:fldChar w:fldCharType="begin" w:fldLock="1"/>
      </w:r>
      <w:r w:rsidR="004018A9">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tornado","type":"article-journal","volume":"64"},"uris":["http://www.mendeley.com/documents/?uuid=20b4b09b-7791-4d88-b2dd-b2d4d2b6540d"]},{"id":"ITEM-2","itemData":{"abstract":"From May 19 to May 31, 2013, a series of devastating weather events affected the area in and around Oklahoma City. Although this report focuses on three specific days, May 19, 20, and 31, the entire period was characterized by an active weather pattern and multiple tornadoes across several National Weather Service (NWS) Weather Forecast Offices’ (WFO) areas of responsibility. The historic flash flooding that occurred in Oklahoma City on May 31 is also of note. This flash flooding caused more fatalities than the tornadoes on that day. In all, there were 47 direct weather fatalities in the WFO Norman County Warning Area during these 13 days in May. NWS formed a Service Assessment Team to evaluate NWS performance and to undertake a detailed social science review to examine the effectiveness of messaging and the behavior of the public in each severe weather event. The team concentrated its efforts primarily on counties and cities affected by the strongest tornadoes during this period. NWS also conducted a complete review of the operations of WFO Norman and the Storm Prediction Center. After the events on May 20 and May 31, NWS Southern Region Operational Services Division conducted a Rapid Evaluation of Service Activities and Performance (RESAP). Several of the RESAP findings were incorporated into this report.","author":[{"dropping-particle":"","family":"Uccellini","given":"Louis W.","non-dropping-particle":"","parse-names":false,"suffix":""}],"id":"ITEM-2","issue":"March","issued":{"date-parts":[["2014"]]},"page":"63","title":"May 2013 Oklahoma Tornadoes and Flash Flooding National Oceanic and Atmospheric Administration","type":"article-journal"},"uris":["http://www.mendeley.com/documents/?uuid=96e96b53-ec5b-4675-ba65-9ea185c36c3b"]}],"mendeley":{"formattedCitation":"(Paul and Stimers, 2012; Uccellini, 2014)","manualFormatting":"Paul and Stimers, 2012; Uccellini, 2014)","plainTextFormattedCitation":"(Paul and Stimers, 2012; Uccellini, 2014)","previouslyFormattedCitation":"(Paul and Stimers, 2012; Uccellini, 2014)"},"properties":{"noteIndex":0},"schema":"https://github.com/citation-style-language/schema/raw/master/csl-citation.json"}</w:instrText>
      </w:r>
      <w:r w:rsidRPr="004F469F">
        <w:fldChar w:fldCharType="separate"/>
      </w:r>
      <w:r w:rsidR="0010658B" w:rsidRPr="0010658B">
        <w:rPr>
          <w:noProof/>
        </w:rPr>
        <w:t>Paul and Stimers, 2012; Uccellini, 2014)</w:t>
      </w:r>
      <w:r w:rsidRPr="004F469F">
        <w:fldChar w:fldCharType="end"/>
      </w:r>
      <w:r w:rsidRPr="004F469F">
        <w:t xml:space="preserve">. </w:t>
      </w:r>
    </w:p>
    <w:p w14:paraId="0DFAC586" w14:textId="74FD1061" w:rsidR="00797351" w:rsidRPr="004F469F" w:rsidRDefault="00797351" w:rsidP="00AA740D">
      <w:pPr>
        <w:snapToGrid w:val="0"/>
        <w:spacing w:after="120" w:line="480" w:lineRule="auto"/>
        <w:ind w:firstLine="720"/>
      </w:pPr>
      <w:r w:rsidRPr="004F469F">
        <w:t>To act to reduce vulnerability, a person first has to perceive that they are at risk. Tornadoes are low-</w:t>
      </w:r>
      <w:r w:rsidR="00DE5691">
        <w:t>frequency</w:t>
      </w:r>
      <w:r w:rsidRPr="004F469F">
        <w:t xml:space="preserve"> events and are thus often treated as no risk events leading to cavaliere attitudes towards tornado warnings </w:t>
      </w:r>
      <w:r w:rsidRPr="004F469F">
        <w:fldChar w:fldCharType="begin" w:fldLock="1"/>
      </w:r>
      <w:r w:rsidR="00123266">
        <w:instrText>ADDIN CSL_CITATION {"citationItems":[{"id":"ITEM-1","itemData":{"DOI":"10.1175/1520-0434(1999)014&lt;0544:SSAPAS&gt;2.0.CO;2","ISBN":"1520-0434","ISSN":"0882-8156","abstract":"Abstract The history of storm spotting and public awareness of the tornado threat is reviewed. It is shown that a downward trend in fatalities apparently began after the famous ?Tri-State? tornado of 1925. Storm spotting?s history begins in World War II as an effort to protect the nation?s military installations, but became a public service with the resumption of public tornado forecasting, pioneered in 1948 by the Air Force?s Fawbush and Miller and begun in the public sector in 1952. The current spotter program, known generally as SKYWARN, is a civilian-based volunteer organization. Responsibility for spotter training has rested with the national forecasting services (originally, the Weather Bureau and now the National Weather Service). That training has evolved with (a) the proliferation of widespread film and (recently) video footage of severe storms; (b) growth in the scientific knowledge about tornadoes and tornadic storms, as well as a better understanding of how tornadoes produce damage; and (c) the inception and growth of scientific and hobbyist storm chasing. The concept of an integrated warning system is presented in detail, and considered in light of past and present accomplishments and what needs to be done in the future to maintain the downward trend in fatalities. As the integrated warning system has evolved over its history, it has become clear that volunteer spotters and the public forecasting services need to be closely tied. Further, public information dissemination is a major factor in an integrated warning service; warnings and forecasts that do not reach the users and produce appropriate responses are not very valuable, even if they are accurate and timely. The history of the integration has been somewhat checkered, but compelling evidence of the overall efficacy of the watch?warning program can be found in the maintenance of the downward trend in annual fatalities that began in 1925.","author":[{"dropping-particle":"","family":"Doswell","given":"Charles A. III","non-dropping-particle":"","parse-names":false,"suffix":""},{"dropping-particle":"","family":"Moller","given":"Alan R.","non-dropping-particle":"","parse-names":false,"suffix":""},{"dropping-particle":"","family":"Brooks","given":"Harold E.","non-dropping-particle":"","parse-names":false,"suffix":""}],"container-title":"Weather and Forecasting","id":"ITEM-1","issue":"4","issued":{"date-parts":[["1999"]]},"page":"544-557","title":"Storm Spotting and Public Awareness since the First Tornado Forecasts of 1948","type":"article-journal","volume":"14"},"uris":["http://www.mendeley.com/documents/?uuid=2e1bc37d-bb88-4df0-91e8-35001dcd6493"]},{"id":"ITEM-2","itemData":{"DOI":"10.1007/s11069-007-9123-4","ISBN":"0921-030X","ISSN":"0921030X","abstract":"Manufactured or mobile homes represent a fast growing portion of the housing market but are particularly vulnerable to tornadoes. In the US over 40% of tornado fatalities occur in mobile homes even though they comprise about 8% of US housing units. We examine the market for tornado shelters in manufactured home parks in Oklahoma. Almost 60% of parks in the state have shelters, with 90% of the shelters underground. Parks with shelters are not concentrated in urban areas but spread across the state, with parks with shelters in 32 counties. We find that rents for lots in parks with shelters are 5-8% higher, which generates sufficient revenue to approximately pay for shelters, but the point estimate is statistically significant in only one specification.","author":[{"dropping-particle":"","family":"Simmons","given":"Kevin M.","non-dropping-particle":"","parse-names":false,"suffix":""},{"dropping-particle":"","family":"Sutter","given":"Daniel","non-dropping-particle":"","parse-names":false,"suffix":""}],"container-title":"Natural Hazards","id":"ITEM-2","issue":"3","issued":{"date-parts":[["2007"]]},"page":"365-378","title":"Tornado shelters and the manufactured home parks market","type":"article-journal","volume":"43"},"uris":["http://www.mendeley.com/documents/?uuid=d88372d2-3c6a-44bd-8adb-7b50719463f8"]}],"mendeley":{"formattedCitation":"(Doswell et al., 1999; Simmons and Sutter, 2007)","plainTextFormattedCitation":"(Doswell et al., 1999; Simmons and Sutter, 2007)","previouslyFormattedCitation":"(Doswell et al., 1999; Simmons and Sutter, 2007)"},"properties":{"noteIndex":0},"schema":"https://github.com/citation-style-language/schema/raw/master/csl-citation.json"}</w:instrText>
      </w:r>
      <w:r w:rsidRPr="004F469F">
        <w:fldChar w:fldCharType="separate"/>
      </w:r>
      <w:r w:rsidR="00123266" w:rsidRPr="00123266">
        <w:rPr>
          <w:noProof/>
        </w:rPr>
        <w:t xml:space="preserve">(Doswell </w:t>
      </w:r>
      <w:r w:rsidR="00123266" w:rsidRPr="00453357">
        <w:rPr>
          <w:i/>
          <w:iCs/>
          <w:noProof/>
        </w:rPr>
        <w:t>et al.</w:t>
      </w:r>
      <w:r w:rsidR="00123266" w:rsidRPr="00123266">
        <w:rPr>
          <w:noProof/>
        </w:rPr>
        <w:t>, 1999; Simmons and Sutter, 2007)</w:t>
      </w:r>
      <w:r w:rsidRPr="004F469F">
        <w:fldChar w:fldCharType="end"/>
      </w:r>
      <w:r w:rsidRPr="004F469F">
        <w:t xml:space="preserve">. Frequent false alarms (due to radar-indicated tornadoes that never touchdown or tornado warning sirens that are used too frequently) can erode public confidence in the warning dissemination systems making people less likely to seek shelter </w:t>
      </w:r>
      <w:r w:rsidRPr="004F469F">
        <w:fldChar w:fldCharType="begin" w:fldLock="1"/>
      </w:r>
      <w:r w:rsidR="00123266">
        <w:instrText>ADDIN CSL_CITATION {"citationItems":[{"id":"ITEM-1","itemData":{"DOI":"10.1175/WAF-D-10-05004.1","ISBN":"0882-8156","ISSN":"0882-8156","abstract":"During 2008 approximately 75%% of tornado warnings issued by the National Weather Service (NWS) were false alarms. This study investigates some of the climatological trends in the issuance of false alarms and highlights several factors that impact false-alarm ratio (FAR) statistics. All tornadoes and tornado warnings issued across the continental United States between 2000 and 2004 were analyzed, and the data were sorted by hour of the day, month of the year, geographical region and weather forecast office (WFO), the number of tornadoes observed on a day in which a false alarm was issued, distance of the warned area from the nearest NWS radar, county population density, and county area. Analysis of the tornado false-alarm data identified six specific trends. First, the FAR was highest during nonpeak storm periods, such as during the night and during the winter and late summer. Second, the FAR was strongly tied to the number of tornadoes warned per day. Nearly one-third of all false alarms were issued on days when no tornadoes were confirmed within the WFO's county warning area. Third, the FAR varied with distance from radar, with significantly lower estimates found beyond 150 km from radar. Fourth, the FAR varied with population density. For warnings within 50 km of an NWS radar, FAR increased with population density; however, for warnings beyond 150 km from radar, FAR decreased regardless of population density. Fifth, the FAR also varied as a function of county size. The FAR was generally highest for the smallest counties; the FAR was ~80%% for all counties less than 1000 km2 regardless of distance from radar. Finally, the combined effects of distance from radar, population density, and county size led to significant variability across geographic regions.","author":[{"dropping-particle":"","family":"Brotzge","given":"J.","non-dropping-particle":"","parse-names":false,"suffix":""},{"dropping-particle":"","family":"Erickson","given":"S.","non-dropping-particle":"","parse-names":false,"suffix":""},{"dropping-particle":"","family":"Brooks","given":"H.","non-dropping-particle":"","parse-names":false,"suffix":""}],"container-title":"Weather and Forecasting","id":"ITEM-1","issue":"4","issued":{"date-parts":[["2011"]]},"page":"534-544","title":"A 5-yr climatology of tornado false alarms","type":"article-journal","volume":"26"},"uris":["http://www.mendeley.com/documents/?uuid=e7563fb0-67b4-4eaa-aa36-3ebe52976207"]},{"id":"ITEM-2","itemData":{"DOI":"10.1175/2009WCAS1005.1","ISBN":"1948-8335","abstract":"This paper extends prior research on the societal value of tornado warnings to the impact of false alarms. Intuition and theory suggest that false alarms will reduce the response to warnings, yet little evidence of a “false alarm effect” has been unearthed. This paper exploits differences in the false-alarm ratio across the United States to test for a false-alarm effect in a regression model of tornado casualties from 1986 to 2004. A statistically significant and large false-alarm effect is found: tornadoes that occur in an area with a higher false-alarm ratio kill and injure more people, everything else being constant. The effect is consistent across false-alarm ratios defined over different geographies and time intervals. A one-standard-deviation increase in the false-alarm ratio increases expected fatalities by between 12% and 29% and increases expected injuries by between 14% and 32%. The reduction in the national tornado false-alarm ratio over the period reduced fatalities by 4%–11% and injuries by 4%–13%. The casualty effects of false alarms and warning lead times are approximately equal in magnitude, suggesting that the National Weather Service could not reduce casualties by trading off a higher probability of detection for a higher false-alarm ratio, or vice versa.","author":[{"dropping-particle":"","family":"Simmons","given":"Kevin M","non-dropping-particle":"","parse-names":false,"suffix":""},{"dropping-particle":"","family":"Sutter","given":"Daniel","non-dropping-particle":"","parse-names":false,"suffix":""}],"container-title":"Weather, Climate, and Society","id":"ITEM-2","issue":"1","issued":{"date-parts":[["2009"]]},"page":"38-53","title":"False alarms, tornado warnings, and tornado casualties","type":"article-journal","volume":"1"},"uris":["http://www.mendeley.com/documents/?uuid=f849a444-f729-4454-80ab-d7f24d5e368b"]},{"id":"ITEM-3","itemData":{"DOI":"10.1007/s11069-012-0313-3","abstract":"On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Hazards","id":"ITEM-3","issue":"2","issued":{"date-parts":[["2012"]]},"page":"1511-1526","title":"Exploring probable reasons for record fatalities: the case of 2011 Joplin, Missouri, tornado","type":"article-journal","volume":"64"},"uris":["http://www.mendeley.com/documents/?uuid=20b4b09b-7791-4d88-b2dd-b2d4d2b6540d"]}],"mendeley":{"formattedCitation":"(Simmons and Sutter, 2009; Brotzge et al., 2011; Paul and Stimers, 2012)","plainTextFormattedCitation":"(Simmons and Sutter, 2009; Brotzge et al., 2011; Paul and Stimers, 2012)","previouslyFormattedCitation":"(Simmons and Sutter, 2009; Brotzge et al., 2011; Paul and Stimers, 2012)"},"properties":{"noteIndex":0},"schema":"https://github.com/citation-style-language/schema/raw/master/csl-citation.json"}</w:instrText>
      </w:r>
      <w:r w:rsidRPr="004F469F">
        <w:fldChar w:fldCharType="separate"/>
      </w:r>
      <w:r w:rsidR="00123266" w:rsidRPr="00123266">
        <w:rPr>
          <w:noProof/>
        </w:rPr>
        <w:t xml:space="preserve">(Simmons and Sutter, 2009; Brotzge </w:t>
      </w:r>
      <w:r w:rsidR="00123266" w:rsidRPr="00453357">
        <w:rPr>
          <w:i/>
          <w:iCs/>
          <w:noProof/>
        </w:rPr>
        <w:t>et al.</w:t>
      </w:r>
      <w:r w:rsidR="00123266" w:rsidRPr="00123266">
        <w:rPr>
          <w:noProof/>
        </w:rPr>
        <w:t>, 2011; Paul and Stimers, 2012)</w:t>
      </w:r>
      <w:r w:rsidRPr="004F469F">
        <w:fldChar w:fldCharType="end"/>
      </w:r>
      <w:r w:rsidRPr="004F469F">
        <w:t xml:space="preserve">. </w:t>
      </w:r>
      <w:r w:rsidR="00C562C6">
        <w:t xml:space="preserve">For example, a survey conducted by Paul and Stimers </w:t>
      </w:r>
      <w:r w:rsidR="00C562C6">
        <w:fldChar w:fldCharType="begin" w:fldLock="1"/>
      </w:r>
      <w:r w:rsidR="004C320F">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suppress-author":1,"uris":["http://www.mendeley.com/documents/?uuid=20b4b09b-7791-4d88-b2dd-b2d4d2b6540d"]}],"mendeley":{"formattedCitation":"(2012)","plainTextFormattedCitation":"(2012)","previouslyFormattedCitation":"(2012)"},"properties":{"noteIndex":0},"schema":"https://github.com/citation-style-language/schema/raw/master/csl-citation.json"}</w:instrText>
      </w:r>
      <w:r w:rsidR="00C562C6">
        <w:fldChar w:fldCharType="separate"/>
      </w:r>
      <w:r w:rsidR="00C562C6" w:rsidRPr="00C562C6">
        <w:rPr>
          <w:noProof/>
        </w:rPr>
        <w:t>(2012)</w:t>
      </w:r>
      <w:r w:rsidR="00C562C6">
        <w:fldChar w:fldCharType="end"/>
      </w:r>
      <w:r w:rsidR="00C562C6">
        <w:t xml:space="preserve">, about warning response for the EF5 tornado that hit Joplin, Missouri on May 22, 2011, found that approximately 28% of the respondants ignored the tornado warnings due to frequent false alarms. </w:t>
      </w:r>
      <w:r w:rsidRPr="004F469F">
        <w:t>Additionally, tornado myths and folklore (</w:t>
      </w:r>
      <w:r w:rsidRPr="002614B3">
        <w:rPr>
          <w:i/>
          <w:iCs/>
        </w:rPr>
        <w:t>e.g.</w:t>
      </w:r>
      <w:r w:rsidRPr="004F469F">
        <w:t xml:space="preserve">, hills act as protective barriers to tornadoes) can lead people to assume they are safe and thus not seek shelter or seek shelter in the wrong location </w:t>
      </w:r>
      <w:r w:rsidRPr="004F469F">
        <w:fldChar w:fldCharType="begin" w:fldLock="1"/>
      </w:r>
      <w:r w:rsidR="00123266">
        <w:instrText>ADDIN CSL_CITATION {"citationItems":[{"id":"ITEM-1","itemData":{"author":[{"dropping-particle":"","family":"Hoffman","given":"Rebecca Lynn","non-dropping-particle":"","parse-names":false,"suffix":""}],"id":"ITEM-1","issued":{"date-parts":[["2013"]]},"publisher":"Kent State University","title":"To the Southwest Corner: Tornado Myths and Socio-Demographic Vulnerability","type":"thesis"},"uris":["http://www.mendeley.com/documents/?uuid=204e27e5-fdf9-499e-9642-4ccfb96eb271"]},{"id":"ITEM-2","itemData":{"DOI":"10.1175/2011WCAS1076.1","ISBN":"1948-8327","ISSN":"1948-8327","abstract":"Tornado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Society","id":"ITEM-2","issue":"2","issued":{"date-parts":[["2011"]]},"page":"128-140","title":"A Preliminary Look at the Social Perspective of Warn-on-Forecast: Preferred Tornado Warning Lead Time and the General Public’s Perceptions of Weather Risks","type":"article-journal","volume":"3"},"uris":["http://www.mendeley.com/documents/?uuid=781a5543-d038-4ec3-9825-6e94cd7bebcc"]},{"id":"ITEM-3","itemData":{"DOI":"10.1007/s10708-013-9518-6","author":[{"dropping-particle":"","family":"Klockow","given":"Kimberly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A.","non-dropping-particle":"","parse-names":false,"suffix":""}],"container-title":"GeoJournal","id":"ITEM-3","issue":"6","issued":{"date-parts":[["2014"]]},"page":"791-804","title":"Tornado folk science in Alabama and Mississippi in the 27 April 2011 tornado outbreak","type":"article-journal","volume":"79"},"uris":["http://www.mendeley.com/documents/?uuid=b2de5efd-e72d-4641-8d1d-ff4cb52012e2"]}],"mendeley":{"formattedCitation":"(Hoekstra et al., 2011; Hoffman, 2013; Klockow et al., 2014)","plainTextFormattedCitation":"(Hoekstra et al., 2011; Hoffman, 2013; Klockow et al., 2014)","previouslyFormattedCitation":"(Hoekstra et al., 2011; Hoffman, 2013; Klockow et al., 2014)"},"properties":{"noteIndex":0},"schema":"https://github.com/citation-style-language/schema/raw/master/csl-citation.json"}</w:instrText>
      </w:r>
      <w:r w:rsidRPr="004F469F">
        <w:fldChar w:fldCharType="separate"/>
      </w:r>
      <w:r w:rsidR="00123266" w:rsidRPr="00123266">
        <w:rPr>
          <w:noProof/>
        </w:rPr>
        <w:t xml:space="preserve">(Hoekstra </w:t>
      </w:r>
      <w:r w:rsidR="00123266" w:rsidRPr="00453357">
        <w:rPr>
          <w:i/>
          <w:iCs/>
          <w:noProof/>
        </w:rPr>
        <w:t>et al.</w:t>
      </w:r>
      <w:r w:rsidR="00123266" w:rsidRPr="00123266">
        <w:rPr>
          <w:noProof/>
        </w:rPr>
        <w:t xml:space="preserve">, 2011; Hoffman, 2013; Klockow </w:t>
      </w:r>
      <w:r w:rsidR="00123266" w:rsidRPr="00453357">
        <w:rPr>
          <w:i/>
          <w:iCs/>
          <w:noProof/>
        </w:rPr>
        <w:t>et al.</w:t>
      </w:r>
      <w:r w:rsidR="00123266" w:rsidRPr="00123266">
        <w:rPr>
          <w:noProof/>
        </w:rPr>
        <w:t>, 2014)</w:t>
      </w:r>
      <w:r w:rsidRPr="004F469F">
        <w:fldChar w:fldCharType="end"/>
      </w:r>
      <w:r w:rsidRPr="004F469F">
        <w:t xml:space="preserve">. </w:t>
      </w:r>
    </w:p>
    <w:p w14:paraId="68784CB7" w14:textId="5A3267B4" w:rsidR="00797351" w:rsidRPr="004F469F" w:rsidRDefault="00797351" w:rsidP="00AA740D">
      <w:pPr>
        <w:snapToGrid w:val="0"/>
        <w:spacing w:after="120" w:line="480" w:lineRule="auto"/>
        <w:ind w:firstLine="720"/>
      </w:pPr>
      <w:r w:rsidRPr="004F469F">
        <w:t xml:space="preserve">Once a person has recognized the need to seek shelter, they have to have access to shelter and the ability to seek it (be mobile). The safest place to seek shelter during a tornado is a </w:t>
      </w:r>
      <w:r w:rsidRPr="004F469F">
        <w:lastRenderedPageBreak/>
        <w:t xml:space="preserve">Federal Emergency Management Agency (FEMA) rated storm shelter as these provide near-total protection; however, these are only available to homeowners with sufficient disposable income </w:t>
      </w:r>
      <w:r w:rsidRPr="004F469F">
        <w:fldChar w:fldCharType="begin" w:fldLock="1"/>
      </w:r>
      <w:r w:rsidR="00123266">
        <w:instrText>ADDIN CSL_CITATION {"citationItems":[{"id":"ITEM-1","itemData":{"DOI":"10.1175/1520-0434(2002)017&lt;0619:TSETSB&gt;2.0.CO;2","ISSN":"0882-8156","abstract":"Over the past several decades, engineers have made significant progress in the design and construction of structures able to withstand tornadic winds and debris. The aftermath of the 3 May 1999 F5 tornado in Moore, Oklahoma, highlighted the modest market penetration of tornado shelters in metropolitan areas. The authors use historical data from Oklahoma to estimate the potential casualties that tornado shelters could prevent and calculate that the cost per fatality avoided in single-family homes is $29 million while the cost per fatality avoided for mobile homes is $2.6 million. The estimates are sensitive to the proportion of strong (F3 or stronger) tornadoes and the choice of an interest rate for present-value calculations. If the F-scale distribution of Oklahoma tornadoes resembled a reported national frequency distribution and fatalities per category storm are held constant, the permanent home cost per fatality avoided triples to $88 million.","author":[{"dropping-particle":"","family":"Merrell","given":"David;","non-dropping-particle":"","parse-names":false,"suffix":""},{"dropping-particle":"","family":"Simmons","given":"Kevin;","non-dropping-particle":"","parse-names":false,"suffix":""},{"dropping-particle":"","family":"Sutter","given":"Daniel","non-dropping-particle":"","parse-names":false,"suffix":""}],"container-title":"American Meteorological Society","id":"ITEM-1","issue":"3","issued":{"date-parts":[["2002"]]},"page":"619-625","title":"Taking Shelter : Estimating the Safety Benefits of Tornado Safe Rooms","type":"article-journal","volume":"17"},"uris":["http://www.mendeley.com/documents/?uuid=8266b7aa-68b2-45b0-9d2c-f78e7e11622b"]},{"id":"ITEM-2","itemData":{"DOI":"10.1111/j.1539-6924.2006.00790.x","ISBN":"1539-6924","abstract":"This article estimates the cost effectiveness of tornado shelters using the annual probability of a tornado and new data on fatalities per building struck by a tornado. This approach differs from recent estimates of the cost effectiveness of tornado shelters in Reference 1 that use historical casualties. Historical casualties combine both tornado risk and resident action. If residents of tornado-prone states take greater precautions, observed fatalities might not be much higher than in states with lower risk. Estimation using the tornado probability avoids this potential bias. Despite the very different method used, the estimates are $68 million in permanent homes and $6.0 in mobile homes in Oklahoma using a 3% real discount rate, within about 10% of estimates based on historical fatalities. The findings suggest that shelters provide cost-effective protection for mobile homes in the most tornado-prone states but not for permanent homes.","author":[{"dropping-particle":"","family":"Simmons","given":"Kevin M","non-dropping-particle":"","parse-names":false,"suffix":""},{"dropping-particle":"","family":"Sutter","given":"Daniel","non-dropping-particle":"","parse-names":false,"suffix":""}],"container-title":"Risk analysis","id":"ITEM-2","issue":"4","issued":{"date-parts":[["2006"]]},"page":"945-954","title":"Direct estimation of the cost effectiveness of tornado shelters","type":"article-journal","volume":"26"},"uris":["http://www.mendeley.com/documents/?uuid=2fba34b7-5978-4ebd-a0f8-478d3940bc9f"]}],"mendeley":{"formattedCitation":"(Merrell et al., 2002; Simmons and Sutter, 2006)","plainTextFormattedCitation":"(Merrell et al., 2002; Simmons and Sutter, 2006)","previouslyFormattedCitation":"(Merrell et al., 2002; Simmons and Sutter, 2006)"},"properties":{"noteIndex":0},"schema":"https://github.com/citation-style-language/schema/raw/master/csl-citation.json"}</w:instrText>
      </w:r>
      <w:r w:rsidRPr="004F469F">
        <w:fldChar w:fldCharType="separate"/>
      </w:r>
      <w:r w:rsidR="00123266" w:rsidRPr="00123266">
        <w:rPr>
          <w:noProof/>
        </w:rPr>
        <w:t xml:space="preserve">(Merrell </w:t>
      </w:r>
      <w:r w:rsidR="00123266" w:rsidRPr="00453357">
        <w:rPr>
          <w:i/>
          <w:iCs/>
          <w:noProof/>
        </w:rPr>
        <w:t>et al.</w:t>
      </w:r>
      <w:r w:rsidR="00123266" w:rsidRPr="00123266">
        <w:rPr>
          <w:noProof/>
        </w:rPr>
        <w:t>, 2002; Simmons and Sutter, 2006)</w:t>
      </w:r>
      <w:r w:rsidRPr="004F469F">
        <w:fldChar w:fldCharType="end"/>
      </w:r>
      <w:r w:rsidR="00C562C6">
        <w:t>, and communities that are able and willing to invest in public storm shelters</w:t>
      </w:r>
      <w:r w:rsidR="004C320F">
        <w:t xml:space="preserve"> </w:t>
      </w:r>
      <w:r w:rsidR="004C320F">
        <w:fldChar w:fldCharType="begin" w:fldLock="1"/>
      </w:r>
      <w:r w:rsidR="0010658B">
        <w:instrText>ADDIN CSL_CITATION {"citationItems":[{"id":"ITEM-1","itemData":{"author":[{"dropping-particle":"","family":"Buckley","given":"John W","non-dropping-particle":"","parse-names":false,"suffix":""}],"container-title":"Weather and forecasting","id":"ITEM-1","issue":"3","issued":{"date-parts":[["2002"]]},"page":"626-634","title":"After the storm: Building a safe shelter for the school children of Mulhall, Oklahoma","type":"article-journal","volume":"17"},"uris":["http://www.mendeley.com/documents/?uuid=a93039d4-9354-40e0-86ec-b94b17349c40"]}],"mendeley":{"formattedCitation":"(Buckley, 2002)","plainTextFormattedCitation":"(Buckley, 2002)","previouslyFormattedCitation":"(Buckley, 2002)"},"properties":{"noteIndex":0},"schema":"https://github.com/citation-style-language/schema/raw/master/csl-citation.json"}</w:instrText>
      </w:r>
      <w:r w:rsidR="004C320F">
        <w:fldChar w:fldCharType="separate"/>
      </w:r>
      <w:r w:rsidR="004C320F" w:rsidRPr="004C320F">
        <w:rPr>
          <w:noProof/>
        </w:rPr>
        <w:t>(Buckley, 2002)</w:t>
      </w:r>
      <w:r w:rsidR="004C320F">
        <w:fldChar w:fldCharType="end"/>
      </w:r>
      <w:r w:rsidRPr="004F469F">
        <w:t xml:space="preserve">. Even without a FEMA-rated shelter, the National Weather Service (NWS) recommends sheltering in place in an interior room without windows or in the nearest sturdy structure as any building will provide protection from flying debris </w:t>
      </w:r>
      <w:r w:rsidRPr="004F469F">
        <w:fldChar w:fldCharType="begin" w:fldLock="1"/>
      </w:r>
      <w:r w:rsidR="00123266">
        <w:instrText>ADDIN CSL_CITATION {"citationItems":[{"id":"ITEM-1","itemData":{"DOI":"10.1007/s11069-008-9257-z","ISSN":"0921030X","abstract":"Residents of 401 mobile homes in Georgia, Mississippi, Illinois, and Oklahoma were surveyed after they heard a tornado warning. Most residents (69%) did not seek shelter during the warning. Half of those who sought shelter went to the frame house of a friend, neighbor, or relative, and 25% of those sought shelter in a basement or underground shelter. Some of the places where residents sought shelter were of dubious quality, such as their own mobile home, another mobile home, or in an out-building. Twenty-one percent of mobile home residents believed that they had a basement or underground shelter available as shelter during a tornado warning, and about half of those said they would drive to the shelter. Residents said they would drive if the shelter was more than 200 m away. Fifteen percent actually had a basement or underground shelter suitable as shelter within 200 m of their mobile home, but only 43% of the residents would use those shelters. The most common reason cited for not using the shelters was that they did not know the people who lived there. Likewise, a frame house or other sturdy building was within 200 m of 58% of the mobile homes, but only 35% of the residents stated they would use those houses for shelter. Thirty-one percent of mobile home residents had a ditch that was at least 0.5 m deep within 200 m of the mobile home. However, 44% of these ditches had utility lines overhead, 23% had water in them, and 20% had trees overhead. The limited tornado shelter options among mobile home residents in the United States needs to be incorporated into safety instructions so that residents without nearby shelter are allowed to drive to safer shelter.","author":[{"dropping-particle":"","family":"Schmidlin","given":"Thomas W.","non-dropping-particle":"","parse-names":false,"suffix":""},{"dropping-particle":"","family":"Hammer","given":"Barbara O.","non-dropping-particle":"","parse-names":false,"suffix":""},{"dropping-particle":"","family":"Ono","given":"Yuichi","non-dropping-particle":"","parse-names":false,"suffix":""},{"dropping-particle":"","family":"King","given":"Paul S.","non-dropping-particle":"","parse-names":false,"suffix":""}],"container-title":"Natural Hazards","id":"ITEM-1","issue":"2","issued":{"date-parts":[["2009"]]},"page":"191-201","title":"Tornado shelter-seeking behavior and tornado shelter options among mobile home residents in the United States","type":"article-journal","volume":"48"},"uris":["http://www.mendeley.com/documents/?uuid=c99f8630-5087-4b15-ae77-9d0ead4a3939"]},{"id":"ITEM-2","itemData":{"DOI":"10.1175/WCAS-D-12-00046.1","ISSN":"1948-8327","abstract":"This paper contributes to existing knowledge on factors that influence adoption of hazards adjustments for tornadoes. The Protective Action Decision Model provides the theoretical basis for the study, which was conducted after the 2011 disaster in DeKalb County, Alabama. Most of the 124 survey participants had received public safety information on how to prepare for a tornado, understood the definition of a tornado warning, had participated in a tornado drill, and had a plan for seeking shelter. Few owned a NOAA weather radio or had a tornado-resistant shelter on the premises. Demographic analysis found that older residents (601 yr) and households without children were significantly less likely to have participated in a tornado drill, lower income residents were significantly less likely to have a tornado-resistant shelter on the premises or a plan for seeking shelter, and mobile home residents were significantly less likely to have a plan for seeking shelter. Locus of control and past experience were not significantly associated with adoption of hazards adjustments, but suspected reasons for these results are discussed. Many plans that involved evacuating to another location included excessively long travel distances, and several mobile home residents planned to seek shelter inside their residence. Failure to adopt effective preparedness actions in each of these areas could serve as a situational impediment to making an appropriate protective action decision when a tornado threatens the household. The results identify aspects of household preparedness where there is opportunity for improvement, which would reduce vulnerability and enhance community resilience. © 2013 American Meteorological Society.","author":[{"dropping-particle":"","family":"Chaney","given":"Philip L.","non-dropping-particle":"","parse-names":false,"suffix":""},{"dropping-particle":"","family":"Weaver","given":"Greg S.","non-dropping-particle":"","parse-names":false,"suffix":""},{"dropping-particle":"","family":"Youngblood","given":"Susan A.","non-dropping-particle":"","parse-names":false,"suffix":""},{"dropping-particle":"","family":"Pitts","given":"Kristin","non-dropping-particle":"","parse-names":false,"suffix":""}],"container-title":"Weather, Climate, and Society","id":"ITEM-2","issue":"4","issued":{"date-parts":[["2013"]]},"page":"345-358","title":"Household Preparedness for Tornado Hazards: The 2011 Disaster in DeKalb County, Alabama","type":"article-journal","volume":"5"},"uris":["http://www.mendeley.com/documents/?uuid=295550f5-fc7a-4097-b773-ace6802e6121"]},{"id":"ITEM-3","itemData":{"DOI":"10.1007/s11069-015-1990-5","ISSN":"15730840","abstract":"To provide people with more specific information about tornado threats, the National Weather Service has replaced its county-wide warnings with smaller warning polygons that more specifically indicate the risk area. However, tornado warning polygons do not have a standardized definition regarding tornado strike probabilities (ps) so it is unclear how warning recipients interpret them. To better understand this issue, 155 participants responded to 15 hypothetical warning polygons. After viewing each polygon, they rated the likelihood of a tornado striking their location and the likelihood that they would take nine different response actions ranging from continuing normal activities to getting in a car and driving somewhere safer. The results showed participants inferred that the ps was highest at the polygon's centroid, lower just inside the edges of the polygon, still lower (but not zero) just outside the edges of the polygon, and lowest in locations beyond that. Moreover, higher ps values were associated with lower expectations of continuing normal activities and higher expectations of seeking information from social sources (but not environmental cues) and higher expectations of seeking shelter (but not evacuating in their cars). These results indicate that most people make some errors in their ps judgments but are likely to respond appro- priately to the ps they infer from the warning polygons. Overall, the findings from this study and other research can help meteorologists to better understand how people interpret the uncertainty associated with warning polygons and, thus, improve tornado warning systems.","author":[{"dropping-particle":"","family":"Lindell","given":"Michael K","non-dropping-particle":"","parse-names":false,"suffix":""},{"dropping-particle":"","family":"Huang","given":"Shih Kai","non-dropping-particle":"","parse-names":false,"suffix":""},{"dropping-particle":"","family":"Wei","given":"Hung Lung","non-dropping-particle":"","parse-names":false,"suffix":""},{"dropping-particle":"","family":"Samuelson","given":"Charles D","non-dropping-particle":"","parse-names":false,"suffix":""}],"container-title":"Natural Hazards","id":"ITEM-3","issue":"1","issued":{"date-parts":[["2016"]]},"page":"683-707","publisher":"Springer Netherlands","title":"Perceptions and expected immediate reactions to tornado warning polygons","type":"article-journal","volume":"80"},"uris":["http://www.mendeley.com/documents/?uuid=80b953f0-4dd6-41bf-82be-3821af135b20"]}],"mendeley":{"formattedCitation":"(Schmidlin et al., 2009; Chaney et al., 2013b; Lindell et al., 2016)","plainTextFormattedCitation":"(Schmidlin et al., 2009; Chaney et al., 2013b; Lindell et al., 2016)","previouslyFormattedCitation":"(Schmidlin et al., 2009; Chaney et al., 2013b; Lindell et al., 2016)"},"properties":{"noteIndex":0},"schema":"https://github.com/citation-style-language/schema/raw/master/csl-citation.json"}</w:instrText>
      </w:r>
      <w:r w:rsidRPr="004F469F">
        <w:fldChar w:fldCharType="separate"/>
      </w:r>
      <w:r w:rsidR="00123266" w:rsidRPr="00123266">
        <w:rPr>
          <w:noProof/>
        </w:rPr>
        <w:t xml:space="preserve">(Schmidlin </w:t>
      </w:r>
      <w:r w:rsidR="00123266" w:rsidRPr="00453357">
        <w:rPr>
          <w:i/>
          <w:iCs/>
          <w:noProof/>
        </w:rPr>
        <w:t>et al.</w:t>
      </w:r>
      <w:r w:rsidR="00123266" w:rsidRPr="00123266">
        <w:rPr>
          <w:noProof/>
        </w:rPr>
        <w:t xml:space="preserve">, 2009; Chaney </w:t>
      </w:r>
      <w:r w:rsidR="00123266" w:rsidRPr="00453357">
        <w:rPr>
          <w:i/>
          <w:iCs/>
          <w:noProof/>
        </w:rPr>
        <w:t>et al.</w:t>
      </w:r>
      <w:r w:rsidR="00123266" w:rsidRPr="00123266">
        <w:rPr>
          <w:noProof/>
        </w:rPr>
        <w:t xml:space="preserve">, 2013b; Lindell </w:t>
      </w:r>
      <w:r w:rsidR="00123266" w:rsidRPr="00453357">
        <w:rPr>
          <w:i/>
          <w:iCs/>
          <w:noProof/>
        </w:rPr>
        <w:t>et al.</w:t>
      </w:r>
      <w:r w:rsidR="00123266" w:rsidRPr="00123266">
        <w:rPr>
          <w:noProof/>
        </w:rPr>
        <w:t>, 2016)</w:t>
      </w:r>
      <w:r w:rsidRPr="004F469F">
        <w:fldChar w:fldCharType="end"/>
      </w:r>
      <w:r w:rsidRPr="004F469F">
        <w:t xml:space="preserve">. Mobile and manufactured homes are the one exception to the shelter-in-place recommendation as they can easily be severely damaged and/or flipped in tornado winds </w:t>
      </w:r>
      <w:r w:rsidRPr="004F469F">
        <w:fldChar w:fldCharType="begin" w:fldLock="1"/>
      </w:r>
      <w:r w:rsidR="00123266">
        <w:instrText>ADDIN CSL_CITATION {"citationItems":[{"id":"ITEM-1","itemData":{"DOI":"10.1016/j.regsciurbeco.2017.04.003","ISSN":"18792308","abstract":"Tornadoes are the most frequent of the natural hazards in the United States, causing significant yearly human and economic losses. Given the potential destructive power of tornado events and their largely unpredictable nature, it is important to identify the major determinants of vulnerability. To date, only a limited number of studies have empirically investigated the determinants of tornado-induced deaths. Based on a conceptual framework where risk is considered to be a function of physically defined natural hazards and socially constructed vulnerability, we extend previous empirical studies by examining a wider range of potential socio-economic, governmental, and housing factors that determine tornado-induced fatalities. Using detailed county-level data for years 1980–2014, we find that counties with higher per capita income and per capita government spending on public safety and welfare have fewer deaths, whereas counties with greater income disparity are more vulnerable to tornadoes. We explore which aspects of poverty seem most associated with fatalities. Housing quality (measured by mobile homes as a proportion of housing units) is a critical factor in explaining tornado-induced fatalities.","author":[{"dropping-particle":"","family":"Lim","given":"Jungmin","non-dropping-particle":"","parse-names":false,"suffix":""},{"dropping-particle":"","family":"Loveridge","given":"Scott","non-dropping-particle":"","parse-names":false,"suffix":""},{"dropping-particle":"","family":"Shupp","given":"Robert","non-dropping-particle":"","parse-names":false,"suffix":""},{"dropping-particle":"","family":"Skidmore","given":"Mark","non-dropping-particle":"","parse-names":false,"suffix":""}],"container-title":"Regional Science and Urban Economics","id":"ITEM-1","issue":"December 2011","issued":{"date-parts":[["2017"]]},"page":"1-15","publisher":"Elsevier","title":"Double danger in the double wide: Dimensions of poverty, housing quality and tornado impacts","type":"article-journal","volume":"65"},"uris":["http://www.mendeley.com/documents/?uuid=8b703a12-fbe9-4479-bfb5-c05c4315ef92"]},{"id":"ITEM-2","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Forecasting","id":"ITEM-2","issue":"3","issued":{"date-parts":[["2002"]]},"page":"354-361","title":"Deaths in the 3 May 1999 Oklahoma City Tornado from a Historical Perspective","type":"article-journal","volume":"17"},"uris":["http://www.mendeley.com/documents/?uuid=5eb3ce29-8c0e-406f-9550-7fedc326e547"]},{"id":"ITEM-3","itemData":{"DOI":"10.1007/s11069-007-9123-4","ISBN":"0921-030X","ISSN":"0921030X","abstract":"Manufactured or mobile homes represent a fast growing portion of the housing market but are particularly vulnerable to tornadoes. In the US over 40% of tornado fatalities occur in mobile homes even though they comprise about 8% of US housing units. We examine the market for tornado shelters in manufactured home parks in Oklahoma. Almost 60% of parks in the state have shelters, with 90% of the shelters underground. Parks with shelters are not concentrated in urban areas but spread across the state, with parks with shelters in 32 counties. We find that rents for lots in parks with shelters are 5-8% higher, which generates sufficient revenue to approximately pay for shelters, but the point estimate is statistically significant in only one specification.","author":[{"dropping-particle":"","family":"Simmons","given":"Kevin M.","non-dropping-particle":"","parse-names":false,"suffix":""},{"dropping-particle":"","family":"Sutter","given":"Daniel","non-dropping-particle":"","parse-names":false,"suffix":""}],"container-title":"Natural Hazards","id":"ITEM-3","issue":"3","issued":{"date-parts":[["2007"]]},"page":"365-378","title":"Tornado shelters and the manufactured home parks market","type":"article-journal","volume":"43"},"uris":["http://www.mendeley.com/documents/?uuid=d88372d2-3c6a-44bd-8adb-7b50719463f8"]}],"mendeley":{"formattedCitation":"(Brooks and Doswell, 2002; Simmons and Sutter, 2007; Lim et al., 2017)","plainTextFormattedCitation":"(Brooks and Doswell, 2002; Simmons and Sutter, 2007; Lim et al., 2017)","previouslyFormattedCitation":"(Brooks and Doswell, 2002; Simmons and Sutter, 2007; Lim et al., 2017)"},"properties":{"noteIndex":0},"schema":"https://github.com/citation-style-language/schema/raw/master/csl-citation.json"}</w:instrText>
      </w:r>
      <w:r w:rsidRPr="004F469F">
        <w:fldChar w:fldCharType="separate"/>
      </w:r>
      <w:r w:rsidR="0010658B" w:rsidRPr="00123266">
        <w:rPr>
          <w:noProof/>
        </w:rPr>
        <w:t xml:space="preserve">(Brooks and Doswell, 2002; Simmons and Sutter, 2007; Lim </w:t>
      </w:r>
      <w:r w:rsidR="0010658B" w:rsidRPr="00453357">
        <w:rPr>
          <w:i/>
          <w:iCs/>
          <w:noProof/>
        </w:rPr>
        <w:t>et al.</w:t>
      </w:r>
      <w:r w:rsidR="0010658B" w:rsidRPr="00123266">
        <w:rPr>
          <w:noProof/>
        </w:rPr>
        <w:t>, 2017)</w:t>
      </w:r>
      <w:r w:rsidRPr="004F469F">
        <w:fldChar w:fldCharType="end"/>
      </w:r>
      <w:r w:rsidRPr="004F469F">
        <w:t xml:space="preserve">. In fact, a study by Brooks and Doswell </w:t>
      </w:r>
      <w:r w:rsidRPr="004F469F">
        <w:fldChar w:fldCharType="begin" w:fldLock="1"/>
      </w:r>
      <w:r w:rsidR="0010658B">
        <w:instrText>ADDIN CSL_CITATION {"citationItems":[{"id":"ITEM-1","itemData":{"DOI":"10.1175/1520-0434(2002)017&lt;0354:DITMOC&gt;2.0.CO;2","ISBN":"1520-0434","ISSN":"0882-8156","abstract":"The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Forecasting","id":"ITEM-1","issue":"3","issued":{"date-parts":[["2002"]]},"page":"354-361","title":"Deaths in the 3 May 1999 Oklahoma City Tornado from a Historical Perspective","type":"article-journal","volume":"17"},"uris":["http://www.mendeley.com/documents/?uuid=5eb3ce29-8c0e-406f-9550-7fedc326e547"]}],"mendeley":{"formattedCitation":"(Brooks and Doswell, 2002)","plainTextFormattedCitation":"(Brooks and Doswell, 2002)","previouslyFormattedCitation":"(Brooks and Doswell, 2002)"},"properties":{"noteIndex":0},"schema":"https://github.com/citation-style-language/schema/raw/master/csl-citation.json"}</w:instrText>
      </w:r>
      <w:r w:rsidRPr="004F469F">
        <w:fldChar w:fldCharType="separate"/>
      </w:r>
      <w:r w:rsidR="0010658B" w:rsidRPr="0010658B">
        <w:rPr>
          <w:noProof/>
        </w:rPr>
        <w:t>(Brooks and Doswell, 2002)</w:t>
      </w:r>
      <w:r w:rsidRPr="004F469F">
        <w:fldChar w:fldCharType="end"/>
      </w:r>
      <w:r w:rsidRPr="004F469F">
        <w:t xml:space="preserve"> found the risk of death in tornado in a mobile home to be about 10 – 15 times higher than the risk of death in a single-family home. </w:t>
      </w:r>
    </w:p>
    <w:p w14:paraId="6A23FAAB" w14:textId="1768F238" w:rsidR="00797351" w:rsidRPr="004F469F" w:rsidRDefault="00797351" w:rsidP="00AA740D">
      <w:pPr>
        <w:snapToGrid w:val="0"/>
        <w:spacing w:after="120" w:line="480" w:lineRule="auto"/>
        <w:ind w:firstLine="720"/>
      </w:pPr>
      <w:r w:rsidRPr="004F469F">
        <w:t xml:space="preserve">A person who is mobile will be able to either move to a safe location inside or travel to the nearest private/public shelter. Physical mobility can be impaired for the elderly, infirm and disabled </w:t>
      </w:r>
      <w:r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1880–2005","type":"article-journal","volume":"22"},"uris":["http://www.mendeley.com/documents/?uuid=14fd8bf9-6b84-4fc3-bae5-6fa5f66b5ccf"]},{"id":"ITEM-2","itemData":{"author":[{"dropping-particle":"","family":"Kuligowski","given":"Erica D.","non-dropping-particle":"","parse-names":false,"suffix":""},{"dropping-particle":"","family":"Lombardo","given":"Franklin T.","non-dropping-particle":"","parse-names":false,"suffix":""},{"dropping-particle":"","family":"Phan","given":"Long T.","non-dropping-particle":"","parse-names":false,"suffix":""},{"dropping-particle":"","family":"Levitan","given":"Marc L.","non-dropping-particle":"","parse-names":false,"suffix":""},{"dropping-particle":"","family":"Jorgensen","given":"David P.","non-dropping-particle":"","parse-names":false,"suffix":""}],"id":"ITEM-2","issued":{"date-parts":[["2014"]]},"number-of-pages":"494","publisher-place":"Gaithersburg, Maryland","title":"Technical investigation of the May 22, 2011 tornado in Joplin, Missouri","type":"report"},"uris":["http://www.mendeley.com/documents/?uuid=8b29532f-1e15-4537-811d-8644d1e15e44"]},{"id":"ITEM-3","itemData":{"ISBN":"9781878220998","author":[{"dropping-particle":"","family":"Simmons","given":"Kevin M.","non-dropping-particle":"","parse-names":false,"suffix":""},{"dropping-particle":"","family":"Sutter","given":"Daniel","non-dropping-particle":"","parse-names":false,"suffix":""}],"edition":"1","id":"ITEM-3","issued":{"date-parts":[["2011"]]},"number-of-pages":"282","publisher":"American Meteorological Society","publisher-place":"Boston, MA","title":"Economic and societal impacts of tornadoes","type":"book"},"uris":["http://www.mendeley.com/documents/?uuid=679dd86e-3cb6-4bd9-aa65-841ad4dddd4a"]}],"mendeley":{"formattedCitation":"(Ashley, 2007; Simmons and Sutter, 2011; Kuligowski et al., 2014)","plainTextFormattedCitation":"(Ashley, 2007; Simmons and Sutter, 2011; Kuligowski et al., 2014)","previouslyFormattedCitation":"(Ashley, 2007; Simmons and Sutter, 2011; Kuligowski et al., 2014)"},"properties":{"noteIndex":0},"schema":"https://github.com/citation-style-language/schema/raw/master/csl-citation.json"}</w:instrText>
      </w:r>
      <w:r w:rsidRPr="004F469F">
        <w:fldChar w:fldCharType="separate"/>
      </w:r>
      <w:r w:rsidR="0010658B" w:rsidRPr="00123266">
        <w:rPr>
          <w:noProof/>
        </w:rPr>
        <w:t xml:space="preserve">(Ashley, 2007; Simmons and Sutter, 2011; Kuligowski </w:t>
      </w:r>
      <w:r w:rsidR="0010658B" w:rsidRPr="00453357">
        <w:rPr>
          <w:i/>
          <w:iCs/>
          <w:noProof/>
        </w:rPr>
        <w:t>et al.</w:t>
      </w:r>
      <w:r w:rsidR="0010658B" w:rsidRPr="00123266">
        <w:rPr>
          <w:noProof/>
        </w:rPr>
        <w:t>, 2014)</w:t>
      </w:r>
      <w:r w:rsidRPr="004F469F">
        <w:fldChar w:fldCharType="end"/>
      </w:r>
      <w:r w:rsidRPr="004F469F">
        <w:t xml:space="preserve">. A lack of access to transport can further reduce mobility for those who are physically impaired as well as those living in conditions of poverty </w:t>
      </w:r>
      <w:r w:rsidRPr="004F469F">
        <w:fldChar w:fldCharType="begin" w:fldLock="1"/>
      </w:r>
      <w:r w:rsidR="00123266">
        <w:instrText>ADDIN CSL_CITATION {"citationItems":[{"id":"ITEM-1","itemData":{"author":[{"dropping-particle":"","family":"Bowser","given":"Gregg C","non-dropping-particle":"","parse-names":false,"suffix":""},{"dropping-particle":"","family":"Cutter","given":"Susan L","non-dropping-particle":"","parse-names":false,"suffix":""}],"container-title":"Environment: Science and Policy for Sustainable Development","id":"ITEM-1","issue":"6","issued":{"date-parts":[["2015"]]},"page":"28-41","publisher":"Taylor &amp; Francis","title":"Stay or go? Examining decision making and behavior in hurricane evacuations","type":"article-journal","volume":"57"},"uris":["http://www.mendeley.com/documents/?uuid=fe15815a-b20e-4cd2-ac68-0747c254cb8e"]},{"id":"ITEM-2","itemData":{"author":[{"dropping-particle":"","family":"Zoraster","given":"Richard M","non-dropping-particle":"","parse-names":false,"suffix":""}],"container-title":"Prehospital and disaster medicine","id":"ITEM-2","issue":"1","issued":{"date-parts":[["2010"]]},"page":"74-78","publisher":"Cambridge University Press","title":"Vulnerable populations: Hurricane Katrina as a case study","type":"article-journal","volume":"25"},"uris":["http://www.mendeley.com/documents/?uuid=d701fdea-b038-424a-bcd6-b3bdadc3e85f"]},{"id":"ITEM-3","itemData":{"author":[{"dropping-particle":"","family":"Strader","given":"Stephen M.","non-dropping-particle":"","parse-names":false,"suffix":""},{"dropping-particle":"","family":"Ash","given":"Kevin","non-dropping-particle":"","parse-names":false,"suffix":""},{"dropping-particle":"","family":"Wagner","given":"Eric","non-dropping-particle":"","parse-names":false,"suffix":""},{"dropping-particle":"","family":"Sherrod","given":"Chayla","non-dropping-particle":"","parse-names":false,"suffix":""}],"container-title":"International Journal of Disaster Risk Reduction","id":"ITEM-3","issued":{"date-parts":[["2019"]]},"page":"101210","publisher":"Elsevier","title":"Mobile home resident evacuation vulnerability and emergency medical service access during tornado events in the Southeast United States","type":"article-journal"},"uris":["http://www.mendeley.com/documents/?uuid=6e8fce0a-a239-46aa-af06-81c863d18e6a"]}],"mendeley":{"formattedCitation":"(Zoraster, 2010; Bowser and Cutter, 2015; Strader et al., 2019)","plainTextFormattedCitation":"(Zoraster, 2010; Bowser and Cutter, 2015; Strader et al., 2019)","previouslyFormattedCitation":"(Zoraster, 2010; Bowser and Cutter, 2015; Strader et al., 2019)"},"properties":{"noteIndex":0},"schema":"https://github.com/citation-style-language/schema/raw/master/csl-citation.json"}</w:instrText>
      </w:r>
      <w:r w:rsidRPr="004F469F">
        <w:fldChar w:fldCharType="separate"/>
      </w:r>
      <w:r w:rsidR="0010658B" w:rsidRPr="00123266">
        <w:rPr>
          <w:noProof/>
        </w:rPr>
        <w:t xml:space="preserve">(Zoraster, 2010; Bowser and Cutter, 2015; Strader </w:t>
      </w:r>
      <w:r w:rsidR="0010658B" w:rsidRPr="00453357">
        <w:rPr>
          <w:i/>
          <w:iCs/>
          <w:noProof/>
        </w:rPr>
        <w:t>et al.</w:t>
      </w:r>
      <w:r w:rsidR="0010658B" w:rsidRPr="00123266">
        <w:rPr>
          <w:noProof/>
        </w:rPr>
        <w:t>, 2019)</w:t>
      </w:r>
      <w:r w:rsidRPr="004F469F">
        <w:fldChar w:fldCharType="end"/>
      </w:r>
      <w:r w:rsidRPr="004F469F">
        <w:t xml:space="preserve">. </w:t>
      </w:r>
    </w:p>
    <w:p w14:paraId="01546B6F" w14:textId="77777777" w:rsidR="00797351" w:rsidRPr="004F469F" w:rsidRDefault="00797351" w:rsidP="00AA740D">
      <w:pPr>
        <w:pStyle w:val="Heading2"/>
        <w:snapToGrid w:val="0"/>
        <w:spacing w:before="0" w:after="120" w:line="480" w:lineRule="auto"/>
        <w:rPr>
          <w:rFonts w:ascii="Times New Roman" w:hAnsi="Times New Roman" w:cs="Times New Roman"/>
          <w:b/>
          <w:bCs/>
          <w:color w:val="auto"/>
          <w:sz w:val="28"/>
          <w:szCs w:val="28"/>
        </w:rPr>
      </w:pPr>
      <w:bookmarkStart w:id="7" w:name="_Toc21861280"/>
      <w:r w:rsidRPr="004F469F">
        <w:rPr>
          <w:rFonts w:ascii="Times New Roman" w:hAnsi="Times New Roman" w:cs="Times New Roman"/>
          <w:b/>
          <w:bCs/>
          <w:color w:val="auto"/>
          <w:sz w:val="28"/>
          <w:szCs w:val="28"/>
        </w:rPr>
        <w:t>Future Tornado Impacts</w:t>
      </w:r>
      <w:bookmarkEnd w:id="7"/>
    </w:p>
    <w:p w14:paraId="1EAA37B9" w14:textId="2444CB8E" w:rsidR="00797351" w:rsidRPr="004F469F" w:rsidRDefault="00797351" w:rsidP="00AA740D">
      <w:pPr>
        <w:snapToGrid w:val="0"/>
        <w:spacing w:after="120" w:line="480" w:lineRule="auto"/>
        <w:ind w:firstLine="720"/>
      </w:pPr>
      <w:r w:rsidRPr="004F469F">
        <w:t xml:space="preserve">Climate change and urbanization will both likely play a role in shaping future tornado impacts. Modeling studies indicate that climate change likely will have a much smaller impact than urbanization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id":"ITEM-3","itemData":{"author":[{"dropping-particle":"","family":"Jones","given":"Bryan","non-dropping-particle":"","parse-names":false,"suffix":""}],"container-title":"Nature Climate Change","id":"ITEM-3","issued":{"date-parts":[["2017"]]},"page":"237-238","title":"Natural disasters: Cities build their vulnerability","type":"article-journal","volume":"7"},"uris":["http://www.mendeley.com/documents/?uuid=22c688f5-9647-42e9-b411-6b698a1b7db0"]}],"mendeley":{"formattedCitation":"(Ashley and Strader, 2016; Jones, 2017; Strader et al., 2017a)","plainTextFormattedCitation":"(Ashley and Strader, 2016; Jones, 2017; Strader et al., 2017a)","previouslyFormattedCitation":"(Ashley and Strader, 2016; Jones, 2017; Strader et al., 2017a)"},"properties":{"noteIndex":0},"schema":"https://github.com/citation-style-language/schema/raw/master/csl-citation.json"}</w:instrText>
      </w:r>
      <w:r w:rsidRPr="004F469F">
        <w:fldChar w:fldCharType="separate"/>
      </w:r>
      <w:r w:rsidR="00123266" w:rsidRPr="00123266">
        <w:rPr>
          <w:noProof/>
        </w:rPr>
        <w:t xml:space="preserve">(Ashley and Strader, 2016; Jones, 2017; Strader </w:t>
      </w:r>
      <w:r w:rsidR="00123266" w:rsidRPr="00453357">
        <w:rPr>
          <w:i/>
          <w:iCs/>
          <w:noProof/>
        </w:rPr>
        <w:t>et al.</w:t>
      </w:r>
      <w:r w:rsidR="00123266" w:rsidRPr="00123266">
        <w:rPr>
          <w:noProof/>
        </w:rPr>
        <w:t>, 2017a)</w:t>
      </w:r>
      <w:r w:rsidRPr="004F469F">
        <w:fldChar w:fldCharType="end"/>
      </w:r>
      <w:r w:rsidRPr="004F469F">
        <w:t xml:space="preserve">. However, </w:t>
      </w:r>
      <w:r w:rsidR="00CE5841">
        <w:t xml:space="preserve">as increases in moisture and instability, due to warming temperatures, contrast with decreases in vertical wind shear, due to decreased latitudinal temperature gradients, the favorability of the </w:t>
      </w:r>
      <w:r w:rsidR="00CE5841">
        <w:lastRenderedPageBreak/>
        <w:t>atmosphere towards tornado development may change in the future</w:t>
      </w:r>
      <w:r w:rsidR="007F3209">
        <w:t xml:space="preserve">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activity?","type":"article-journal","volume":"89"},"uris":["http://www.mendeley.com/documents/?uuid=3e309387-b981-4120-ba7b-ece4c9971012"]},{"id":"ITEM-3","itemData":{"DOI":"10.1002/joc.3769","ISBN":"1097-0088","ISSN":"10970088","abstract":"This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Climatology","id":"ITEM-3","issue":"5","issued":{"date-parts":[["2014"]]},"page":"1699-1705","title":"Future convective environments using NARCCAP","type":"article-journal","volume":"34"},"uris":["http://www.mendeley.com/documents/?uuid=dc5272eb-bd85-42a6-8efc-ce143f74e287"]}],"mendeley":{"formattedCitation":"(Trapp et al., 2007; Diffenbaugh et al., 2008; Gensini et al., 2014b)","plainTextFormattedCitation":"(Trapp et al., 2007; Diffenbaugh et al., 2008; Gensini et al., 2014b)","previouslyFormattedCitation":"(Trapp et al., 2007; Diffenbaugh et al., 2008;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2008; Gensini </w:t>
      </w:r>
      <w:r w:rsidR="00123266" w:rsidRPr="00453357">
        <w:rPr>
          <w:i/>
          <w:iCs/>
          <w:noProof/>
        </w:rPr>
        <w:t>et al.</w:t>
      </w:r>
      <w:r w:rsidR="00123266" w:rsidRPr="00123266">
        <w:rPr>
          <w:noProof/>
        </w:rPr>
        <w:t>, 2014b)</w:t>
      </w:r>
      <w:r w:rsidRPr="004F469F">
        <w:fldChar w:fldCharType="end"/>
      </w:r>
      <w:r w:rsidRPr="004F469F">
        <w:t xml:space="preserve">. There have already been changes in the variability of tornado occurrence with the number of tornado outbreak days increasing while the overall number of tornado days decreases </w:t>
      </w:r>
      <w:r w:rsidRPr="004F469F">
        <w:fldChar w:fldCharType="begin" w:fldLock="1"/>
      </w:r>
      <w:r w:rsidR="00123266">
        <w:instrText>ADDIN CSL_CITATION {"citationItems":[{"id":"ITEM-1","itemData":{"DOI":"10.1126/science.1257460","ISBN":"0027-8424","ISSN":"0036-8075","PMID":"24062439","abstract":"The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T.","non-dropping-particle":"","parse-names":false,"suffix":""}],"container-title":"Science","id":"ITEM-1","issue":"6207","issued":{"date-parts":[["2014"]]},"page":"349-352","title":"Increased variability of tornado occurrence in the United States","type":"article-journal","volume":"346"},"uris":["http://www.mendeley.com/documents/?uuid=8864379a-9c12-4249-abb6-42120421d27f"]},{"id":"ITEM-2","itemData":{"author":[{"dropping-particle":"","family":"Elsner","given":"J B","non-dropping-particle":"","parse-names":false,"suffix":""},{"dropping-particle":"","family":"Jagger","given":"T H","non-dropping-particle":"","parse-names":false,"suffix":""},{"dropping-particle":"","family":"Widen","given":"H M","non-dropping-particle":"","parse-names":false,"suffix":""},{"dropping-particle":"","family":"Chavas","given":"D R","non-dropping-particle":"","parse-names":false,"suffix":""}],"container-title":"Environmental Research Letters","id":"ITEM-2","issue":"2","issued":{"date-parts":[["2014"]]},"page":"24018","publisher":"IOP Publishing","title":"Daily tornado frequency distributions in the United States","type":"article-journal","volume":"9"},"uris":["http://www.mendeley.com/documents/?uuid=afac0a05-ef42-498e-a8a1-fec17a6e7639"]}],"mendeley":{"formattedCitation":"(Brooks et al., 2014; Elsner et al., 2014)","plainTextFormattedCitation":"(Brooks et al., 2014; Elsner et al., 2014)","previouslyFormattedCitation":"(Brooks et al., 2014; Elsner et al., 2014)"},"properties":{"noteIndex":0},"schema":"https://github.com/citation-style-language/schema/raw/master/csl-citation.json"}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2014)</w:t>
      </w:r>
      <w:r w:rsidRPr="004F469F">
        <w:fldChar w:fldCharType="end"/>
      </w:r>
      <w:r w:rsidRPr="004F469F">
        <w:t xml:space="preserve">. </w:t>
      </w:r>
    </w:p>
    <w:p w14:paraId="0328891B" w14:textId="66ED25BD" w:rsidR="00797351" w:rsidRPr="004F469F" w:rsidRDefault="00797351" w:rsidP="00AA740D">
      <w:pPr>
        <w:snapToGrid w:val="0"/>
        <w:spacing w:after="120" w:line="480" w:lineRule="auto"/>
        <w:ind w:firstLine="720"/>
      </w:pPr>
      <w:r w:rsidRPr="004F469F">
        <w:t xml:space="preserve">Whether or not the number or intensity of tornadoes increases with climate change, the landscape that experiences tornado impacts is continuing to change. The amount of urban area is increasing and at the same time population </w:t>
      </w:r>
      <w:r w:rsidR="004C320F">
        <w:t xml:space="preserve">densities </w:t>
      </w:r>
      <w:r w:rsidRPr="004F469F">
        <w:t xml:space="preserve">in existing urban areas are </w:t>
      </w:r>
      <w:r w:rsidR="004C320F">
        <w:t>also increasing</w:t>
      </w:r>
      <w:r w:rsidRPr="004F469F">
        <w:t xml:space="preserve"> </w:t>
      </w:r>
      <w:r w:rsidRPr="004F469F">
        <w:fldChar w:fldCharType="begin" w:fldLock="1"/>
      </w:r>
      <w:r w:rsidR="00123266">
        <w:instrText>ADDIN CSL_CITATION {"citationItems":[{"id":"ITEM-1","itemData":{"author":[{"dropping-particle":"","family":"Seto","given":"Karen C","non-dropping-particle":"","parse-names":false,"suffix":""},{"dropping-particle":"","family":"Fragkias","given":"Michail","non-dropping-particle":"","parse-names":false,"suffix":""},{"dropping-particle":"","family":"Güneralp","given":"Burak","non-dropping-particle":"","parse-names":false,"suffix":""},{"dropping-particle":"","family":"Reilly","given":"Michael K","non-dropping-particle":"","parse-names":false,"suffix":""}],"container-title":"PloS one","id":"ITEM-1","issue":"8","issued":{"date-parts":[["2011"]]},"page":"e23777","publisher":"Public Library of Science","title":"A meta-analysis of global urban land expansion","type":"article-journal","volume":"6"},"uris":["http://www.mendeley.com/documents/?uuid=dcd9f1f0-561a-4572-9217-19239a5f5c43"]},{"id":"ITEM-2","itemData":{"author":[{"dropping-particle":"","family":"United Nations","given":"","non-dropping-particle":"","parse-names":false,"suffix":""}],"id":"ITEM-2","issued":{"date-parts":[["2018"]]},"publisher":"United Nations Department of Economic and Social Affairs","title":"2018 revision of world urbanization prospects","type":"article"},"uris":["http://www.mendeley.com/documents/?uuid=05745bf1-955f-4014-b410-06d6d4abe6d0"]}],"mendeley":{"formattedCitation":"(Seto et al., 2011; United Nations, 2018)","plainTextFormattedCitation":"(Seto et al., 2011; United Nations, 2018)","previouslyFormattedCitation":"(Seto et al., 2011; United Nations, 2018)"},"properties":{"noteIndex":0},"schema":"https://github.com/citation-style-language/schema/raw/master/csl-citation.json"}</w:instrText>
      </w:r>
      <w:r w:rsidRPr="004F469F">
        <w:fldChar w:fldCharType="separate"/>
      </w:r>
      <w:r w:rsidR="0010658B" w:rsidRPr="00123266">
        <w:rPr>
          <w:noProof/>
        </w:rPr>
        <w:t xml:space="preserve">(Seto </w:t>
      </w:r>
      <w:r w:rsidR="0010658B" w:rsidRPr="00453357">
        <w:rPr>
          <w:i/>
          <w:iCs/>
          <w:noProof/>
        </w:rPr>
        <w:t>et al.</w:t>
      </w:r>
      <w:r w:rsidR="0010658B" w:rsidRPr="00123266">
        <w:rPr>
          <w:noProof/>
        </w:rPr>
        <w:t>, 2011; United Nations, 2018)</w:t>
      </w:r>
      <w:r w:rsidRPr="004F469F">
        <w:fldChar w:fldCharType="end"/>
      </w:r>
      <w:r w:rsidRPr="004F469F">
        <w:t xml:space="preserve">. As more people and properties are placed in areas of high tornado risk, the potential impacts continue to rise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Pr="004F469F">
        <w:fldChar w:fldCharType="end"/>
      </w:r>
      <w:r w:rsidRPr="004F469F">
        <w:t xml:space="preserve">. A study by Ashley and Strader </w:t>
      </w:r>
      <w:r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found that, east of the Continental Divide in the United States, the number of housing units impacted by EF1+ tornadoes per square kilometer of tornado path area nearly tripled from 1954 to 2014. The character of the development also influences the nature of the tornado impacts. Two common development types are sprawl (expansion of a city’s boundaries through the addition of low density housing) and infill (development of vacant space within an urban area or an increase in population density for existing developments</w:t>
      </w:r>
      <w:r w:rsidR="00CE5841">
        <w:t>;</w:t>
      </w:r>
      <w:r w:rsidRPr="004F469F">
        <w:t xml:space="preserve"> </w:t>
      </w:r>
      <w:r w:rsidRPr="004F469F">
        <w:fldChar w:fldCharType="begin" w:fldLock="1"/>
      </w:r>
      <w:r w:rsidR="0010658B">
        <w:instrText>ADDIN CSL_CITATION {"citationItems":[{"id":"ITEM-1","itemData":{"author":[{"dropping-particle":"","family":"Laidley","given":"Thomas","non-dropping-particle":"","parse-names":false,"suffix":""}],"container-title":"Urban Affairs Review","id":"ITEM-1","issue":"1","issued":{"date-parts":[["2016"]]},"page":"66-97","publisher":"SAGE Publications Sage CA: Los Angeles, CA","title":"Measuring sprawl: a new index, recent trends, and future research","type":"article-journal","volume":"52"},"uris":["http://www.mendeley.com/documents/?uuid=3dba1c64-6cea-4a88-99fa-e02bae6e49b5"]},{"id":"ITEM-2","itemData":{"author":[{"dropping-particle":"","family":"Hamidi","given":"Shima","non-dropping-particle":"","parse-names":false,"suffix":""},{"dropping-particle":"","family":"Ewing","given":"Reid","non-dropping-particle":"","parse-names":false,"suffix":""}],"container-title":"Landscape and Urban Planning","id":"ITEM-2","issued":{"date-parts":[["2014"]]},"page":"72-82","publisher":"Elsevier","title":"A longitudinal study of changes in urban sprawl between 2000 and 2010 in the United States","type":"article-journal","volume":"128"},"uris":["http://www.mendeley.com/documents/?uuid=8a60cf09-b10c-4fdd-8df8-9350ed3741e9"]}],"mendeley":{"formattedCitation":"(Hamidi and Ewing, 2014; Laidley, 2016)","manualFormatting":"Hamidi and Ewing, 2014; Laidley, 2016)","plainTextFormattedCitation":"(Hamidi and Ewing, 2014; Laidley, 2016)","previouslyFormattedCitation":"(Hamidi and Ewing, 2014; Laidley, 2016)"},"properties":{"noteIndex":0},"schema":"https://github.com/citation-style-language/schema/raw/master/csl-citation.json"}</w:instrText>
      </w:r>
      <w:r w:rsidRPr="004F469F">
        <w:fldChar w:fldCharType="separate"/>
      </w:r>
      <w:r w:rsidR="00C31A1B" w:rsidRPr="004F469F">
        <w:rPr>
          <w:noProof/>
        </w:rPr>
        <w:t>Hamidi and Ewing, 2014; Laidley, 2016)</w:t>
      </w:r>
      <w:r w:rsidRPr="004F469F">
        <w:fldChar w:fldCharType="end"/>
      </w:r>
      <w:r w:rsidRPr="004F469F">
        <w:t>. When the development is low density (</w:t>
      </w:r>
      <w:r w:rsidRPr="002614B3">
        <w:rPr>
          <w:i/>
          <w:iCs/>
        </w:rPr>
        <w:t>i.e.</w:t>
      </w:r>
      <w:r w:rsidRPr="004F469F">
        <w:t>, sprawl) the median impacts tend to be larger, while when the development is high density (</w:t>
      </w:r>
      <w:r w:rsidRPr="002614B3">
        <w:rPr>
          <w:i/>
          <w:iCs/>
        </w:rPr>
        <w:t>i.e.</w:t>
      </w:r>
      <w:r w:rsidRPr="004F469F">
        <w:t xml:space="preserve">, infill) the maximum impacts appears to be larger </w:t>
      </w:r>
      <w:r w:rsidRPr="004F469F">
        <w:fldChar w:fldCharType="begin" w:fldLock="1"/>
      </w:r>
      <w:r w:rsidR="00123266">
        <w:instrText>ADDIN CSL_CITATION {"citationItems":[{"id":"ITEM-1","itemData":{"DOI":"10.1016/j.apgeog.2018.03.005","ISSN":"01436228","abstract":"This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Geography","id":"ITEM-1","issue":"March 2017","issued":{"date-parts":[["2018"]]},"page":"18-29","publisher":"Elsevier Ltd","title":"How land use alters the tornado disaster landscape","type":"article-journal","volume":"94"},"uris":["http://www.mendeley.com/documents/?uuid=d9748686-b846-458c-a837-e1e5ffc60746"]},{"id":"ITEM-2","itemData":{"author":[{"dropping-particle":"","family":"Morss","given":"Rebecca E","non-dropping-particle":"","parse-names":false,"suffix":""},{"dropping-particle":"V","family":"Wilhelmi","given":"Olga","non-dropping-particle":"","parse-names":false,"suffix":""},{"dropping-particle":"","family":"Meehl","given":"Gerald A","non-dropping-particle":"","parse-names":false,"suffix":""},{"dropping-particle":"","family":"Dilling","given":"Lisa","non-dropping-particle":"","parse-names":false,"suffix":""}],"container-title":"Annual Review of Environment and Resources","id":"ITEM-2","issued":{"date-parts":[["2011"]]},"page":"1-25","publisher":"Annual Reviews","title":"Improving societal outcomes of extreme weather in a changing climate: an integrated perspective","type":"article-journal","volume":"36"},"uris":["http://www.mendeley.com/documents/?uuid=d926a0f5-60f2-44ca-8f94-08be918644ac"]},{"id":"ITEM-3","itemData":{"DOI":"10.1007/s11069-015-1704-z","ISBN":"1106901517","ISSN":"0921030X","abstract":"Weather-related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Hazards","id":"ITEM-3","issue":"1","issued":{"date-parts":[["2015"]]},"page":"121-140","publisher":"Springer Netherlands","title":"Spatiotemporal analysis of tornado exposure in five US metropolitan areas","type":"article-journal","volume":"78"},"uris":["http://www.mendeley.com/documents/?uuid=d44d442f-d7b1-46d3-9316-83a25acff696"]}],"mendeley":{"formattedCitation":"(Morss et al., 2011; Rosencrants and Ashley, 2015; Strader et al., 2018)","plainTextFormattedCitation":"(Morss et al., 2011; Rosencrants and Ashley, 2015; Strader et al., 2018)","previouslyFormattedCitation":"(Morss et al., 2011; Rosencrants and Ashley, 2015; Strader et al., 2018)"},"properties":{"noteIndex":0},"schema":"https://github.com/citation-style-language/schema/raw/master/csl-citation.json"}</w:instrText>
      </w:r>
      <w:r w:rsidRPr="004F469F">
        <w:fldChar w:fldCharType="separate"/>
      </w:r>
      <w:r w:rsidR="0010658B" w:rsidRPr="00123266">
        <w:rPr>
          <w:noProof/>
        </w:rPr>
        <w:t xml:space="preserve">(Morss </w:t>
      </w:r>
      <w:r w:rsidR="0010658B" w:rsidRPr="00453357">
        <w:rPr>
          <w:i/>
          <w:iCs/>
          <w:noProof/>
        </w:rPr>
        <w:t>et al.</w:t>
      </w:r>
      <w:r w:rsidR="0010658B" w:rsidRPr="00123266">
        <w:rPr>
          <w:noProof/>
        </w:rPr>
        <w:t xml:space="preserve">, 2011; Rosencrants and Ashley, 2015; Strader </w:t>
      </w:r>
      <w:r w:rsidR="0010658B" w:rsidRPr="00453357">
        <w:rPr>
          <w:i/>
          <w:iCs/>
          <w:noProof/>
        </w:rPr>
        <w:t>et al.</w:t>
      </w:r>
      <w:r w:rsidR="0010658B" w:rsidRPr="00123266">
        <w:rPr>
          <w:noProof/>
        </w:rPr>
        <w:t>, 2018)</w:t>
      </w:r>
      <w:r w:rsidRPr="004F469F">
        <w:fldChar w:fldCharType="end"/>
      </w:r>
      <w:r w:rsidRPr="004F469F">
        <w:t xml:space="preserve">. With the US population projected to increase to nearly 390 million by 2050, 89% of that total residing in urban areas </w:t>
      </w:r>
      <w:r w:rsidRPr="004F469F">
        <w:fldChar w:fldCharType="begin" w:fldLock="1"/>
      </w:r>
      <w:r w:rsidRPr="004F469F">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prospects","type":"article"},"uris":["http://www.mendeley.com/documents/?uuid=05745bf1-955f-4014-b410-06d6d4abe6d0"]}],"mendeley":{"formattedCitation":"(United Nations, 2018)","plainTextFormattedCitation":"(United Nations, 2018)","previouslyFormattedCitation":"(United Nations, 2018)"},"properties":{"noteIndex":0},"schema":"https://github.com/citation-style-language/schema/raw/master/csl-citation.json"}</w:instrText>
      </w:r>
      <w:r w:rsidRPr="004F469F">
        <w:fldChar w:fldCharType="separate"/>
      </w:r>
      <w:r w:rsidRPr="004F469F">
        <w:rPr>
          <w:noProof/>
        </w:rPr>
        <w:t>(United Nations, 2018)</w:t>
      </w:r>
      <w:r w:rsidRPr="004F469F">
        <w:fldChar w:fldCharType="end"/>
      </w:r>
      <w:r w:rsidRPr="004F469F">
        <w:t xml:space="preserve">, the number of people impacted by tornadoes is likely to continue to increase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Geography","id":"ITEM-2","issue":"March 2017","issued":{"date-parts":[["2018"]]},"page":"18-29","publisher":"Elsevier Ltd","title":"How land use alters the tornado disaster landscape","type":"article-journal","volume":"94"},"uris":["http://www.mendeley.com/documents/?uuid=d9748686-b846-458c-a837-e1e5ffc60746"]}],"mendeley":{"formattedCitation":"(Strader et al., 2017a, 2018)","plainTextFormattedCitation":"(Strader et al., 2017a, 2018)","previouslyFormattedCitation":"(Strader et al., 2017a, 2018)"},"properties":{"noteIndex":0},"schema":"https://github.com/citation-style-language/schema/raw/master/csl-citation.json"}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2017a, 2018)</w:t>
      </w:r>
      <w:r w:rsidRPr="004F469F">
        <w:fldChar w:fldCharType="end"/>
      </w:r>
      <w:r w:rsidRPr="004F469F">
        <w:t>.</w:t>
      </w:r>
    </w:p>
    <w:p w14:paraId="45208811" w14:textId="77777777" w:rsidR="00797351" w:rsidRPr="004F469F" w:rsidRDefault="00797351" w:rsidP="00AA740D">
      <w:pPr>
        <w:pStyle w:val="Heading2"/>
        <w:snapToGrid w:val="0"/>
        <w:spacing w:before="0" w:after="120" w:line="480" w:lineRule="auto"/>
        <w:rPr>
          <w:rFonts w:ascii="Times New Roman" w:eastAsia="Times New Roman" w:hAnsi="Times New Roman" w:cs="Times New Roman"/>
          <w:b/>
          <w:bCs/>
          <w:color w:val="auto"/>
          <w:sz w:val="28"/>
          <w:szCs w:val="28"/>
        </w:rPr>
      </w:pPr>
      <w:bookmarkStart w:id="8" w:name="_Toc21861281"/>
      <w:r w:rsidRPr="004F469F">
        <w:rPr>
          <w:rFonts w:ascii="Times New Roman" w:hAnsi="Times New Roman" w:cs="Times New Roman"/>
          <w:b/>
          <w:bCs/>
          <w:color w:val="auto"/>
          <w:sz w:val="28"/>
          <w:szCs w:val="28"/>
        </w:rPr>
        <w:lastRenderedPageBreak/>
        <w:t>Modeling Tornado Impacts</w:t>
      </w:r>
      <w:bookmarkEnd w:id="8"/>
    </w:p>
    <w:p w14:paraId="0C10DFAB" w14:textId="1D524297" w:rsidR="00797351" w:rsidRPr="004F469F" w:rsidRDefault="00797351" w:rsidP="00AA740D">
      <w:pPr>
        <w:snapToGrid w:val="0"/>
        <w:spacing w:after="120" w:line="480" w:lineRule="auto"/>
        <w:ind w:firstLine="720"/>
      </w:pPr>
      <w:r w:rsidRPr="004F469F">
        <w:t xml:space="preserve">Since tornadoes are rare events and a consistent, long-term tornado record does not exist </w:t>
      </w:r>
      <w:r w:rsidRPr="004F469F">
        <w:fldChar w:fldCharType="begin" w:fldLock="1"/>
      </w:r>
      <w:r w:rsidR="00123266">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id":"ITEM-2","itemData":{"DOI":"10.1175/1520-0493(1988)116&lt;0495:OSIOUS&gt;2.0.CO;2","author":[{"dropping-particle":"","family":"Doswell","given":"Charles A. III","non-dropping-particle":"","parse-names":false,"suffix":""},{"dropping-particle":"","family":"Burgess","given":"Donald W.","non-dropping-particle":"","parse-names":false,"suffix":""}],"container-title":"Monthly Weather Review","id":"ITEM-2","issue":"2","issued":{"date-parts":[["1988"]]},"page":"495-501","title":"On some issues of United States tornado climatology","type":"article-journal","volume":"116"},"uris":["http://www.mendeley.com/documents/?uuid=0a116520-4b4d-4cce-b548-6bf2b6e4dd32"]},{"id":"ITEM-3","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Forecasting","id":"ITEM-3","issue":"4","issued":{"date-parts":[["2003"]]},"page":"626-640","title":"Climatological estimates of local daily tornado probability for the United States","type":"article-journal","volume":"18"},"uris":["http://www.mendeley.com/documents/?uuid=d2c29800-b258-46b1-9db2-3480e3ee0273"]}],"mendeley":{"formattedCitation":"(Doswell and Burgess, 1988; Brooks et al., 2003a; Verbout et al., 2006)","plainTextFormattedCitation":"(Doswell and Burgess, 1988; Brooks et al., 2003a; Verbout et al., 2006)","previouslyFormattedCitation":"(Doswell and Burgess, 1988; Brooks et al., 2003a; Verbout et al., 2006)"},"properties":{"noteIndex":0},"schema":"https://github.com/citation-style-language/schema/raw/master/csl-citation.json"}</w:instrText>
      </w:r>
      <w:r w:rsidRPr="004F469F">
        <w:fldChar w:fldCharType="separate"/>
      </w:r>
      <w:r w:rsidR="00123266" w:rsidRPr="00123266">
        <w:rPr>
          <w:noProof/>
        </w:rPr>
        <w:t xml:space="preserve">(Doswell and Burgess, 1988; Brooks </w:t>
      </w:r>
      <w:r w:rsidR="00123266" w:rsidRPr="00453357">
        <w:rPr>
          <w:i/>
          <w:iCs/>
          <w:noProof/>
        </w:rPr>
        <w:t>et al.</w:t>
      </w:r>
      <w:r w:rsidR="00123266" w:rsidRPr="00123266">
        <w:rPr>
          <w:noProof/>
        </w:rPr>
        <w:t xml:space="preserve">, 2003a; Verbout </w:t>
      </w:r>
      <w:r w:rsidR="00123266" w:rsidRPr="00453357">
        <w:rPr>
          <w:i/>
          <w:iCs/>
          <w:noProof/>
        </w:rPr>
        <w:t>et al.</w:t>
      </w:r>
      <w:r w:rsidR="00123266" w:rsidRPr="00123266">
        <w:rPr>
          <w:noProof/>
        </w:rPr>
        <w:t>, 2006)</w:t>
      </w:r>
      <w:r w:rsidRPr="004F469F">
        <w:fldChar w:fldCharType="end"/>
      </w:r>
      <w:r w:rsidRPr="004F469F">
        <w:t xml:space="preserve">, it is not possible to develop a reasonable assessment of tornado impacts from the historical record alone </w:t>
      </w:r>
      <w:r w:rsidRPr="004F469F">
        <w:fldChar w:fldCharType="begin" w:fldLock="1"/>
      </w:r>
      <w:r w:rsidR="00C31A1B" w:rsidRPr="004F469F">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data","type":"article-journal","volume":"2"},"uris":["http://www.mendeley.com/documents/?uuid=24d98012-7de0-4b8b-aa56-20206aeaa6d7"]}],"mendeley":{"formattedCitation":"(Doswell, 2007)","plainTextFormattedCitation":"(Doswell, 2007)","previouslyFormattedCitation":"(Doswell, 2007)"},"properties":{"noteIndex":0},"schema":"https://github.com/citation-style-language/schema/raw/master/csl-citation.json"}</w:instrText>
      </w:r>
      <w:r w:rsidRPr="004F469F">
        <w:fldChar w:fldCharType="separate"/>
      </w:r>
      <w:r w:rsidR="00C31A1B" w:rsidRPr="004F469F">
        <w:rPr>
          <w:noProof/>
        </w:rPr>
        <w:t>(Doswell, 2007)</w:t>
      </w:r>
      <w:r w:rsidRPr="004F469F">
        <w:fldChar w:fldCharType="end"/>
      </w:r>
      <w:r w:rsidRPr="004F469F">
        <w:t>. One way around this problem is to create models to simulate or project potential tornado impacts. Modeling studies have the advantage of being able to simulate thousands of years’ worth of tornadoes, as opposed to the ~67-year record available from the Storm Prediction Center (SPC</w:t>
      </w:r>
      <w:r w:rsidR="004018A9">
        <w:t>;</w:t>
      </w:r>
      <w:r w:rsidRPr="004F469F">
        <w:t xml:space="preserve"> </w:t>
      </w:r>
      <w:r w:rsidRPr="004F469F">
        <w:fldChar w:fldCharType="begin" w:fldLock="1"/>
      </w:r>
      <w:r w:rsidR="004018A9">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2017)","manualFormatting":"SPC,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xml:space="preserve">. While these simulations are </w:t>
      </w:r>
      <w:r w:rsidR="006062EE">
        <w:t xml:space="preserve">subject to the same </w:t>
      </w:r>
      <w:r w:rsidRPr="004F469F">
        <w:t>biase</w:t>
      </w:r>
      <w:r w:rsidR="006062EE">
        <w:t>s as the historical record (</w:t>
      </w:r>
      <w:r w:rsidR="006062EE" w:rsidRPr="002614B3">
        <w:rPr>
          <w:i/>
          <w:iCs/>
        </w:rPr>
        <w:t>e.g.</w:t>
      </w:r>
      <w:r w:rsidR="006062EE">
        <w:t>, inaccuracies due to amateur observations and underestimation of tornado intensity due to a lack of damage to sturdy structures</w:t>
      </w:r>
      <w:r w:rsidR="003642A7">
        <w:t>;</w:t>
      </w:r>
      <w:r w:rsidR="006062EE">
        <w:t xml:space="preserve"> </w:t>
      </w:r>
      <w:r w:rsidR="006062EE">
        <w:fldChar w:fldCharType="begin" w:fldLock="1"/>
      </w:r>
      <w:r w:rsidR="003642A7">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1954-2003","type":"article-journal","volume":"21"},"uris":["http://www.mendeley.com/documents/?uuid=158f941c-21cf-45f6-9bc6-7f308a153955"]},{"id":"ITEM-2","itemData":{"DOI":"10.1175/BAMS-D-11-00006.1","ISBN":"1520-0477","ISSN":"00030007","abstract":"During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Society","id":"ITEM-2","issue":"5","issued":{"date-parts":[["2013"]]},"page":"641-653","publisher":"American Meteorological Society","title":"Tornado intensity estimation: Past, present, and future","type":"article-journal","volume":"94"},"uris":["http://www.mendeley.com/documents/?uuid=1e2ce021-f934-4efa-92c8-266e5f8914c2"]}],"mendeley":{"formattedCitation":"(Verbout et al., 2006; Edwards et al., 2013)","manualFormatting":"Verbout et al., 2006; Edwards et al., 2013","plainTextFormattedCitation":"(Verbout et al., 2006; Edwards et al., 2013)","previouslyFormattedCitation":"(Verbout et al., 2006; Edwards et al., 2013)"},"properties":{"noteIndex":0},"schema":"https://github.com/citation-style-language/schema/raw/master/csl-citation.json"}</w:instrText>
      </w:r>
      <w:r w:rsidR="006062EE">
        <w:fldChar w:fldCharType="separate"/>
      </w:r>
      <w:r w:rsidR="0010658B" w:rsidRPr="00123266">
        <w:rPr>
          <w:noProof/>
        </w:rPr>
        <w:t xml:space="preserve">Verbout </w:t>
      </w:r>
      <w:r w:rsidR="0010658B" w:rsidRPr="00453357">
        <w:rPr>
          <w:i/>
          <w:iCs/>
          <w:noProof/>
        </w:rPr>
        <w:t>et al.</w:t>
      </w:r>
      <w:r w:rsidR="0010658B" w:rsidRPr="00123266">
        <w:rPr>
          <w:noProof/>
        </w:rPr>
        <w:t xml:space="preserve">, 2006; Edwards </w:t>
      </w:r>
      <w:r w:rsidR="0010658B" w:rsidRPr="00453357">
        <w:rPr>
          <w:i/>
          <w:iCs/>
          <w:noProof/>
        </w:rPr>
        <w:t>et al.</w:t>
      </w:r>
      <w:r w:rsidR="0010658B" w:rsidRPr="00123266">
        <w:rPr>
          <w:noProof/>
        </w:rPr>
        <w:t>, 2013</w:t>
      </w:r>
      <w:r w:rsidR="006062EE">
        <w:fldChar w:fldCharType="end"/>
      </w:r>
      <w:r w:rsidR="006062EE">
        <w:t xml:space="preserve">), </w:t>
      </w:r>
      <w:r w:rsidRPr="004F469F">
        <w:t xml:space="preserve">they present a better snapshot of overall tornado risk due to the increased number of outcomes being assessed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w:t>
      </w:r>
    </w:p>
    <w:p w14:paraId="7E6149A1" w14:textId="64BE48AA" w:rsidR="00797351" w:rsidRPr="004F469F" w:rsidRDefault="00797351" w:rsidP="00AA740D">
      <w:pPr>
        <w:snapToGrid w:val="0"/>
        <w:spacing w:after="120" w:line="480" w:lineRule="auto"/>
        <w:ind w:firstLine="720"/>
      </w:pPr>
      <w:r w:rsidRPr="004F469F">
        <w:t xml:space="preserve">Most tornado simulation studies have involved transposing historical </w:t>
      </w:r>
      <w:r w:rsidRPr="004F469F">
        <w:fldChar w:fldCharType="begin" w:fldLock="1"/>
      </w:r>
      <w:r w:rsidR="0010658B">
        <w:instrText>ADDIN CSL_CITATION {"citationItems":[{"id":"ITEM-1","itemData":{"author":[{"dropping-particle":"","family":"Rae","given":"Scott","non-dropping-particle":"","parse-names":false,"suffix":""},{"dropping-particle":"","family":"Stefkovich","given":"Jim","non-dropping-particle":"","parse-names":false,"suffix":""}],"container-title":"Extended Abstracts, 20th Conf. on Severe Local Storms","id":"ITEM-1","issued":{"date-parts":[["2000"]]},"publisher":"Amer. Meteor. Soc","publisher-place":"Orlando, FL","title":"The tornado damage risk assessment predicting the impact of a big outbreak in Dallas-Fort Worth, Texas","type":"article-journal","volume":"9.6"},"uris":["http://www.mendeley.com/documents/?uuid=07ecb52e-9663-42ec-9c57-e744cff78446"]}],"mendeley":{"formattedCitation":"(Rae and Stefkovich, 2000)","plainTextFormattedCitation":"(Rae and Stefkovich, 2000)","previouslyFormattedCitation":"(Rae and Stefkovich, 2000)"},"properties":{"noteIndex":0},"schema":"https://github.com/citation-style-language/schema/raw/master/csl-citation.json"}</w:instrText>
      </w:r>
      <w:r w:rsidRPr="004F469F">
        <w:fldChar w:fldCharType="separate"/>
      </w:r>
      <w:r w:rsidR="0010658B" w:rsidRPr="0010658B">
        <w:rPr>
          <w:noProof/>
        </w:rPr>
        <w:t>(Rae and Stefkovich, 2000)</w:t>
      </w:r>
      <w:r w:rsidRPr="004F469F">
        <w:fldChar w:fldCharType="end"/>
      </w:r>
      <w:r w:rsidRPr="004F469F">
        <w:t xml:space="preserve"> or synthetic (with path lengths</w:t>
      </w:r>
      <w:r w:rsidR="004C320F">
        <w:t xml:space="preserve">, </w:t>
      </w:r>
      <w:r w:rsidRPr="004F469F">
        <w:t xml:space="preserve">widths, and intensities derived from historical averages;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areas","type":"article-journal","volume":"88"},"uris":["http://www.mendeley.com/documents/?uuid=e0a647d9-97d9-4bb8-a0e8-d46f828d01fb"]}],"mendeley":{"formattedCitation":"(Wurman et al., 2007; Ashley et al., 2014)","manualFormatting":"Ashley et al., 2014; Wurman et al., 2007)","plainTextFormattedCitation":"(Wurman et al., 2007; Ashley et al., 2014)","previouslyFormattedCitation":"(Wurman et al., 2007; Ashley et al., 2014)"},"properties":{"noteIndex":0},"schema":"https://github.com/citation-style-language/schema/raw/master/csl-citation.json"}</w:instrText>
      </w:r>
      <w:r w:rsidRPr="004F469F">
        <w:fldChar w:fldCharType="separate"/>
      </w:r>
      <w:r w:rsidRPr="004F469F">
        <w:rPr>
          <w:noProof/>
        </w:rPr>
        <w:t xml:space="preserve">Ashley </w:t>
      </w:r>
      <w:r w:rsidRPr="00453357">
        <w:rPr>
          <w:i/>
          <w:iCs/>
          <w:noProof/>
        </w:rPr>
        <w:t>et al.</w:t>
      </w:r>
      <w:r w:rsidRPr="004F469F">
        <w:rPr>
          <w:noProof/>
        </w:rPr>
        <w:t xml:space="preserve">, 2014; Wurman </w:t>
      </w:r>
      <w:r w:rsidRPr="00453357">
        <w:rPr>
          <w:i/>
          <w:iCs/>
          <w:noProof/>
        </w:rPr>
        <w:t>et al.</w:t>
      </w:r>
      <w:r w:rsidRPr="004F469F">
        <w:rPr>
          <w:noProof/>
        </w:rPr>
        <w:t>, 2007)</w:t>
      </w:r>
      <w:r w:rsidRPr="004F469F">
        <w:fldChar w:fldCharType="end"/>
      </w:r>
      <w:r w:rsidRPr="004F469F">
        <w:t xml:space="preserve"> tornado paths over urban areas. These studies have mostly focused on the impacts of worst-case scenario events where EF4+ tornadoes track through the central business district or urban core of a major city without regards to </w:t>
      </w:r>
      <w:r w:rsidR="008E69C0">
        <w:t xml:space="preserve">the likelihood of </w:t>
      </w:r>
      <w:r w:rsidRPr="004F469F">
        <w:t xml:space="preserve">such an event. Some studies have focused on specific external influences on these impacts including urban growth and expansion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Pr="004F469F">
        <w:fldChar w:fldCharType="end"/>
      </w:r>
      <w:r w:rsidRPr="004F469F">
        <w:t xml:space="preserve"> and daily mobility patterns </w:t>
      </w:r>
      <w:r w:rsidRPr="004F469F">
        <w:fldChar w:fldCharType="begin" w:fldLock="1"/>
      </w:r>
      <w:r w:rsidRPr="004F469F">
        <w:instrText>ADDIN CSL_CITATION {"citationItems":[{"id":"ITEM-1","itemData":{"author":[{"dropping-particle":"","family":"Paulikas","given":"Marius J.","non-dropping-particle":"","parse-names":false,"suffix":""}],"id":"ITEM-1","issued":{"date-parts":[["2015"]]},"number-of-pages":"221","publisher":"Kent State University","title":"Potential tornado vulnerability variance over a 24-hour cycle for an urban metropolitan region","type":"thesis"},"uris":["http://www.mendeley.com/documents/?uuid=338340a5-aeb4-46ca-bbc2-46b9d9081baa"]}],"mendeley":{"formattedCitation":"(Paulikas, 2015)","plainTextFormattedCitation":"(Paulikas, 2015)","previouslyFormattedCitation":"(Paulikas, 2015)"},"properties":{"noteIndex":0},"schema":"https://github.com/citation-style-language/schema/raw/master/csl-citation.json"}</w:instrText>
      </w:r>
      <w:r w:rsidRPr="004F469F">
        <w:fldChar w:fldCharType="separate"/>
      </w:r>
      <w:r w:rsidRPr="004F469F">
        <w:rPr>
          <w:noProof/>
        </w:rPr>
        <w:t>(Paulikas, 2015)</w:t>
      </w:r>
      <w:r w:rsidRPr="004F469F">
        <w:fldChar w:fldCharType="end"/>
      </w:r>
      <w:r w:rsidRPr="004F469F">
        <w:t xml:space="preserve">. While major cities, such as St. Louis (Missouri), have been hit by tornadoes in the past </w:t>
      </w:r>
      <w:r w:rsidRPr="004F469F">
        <w:fldChar w:fldCharType="begin" w:fldLock="1"/>
      </w:r>
      <w:r w:rsidRPr="004F469F">
        <w:instrText>ADDIN CSL_CITATION {"citationItems":[{"id":"ITEM-1","itemData":{"DOI":"10.1080/00431672.1981.9931955 To","author":[{"dropping-particle":"","family":"Galway","given":"Joseph G.","non-dropping-particle":"","parse-names":false,"suffix":""}],"container-title":"Weatherwise","id":"ITEM-1","issue":"3","issued":{"date-parts":[["1981"]]},"page":"100-109","title":"Ten famous tornado outbreaks","type":"article-journal","volume":"34"},"uris":["http://www.mendeley.com/documents/?uuid=4d4b20c6-ab32-4998-85e0-5ad61a1dce3b"]}],"mendeley":{"formattedCitation":"(Galway, 1981)","plainTextFormattedCitation":"(Galway, 1981)","previouslyFormattedCitation":"(Galway, 1981)"},"properties":{"noteIndex":0},"schema":"https://github.com/citation-style-language/schema/raw/master/csl-citation.json"}</w:instrText>
      </w:r>
      <w:r w:rsidRPr="004F469F">
        <w:fldChar w:fldCharType="separate"/>
      </w:r>
      <w:r w:rsidRPr="004F469F">
        <w:rPr>
          <w:noProof/>
        </w:rPr>
        <w:t>(Galway, 1981)</w:t>
      </w:r>
      <w:r w:rsidRPr="004F469F">
        <w:fldChar w:fldCharType="end"/>
      </w:r>
      <w:r w:rsidRPr="004F469F">
        <w:t xml:space="preserve">, the odds of a </w:t>
      </w:r>
      <w:r w:rsidR="00C471FA">
        <w:t xml:space="preserve">rare, </w:t>
      </w:r>
      <w:r w:rsidRPr="004F469F">
        <w:t xml:space="preserve">violent tornado hitting the urban core of a major city </w:t>
      </w:r>
      <w:r w:rsidR="00C471FA">
        <w:t xml:space="preserve">(covering a relatively small surface area) </w:t>
      </w:r>
      <w:r w:rsidRPr="004F469F">
        <w:t>are minimal</w:t>
      </w:r>
      <w:r w:rsidR="00C471FA">
        <w:t xml:space="preserve"> </w:t>
      </w:r>
      <w:r w:rsidR="00C471FA">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areas","type":"article-journal","volume":"88"},"uris":["http://www.mendeley.com/documents/?uuid=6b61d9bd-055f-4858-8645-03943c0892b6"]}],"mendeley":{"formattedCitation":"(Wurman et al., 2007)","plainTextFormattedCitation":"(Wurman et al., 2007)","previouslyFormattedCitation":"(Wurman et al., 2007)"},"properties":{"noteIndex":0},"schema":"https://github.com/citation-style-language/schema/raw/master/csl-citation.json"}</w:instrText>
      </w:r>
      <w:r w:rsidR="00C471FA">
        <w:fldChar w:fldCharType="separate"/>
      </w:r>
      <w:r w:rsidR="0010658B" w:rsidRPr="00123266">
        <w:rPr>
          <w:noProof/>
        </w:rPr>
        <w:t xml:space="preserve">(Wurman </w:t>
      </w:r>
      <w:r w:rsidR="0010658B" w:rsidRPr="00453357">
        <w:rPr>
          <w:i/>
          <w:iCs/>
          <w:noProof/>
        </w:rPr>
        <w:t>et al.</w:t>
      </w:r>
      <w:r w:rsidR="0010658B" w:rsidRPr="00123266">
        <w:rPr>
          <w:noProof/>
        </w:rPr>
        <w:t>, 2007)</w:t>
      </w:r>
      <w:r w:rsidR="00C471FA">
        <w:fldChar w:fldCharType="end"/>
      </w:r>
      <w:r w:rsidR="006062EE">
        <w:t xml:space="preserve"> </w:t>
      </w:r>
      <w:r w:rsidRPr="004F469F">
        <w:t xml:space="preserve">and, thus, worst-case scenario events are extremely unlikely to occur. A more likely scenario is that a strong to </w:t>
      </w:r>
      <w:r w:rsidRPr="004F469F">
        <w:lastRenderedPageBreak/>
        <w:t xml:space="preserve">violent tornado (EF3+) will affect a high-density development in the suburbs or outskirts of a city, causing moderate to high fatalities. </w:t>
      </w:r>
    </w:p>
    <w:p w14:paraId="7552B3A0" w14:textId="7C4184FF" w:rsidR="00797351" w:rsidRPr="004F469F" w:rsidRDefault="00797351" w:rsidP="00AA740D">
      <w:pPr>
        <w:snapToGrid w:val="0"/>
        <w:spacing w:after="120" w:line="480" w:lineRule="auto"/>
        <w:ind w:firstLine="720"/>
      </w:pPr>
      <w:r w:rsidRPr="004F469F">
        <w:t>One way around this problem is to create large scale models that can simulate tornado impacts across the United States. One modeling approach is to use spatial statistical models to project tornado risk as a function of climatology, population density or teleconnections (</w:t>
      </w:r>
      <w:r w:rsidRPr="002614B3">
        <w:rPr>
          <w:i/>
          <w:iCs/>
        </w:rPr>
        <w:t>e.g.</w:t>
      </w:r>
      <w:r w:rsidRPr="004F469F">
        <w:t xml:space="preserve">, El Niño Southern Oscillation </w:t>
      </w:r>
      <w:r w:rsidR="003642A7">
        <w:t>(</w:t>
      </w:r>
      <w:r w:rsidRPr="004F469F">
        <w:t>ENSO)</w:t>
      </w:r>
      <w:r w:rsidR="003642A7">
        <w:t>;</w:t>
      </w:r>
      <w:r w:rsidRPr="004F469F">
        <w:t xml:space="preserve"> </w:t>
      </w:r>
      <w:r w:rsidRPr="004F469F">
        <w:fldChar w:fldCharType="begin" w:fldLock="1"/>
      </w:r>
      <w:r w:rsidR="004018A9">
        <w:instrText>ADDIN CSL_CITATION {"citationItems":[{"id":"ITEM-1","itemData":{"author":[{"dropping-particle":"","family":"Elsner","given":"James B","non-dropping-particle":"","parse-names":false,"suffix":""},{"dropping-particle":"","family":"Jagger","given":"Thomas H","non-dropping-particle":"","parse-names":false,"suffix":""},{"dropping-particle":"","family":"Fricker","given":"Tyler","non-dropping-particle":"","parse-names":false,"suffix":""}],"container-title":"PloS one","id":"ITEM-1","issue":"11","issued":{"date-parts":[["2016"]]},"page":"e0166895","publisher":"Public Library of Science","title":"Statistical models for tornado climatology: long and short-term views","type":"article-journal","volume":"11"},"uris":["http://www.mendeley.com/documents/?uuid=2ee8ae22-64d5-4fa5-9f55-5f3aa712f00a"]},{"id":"ITEM-2","itemData":{"DOI":"10.1007/s11004-013-9458-1","ISSN":"18748961","abstract":"The authors illustrate a statistical point process model that uses the spatial occurrence of nonviolent tornadoes to predict the distribution of the rare, violent tornadoes that occur during springtime across the US central Great Plains. The average rate of nonviolent tornadoes is 55 per 104 km2 per 62 years which compares with an average rate of only 1.5 violent tornadoes per 104 km2 over the same period (less than 3 %). Violent tornado report density peaks at 2.6 per 104 km2 (62 yr) in the city but is only 0.7 per 104 km2 in the countryside. The risk of a violent tornado is higher by a factor of 1.5, on average, in the vicinity of less violent tornadoes after accounting for the population bias. The model for the occurrence rate of violent tornadoes indicates that rates are lower by 10.3 (3.6, 16.5) % (95 % CI) for every 1 km increase in distance from the nearest nonviolent tornado, controlling for distance from the nearest city. Model significance and the distance-from-nearest nonviolent tornado parameter are not sensitive to population threshold or the definition of a violent tornado. The authors show that the model is useful for generating a catalogue of touchdown points that can be used as a component to a tornado catastrophe model.","author":[{"dropping-particle":"","family":"Elsner","given":"James B","non-dropping-particle":"","parse-names":false,"suffix":""},{"dropping-particle":"","family":"Murnane","given":"Richard J","non-dropping-particle":"","parse-names":false,"suffix":""},{"dropping-particle":"","family":"Jagger","given":"Thomas H","non-dropping-particle":"","parse-names":false,"suffix":""},{"dropping-particle":"","family":"Widen","given":"Holly M","non-dropping-particle":"","parse-names":false,"suffix":""}],"container-title":"Mathematical Geosciences","id":"ITEM-2","issue":"6","issued":{"date-parts":[["2013"]]},"page":"667-679","title":"A Spatial Point Process Model for Violent Tornado Occurrence in the US Great Plains","type":"article-journal","volume":"45"},"uris":["http://www.mendeley.com/documents/?uuid=be86b44f-63f0-4176-af86-90c867c6bdbb"]}],"mendeley":{"formattedCitation":"(Elsner et al., 2013b, 2016)","manualFormatting":"Elsner et al., 2013b, 2016)","plainTextFormattedCitation":"(Elsner et al., 2013b, 2016)","previouslyFormattedCitation":"(Elsner et al., 2013b, 2016)"},"properties":{"noteIndex":0},"schema":"https://github.com/citation-style-language/schema/raw/master/csl-citation.json"}</w:instrText>
      </w:r>
      <w:r w:rsidRPr="004F469F">
        <w:fldChar w:fldCharType="separate"/>
      </w:r>
      <w:r w:rsidR="00123266" w:rsidRPr="00123266">
        <w:rPr>
          <w:noProof/>
        </w:rPr>
        <w:t xml:space="preserve">Elsner </w:t>
      </w:r>
      <w:r w:rsidR="00123266" w:rsidRPr="00453357">
        <w:rPr>
          <w:i/>
          <w:iCs/>
          <w:noProof/>
        </w:rPr>
        <w:t>et al.</w:t>
      </w:r>
      <w:r w:rsidR="00123266" w:rsidRPr="00123266">
        <w:rPr>
          <w:noProof/>
        </w:rPr>
        <w:t>, 2013b, 2016</w:t>
      </w:r>
      <w:r w:rsidR="003642A7">
        <w:rPr>
          <w:noProof/>
        </w:rPr>
        <w:t>)</w:t>
      </w:r>
      <w:r w:rsidRPr="004F469F">
        <w:fldChar w:fldCharType="end"/>
      </w:r>
      <w:r w:rsidRPr="004F469F">
        <w:t xml:space="preserve">. This methodology allows for the assessment of tornado risk but does not address tornado impacts. Other statistical models have linked tornado casualties to factors such as tornado kinetic energy, population density, number of mobile homes, and time of day </w:t>
      </w:r>
      <w:r w:rsidRPr="004F469F">
        <w:fldChar w:fldCharType="begin" w:fldLock="1"/>
      </w:r>
      <w:r w:rsidR="00123266">
        <w:instrText>ADDIN CSL_CITATION {"citationItems":[{"id":"ITEM-1","itemData":{"author":[{"dropping-particle":"","family":"Fricker","given":"Tyler","non-dropping-particle":"","parse-names":false,"suffix":""},{"dropping-particle":"","family":"Elsner","given":"James B","non-dropping-particle":"","parse-names":false,"suffix":""}],"container-title":"Annals of the American Association of Geographers","id":"ITEM-1","issued":{"date-parts":[["2019"]]},"page":"1-15","publisher":"Taylor &amp; Francis","title":"Unusually devastating tornadoes in the United States: 1995--2016","type":"article-journal"},"uris":["http://www.mendeley.com/documents/?uuid=fddd00d3-4424-4b30-a25b-0ed0edd555fc"]},{"id":"ITEM-2","itemData":{"author":[{"dropping-particle":"","family":"Elsner","given":"James B","non-dropping-particle":"","parse-names":false,"suffix":""},{"dropping-particle":"","family":"Fricker","given":"Tyler","non-dropping-particle":"","parse-names":false,"suffix":""},{"dropping-particle":"","family":"Berry","given":"William D","non-dropping-particle":"","parse-names":false,"suffix":""}],"container-title":"Journal of applied meteorology and climatology","id":"ITEM-2","issue":"9","issued":{"date-parts":[["2018"]]},"page":"2035-2046","title":"A model for US tornado casualties involving interaction between damage path estimates of population density and energy dissipation","type":"article-journal","volume":"57"},"uris":["http://www.mendeley.com/documents/?uuid=d5169ad3-5a53-4f32-8e20-f5929f0fc014"]}],"mendeley":{"formattedCitation":"(Elsner et al., 2018; Fricker and Elsner, 2019)","plainTextFormattedCitation":"(Elsner et al., 2018; Fricker and Elsner, 2019)","previouslyFormattedCitation":"(Elsner et al., 2018; Fricker and Elsner, 2019)"},"properties":{"noteIndex":0},"schema":"https://github.com/citation-style-language/schema/raw/master/csl-citation.json"}</w:instrText>
      </w:r>
      <w:r w:rsidRPr="004F469F">
        <w:fldChar w:fldCharType="separate"/>
      </w:r>
      <w:r w:rsidR="00123266" w:rsidRPr="00123266">
        <w:rPr>
          <w:noProof/>
        </w:rPr>
        <w:t xml:space="preserve">(Elsner </w:t>
      </w:r>
      <w:r w:rsidR="00123266" w:rsidRPr="00453357">
        <w:rPr>
          <w:i/>
          <w:iCs/>
          <w:noProof/>
        </w:rPr>
        <w:t>et al.</w:t>
      </w:r>
      <w:r w:rsidR="00123266" w:rsidRPr="00123266">
        <w:rPr>
          <w:noProof/>
        </w:rPr>
        <w:t>, 2018; Fricker and Elsner, 2019)</w:t>
      </w:r>
      <w:r w:rsidRPr="004F469F">
        <w:fldChar w:fldCharType="end"/>
      </w:r>
      <w:r w:rsidRPr="004F469F">
        <w:t>. However, these models are incapable of directly addressing future changes in tornado impacts.</w:t>
      </w:r>
    </w:p>
    <w:p w14:paraId="00C1F0FF" w14:textId="4D62C2A0" w:rsidR="00797351" w:rsidRPr="004F469F" w:rsidRDefault="00797351" w:rsidP="00AA740D">
      <w:pPr>
        <w:snapToGrid w:val="0"/>
        <w:spacing w:after="120" w:line="480" w:lineRule="auto"/>
        <w:ind w:firstLine="720"/>
      </w:pPr>
      <w:r w:rsidRPr="004F469F">
        <w:t xml:space="preserve">Another approach is to directly simulate tornado footprints (rectangular shaped polygons with length and width corresponding to that of the tornado) and intersect these footprints with population or housing data to assess potential impacts </w:t>
      </w:r>
      <w:r w:rsidRPr="004F469F">
        <w:fldChar w:fldCharType="begin" w:fldLock="1"/>
      </w:r>
      <w:r w:rsidR="00123266">
        <w:instrText>ADDIN CSL_CITATION {"citationItems":[{"id":"ITEM-1","itemData":{"author":[{"dropping-particle":"","family":"Daneshvaran","given":"Siamak","non-dropping-particle":"","parse-names":false,"suffix":""},{"dropping-particle":"","family":"Morden","given":"Robert E","non-dropping-particle":"","parse-names":false,"suffix":""}],"container-title":"The Journal of Risk Finance","id":"ITEM-1","issue":"2","issued":{"date-parts":[["2007"]]},"page":"97-111","publisher":"Emerald Group Publishing Limited","title":"Tornado risk analysis in the United States","type":"article-journal","volume":"8"},"uris":["http://www.mendeley.com/documents/?uuid=52728e2f-ec04-4536-99b4-a14b08b4b54a"]},{"id":"ITEM-2","itemData":{"author":[{"dropping-particle":"","family":"Meyer","given":"Cathryn L","non-dropping-particle":"","parse-names":false,"suffix":""},{"dropping-particle":"","family":"Brooks","given":"H E","non-dropping-particle":"","parse-names":false,"suffix":""},{"dropping-particle":"","family":"Kay","given":"M P","non-dropping-particle":"","parse-names":false,"suffix":""}],"container-title":"Preprints, 16th Conf. on Probability and Statistics, Orlando, FL, Amer. Meteor. Soc., J88--J95","id":"ITEM-2","issued":{"date-parts":[["2002"]]},"title":"A hazard model for tornado occurrence in the United States","type":"paper-conference"},"uris":["http://www.mendeley.com/documents/?uuid=cb11ad16-1ceb-49c0-8cbd-939c4056b68a"]}],"mendeley":{"formattedCitation":"(Meyer et al., 2002; Daneshvaran and Morden, 2007)","plainTextFormattedCitation":"(Meyer et al., 2002; Daneshvaran and Morden, 2007)","previouslyFormattedCitation":"(Meyer et al., 2002; Daneshvaran and Morden, 2007)"},"properties":{"noteIndex":0},"schema":"https://github.com/citation-style-language/schema/raw/master/csl-citation.json"}</w:instrText>
      </w:r>
      <w:r w:rsidRPr="004F469F">
        <w:fldChar w:fldCharType="separate"/>
      </w:r>
      <w:r w:rsidR="00123266" w:rsidRPr="00123266">
        <w:rPr>
          <w:noProof/>
        </w:rPr>
        <w:t xml:space="preserve">(Meyer </w:t>
      </w:r>
      <w:r w:rsidR="00123266" w:rsidRPr="00453357">
        <w:rPr>
          <w:i/>
          <w:iCs/>
          <w:noProof/>
        </w:rPr>
        <w:t>et al.</w:t>
      </w:r>
      <w:r w:rsidR="00123266" w:rsidRPr="00123266">
        <w:rPr>
          <w:noProof/>
        </w:rPr>
        <w:t>, 2002; Daneshvaran and Morden, 2007)</w:t>
      </w:r>
      <w:r w:rsidRPr="004F469F">
        <w:fldChar w:fldCharType="end"/>
      </w:r>
      <w:r w:rsidRPr="004F469F">
        <w:t>. This approach requires sampling from historical data or theoretical distributions to determine various characteristics of a given simulated tornado (</w:t>
      </w:r>
      <w:r w:rsidRPr="002614B3">
        <w:rPr>
          <w:i/>
          <w:iCs/>
        </w:rPr>
        <w:t>e.g.</w:t>
      </w:r>
      <w:r w:rsidRPr="004F469F">
        <w:t xml:space="preserve">, tornado path width and intensity). Sampling is typically done via the Monte Carlo method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impacts","type":"article-journal","volume":"23"},"uris":["http://www.mendeley.com/documents/?uuid=35120d27-7369-4b8b-a188-dbf511d1ef98"]},{"id":"ITEM-2","itemData":{"author":[{"dropping-particle":"","family":"Meyer","given":"Cathryn L","non-dropping-particle":"","parse-names":false,"suffix":""},{"dropping-particle":"","family":"Brooks","given":"H E","non-dropping-particle":"","parse-names":false,"suffix":""},{"dropping-particle":"","family":"Kay","given":"M P","non-dropping-particle":"","parse-names":false,"suffix":""}],"container-title":"Preprints, 16th Conf. on Probability and Statistics, Orlando, FL, Amer. Meteor. Soc., J88--J95","id":"ITEM-2","issued":{"date-parts":[["2002"]]},"title":"A hazard model for tornado occurrence in the United States","type":"paper-conference"},"uris":["http://www.mendeley.com/documents/?uuid=cb11ad16-1ceb-49c0-8cbd-939c4056b68a"]}],"mendeley":{"formattedCitation":"(Meyer et al., 2002; Strader et al., 2016)","plainTextFormattedCitation":"(Meyer et al., 2002; Strader et al., 2016)","previouslyFormattedCitation":"(Meyer et al., 2002; Strader et al., 2016)"},"properties":{"noteIndex":0},"schema":"https://github.com/citation-style-language/schema/raw/master/csl-citation.json"}</w:instrText>
      </w:r>
      <w:r w:rsidRPr="004F469F">
        <w:fldChar w:fldCharType="separate"/>
      </w:r>
      <w:r w:rsidR="00123266" w:rsidRPr="00123266">
        <w:rPr>
          <w:noProof/>
        </w:rPr>
        <w:t xml:space="preserve">(Meyer </w:t>
      </w:r>
      <w:r w:rsidR="00123266" w:rsidRPr="00453357">
        <w:rPr>
          <w:i/>
          <w:iCs/>
          <w:noProof/>
        </w:rPr>
        <w:t>et al.</w:t>
      </w:r>
      <w:r w:rsidR="00123266" w:rsidRPr="00123266">
        <w:rPr>
          <w:noProof/>
        </w:rPr>
        <w:t xml:space="preserve">, 2002; Strader </w:t>
      </w:r>
      <w:r w:rsidR="00123266" w:rsidRPr="00453357">
        <w:rPr>
          <w:i/>
          <w:iCs/>
          <w:noProof/>
        </w:rPr>
        <w:t>et al.</w:t>
      </w:r>
      <w:r w:rsidR="00123266" w:rsidRPr="00123266">
        <w:rPr>
          <w:noProof/>
        </w:rPr>
        <w:t>, 2016)</w:t>
      </w:r>
      <w:r w:rsidRPr="004F469F">
        <w:fldChar w:fldCharType="end"/>
      </w:r>
      <w:r w:rsidRPr="004F469F">
        <w:t xml:space="preserve">, a technique using repeated random sampling to determine the probability distribution of some unknown quantity </w:t>
      </w:r>
      <w:r w:rsidRPr="004F469F">
        <w:fldChar w:fldCharType="begin" w:fldLock="1"/>
      </w:r>
      <w:r w:rsidRPr="004F469F">
        <w:instrText>ADDIN CSL_CITATION {"citationItems":[{"id":"ITEM-1","itemData":{"author":[{"dropping-particle":"","family":"Mooney","given":"Christopher Z","non-dropping-particle":"","parse-names":false,"suffix":""}],"id":"ITEM-1","issued":{"date-parts":[["1997"]]},"publisher":"Sage Publications","title":"Monte carlo simulation","type":"book","volume":"116"},"uris":["http://www.mendeley.com/documents/?uuid=6b6fdacf-b2cc-407e-a1b0-3d0341e757a2"]}],"mendeley":{"formattedCitation":"(Mooney, 1997)","plainTextFormattedCitation":"(Mooney, 1997)","previouslyFormattedCitation":"(Mooney, 1997)"},"properties":{"noteIndex":0},"schema":"https://github.com/citation-style-language/schema/raw/master/csl-citation.json"}</w:instrText>
      </w:r>
      <w:r w:rsidRPr="004F469F">
        <w:fldChar w:fldCharType="separate"/>
      </w:r>
      <w:r w:rsidRPr="004F469F">
        <w:rPr>
          <w:noProof/>
        </w:rPr>
        <w:t>(Mooney, 1997)</w:t>
      </w:r>
      <w:r w:rsidRPr="004F469F">
        <w:fldChar w:fldCharType="end"/>
      </w:r>
      <w:r w:rsidRPr="004F469F">
        <w:t>. When theoretical distributions are used it is still possible to get record characteristics through random sampling. This is important given that we do not know if we have yet seen the full range of possible tornado characteristics (</w:t>
      </w:r>
      <w:r w:rsidRPr="002614B3">
        <w:rPr>
          <w:i/>
          <w:iCs/>
        </w:rPr>
        <w:t>e.g.</w:t>
      </w:r>
      <w:r w:rsidRPr="004F469F">
        <w:t>, the widest tornado on record (4.2 km) occurred in El Reno, Oklahoma on May 31, 2013</w:t>
      </w:r>
      <w:r w:rsidR="004018A9">
        <w:t>;</w:t>
      </w:r>
      <w:r w:rsidRPr="004F469F">
        <w:t xml:space="preserve"> </w:t>
      </w:r>
      <w:r w:rsidRPr="004F469F">
        <w:fldChar w:fldCharType="begin" w:fldLock="1"/>
      </w:r>
      <w:r w:rsidR="004018A9">
        <w:instrText>ADDIN CSL_CITATION {"citationItems":[{"id":"ITEM-1","itemData":{"DOI":"10.1175/WAF-D-14-00152.1","abstract":"On 31 May 2013 a broad, intense, cyclonic tornado and a narrower, weaker companion anticyclonic tornado formed in a supercell in central Oklahoma. This paper discusses the synoptic-and mesoscale environment in which the parent storm formed, based on data from the operational network of surface stations, rawinsondes, and WSR-88D radars, and from the Oklahoma Mesonet, a Doppler radar wind profiler, Rapid Refresh (RAP) analyses, and photographs. It also documents the overall behavior of the tornadoes and their re-lationships to features in their parent supercell based on data from a nearby, rapid-scan, polarimetric, mobile Doppler radar. The supercell formed near the intersection of a cold front and a dryline in an environment of moderately strong vertical shear and high CAPE, at the southern end of a line of multicell convective storms. The tornado damage path was as wide as 4.2 km according to the NWS damage assessment and ground-relative Doppler velocities of at least 135 m s 21 were found at the theoretical beam height of ,20 m AGL. The tornado debris signature in the copolar cross-correlation coefficient r hv was as wide as ;4–5 km. After the strong tornado formed, at least one additional cyclonic tornado formed and rotated cyclonically around the main tornado; it was then absorbed by it and the main tornado broadened. Smaller subvortices, which rotated cyclonically around a common axis of rotation, were subsequently observed. The tornado then weakened but remained broad, while the anticyclonic tornado formed to the southeast along the rear-flank gust front.","author":[{"dropping-particle":"","family":"Bluestein","given":"Howard B.","non-dropping-particle":"","parse-names":false,"suffix":""},{"dropping-particle":"","family":"Snyder","given":"Jeffrey C.","non-dropping-particle":"","parse-names":false,"suffix":""},{"dropping-particle":"","family":"Houser","given":"Jana B.","non-dropping-particle":"","parse-names":false,"suffix":""}],"container-title":"Weather and Forecasting","id":"ITEM-1","issue":"3","issued":{"date-parts":[["2015"]]},"page":"525-552","title":"A multiscale overview of the El Reno, Oklahoma, tornadic supercell of 31 May 2013","type":"article-journal","volume":"30"},"uris":["http://www.mendeley.com/documents/?uuid=519220d1-5f82-4377-8ad8-7ba0e4e85ceb"]}],"mendeley":{"formattedCitation":"(Bluestein et al., 2015)","manualFormatting":"Bluestein et al., 2015)","plainTextFormattedCitation":"(Bluestein et al., 2015)","previouslyFormattedCitation":"(Bluestein et al., 2015)"},"properties":{"noteIndex":0},"schema":"https://github.com/citation-style-language/schema/raw/master/csl-citation.json"}</w:instrText>
      </w:r>
      <w:r w:rsidRPr="004F469F">
        <w:fldChar w:fldCharType="separate"/>
      </w:r>
      <w:r w:rsidR="00123266" w:rsidRPr="00123266">
        <w:rPr>
          <w:noProof/>
        </w:rPr>
        <w:t xml:space="preserve">Bluestein </w:t>
      </w:r>
      <w:r w:rsidR="00123266" w:rsidRPr="00453357">
        <w:rPr>
          <w:i/>
          <w:iCs/>
          <w:noProof/>
        </w:rPr>
        <w:t>et al.</w:t>
      </w:r>
      <w:r w:rsidR="00123266" w:rsidRPr="00123266">
        <w:rPr>
          <w:noProof/>
        </w:rPr>
        <w:t>, 2015)</w:t>
      </w:r>
      <w:r w:rsidRPr="004F469F">
        <w:fldChar w:fldCharType="end"/>
      </w:r>
      <w:r w:rsidRPr="004F469F">
        <w:t xml:space="preserve">. These characteristics can be used to create realistic tornado footprints (rectangular shaped polygons with length and width corresponding to that of the tornado). These footprints can in </w:t>
      </w:r>
      <w:r w:rsidRPr="004F469F">
        <w:lastRenderedPageBreak/>
        <w:t>t</w:t>
      </w:r>
      <w:r w:rsidR="004C320F">
        <w:t>urn</w:t>
      </w:r>
      <w:r w:rsidRPr="004F469F">
        <w:t xml:space="preserve"> be intersected with population or housing unit data to determine the number of people or houses potentially impacted by tornadoes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w:t>
      </w:r>
    </w:p>
    <w:p w14:paraId="2B472175" w14:textId="77777777" w:rsidR="00797351" w:rsidRPr="004F469F" w:rsidRDefault="00797351" w:rsidP="00AA740D">
      <w:pPr>
        <w:pStyle w:val="Heading2"/>
        <w:snapToGrid w:val="0"/>
        <w:spacing w:before="0" w:after="120" w:line="480" w:lineRule="auto"/>
        <w:rPr>
          <w:rFonts w:ascii="Times New Roman" w:hAnsi="Times New Roman" w:cs="Times New Roman"/>
          <w:b/>
          <w:bCs/>
          <w:color w:val="auto"/>
          <w:sz w:val="28"/>
          <w:szCs w:val="28"/>
        </w:rPr>
      </w:pPr>
      <w:bookmarkStart w:id="9" w:name="_Toc21861282"/>
      <w:r w:rsidRPr="004F469F">
        <w:rPr>
          <w:rFonts w:ascii="Times New Roman" w:hAnsi="Times New Roman" w:cs="Times New Roman"/>
          <w:b/>
          <w:bCs/>
          <w:color w:val="auto"/>
          <w:sz w:val="28"/>
          <w:szCs w:val="28"/>
        </w:rPr>
        <w:t>Research Overview</w:t>
      </w:r>
      <w:bookmarkEnd w:id="9"/>
    </w:p>
    <w:p w14:paraId="62DB4F88" w14:textId="1AFDA93C" w:rsidR="00797351" w:rsidRPr="004F469F" w:rsidRDefault="00797351" w:rsidP="00AA740D">
      <w:pPr>
        <w:snapToGrid w:val="0"/>
        <w:spacing w:after="120" w:line="480" w:lineRule="auto"/>
        <w:ind w:firstLine="720"/>
      </w:pPr>
      <w:r w:rsidRPr="004F469F">
        <w:t xml:space="preserve">Past spatial modeling efforts for tornado impacts have focused on the impacts at an annual time scale. Emergency managers have expressed interest in projecting tornado impacts at a daily time step to better prepare for potential high-impact days. The current methodology employed in models such as Strader </w:t>
      </w:r>
      <w:r w:rsidR="008F75F4" w:rsidRPr="00453357">
        <w:rPr>
          <w:i/>
          <w:iCs/>
        </w:rPr>
        <w:t>et al.</w:t>
      </w:r>
      <w:r w:rsidR="008F75F4" w:rsidRPr="004F469F">
        <w:t>’</w:t>
      </w:r>
      <w:r w:rsidRPr="004F469F">
        <w:t xml:space="preserve">s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Tornado Impact Monte Carlo (TorMC) model is to use historical climatology with an annual time step and would not be suitable for projecting daily tornado impacts. One methodology for projecting tornado impacts at a daily time scale would be to combine the stochastic methods of the TorMC model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with daily atmospheric environmental data (</w:t>
      </w:r>
      <w:r w:rsidRPr="002614B3">
        <w:rPr>
          <w:i/>
          <w:iCs/>
        </w:rPr>
        <w:t>e.g.</w:t>
      </w:r>
      <w:r w:rsidRPr="004F469F">
        <w:t>, reanalysis data</w:t>
      </w:r>
      <w:r w:rsidR="004018A9">
        <w:t>;</w:t>
      </w:r>
      <w:r w:rsidRPr="004F469F">
        <w:t xml:space="preserve"> </w:t>
      </w:r>
      <w:r w:rsidRPr="004F469F">
        <w:fldChar w:fldCharType="begin" w:fldLock="1"/>
      </w:r>
      <w:r w:rsidR="004018A9">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Reanalysis","type":"article-journal","volume":"6"},"uris":["http://www.mendeley.com/documents/?uuid=c00b076a-fd2d-4516-ac75-69faf6495920"]}],"mendeley":{"formattedCitation":"(Trapp et al., 2007; Gensini and Ashley, 2011)","manualFormatting":"Trapp et al., 2007; Gensini and Ashley, 2011)","plainTextFormattedCitation":"(Trapp et al., 2007; Gensini and Ashley, 2011)","previouslyFormattedCitation":"(Trapp et al., 2007; Gensini and Ashley, 2011)"},"properties":{"noteIndex":0},"schema":"https://github.com/citation-style-language/schema/raw/master/csl-citation.json"}</w:instrText>
      </w:r>
      <w:r w:rsidRPr="004F469F">
        <w:fldChar w:fldCharType="separate"/>
      </w:r>
      <w:r w:rsidR="0010658B" w:rsidRPr="00123266">
        <w:rPr>
          <w:noProof/>
        </w:rPr>
        <w:t xml:space="preserve">Trapp </w:t>
      </w:r>
      <w:r w:rsidR="0010658B" w:rsidRPr="00453357">
        <w:rPr>
          <w:i/>
          <w:iCs/>
          <w:noProof/>
        </w:rPr>
        <w:t>et al.</w:t>
      </w:r>
      <w:r w:rsidR="0010658B" w:rsidRPr="00123266">
        <w:rPr>
          <w:noProof/>
        </w:rPr>
        <w:t>, 2007; Gensini and Ashley, 2011)</w:t>
      </w:r>
      <w:r w:rsidRPr="004F469F">
        <w:fldChar w:fldCharType="end"/>
      </w:r>
      <w:r w:rsidRPr="004F469F">
        <w:t xml:space="preserve">. By using daily atmospheric data, it is possible to spatially distribute tornadoes within favorable environments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activity?","type":"article-journal","volume":"89"},"uris":["http://www.mendeley.com/documents/?uuid=3e309387-b981-4120-ba7b-ece4c9971012"]}],"mendeley":{"formattedCitation":"(Trapp et al., 2007; Diffenbaugh et al., 2008)","plainTextFormattedCitation":"(Trapp et al., 2007; Diffenbaugh et al., 2008)","previouslyFormattedCitation":"(Trapp et al., 2007; Diffenbaugh et al., 2008)"},"properties":{"noteIndex":0},"schema":"https://github.com/citation-style-language/schema/raw/master/csl-citation.json"}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2008)</w:t>
      </w:r>
      <w:r w:rsidRPr="004F469F">
        <w:fldChar w:fldCharType="end"/>
      </w:r>
      <w:r w:rsidRPr="004F469F">
        <w:t xml:space="preserve">, on a given day, and to link tornado parameters to the environment </w:t>
      </w:r>
      <w:r w:rsidRPr="004F469F">
        <w:fldChar w:fldCharType="begin" w:fldLock="1"/>
      </w:r>
      <w:r w:rsidR="0010658B">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id":"ITEM-2","itemData":{"author":[{"dropping-particle":"","family":"Naylor","given":"Jason","non-dropping-particle":"","parse-names":false,"suffix":""},{"dropping-particle":"","family":"Gilmore","given":"Matthew S","non-dropping-particle":"","parse-names":false,"suffix":""}],"container-title":"Geophysical Research Letters","id":"ITEM-2","issue":"17","issued":{"date-parts":[["2012"]]},"publisher":"Wiley Online Library","title":"Environmental factors influential to the duration and intensity of tornadoes in simulated supercells","type":"article-journal","volume":"39"},"uris":["http://www.mendeley.com/documents/?uuid=284c594e-1385-4b4a-b267-e378ad7cf4dc"]}],"mendeley":{"formattedCitation":"(Colquhoun and Riley, 1996; Naylor and Gilmore, 2012)","plainTextFormattedCitation":"(Colquhoun and Riley, 1996; Naylor and Gilmore, 2012)","previouslyFormattedCitation":"(Colquhoun and Riley, 1996; Naylor and Gilmore, 2012)"},"properties":{"noteIndex":0},"schema":"https://github.com/citation-style-language/schema/raw/master/csl-citation.json"}</w:instrText>
      </w:r>
      <w:r w:rsidRPr="004F469F">
        <w:fldChar w:fldCharType="separate"/>
      </w:r>
      <w:r w:rsidR="0010658B" w:rsidRPr="0010658B">
        <w:rPr>
          <w:noProof/>
        </w:rPr>
        <w:t>(Colquhoun and Riley, 1996; Naylor and Gilmore, 2012)</w:t>
      </w:r>
      <w:r w:rsidRPr="004F469F">
        <w:fldChar w:fldCharType="end"/>
      </w:r>
      <w:r w:rsidRPr="004F469F">
        <w:t>. The research described here begins with a study on the spatiotemporal patterns of near-miss violent tornadoes in the U.S. using observed data as a justification for future modeling studies. The dissertation then proceeds to describe the development of a new spatially explicit, environmentally driven, tornado impacts model and assess its utility for the spatial analysis of potential tornado risk and exposure. It concludes by discussing a case study using the model to assess the combined and isolated effects of climate change and urbanization on future tornado impacts in the Oklahoma City metropolitan area. The individual chapters are described hereafter.</w:t>
      </w:r>
    </w:p>
    <w:p w14:paraId="12870B6F" w14:textId="1F0D5642" w:rsidR="00797351" w:rsidRPr="004F469F" w:rsidRDefault="00797351" w:rsidP="00AA740D">
      <w:pPr>
        <w:snapToGrid w:val="0"/>
        <w:spacing w:after="120" w:line="480" w:lineRule="auto"/>
        <w:ind w:firstLine="720"/>
      </w:pPr>
      <w:r w:rsidRPr="004F469F">
        <w:t xml:space="preserve">Chapter 2 examines the spatiotemporal distribution of near-miss violent tornadoes. The hazards literature defines a near-miss as an event that narrowly avoids occurrence by random </w:t>
      </w:r>
      <w:r w:rsidRPr="004F469F">
        <w:lastRenderedPageBreak/>
        <w:t xml:space="preserve">chance </w:t>
      </w:r>
      <w:r w:rsidRPr="004F469F">
        <w:fldChar w:fldCharType="begin" w:fldLock="1"/>
      </w:r>
      <w:r w:rsidR="00123266">
        <w:instrText>ADDIN CSL_CITATION {"citationItems":[{"id":"ITEM-1","itemData":{"DOI":"10.1111/j.1539-6924.2010.01506.x","abstract":"Prior research shows that when people perceive the risk of some hazardous event to be low, they are unlikely to engage in mitigation activities for the potential hazard. We believe one factor that can lower inappropriately (from a normative perspective) people's perception of the risk of a hazard is information about prior near-miss events. A near-miss occurs when an event (such as a hurricane), which had some nontrivial probability of ending in disaster (loss of life, property damage), does not because good fortune intervenes. People appear to mistake such good fortune as an indicator of resiliency. In our first study, people with near-miss information were less likely to purchase flood insurance, and this was shown for both participants from the general population and individuals with specific interests in risk and natural disasters. In our second study, we consider a different mitigation decision, that is, to evacuate from a hurricane, and vary the level of statistical probability of hurricane damage. We still found a strong effect for near-miss information. Our research thus shows how people who have experienced a similar situation but escape damage because of chance will make decisions consistent with a perception that the situation is less risky than those without the past experience. We end by discussing the implications for risk communication.","author":[{"dropping-particle":"","family":"Dillon","given":"Robin L.","non-dropping-particle":"","parse-names":false,"suffix":""},{"dropping-particle":"","family":"Tinsley","given":"Catherine H.","non-dropping-particle":"","parse-names":false,"suffix":""},{"dropping-particle":"","family":"Cronin","given":"Matthew","non-dropping-particle":"","parse-names":false,"suffix":""}],"container-title":"Risk Analysis","id":"ITEM-1","issue":"3","issued":{"date-parts":[["2011"]]},"page":"440-449","title":"Why near-miss events can decrease an individual's protective response to hurricanes","type":"article-journal","volume":"31"},"uris":["http://www.mendeley.com/documents/?uuid=e2928bee-ca9f-4ba0-8e85-d90ec5a2c761"]},{"id":"ITEM-2","itemData":{"DOI":"10.1287/mnsc.1120.1517","author":[{"dropping-particle":"","family":"Tinsley","given":"Catherine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Science","id":"ITEM-2","issue":"9","issued":{"date-parts":[["2012"]]},"page":"1596-1613","publisher":"INFORMS","title":"How near-miss events amplify or attenuate risky decision making","type":"article-journal","volume":"58"},"uris":["http://www.mendeley.com/documents/?uuid=01a0883f-6890-4f85-9119-a977e6a984f2"]}],"mendeley":{"formattedCitation":"(Dillon et al., 2011; Tinsley et al., 2012)","plainTextFormattedCitation":"(Dillon et al., 2011; Tinsley et al., 2012)","previouslyFormattedCitation":"(Dillon et al., 2011; Tinsley et al., 2012)"},"properties":{"noteIndex":0},"schema":"https://github.com/citation-style-language/schema/raw/master/csl-citation.json"}</w:instrText>
      </w:r>
      <w:r w:rsidRPr="004F469F">
        <w:fldChar w:fldCharType="separate"/>
      </w:r>
      <w:r w:rsidR="00123266" w:rsidRPr="00123266">
        <w:rPr>
          <w:noProof/>
        </w:rPr>
        <w:t xml:space="preserve">(Dillon </w:t>
      </w:r>
      <w:r w:rsidR="00123266" w:rsidRPr="00453357">
        <w:rPr>
          <w:i/>
          <w:iCs/>
          <w:noProof/>
        </w:rPr>
        <w:t>et al.</w:t>
      </w:r>
      <w:r w:rsidR="00123266" w:rsidRPr="00123266">
        <w:rPr>
          <w:noProof/>
        </w:rPr>
        <w:t xml:space="preserve">, 2011; Tinsley </w:t>
      </w:r>
      <w:r w:rsidR="00123266" w:rsidRPr="00453357">
        <w:rPr>
          <w:i/>
          <w:iCs/>
          <w:noProof/>
        </w:rPr>
        <w:t>et al.</w:t>
      </w:r>
      <w:r w:rsidR="00123266" w:rsidRPr="00123266">
        <w:rPr>
          <w:noProof/>
        </w:rPr>
        <w:t>, 2012)</w:t>
      </w:r>
      <w:r w:rsidRPr="004F469F">
        <w:fldChar w:fldCharType="end"/>
      </w:r>
      <w:r w:rsidRPr="004F469F">
        <w:t xml:space="preserve">. Examples of near-miss tornadoes include tornadoes passing just outside of a major city </w:t>
      </w:r>
      <w:r w:rsidRPr="004F469F">
        <w:fldChar w:fldCharType="begin" w:fldLock="1"/>
      </w:r>
      <w:r w:rsidRPr="004F469F">
        <w:instrText>ADDIN CSL_CITATION {"citationItems":[{"id":"ITEM-1","itemData":{"author":[{"dropping-particle":"","family":"Prosser","given":"Norman E.","non-dropping-particle":"","parse-names":false,"suffix":""}],"container-title":"Monthly Weather Review","id":"ITEM-1","issue":"6","issued":{"date-parts":[["1976"]]},"page":"800-803","title":"Denver's near-miss tornado of 1975","type":"article-journal","volume":"104"},"uris":["http://www.mendeley.com/documents/?uuid=cd9afad6-60c8-47a1-9ac9-0374e7e8fdc3"]}],"mendeley":{"formattedCitation":"(Prosser, 1976)","plainTextFormattedCitation":"(Prosser, 1976)","previouslyFormattedCitation":"(Prosser, 1976)"},"properties":{"noteIndex":0},"schema":"https://github.com/citation-style-language/schema/raw/master/csl-citation.json"}</w:instrText>
      </w:r>
      <w:r w:rsidRPr="004F469F">
        <w:fldChar w:fldCharType="separate"/>
      </w:r>
      <w:r w:rsidRPr="004F469F">
        <w:rPr>
          <w:noProof/>
        </w:rPr>
        <w:t>(Prosser, 1976)</w:t>
      </w:r>
      <w:r w:rsidRPr="004F469F">
        <w:fldChar w:fldCharType="end"/>
      </w:r>
      <w:r w:rsidRPr="004F469F">
        <w:t xml:space="preserve"> and supercells, with a history of producing tornadoes, passing over an urban area without one </w:t>
      </w:r>
      <w:r w:rsidRPr="004F469F">
        <w:fldChar w:fldCharType="begin" w:fldLock="1"/>
      </w:r>
      <w:r w:rsidR="0010658B">
        <w:instrText>ADDIN CSL_CITATION {"citationItems":[{"id":"ITEM-1","itemData":{"DOI":"10.1007/s11069-009-9405-0","author":[{"dropping-particle":"","family":"Sherman-Morris","given":"Kathleen","non-dropping-particle":"","parse-names":false,"suffix":""}],"container-title":"Natural Hazards","id":"ITEM-1","issue":"3","issued":{"date-parts":[["2010"]]},"page":"623-638","publisher":"Springer","title":"Tornado warning dissemination and response at a university campus","type":"article-journal","volume":"52"},"uris":["http://www.mendeley.com/documents/?uuid=6eb01b2d-1d5f-4507-a439-4482c098070b"]},{"id":"ITEM-2","itemData":{"DOI":"10.1175/2010wcas1042.1","ISBN":"1948-8327\r1948-8335","author":[{"dropping-particle":"","family":"Chaney","given":"Philip L","non-dropping-particle":"","parse-names":false,"suffix":""},{"dropping-particle":"","family":"Weaver","given":"Greg S","non-dropping-particle":"","parse-names":false,"suffix":""}],"container-title":"Weather, Climate, and Society","id":"ITEM-2","issue":"3","issued":{"date-parts":[["2010"]]},"page":"190-199","title":"The Vulnerability of Mobile Home Residents in Tornado Disasters: The 2008 Super Tuesday Tornado in Macon County, Tennessee","type":"article-journal","volume":"2"},"uris":["http://www.mendeley.com/documents/?uuid=3df1f39a-562f-4154-8b5f-14919393f4a8"]}],"mendeley":{"formattedCitation":"(Chaney and Weaver, 2010; Sherman-Morris, 2010)","plainTextFormattedCitation":"(Chaney and Weaver, 2010; Sherman-Morris, 2010)","previouslyFormattedCitation":"(Chaney and Weaver, 2010; Sherman-Morris, 2010)"},"properties":{"noteIndex":0},"schema":"https://github.com/citation-style-language/schema/raw/master/csl-citation.json"}</w:instrText>
      </w:r>
      <w:r w:rsidRPr="004F469F">
        <w:fldChar w:fldCharType="separate"/>
      </w:r>
      <w:r w:rsidR="0010658B" w:rsidRPr="0010658B">
        <w:rPr>
          <w:noProof/>
        </w:rPr>
        <w:t>(Chaney and Weaver, 2010; Sherman-Morris, 2010)</w:t>
      </w:r>
      <w:r w:rsidRPr="004F469F">
        <w:fldChar w:fldCharType="end"/>
      </w:r>
      <w:r w:rsidRPr="004F469F">
        <w:t xml:space="preserve">. Near-misses are important because they can lead to two diametrically opposed responses. If an individual treats the near-miss as a nonevent they could underestimate tornado risk and be less likely to respond in the future </w:t>
      </w:r>
      <w:r w:rsidRPr="004F469F">
        <w:fldChar w:fldCharType="begin" w:fldLock="1"/>
      </w:r>
      <w:r w:rsidR="00123266">
        <w:instrText>ADDIN CSL_CITATION {"citationItems":[{"id":"ITEM-1","itemData":{"DOI":"10.1287/mnsc.1120.1517","author":[{"dropping-particle":"","family":"Tinsley","given":"Catherine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Science","id":"ITEM-1","issue":"9","issued":{"date-parts":[["2012"]]},"page":"1596-1613","publisher":"INFORMS","title":"How near-miss events amplify or attenuate risky decision making","type":"article-journal","volume":"58"},"uris":["http://www.mendeley.com/documents/?uuid=01a0883f-6890-4f85-9119-a977e6a984f2"]}],"mendeley":{"formattedCitation":"(Tinsley et al., 2012)","plainTextFormattedCitation":"(Tinsley et al., 2012)","previouslyFormattedCitation":"(Tinsley et al., 2012)"},"properties":{"noteIndex":0},"schema":"https://github.com/citation-style-language/schema/raw/master/csl-citation.json"}</w:instrText>
      </w:r>
      <w:r w:rsidRPr="004F469F">
        <w:fldChar w:fldCharType="separate"/>
      </w:r>
      <w:r w:rsidR="00123266" w:rsidRPr="00123266">
        <w:rPr>
          <w:noProof/>
        </w:rPr>
        <w:t xml:space="preserve">(Tinsley </w:t>
      </w:r>
      <w:r w:rsidR="00123266" w:rsidRPr="00453357">
        <w:rPr>
          <w:i/>
          <w:iCs/>
          <w:noProof/>
        </w:rPr>
        <w:t>et al.</w:t>
      </w:r>
      <w:r w:rsidR="00123266" w:rsidRPr="00123266">
        <w:rPr>
          <w:noProof/>
        </w:rPr>
        <w:t>, 2012)</w:t>
      </w:r>
      <w:r w:rsidRPr="004F469F">
        <w:fldChar w:fldCharType="end"/>
      </w:r>
      <w:r w:rsidRPr="004F469F">
        <w:t xml:space="preserve">. Conversely, a person could also interpret the near-miss as a lucky break and actually be more likely to respond next time </w:t>
      </w:r>
      <w:r w:rsidRPr="004F469F">
        <w:fldChar w:fldCharType="begin" w:fldLock="1"/>
      </w:r>
      <w:r w:rsidR="00123266">
        <w:instrText>ADDIN CSL_CITATION {"citationItems":[{"id":"ITEM-1","itemData":{"DOI":"10.1111/risa.12209","author":[{"dropping-particle":"","family":"Dillon","given":"Robin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Analysis","id":"ITEM-1","issue":"10","issued":{"date-parts":[["2014"]]},"page":"1907-1922","publisher":"Wiley Online Library","title":"Near-misses and future disaster preparedness","type":"article-journal","volume":"34"},"uris":["http://www.mendeley.com/documents/?uuid=d86a4e9b-c93c-4426-be37-751ddab6f780"]}],"mendeley":{"formattedCitation":"(Dillon et al., 2014)","plainTextFormattedCitation":"(Dillon et al., 2014)","previouslyFormattedCitation":"(Dillon et al., 2014)"},"properties":{"noteIndex":0},"schema":"https://github.com/citation-style-language/schema/raw/master/csl-citation.json"}</w:instrText>
      </w:r>
      <w:r w:rsidRPr="004F469F">
        <w:fldChar w:fldCharType="separate"/>
      </w:r>
      <w:r w:rsidR="00123266" w:rsidRPr="00123266">
        <w:rPr>
          <w:noProof/>
        </w:rPr>
        <w:t xml:space="preserve">(Dillon </w:t>
      </w:r>
      <w:r w:rsidR="00123266" w:rsidRPr="00453357">
        <w:rPr>
          <w:i/>
          <w:iCs/>
          <w:noProof/>
        </w:rPr>
        <w:t>et al.</w:t>
      </w:r>
      <w:r w:rsidR="00123266" w:rsidRPr="00123266">
        <w:rPr>
          <w:noProof/>
        </w:rPr>
        <w:t>, 2014)</w:t>
      </w:r>
      <w:r w:rsidRPr="004F469F">
        <w:fldChar w:fldCharType="end"/>
      </w:r>
      <w:r w:rsidRPr="004F469F">
        <w:t xml:space="preserve">. Most studies on near-miss severe weather events have focused on the impacts of a single event without explaining what defines a near-miss </w:t>
      </w:r>
      <w:r w:rsidRPr="004F469F">
        <w:fldChar w:fldCharType="begin" w:fldLock="1"/>
      </w:r>
      <w:r w:rsidR="00C31A1B" w:rsidRPr="004F469F">
        <w:instrText>ADDIN CSL_CITATION {"citationItems":[{"id":"ITEM-1","itemData":{"author":[{"dropping-particle":"","family":"Prosser","given":"Norman E.","non-dropping-particle":"","parse-names":false,"suffix":""}],"container-title":"Monthly Weather Review","id":"ITEM-1","issue":"6","issued":{"date-parts":[["1976"]]},"page":"800-803","title":"Denver's near-miss tornado of 1975","type":"article-journal","volume":"104"},"uris":["http://www.mendeley.com/documents/?uuid=cd9afad6-60c8-47a1-9ac9-0374e7e8fdc3"]},{"id":"ITEM-2","itemData":{"DOI":"10.1007/s11069-009-9405-0","author":[{"dropping-particle":"","family":"Sherman-Morris","given":"Kathleen","non-dropping-particle":"","parse-names":false,"suffix":""}],"container-title":"Natural Hazards","id":"ITEM-2","issue":"3","issued":{"date-parts":[["2010"]]},"page":"623-638","publisher":"Springer","title":"Tornado warning dissemination and response at a university campus","type":"article-journal","volume":"52"},"uris":["http://www.mendeley.com/documents/?uuid=6eb01b2d-1d5f-4507-a439-4482c098070b"]}],"mendeley":{"formattedCitation":"(Prosser, 1976; Sherman-Morris, 2010)","plainTextFormattedCitation":"(Prosser, 1976; Sherman-Morris, 2010)","previouslyFormattedCitation":"(Prosser, 1976; Sherman-Morris, 2010)"},"properties":{"noteIndex":0},"schema":"https://github.com/citation-style-language/schema/raw/master/csl-citation.json"}</w:instrText>
      </w:r>
      <w:r w:rsidRPr="004F469F">
        <w:fldChar w:fldCharType="separate"/>
      </w:r>
      <w:r w:rsidR="00C31A1B" w:rsidRPr="004F469F">
        <w:rPr>
          <w:noProof/>
        </w:rPr>
        <w:t>(Prosser, 1976; Sherman-Morris, 2010)</w:t>
      </w:r>
      <w:r w:rsidRPr="004F469F">
        <w:fldChar w:fldCharType="end"/>
      </w:r>
      <w:r w:rsidRPr="004F469F">
        <w:t xml:space="preserve">. The only large-scale study with a clear definition of a near-miss that the author is aware of was for tropical cyclones that were forecast to make landfall in the United States but did not </w:t>
      </w:r>
      <w:r w:rsidRPr="004F469F">
        <w:fldChar w:fldCharType="begin" w:fldLock="1"/>
      </w:r>
      <w:r w:rsidR="0010658B">
        <w:instrText>ADDIN CSL_CITATION {"citationItems":[{"id":"ITEM-1","itemData":{"author":[{"dropping-particle":"","family":"Powell","given":"Mark D.","non-dropping-particle":"","parse-names":false,"suffix":""},{"dropping-particle":"","family":"Aberson","given":"Sim D.","non-dropping-particle":"","parse-names":false,"suffix":""}],"container-title":"Bulletin of the American Meteorological Society","id":"ITEM-1","issue":"12","issued":{"date-parts":[["2001"]]},"page":"2749-2767","title":"Accuracy of United States tropical cyclone landfall forecasts in the Atlantic basin (1976-2000)","type":"article-journal","volume":"82"},"uris":["http://www.mendeley.com/documents/?uuid=a2373e94-1ec9-47c1-ada6-2ae2bc89312c"]}],"mendeley":{"formattedCitation":"(Powell and Aberson, 2001)","plainTextFormattedCitation":"(Powell and Aberson, 2001)","previouslyFormattedCitation":"(Powell and Aberson, 2001)"},"properties":{"noteIndex":0},"schema":"https://github.com/citation-style-language/schema/raw/master/csl-citation.json"}</w:instrText>
      </w:r>
      <w:r w:rsidRPr="004F469F">
        <w:fldChar w:fldCharType="separate"/>
      </w:r>
      <w:r w:rsidR="0010658B" w:rsidRPr="0010658B">
        <w:rPr>
          <w:noProof/>
        </w:rPr>
        <w:t>(Powell and Aberson, 2001)</w:t>
      </w:r>
      <w:r w:rsidRPr="004F469F">
        <w:fldChar w:fldCharType="end"/>
      </w:r>
      <w:r w:rsidRPr="004F469F">
        <w:t xml:space="preserve">. The study presented in Chapter 2 sought to fill in the literature gap by clearly defining near-miss violent tornadoes and study their spatiotemporal distribution from 1995 to 2016. This study also updated the violent tornado climatology of Concannon </w:t>
      </w:r>
      <w:r w:rsidR="008F75F4" w:rsidRPr="00453357">
        <w:rPr>
          <w:i/>
          <w:iCs/>
        </w:rPr>
        <w:t>et al.</w:t>
      </w:r>
      <w:r w:rsidRPr="004F469F">
        <w:t xml:space="preserve"> </w:t>
      </w:r>
      <w:r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Pr="004F469F">
        <w:t xml:space="preserve">. This chapter was </w:t>
      </w:r>
      <w:r w:rsidR="004B13A0">
        <w:t xml:space="preserve">co-authored by myself, Dr. Jennifer Koch and Dr. Harold Brooks and </w:t>
      </w:r>
      <w:r w:rsidRPr="004F469F">
        <w:t xml:space="preserve">published in the January 2019 issue of </w:t>
      </w:r>
      <w:r w:rsidRPr="004F469F">
        <w:rPr>
          <w:i/>
          <w:iCs/>
        </w:rPr>
        <w:t>Weather, Climate and Society</w:t>
      </w:r>
      <w:r w:rsidRPr="004F469F">
        <w:t>.</w:t>
      </w:r>
    </w:p>
    <w:p w14:paraId="61CE5639" w14:textId="614889E3" w:rsidR="00797351" w:rsidRPr="004F469F" w:rsidRDefault="00797351" w:rsidP="00AA740D">
      <w:pPr>
        <w:snapToGrid w:val="0"/>
        <w:spacing w:after="120" w:line="480" w:lineRule="auto"/>
        <w:ind w:firstLine="720"/>
      </w:pPr>
      <w:r w:rsidRPr="004F469F">
        <w:t xml:space="preserve">Chapter 3 introduces the Tornado Daily Impacts Simulator (TorDIS) - a spatially explicit, Monte Carlo-based, tornado impacts model which operates at a daily time scale and links tornado occurrence to the atmospheric environment. Tornadoes are rare events and </w:t>
      </w:r>
      <w:r w:rsidR="004C320F">
        <w:t>have</w:t>
      </w:r>
      <w:r w:rsidRPr="004F469F">
        <w:t xml:space="preserve"> a short period of </w:t>
      </w:r>
      <w:r w:rsidR="004C320F">
        <w:t xml:space="preserve">historical </w:t>
      </w:r>
      <w:r w:rsidRPr="004F469F">
        <w:t>record</w:t>
      </w:r>
      <w:r w:rsidR="004C320F">
        <w:t>.</w:t>
      </w:r>
      <w:r w:rsidRPr="004F469F">
        <w:t xml:space="preserve"> </w:t>
      </w:r>
      <w:r w:rsidR="004C320F">
        <w:t>W</w:t>
      </w:r>
      <w:r w:rsidRPr="004F469F">
        <w:t xml:space="preserve">ithin the U. S., it is likely that the true risk posed by tornadoes is underestimated </w:t>
      </w:r>
      <w:r w:rsidRPr="004F469F">
        <w:fldChar w:fldCharType="begin" w:fldLock="1"/>
      </w:r>
      <w:r w:rsidR="00123266">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data","type":"article-journal","volume":"67"},"uris":["http://www.mendeley.com/documents/?uuid=2299b90d-1ada-4897-b75e-ee0ee8a4e064"]},{"id":"ITEM-3","itemData":{"DOI":"10.1175/WAF910.1","abstract":"Over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Forecasting","id":"ITEM-3","issue":"1","issued":{"date-parts":[["2006"]]},"page":"86-93","title":"Evolution of the U.S. tornado database: 1954-2003","type":"article-journal","volume":"21"},"uris":["http://www.mendeley.com/documents/?uuid=158f941c-21cf-45f6-9bc6-7f308a153955"]}],"mendeley":{"formattedCitation":"(Brooks et al., 2003b; Verbout et al., 2006; Doswell, 2007)","plainTextFormattedCitation":"(Brooks et al., 2003b; Verbout et al., 2006; Doswell, 2007)","previouslyFormattedCitation":"(Brooks et al., 2003b; Verbout et al., 2006; Doswell, 2007)"},"properties":{"noteIndex":0},"schema":"https://github.com/citation-style-language/schema/raw/master/csl-citation.json"}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2003b; Verbout </w:t>
      </w:r>
      <w:r w:rsidR="00123266" w:rsidRPr="00453357">
        <w:rPr>
          <w:i/>
          <w:iCs/>
          <w:noProof/>
        </w:rPr>
        <w:t>et al.</w:t>
      </w:r>
      <w:r w:rsidR="00123266" w:rsidRPr="00123266">
        <w:rPr>
          <w:noProof/>
        </w:rPr>
        <w:t>, 2006; Doswell, 2007)</w:t>
      </w:r>
      <w:r w:rsidRPr="004F469F">
        <w:fldChar w:fldCharType="end"/>
      </w:r>
      <w:r w:rsidRPr="004F469F">
        <w:t xml:space="preserve">. One method to overcome this problem is to simulate thousands of years of tornadoes (including tornadoes with potential record-breaking tornado path lengths and widths) to get a broader picture of tornado </w:t>
      </w:r>
      <w:r w:rsidRPr="004F469F">
        <w:lastRenderedPageBreak/>
        <w:t xml:space="preserve">risk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impacts","type":"article-journal","volume":"23"},"uris":["http://www.mendeley.com/documents/?uuid=35120d27-7369-4b8b-a188-dbf511d1ef98"]},{"id":"ITEM-2","itemData":{"author":[{"dropping-particle":"","family":"Meyer","given":"Cathryn L","non-dropping-particle":"","parse-names":false,"suffix":""},{"dropping-particle":"","family":"Brooks","given":"H E","non-dropping-particle":"","parse-names":false,"suffix":""},{"dropping-particle":"","family":"Kay","given":"M P","non-dropping-particle":"","parse-names":false,"suffix":""}],"container-title":"Preprints, 16th Conf. on Probability and Statistics, Orlando, FL, Amer. Meteor. Soc., J88--J95","id":"ITEM-2","issued":{"date-parts":[["2002"]]},"title":"A hazard model for tornado occurrence in the United States","type":"paper-conference"},"uris":["http://www.mendeley.com/documents/?uuid=cb11ad16-1ceb-49c0-8cbd-939c4056b68a"]},{"id":"ITEM-3","itemData":{"author":[{"dropping-particle":"","family":"Daneshvaran","given":"Siamak","non-dropping-particle":"","parse-names":false,"suffix":""},{"dropping-particle":"","family":"Morden","given":"Robert E","non-dropping-particle":"","parse-names":false,"suffix":""}],"container-title":"The Journal of Risk Finance","id":"ITEM-3","issue":"2","issued":{"date-parts":[["2007"]]},"page":"97-111","publisher":"Emerald Group Publishing Limited","title":"Tornado risk analysis in the United States","type":"article-journal","volume":"8"},"uris":["http://www.mendeley.com/documents/?uuid=52728e2f-ec04-4536-99b4-a14b08b4b54a"]}],"mendeley":{"formattedCitation":"(Meyer et al., 2002; Daneshvaran and Morden, 2007; Strader et al., 2016)","plainTextFormattedCitation":"(Meyer et al., 2002; Daneshvaran and Morden, 2007; Strader et al., 2016)","previouslyFormattedCitation":"(Meyer et al., 2002; Daneshvaran and Morden, 2007; Strader et al., 2016)"},"properties":{"noteIndex":0},"schema":"https://github.com/citation-style-language/schema/raw/master/csl-citation.json"}</w:instrText>
      </w:r>
      <w:r w:rsidRPr="004F469F">
        <w:fldChar w:fldCharType="separate"/>
      </w:r>
      <w:r w:rsidR="00123266" w:rsidRPr="00123266">
        <w:rPr>
          <w:noProof/>
        </w:rPr>
        <w:t xml:space="preserve">(Meyer </w:t>
      </w:r>
      <w:r w:rsidR="00123266" w:rsidRPr="00453357">
        <w:rPr>
          <w:i/>
          <w:iCs/>
          <w:noProof/>
        </w:rPr>
        <w:t>et al.</w:t>
      </w:r>
      <w:r w:rsidR="00123266" w:rsidRPr="00123266">
        <w:rPr>
          <w:noProof/>
        </w:rPr>
        <w:t xml:space="preserve">, 2002; Daneshvaran and Morden, 2007; Strader </w:t>
      </w:r>
      <w:r w:rsidR="00123266" w:rsidRPr="00453357">
        <w:rPr>
          <w:i/>
          <w:iCs/>
          <w:noProof/>
        </w:rPr>
        <w:t>et al.</w:t>
      </w:r>
      <w:r w:rsidR="00123266" w:rsidRPr="00123266">
        <w:rPr>
          <w:noProof/>
        </w:rPr>
        <w:t>, 2016)</w:t>
      </w:r>
      <w:r w:rsidRPr="004F469F">
        <w:fldChar w:fldCharType="end"/>
      </w:r>
      <w:r w:rsidRPr="004F469F">
        <w:t xml:space="preserve">. Previous models have used annual time scales for their simulations. However, from an operational standpoint it would be useful to be able to simulate tornadoes at a daily time step </w:t>
      </w:r>
      <w:r w:rsidRPr="004F469F">
        <w:fldChar w:fldCharType="begin" w:fldLock="1"/>
      </w:r>
      <w:r w:rsidR="00123266">
        <w:instrText>ADDIN CSL_CITATION {"citationItems":[{"id":"ITEM-1","itemData":{"author":[{"dropping-particle":"","family":"Karstens","given":"Christopher D","non-dropping-particle":"","parse-names":false,"suffix":""},{"dropping-particle":"","family":"Stumpf","given":"Greg","non-dropping-particle":"","parse-names":false,"suffix":""},{"dropping-particle":"","family":"Ling","given":"Chen","non-dropping-particle":"","parse-names":false,"suffix":""},{"dropping-particle":"","family":"Hua","given":"Lesheng","non-dropping-particle":"","parse-names":false,"suffix":""},{"dropping-particle":"","family":"Kingfield","given":"Darrel","non-dropping-particle":"","parse-names":false,"suffix":""},{"dropping-particle":"","family":"Smith","given":"Travis M","non-dropping-particle":"","parse-names":false,"suffix":""},{"dropping-particle":"","family":"Correia Jr","given":"James","non-dropping-particle":"","parse-names":false,"suffix":""},{"dropping-particle":"","family":"Calhoun","given":"Kristin","non-dropping-particle":"","parse-names":false,"suffix":""},{"dropping-particle":"","family":"Ortega","given":"Kiel","non-dropping-particle":"","parse-names":false,"suffix":""},{"dropping-particle":"","family":"Melick","given":"Chris","non-dropping-particle":"","parse-names":false,"suffix":""},{"dropping-particle":"","family":"others","given":"","non-dropping-particle":"","parse-names":false,"suffix":""}],"container-title":"Weather and Forecasting","id":"ITEM-1","issue":"6","issued":{"date-parts":[["2015"]]},"page":"1551-1570","title":"Evaluation of a probabilistic forecasting methodology for severe convective weather in the 2014 Hazardous Weather Testbed","type":"article-journal","volume":"30"},"uris":["http://www.mendeley.com/documents/?uuid=9aefb553-fbcc-4d56-8202-7be54bbe4572"]},{"id":"ITEM-2","itemData":{"author":[{"dropping-particle":"","family":"Smith","given":"Bryan T","non-dropping-particle":"","parse-names":false,"suffix":""},{"dropping-particle":"","family":"Thompson","given":"Richard L","non-dropping-particle":"","parse-names":false,"suffix":""},{"dropping-particle":"","family":"Dean","given":"Andrew R","non-dropping-particle":"","parse-names":false,"suffix":""},{"dropping-particle":"","family":"Marsh","given":"Patrick T","non-dropping-particle":"","parse-names":false,"suffix":""}],"container-title":"Weather and Forecasting","id":"ITEM-2","issue":"4","issued":{"date-parts":[["2015"]]},"page":"914-932","title":"Diagnosing the conditional probability of tornado damage rating using environmental and radar attributes","type":"article-journal","volume":"30"},"uris":["http://www.mendeley.com/documents/?uuid=6690e74c-1a87-48f6-b4ac-5ae933c0f9cf"]}],"mendeley":{"formattedCitation":"(Karstens et al., 2015; Smith et al., 2015)","plainTextFormattedCitation":"(Karstens et al., 2015; Smith et al., 2015)","previouslyFormattedCitation":"(Karstens et al., 2015; Smith et al., 2015)"},"properties":{"noteIndex":0},"schema":"https://github.com/citation-style-language/schema/raw/master/csl-citation.json"}</w:instrText>
      </w:r>
      <w:r w:rsidRPr="004F469F">
        <w:fldChar w:fldCharType="separate"/>
      </w:r>
      <w:r w:rsidR="0010658B" w:rsidRPr="00123266">
        <w:rPr>
          <w:noProof/>
        </w:rPr>
        <w:t xml:space="preserve">(Karstens </w:t>
      </w:r>
      <w:r w:rsidR="0010658B" w:rsidRPr="00453357">
        <w:rPr>
          <w:i/>
          <w:iCs/>
          <w:noProof/>
        </w:rPr>
        <w:t>et al.</w:t>
      </w:r>
      <w:r w:rsidR="0010658B" w:rsidRPr="00123266">
        <w:rPr>
          <w:noProof/>
        </w:rPr>
        <w:t xml:space="preserve">, 2015; Smith </w:t>
      </w:r>
      <w:r w:rsidR="0010658B" w:rsidRPr="00453357">
        <w:rPr>
          <w:i/>
          <w:iCs/>
          <w:noProof/>
        </w:rPr>
        <w:t>et al.</w:t>
      </w:r>
      <w:r w:rsidR="0010658B" w:rsidRPr="00123266">
        <w:rPr>
          <w:noProof/>
        </w:rPr>
        <w:t>, 2015)</w:t>
      </w:r>
      <w:r w:rsidRPr="004F469F">
        <w:fldChar w:fldCharType="end"/>
      </w:r>
      <w:r w:rsidRPr="004F469F">
        <w:t xml:space="preserve">. The study displayed in Chapter 3 describes the development of TorDIS which uses atmospheric reanalysis data to determine the favorability of the environment for tornadoes on a given day </w:t>
      </w:r>
      <w:r w:rsidRPr="004F469F">
        <w:fldChar w:fldCharType="begin" w:fldLock="1"/>
      </w:r>
      <w:r w:rsidR="00123266">
        <w:instrText>ADDIN CSL_CITATION {"citationItems":[{"id":"ITEM-1","itemData":{"DOI":"10.1175/WAF-D-10-05046.1","ISBN":"0882-8156","ISSN":"0882-8156","abstract":"With the advent of convection-allowing NWP models (CAMs) comes the potential for new forms of forecast guidance. While CAMs lack the required resolution to simulate many severe phenomena associated with convection (e.g., large hail, downburst winds, and tornadoes), they can still provide unique guidance for the occurrence of these phenomena if “extreme” patterns of behavior in simulated storms are strongly correlated with observed severe phenomena. This concept is explored using output from a series of CAM forecasts generated on a daily basis during the spring of 2008. This output is mined for the presence of extreme values of updraft helicity (UH), a diagnostic field used to identify supercellular storms. Extreme values of the UH field are flagged as simulated “surrogate” severe weather reports and the spatial correspondence between these surrogate reports and actual observed severe reports is determined. In addition, probabilistic forecasts [surrogate severe probabilistic forecasts (SSPFs)] are created from each field's simulated surrogate severe reports using a Gaussian smoother. The simulated surrogate reports are capable of reproducing the seasonal climatology observed within the field of actual reports. The SSPFs created from the surrogates are verified using ROC curves and reliability diagrams and the sensitivity of the verification metrics to the smoothing parameter in the Gaussian distribution is tested. The SSPFs produce reliable forecast probabilities with minimal calibration. These results demonstrate that a relatively straightforward postprocessing procedure, which focuses on the characteristics of explicitly predicted convective entities, can provide reliable severe weather forecast guidance. It is anticipated that this technique will be even more valuable when implemented within a convection-allowing ensemble forecasting system.","author":[{"dropping-particle":"","family":"Sobash","given":"Ryan A","non-dropping-particle":"","parse-names":false,"suffix":""},{"dropping-particle":"","family":"Kain","given":"John S","non-dropping-particle":"","parse-names":false,"suffix":""},{"dropping-particle":"","family":"Bright","given":"David R","non-dropping-particle":"","parse-names":false,"suffix":""},{"dropping-particle":"","family":"Dean","given":"Andrew R","non-dropping-particle":"","parse-names":false,"suffix":""},{"dropping-particle":"","family":"Coniglio","given":"Michael C","non-dropping-particle":"","parse-names":false,"suffix":""},{"dropping-particle":"","family":"Weiss","given":"Steven J","non-dropping-particle":"","parse-names":false,"suffix":""}],"container-title":"Weather and Forecasting","id":"ITEM-1","issue":"5","issued":{"date-parts":[["2011"]]},"page":"714-728","title":"Probabilistic Forecast Guidance for Severe Thunderstorms Based on the Identification of Extreme Phenomena in Convection-Allowing Model Forecasts","type":"article-journal","volume":"26"},"uris":["http://www.mendeley.com/documents/?uuid=8ca8218e-cafd-42a2-83bc-c644d7cc35fe"]},{"id":"ITEM-2","itemData":{"DOI":"10.1175/WAF-D-12-00125.1","ISSN":"0882-8156","abstract":"AbstractThe self-organizing map (SOM) statistical technique is applied to vertical profiles of thermodynamic and kinematic parameters from a Rapid Update Cycle-2 (RUC-2) proximity sounding dataset with the goal of better distinguishing and predicting supercell and tornadic environments. An SOM is a topologically ordered mapping of input data onto a two-dimensional array of nodes that can be used to classify large datasets into meaningful clusters. The relative ability of SOMs derived from each parameter to separate soundings in a way that is useful in discriminating between storm type, location, and time of year is discussed. Sensitivity to SOM configuration is also explored. Simple skill scores are computed for each SOM to evaluate the relative potential of each variable for future development as a method of probabilistic forecasting. It is found that variance in SOM nodes is reduced compared to the overall dataset, indicating that this is a viable classification method. SOMs of profiles of wind-derived ...","author":[{"dropping-particle":"","family":"Nowotarski","given":"Christopher J.","non-dropping-particle":"","parse-names":false,"suffix":""},{"dropping-particle":"","family":"Jensen","given":"Anders A.","non-dropping-particle":"","parse-names":false,"suffix":""}],"container-title":"Weather and Forecasting","id":"ITEM-2","issue":"3","issued":{"date-parts":[["2013"]]},"page":"783-801","title":"Classifying Proximity Soundings with Self-Organizing Maps toward Improving Supercell and Tornado Forecasting","type":"article-journal","volume":"28"},"uris":["http://www.mendeley.com/documents/?uuid=6e355317-6712-47c2-a4ec-dffca02117ed"]},{"id":"ITEM-3","itemData":{"author":[{"dropping-particle":"","family":"Karstens","given":"Christopher D","non-dropping-particle":"","parse-names":false,"suffix":""},{"dropping-particle":"","family":"Stumpf","given":"Greg","non-dropping-particle":"","parse-names":false,"suffix":""},{"dropping-particle":"","family":"Ling","given":"Chen","non-dropping-particle":"","parse-names":false,"suffix":""},{"dropping-particle":"","family":"Hua","given":"Lesheng","non-dropping-particle":"","parse-names":false,"suffix":""},{"dropping-particle":"","family":"Kingfield","given":"Darrel","non-dropping-particle":"","parse-names":false,"suffix":""},{"dropping-particle":"","family":"Smith","given":"Travis M","non-dropping-particle":"","parse-names":false,"suffix":""},{"dropping-particle":"","family":"Correia Jr","given":"James","non-dropping-particle":"","parse-names":false,"suffix":""},{"dropping-particle":"","family":"Calhoun","given":"Kristin","non-dropping-particle":"","parse-names":false,"suffix":""},{"dropping-particle":"","family":"Ortega","given":"Kiel","non-dropping-particle":"","parse-names":false,"suffix":""},{"dropping-particle":"","family":"Melick","given":"Chris","non-dropping-particle":"","parse-names":false,"suffix":""},{"dropping-particle":"","family":"others","given":"","non-dropping-particle":"","parse-names":false,"suffix":""}],"container-title":"Weather and Forecasting","id":"ITEM-3","issue":"6","issued":{"date-parts":[["2015"]]},"page":"1551-1570","title":"Evaluation of a probabilistic forecasting methodology for severe convective weather in the 2014 Hazardous Weather Testbed","type":"article-journal","volume":"30"},"uris":["http://www.mendeley.com/documents/?uuid=9aefb553-fbcc-4d56-8202-7be54bbe4572"]}],"mendeley":{"formattedCitation":"(Sobash et al., 2011; Nowotarski and Jensen, 2013; Karstens et al., 2015)","plainTextFormattedCitation":"(Sobash et al., 2011; Nowotarski and Jensen, 2013; Karstens et al., 2015)","previouslyFormattedCitation":"(Sobash et al., 2011; Nowotarski and Jensen, 2013; Karstens et al., 2015)"},"properties":{"noteIndex":0},"schema":"https://github.com/citation-style-language/schema/raw/master/csl-citation.json"}</w:instrText>
      </w:r>
      <w:r w:rsidRPr="004F469F">
        <w:fldChar w:fldCharType="separate"/>
      </w:r>
      <w:r w:rsidR="0010658B" w:rsidRPr="00123266">
        <w:rPr>
          <w:noProof/>
        </w:rPr>
        <w:t xml:space="preserve">(Sobash </w:t>
      </w:r>
      <w:r w:rsidR="0010658B" w:rsidRPr="00453357">
        <w:rPr>
          <w:i/>
          <w:iCs/>
          <w:noProof/>
        </w:rPr>
        <w:t>et al.</w:t>
      </w:r>
      <w:r w:rsidR="0010658B" w:rsidRPr="00123266">
        <w:rPr>
          <w:noProof/>
        </w:rPr>
        <w:t xml:space="preserve">, 2011; Nowotarski and Jensen, 2013; Karstens </w:t>
      </w:r>
      <w:r w:rsidR="0010658B" w:rsidRPr="00453357">
        <w:rPr>
          <w:i/>
          <w:iCs/>
          <w:noProof/>
        </w:rPr>
        <w:t>et al.</w:t>
      </w:r>
      <w:r w:rsidR="0010658B" w:rsidRPr="00123266">
        <w:rPr>
          <w:noProof/>
        </w:rPr>
        <w:t>, 2015)</w:t>
      </w:r>
      <w:r w:rsidRPr="004F469F">
        <w:fldChar w:fldCharType="end"/>
      </w:r>
      <w:r w:rsidRPr="004F469F">
        <w:t>. Tornadoes are only simulated on days with favorable conditions</w:t>
      </w:r>
      <w:r w:rsidR="004C320F">
        <w:t>.</w:t>
      </w:r>
      <w:r w:rsidRPr="004F469F">
        <w:t xml:space="preserve"> </w:t>
      </w:r>
      <w:r w:rsidR="004C320F">
        <w:t>T</w:t>
      </w:r>
      <w:r w:rsidRPr="004F469F">
        <w:t>heir spatial distribution</w:t>
      </w:r>
      <w:r w:rsidR="004C320F">
        <w:t>s</w:t>
      </w:r>
      <w:r w:rsidRPr="004F469F">
        <w:t>, intensit</w:t>
      </w:r>
      <w:r w:rsidR="004C320F">
        <w:t>ies</w:t>
      </w:r>
      <w:r w:rsidRPr="004F469F">
        <w:t>, path length</w:t>
      </w:r>
      <w:r w:rsidR="004C320F">
        <w:t>s,</w:t>
      </w:r>
      <w:r w:rsidRPr="004F469F">
        <w:t xml:space="preserve"> and </w:t>
      </w:r>
      <w:r w:rsidR="004C320F">
        <w:t xml:space="preserve">path </w:t>
      </w:r>
      <w:r w:rsidRPr="004F469F">
        <w:t xml:space="preserve">widths are all linked to the environmental conditions on that day </w:t>
      </w:r>
      <w:r w:rsidRPr="004F469F">
        <w:fldChar w:fldCharType="begin" w:fldLock="1"/>
      </w:r>
      <w:r w:rsidR="00123266">
        <w:instrText>ADDIN CSL_CITATION {"citationItems":[{"id":"ITEM-1","itemData":{"DOI":"10.1175/1520-0434(2000)015&lt;0682:AOOECA&gt;2.0.CO;2","ISSN":"0882-8156","abstract":"An overview of conditions associated with the Oklahoma–Kansas tornado outbreak of 3May 1999 is presented, with emphasis on the evolution of environmental and supercellular characteristics most relevant to the prediction of violent tornado episodes. This examination provides a unique perspective of the event by combining analyses of remote observational data and numerical guidance with direct observations of the event in the field by forecasters and other observers. The 3 May 1999 outbreak included two prolific supercells that produced several violent tornadoes, with ambient parameters comparable to those of past tornado outbreaks in the southern and central Great Plains. However, not all aspects leading to the evening of 3 May unambiguously favored a major tornado outbreak. The problems that faced operational forecasters at the Storm Prediction Center are discussed in the context of this outbreak, including environmental shear and instability, subtle processes contributing to convective initiation, the roles of preexisting boundaries, and storm-relative flow. This examination reveals several specific aspects where conceptual models are deficient and/or additional research is warranted. 1.","author":[{"dropping-particle":"","family":"Thompson","given":"Richard L.","non-dropping-particle":"","parse-names":false,"suffix":""},{"dropping-particle":"","family":"Edwards","given":"Roger","non-dropping-particle":"","parse-names":false,"suffix":""}],"container-title":"Weather and Forecasting","id":"ITEM-1","issue":"6","issued":{"date-parts":[["2000"]]},"page":"682-699","title":"An Overview of Environmental Conditions and Forecast Implications of the 3 May 1999 Tornado Outbreak","type":"article-journal","volume":"15"},"uris":["http://www.mendeley.com/documents/?uuid=7024c3dd-ed58-325a-a529-e916bd82827c"]},{"id":"ITEM-2","itemData":{"DOI":"10.1175/2009WAF2222297.1","ISBN":"0882-8156","ISSN":"0882-8156","author":[{"dropping-particle":"","family":"Corfidi","given":"Stephen F.","non-dropping-particle":"","parse-names":false,"suffix":""},{"dropping-particle":"","family":"Weiss","given":"Steven J.","non-dropping-particle":"","parse-names":false,"suffix":""},{"dropping-particle":"","family":"Kain","given":"John S.","non-dropping-particle":"","parse-names":false,"suffix":""},{"dropping-particle":"","family":"Corfidi","given":"Sarah J.","non-dropping-particle":"","parse-names":false,"suffix":""},{"dropping-particle":"","family":"Rabin","given":"Robert M.","non-dropping-particle":"","parse-names":false,"suffix":""},{"dropping-particle":"","family":"Levit","given":"Jason J.","non-dropping-particle":"","parse-names":false,"suffix":""}],"container-title":"Weather and Forecasting","id":"ITEM-2","issue":"2","issued":{"date-parts":[["2010"]]},"page":"465-510","title":"Revisiting the 3–4 April 1974 super outbreak of tornadoes","type":"article-journal","volume":"25"},"uris":["http://www.mendeley.com/documents/?uuid=292de221-5d49-4491-bb56-00f66dada67c"]},{"id":"ITEM-3","itemData":{"author":[{"dropping-particle":"","family":"Colquhoun","given":"John R","non-dropping-particle":"","parse-names":false,"suffix":""},{"dropping-particle":"","family":"Riley","given":"Philip A","non-dropping-particle":"","parse-names":false,"suffix":""}],"container-title":"Weather and forecasting","id":"ITEM-3","issue":"3","issued":{"date-parts":[["1996"]]},"page":"360-371","title":"Relationships between tornado intensity and various wind and thermodynamic variables","type":"article-journal","volume":"11"},"uris":["http://www.mendeley.com/documents/?uuid=5b1ef918-c699-4eec-b415-f7400f110109"]}],"mendeley":{"formattedCitation":"(Colquhoun and Riley, 1996; Thompson and Edwards, 2000; Corfidi et al., 2010)","plainTextFormattedCitation":"(Colquhoun and Riley, 1996; Thompson and Edwards, 2000; Corfidi et al., 2010)","previouslyFormattedCitation":"(Colquhoun and Riley, 1996; Thompson and Edwards, 2000; Corfidi et al., 2010)"},"properties":{"noteIndex":0},"schema":"https://github.com/citation-style-language/schema/raw/master/csl-citation.json"}</w:instrText>
      </w:r>
      <w:r w:rsidRPr="004F469F">
        <w:fldChar w:fldCharType="separate"/>
      </w:r>
      <w:r w:rsidR="0010658B" w:rsidRPr="00123266">
        <w:rPr>
          <w:noProof/>
        </w:rPr>
        <w:t xml:space="preserve">(Colquhoun and Riley, 1996; Thompson and Edwards, 2000; Corfidi </w:t>
      </w:r>
      <w:r w:rsidR="0010658B" w:rsidRPr="00453357">
        <w:rPr>
          <w:i/>
          <w:iCs/>
          <w:noProof/>
        </w:rPr>
        <w:t>et al.</w:t>
      </w:r>
      <w:r w:rsidR="0010658B" w:rsidRPr="00123266">
        <w:rPr>
          <w:noProof/>
        </w:rPr>
        <w:t>, 2010)</w:t>
      </w:r>
      <w:r w:rsidRPr="004F469F">
        <w:fldChar w:fldCharType="end"/>
      </w:r>
      <w:r w:rsidRPr="004F469F">
        <w:t>. The tornadoes are spatially distributed using a weighted random placement with the weighting associated with a tornado probability raster. The probability rasters are created using a series of logistic regression equations which incorporate common severe weather diagnostic parameters (</w:t>
      </w:r>
      <w:r w:rsidRPr="002614B3">
        <w:rPr>
          <w:i/>
          <w:iCs/>
        </w:rPr>
        <w:t>e.g.</w:t>
      </w:r>
      <w:r w:rsidRPr="004F469F">
        <w:t>, convective available potential energy (CAPE) and vertical wind shear (VWS)</w:t>
      </w:r>
      <w:r w:rsidR="003642A7">
        <w:t>;</w:t>
      </w:r>
      <w:r w:rsidRPr="004F469F">
        <w:t xml:space="preserve"> </w:t>
      </w:r>
      <w:r w:rsidRPr="004F469F">
        <w:fldChar w:fldCharType="begin" w:fldLock="1"/>
      </w:r>
      <w:r w:rsidR="003642A7">
        <w:instrText>ADDIN CSL_CITATION {"citationItems":[{"id":"ITEM-1","itemData":{"DOI":"10.1175/jamc-d-13-0263.1","ISBN":"1558-8424 1558-8432","author":[{"dropping-particle":"","family":"Gensini","given":"Victor A.","non-dropping-particle":"","parse-names":false,"suffix":""},{"dropping-particle":"","family":"Mote","given":"Thomas L.","non-dropping-particle":"","parse-names":false,"suffix":""},{"dropping-particle":"","family":"Brooks","given":"Harold E.","non-dropping-particle":"","parse-names":false,"suffix":""}],"container-title":"Journal of Applied Meteorology and Climatology","id":"ITEM-1","issue":"3","issued":{"date-parts":[["2014"]]},"page":"742-751","title":"Severe-Thunderstorm Reanalysis Environments and Collocated Radiosonde Observations","type":"article-journal","volume":"53"},"uris":["http://www.mendeley.com/documents/?uuid=ae489d68-78f3-45b4-b300-1c5569e8bb90"]},{"id":"ITEM-2","itemData":{"ISBN":"0169-8095","author":[{"dropping-particle":"","family":"Brooks","given":"Harold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data","type":"article-journal","volume":"67"},"uris":["http://www.mendeley.com/documents/?uuid=2299b90d-1ada-4897-b75e-ee0ee8a4e064"]}],"mendeley":{"formattedCitation":"(Brooks et al., 2003b; Gensini et al., 2014a)","manualFormatting":"Brooks et al., 2003b; Gensini et al., 2014a","plainTextFormattedCitation":"(Brooks et al., 2003b; Gensini et al., 2014a)","previouslyFormattedCitation":"(Brooks et al., 2003b; Gensini et al., 2014a)"},"properties":{"noteIndex":0},"schema":"https://github.com/citation-style-language/schema/raw/master/csl-citation.json"}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2003b; Gensini </w:t>
      </w:r>
      <w:r w:rsidR="00123266" w:rsidRPr="00453357">
        <w:rPr>
          <w:i/>
          <w:iCs/>
          <w:noProof/>
        </w:rPr>
        <w:t>et al.</w:t>
      </w:r>
      <w:r w:rsidR="00123266" w:rsidRPr="00123266">
        <w:rPr>
          <w:noProof/>
        </w:rPr>
        <w:t>, 2014a</w:t>
      </w:r>
      <w:r w:rsidRPr="004F469F">
        <w:fldChar w:fldCharType="end"/>
      </w:r>
      <w:r w:rsidRPr="004F469F">
        <w:t xml:space="preserve">). The selection of the variables included in these equation was determined through a global sensitivity analysis using SimLab software </w:t>
      </w:r>
      <w:r w:rsidRPr="004F469F">
        <w:fldChar w:fldCharType="begin" w:fldLock="1"/>
      </w:r>
      <w:r w:rsidR="0010658B">
        <w:instrText>ADDIN CSL_CITATION {"citationItems":[{"id":"ITEM-1","itemData":{"author":[{"dropping-particle":"","family":"Giglioli","given":"N","non-dropping-particle":"","parse-names":false,"suffix":""},{"dropping-particle":"","family":"Saltelli","given":"A","non-dropping-particle":"","parse-names":false,"suffix":""}],"container-title":"Ispra, Italy: Institute for Systems Informatics and Safety (Joint Research Centre, European Commission)","id":"ITEM-1","issued":{"date-parts":[["2008"]]},"title":"Simlab 2.2 Reference Manual","type":"article-journal"},"uris":["http://www.mendeley.com/documents/?uuid=14e075f0-4aa5-42c9-bbf8-f455ed75a2fb"]}],"mendeley":{"formattedCitation":"(Giglioli and Saltelli, 2008)","plainTextFormattedCitation":"(Giglioli and Saltelli, 2008)","previouslyFormattedCitation":"(Giglioli and Saltelli, 2008)"},"properties":{"noteIndex":0},"schema":"https://github.com/citation-style-language/schema/raw/master/csl-citation.json"}</w:instrText>
      </w:r>
      <w:r w:rsidRPr="004F469F">
        <w:fldChar w:fldCharType="separate"/>
      </w:r>
      <w:r w:rsidR="0010658B" w:rsidRPr="0010658B">
        <w:rPr>
          <w:noProof/>
        </w:rPr>
        <w:t>(Giglioli and Saltelli, 2008)</w:t>
      </w:r>
      <w:r w:rsidRPr="004F469F">
        <w:fldChar w:fldCharType="end"/>
      </w:r>
      <w:r w:rsidRPr="004F469F">
        <w:t xml:space="preserve">. The study showcases the model’s utility through 1,000-year simulations over select metropolitan areas as well as comparisons between modeled and observed tornado impacts on several high-impact tornado days. </w:t>
      </w:r>
      <w:r w:rsidR="004B13A0" w:rsidRPr="004F469F">
        <w:t xml:space="preserve">This chapter was </w:t>
      </w:r>
      <w:r w:rsidR="004B13A0">
        <w:t xml:space="preserve">co-authored by myself, Dr. Jennifer Koch and Dr. Harold Brooks and </w:t>
      </w:r>
      <w:r w:rsidRPr="004F469F">
        <w:t xml:space="preserve">has been submitted to the journal </w:t>
      </w:r>
      <w:r w:rsidRPr="004F469F">
        <w:rPr>
          <w:i/>
          <w:iCs/>
        </w:rPr>
        <w:t>Meteorological Applications</w:t>
      </w:r>
      <w:r w:rsidRPr="004F469F">
        <w:t xml:space="preserve"> and is currently accepted with major revisions.</w:t>
      </w:r>
    </w:p>
    <w:p w14:paraId="43CEABB0" w14:textId="3C7F8E41" w:rsidR="00797351" w:rsidRPr="004F469F" w:rsidRDefault="00797351" w:rsidP="00AA740D">
      <w:pPr>
        <w:snapToGrid w:val="0"/>
        <w:spacing w:after="120" w:line="480" w:lineRule="auto"/>
        <w:ind w:firstLine="720"/>
      </w:pPr>
      <w:r w:rsidRPr="004F469F">
        <w:t xml:space="preserve">Chapter 4 is a simulation study of the isolated and combined effects of climate change and urban development on tornado impacts in the Oklahoma City metropolitan area using TorDIS. It is unclear how climate change will influence tornado risk across the U. S.; however, </w:t>
      </w:r>
      <w:r w:rsidRPr="004F469F">
        <w:lastRenderedPageBreak/>
        <w:t xml:space="preserve">studies indicate an increase in the number of days favorable for the development of severe weather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Climatology","id":"ITEM-3","issue":"5","issued":{"date-parts":[["2014"]]},"page":"1699-1705","title":"Future convective environments using NARCCAP","type":"article-journal","volume":"34"},"uris":["http://www.mendeley.com/documents/?uuid=bcd3292d-bda8-4322-96cd-a32ad75b2206"]}],"mendeley":{"formattedCitation":"(Trapp et al., 2007; Diffenbaugh et al., 2013; Gensini et al., 2014b)","plainTextFormattedCitation":"(Trapp et al., 2007; Diffenbaugh et al., 2013; Gensini et al., 2014b)","previouslyFormattedCitation":"(Trapp et al., 2007; Diffenbaugh et al., 2013;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2013; Gensini </w:t>
      </w:r>
      <w:r w:rsidR="00123266" w:rsidRPr="00453357">
        <w:rPr>
          <w:i/>
          <w:iCs/>
          <w:noProof/>
        </w:rPr>
        <w:t>et al.</w:t>
      </w:r>
      <w:r w:rsidR="00123266" w:rsidRPr="00123266">
        <w:rPr>
          <w:noProof/>
        </w:rPr>
        <w:t>, 2014b)</w:t>
      </w:r>
      <w:r w:rsidRPr="004F469F">
        <w:fldChar w:fldCharType="end"/>
      </w:r>
      <w:r w:rsidRPr="004F469F">
        <w:t xml:space="preserve">. At the same time, urban areas are expected to continue to expand </w:t>
      </w:r>
      <w:r w:rsidRPr="004F469F">
        <w:fldChar w:fldCharType="begin" w:fldLock="1"/>
      </w:r>
      <w:r w:rsidR="00123266">
        <w:instrText>ADDIN CSL_CITATION {"citationItems":[{"id":"ITEM-1","itemData":{"author":[{"dropping-particle":"","family":"Seto","given":"Karen C","non-dropping-particle":"","parse-names":false,"suffix":""},{"dropping-particle":"","family":"Fragkias","given":"Michail","non-dropping-particle":"","parse-names":false,"suffix":""},{"dropping-particle":"","family":"Güneralp","given":"Burak","non-dropping-particle":"","parse-names":false,"suffix":""},{"dropping-particle":"","family":"Reilly","given":"Michael K","non-dropping-particle":"","parse-names":false,"suffix":""}],"container-title":"PloS one","id":"ITEM-1","issue":"8","issued":{"date-parts":[["2011"]]},"page":"e23777","publisher":"Public Library of Science","title":"A meta-analysis of global urban land expansion","type":"article-journal","volume":"6"},"uris":["http://www.mendeley.com/documents/?uuid=dcd9f1f0-561a-4572-9217-19239a5f5c43"]},{"id":"ITEM-2","itemData":{"DOI":"10.1007/s10584-017-1905-4","author":[{"dropping-particle":"","family":"Strader","given":"Stephen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Change","id":"ITEM-2","issue":"2","issued":{"date-parts":[["2017"]]},"page":"301-313","publisher":"Springer","title":"Projected 21st century changes in tornado exposure, risk, and disaster potential","type":"article-journal","volume":"141"},"uris":["http://www.mendeley.com/documents/?uuid=f875dd0e-da5d-4186-8536-d8e3921d37a0"]}],"mendeley":{"formattedCitation":"(Seto et al., 2011; Strader et al., 2017a)","plainTextFormattedCitation":"(Seto et al., 2011; Strader et al., 2017a)","previouslyFormattedCitation":"(Seto et al., 2011; Strader et al., 2017a)"},"properties":{"noteIndex":0},"schema":"https://github.com/citation-style-language/schema/raw/master/csl-citation.json"}</w:instrText>
      </w:r>
      <w:r w:rsidRPr="004F469F">
        <w:fldChar w:fldCharType="separate"/>
      </w:r>
      <w:r w:rsidR="00123266" w:rsidRPr="00123266">
        <w:rPr>
          <w:noProof/>
        </w:rPr>
        <w:t xml:space="preserve">(Seto </w:t>
      </w:r>
      <w:r w:rsidR="00123266" w:rsidRPr="00453357">
        <w:rPr>
          <w:i/>
          <w:iCs/>
          <w:noProof/>
        </w:rPr>
        <w:t>et al.</w:t>
      </w:r>
      <w:r w:rsidR="00123266" w:rsidRPr="00123266">
        <w:rPr>
          <w:noProof/>
        </w:rPr>
        <w:t xml:space="preserve">, 2011; Strader </w:t>
      </w:r>
      <w:r w:rsidR="00123266" w:rsidRPr="00453357">
        <w:rPr>
          <w:i/>
          <w:iCs/>
          <w:noProof/>
        </w:rPr>
        <w:t>et al.</w:t>
      </w:r>
      <w:r w:rsidR="00123266" w:rsidRPr="00123266">
        <w:rPr>
          <w:noProof/>
        </w:rPr>
        <w:t>, 2017a)</w:t>
      </w:r>
      <w:r w:rsidRPr="004F469F">
        <w:fldChar w:fldCharType="end"/>
      </w:r>
      <w:r w:rsidRPr="004F469F">
        <w:t xml:space="preserve"> with the urban population of the U. S. expected to exceed 89% by 2050 </w:t>
      </w:r>
      <w:r w:rsidRPr="004F469F">
        <w:fldChar w:fldCharType="begin" w:fldLock="1"/>
      </w:r>
      <w:r w:rsidRPr="004F469F">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prospects","type":"article"},"uris":["http://www.mendeley.com/documents/?uuid=05745bf1-955f-4014-b410-06d6d4abe6d0"]}],"mendeley":{"formattedCitation":"(United Nations, 2018)","plainTextFormattedCitation":"(United Nations, 2018)","previouslyFormattedCitation":"(United Nations, 2018)"},"properties":{"noteIndex":0},"schema":"https://github.com/citation-style-language/schema/raw/master/csl-citation.json"}</w:instrText>
      </w:r>
      <w:r w:rsidRPr="004F469F">
        <w:fldChar w:fldCharType="separate"/>
      </w:r>
      <w:r w:rsidRPr="004F469F">
        <w:rPr>
          <w:noProof/>
        </w:rPr>
        <w:t>(United Nations, 2018)</w:t>
      </w:r>
      <w:r w:rsidRPr="004F469F">
        <w:fldChar w:fldCharType="end"/>
      </w:r>
      <w:r w:rsidRPr="004F469F">
        <w:t xml:space="preserve">. Oklahoma City, the state capitol and largest city in Oklahoma </w:t>
      </w:r>
      <w:r w:rsidRPr="004F469F">
        <w:fldChar w:fldCharType="begin" w:fldLock="1"/>
      </w:r>
      <w:r w:rsidRPr="004F469F">
        <w:instrText>ADDIN CSL_CITATION {"citationItems":[{"id":"ITEM-1","itemData":{"author":[{"dropping-particle":"","family":"U.S. Census Bureau","given":"","non-dropping-particle":"","parse-names":false,"suffix":""}],"id":"ITEM-1","issued":{"date-parts":[["2018"]]},"title":"QuickFacts: Oklahoma City city, Oklahoma","type":"webpage"},"uris":["http://www.mendeley.com/documents/?uuid=6f63ce23-6886-42b1-ba3e-66e5af5a2f1d"]}],"mendeley":{"formattedCitation":"(U.S. Census Bureau, 2018)","plainTextFormattedCitation":"(U.S. Census Bureau, 2018)","previouslyFormattedCitation":"(U.S. Census Bureau, 2018)"},"properties":{"noteIndex":0},"schema":"https://github.com/citation-style-language/schema/raw/master/csl-citation.json"}</w:instrText>
      </w:r>
      <w:r w:rsidRPr="004F469F">
        <w:fldChar w:fldCharType="separate"/>
      </w:r>
      <w:r w:rsidRPr="004F469F">
        <w:rPr>
          <w:noProof/>
        </w:rPr>
        <w:t>(U.S. Census Bureau, 2018)</w:t>
      </w:r>
      <w:r w:rsidRPr="004F469F">
        <w:fldChar w:fldCharType="end"/>
      </w:r>
      <w:r w:rsidRPr="004F469F">
        <w:t>, is an example of a sprawling urban area that is expected to continue to expand into the late 21</w:t>
      </w:r>
      <w:r w:rsidRPr="004F469F">
        <w:rPr>
          <w:vertAlign w:val="superscript"/>
        </w:rPr>
        <w:t>st</w:t>
      </w:r>
      <w:r w:rsidRPr="004F469F">
        <w:t xml:space="preserve"> century </w:t>
      </w:r>
      <w:r w:rsidRPr="004F469F">
        <w:fldChar w:fldCharType="begin" w:fldLock="1"/>
      </w:r>
      <w:r w:rsidRPr="004F469F">
        <w:instrText>ADDIN CSL_CITATION {"citationItems":[{"id":"ITEM-1","itemData":{"author":[{"dropping-particle":"","family":"Barker","given":"Steve","non-dropping-particle":"","parse-names":false,"suffix":""}],"id":"ITEM-1","issued":{"date-parts":[["2012"]]},"title":"2012 Demographic State of the State Report, Oklahoma City","type":"report"},"uris":["http://www.mendeley.com/documents/?uuid=78e215ac-9290-4306-bfef-baa20eac1b26"]}],"mendeley":{"formattedCitation":"(Barker, 2012)","plainTextFormattedCitation":"(Barker, 2012)","previouslyFormattedCitation":"(Barker, 2012)"},"properties":{"noteIndex":0},"schema":"https://github.com/citation-style-language/schema/raw/master/csl-citation.json"}</w:instrText>
      </w:r>
      <w:r w:rsidRPr="004F469F">
        <w:fldChar w:fldCharType="separate"/>
      </w:r>
      <w:r w:rsidRPr="004F469F">
        <w:rPr>
          <w:noProof/>
        </w:rPr>
        <w:t>(Barker, 2012)</w:t>
      </w:r>
      <w:r w:rsidRPr="004F469F">
        <w:fldChar w:fldCharType="end"/>
      </w:r>
      <w:r w:rsidRPr="004F469F">
        <w:t xml:space="preserve">. The Oklahoma City metropolitan area is also in an area of high tornado risk </w:t>
      </w:r>
      <w:r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perspective","type":"article-journal","volume":"67"},"uris":["http://www.mendeley.com/documents/?uuid=42235697-4e43-4cf7-9772-fa9a876de81d"]}],"mendeley":{"formattedCitation":"(Concannon et al., 2000; Doswell et al., 2012)","plainTextFormattedCitation":"(Concannon et al., 2000; Doswell et al., 2012)","previouslyFormattedCitation":"(Concannon et al., 2000; Doswell et al., 2012)"},"properties":{"noteIndex":0},"schema":"https://github.com/citation-style-language/schema/raw/master/csl-citation.json"}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w:t>
      </w:r>
      <w:r w:rsidRPr="004F469F">
        <w:fldChar w:fldCharType="end"/>
      </w:r>
      <w:r w:rsidRPr="004F469F">
        <w:t xml:space="preserve"> having experienced two particularly deadly tornadoes in the last 20 years </w:t>
      </w:r>
      <w:r w:rsidRPr="004F469F">
        <w:fldChar w:fldCharType="begin" w:fldLock="1"/>
      </w:r>
      <w:r w:rsidR="00123266">
        <w:instrText>ADDIN CSL_CITATION {"citationItems":[{"id":"ITEM-1","itemData":{"DOI":"10.1175/1520-0434(2002)017&lt;0354:DITMOC&gt;2.0.CO;2","ISBN":"1520-0434","ISSN":"0882-8156","abstract":"The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Forecasting","id":"ITEM-1","issue":"3","issued":{"date-parts":[["2002"]]},"page":"354-361","title":"Deaths in the 3 May 1999 Oklahoma City Tornado from a Historical Perspective","type":"article-journal","volume":"17"},"uris":["http://www.mendeley.com/documents/?uuid=5eb3ce29-8c0e-406f-9550-7fedc326e547"]},{"id":"ITEM-2","itemData":{"DOI":"10.1175/BAMS-D-14-00033.1","ISSN":"00030007","abstract":"An integrated damage, visual, and radar analysis of the EF5 Moore, Oklahoma, tornado that occurred on 20 May 2013 is presented. Characteristics of the damage path are discussed based on detailed ground and aerial surveys. Tree fall reveals highly convergent surface flow over the majority of the damage path. At times, the convergent flow is observed at radii less than that of the condensation funnel. A photogrammetric analysis of still photos and video shows that the damaging winds extend well beyond the condensation funnel location. The condensation funnel often coincides with the EF1, EF2, and EF3 isopleths. Observations of the tornado debris signature (TDS) by the Twin Lakes (KTLX)–Weather Surveillance Radar-1988 Doppler (WSR-88D) are presented. The TDS is not a good indicator of tornado intensity just after tornadogenesis. The spatial relationship between the TDS, condensation funnel, and damage path is highlighted. An analysis of the area encompassed by the respective EF-scale isopleths is presented to quantify damage risk. The area of successively weaker EF-scale categories exponentially increases. These results are compared to other well-surveyed EF5 tornadoes. A comparison is made between independent ground and aerial surveys that rated 4,039 structures along the entire damage path. The aerial survey produces a low bias in EF0 and EF1 ratings. No apparent bias is observed in the EF2–4 categories. It is not possible to draw definitive conclusions concerning the small number of EF5-rated structures.","author":[{"dropping-particle":"","family":"Atkins","given":"Nolan T.","non-dropping-particle":"","parse-names":false,"suffix":""},{"dropping-particle":"","family":"Butler","given":"Kelly M.","non-dropping-particle":"","parse-names":false,"suffix":""},{"dropping-particle":"","family":"Flynn","given":"Kayla R.","non-dropping-particle":"","parse-names":false,"suffix":""},{"dropping-particle":"","family":"Wakimoto","given":"Roger M.","non-dropping-particle":"","parse-names":false,"suffix":""}],"container-title":"Bulletin of the American Meteorological Society","id":"ITEM-2","issue":"10","issued":{"date-parts":[["2014"]]},"page":"1549-1561","title":"An integrated damage, visual, and radar analysis of the 2013 Moore, Oklahoma, EF5 Tornado","type":"article-journal","volume":"95"},"uris":["http://www.mendeley.com/documents/?uuid=dd9948e0-f705-4a6e-9816-7bd927626c73"]}],"mendeley":{"formattedCitation":"(Brooks and Doswell, 2002; Atkins et al., 2014)","plainTextFormattedCitation":"(Brooks and Doswell, 2002; Atkins et al., 2014)","previouslyFormattedCitation":"(Brooks and Doswell, 2002; Atkins et al., 2014)"},"properties":{"noteIndex":0},"schema":"https://github.com/citation-style-language/schema/raw/master/csl-citation.json"}</w:instrText>
      </w:r>
      <w:r w:rsidRPr="004F469F">
        <w:fldChar w:fldCharType="separate"/>
      </w:r>
      <w:r w:rsidR="0010658B" w:rsidRPr="00123266">
        <w:rPr>
          <w:noProof/>
        </w:rPr>
        <w:t xml:space="preserve">(Brooks and Doswell, 2002; Atkins </w:t>
      </w:r>
      <w:r w:rsidR="0010658B" w:rsidRPr="00453357">
        <w:rPr>
          <w:i/>
          <w:iCs/>
          <w:noProof/>
        </w:rPr>
        <w:t>et al.</w:t>
      </w:r>
      <w:r w:rsidR="0010658B" w:rsidRPr="00123266">
        <w:rPr>
          <w:noProof/>
        </w:rPr>
        <w:t>, 2014)</w:t>
      </w:r>
      <w:r w:rsidRPr="004F469F">
        <w:fldChar w:fldCharType="end"/>
      </w:r>
      <w:r w:rsidRPr="004F469F">
        <w:t xml:space="preserve">. This study uses TorDIS to run four 1,000-year simulations over the three primary counties in the Oklahoma City Metropolitan Area (Canadian, Cleveland and Oklahoma). The four simulations represent the following climate change and urbanization scenarios: (1) no climate change and no urban development (baseline); (2) climate change only, (3) urban development only; and (4) climate change and urban development. The simulations are compared to test how both climate change and urban development can shape future tornado impacts. The effect that county-level differences in land use had on tornado impacts between and within simulations was also assessed. </w:t>
      </w:r>
      <w:r w:rsidR="004B13A0" w:rsidRPr="004F469F">
        <w:t xml:space="preserve">This chapter was </w:t>
      </w:r>
      <w:r w:rsidR="004B13A0">
        <w:t xml:space="preserve">co-authored by myself, Dr. Jennifer Koch, Dr. </w:t>
      </w:r>
      <w:r w:rsidR="004B13A0" w:rsidRPr="00873A67">
        <w:t>Naci Dilekli</w:t>
      </w:r>
      <w:r w:rsidR="004B13A0">
        <w:t xml:space="preserve"> and Dr. Harold Brooks and </w:t>
      </w:r>
      <w:r w:rsidRPr="004F469F">
        <w:t xml:space="preserve">will be submitted to </w:t>
      </w:r>
      <w:r w:rsidRPr="004F469F">
        <w:rPr>
          <w:i/>
          <w:iCs/>
        </w:rPr>
        <w:t>The Southwestern Geographer</w:t>
      </w:r>
      <w:r w:rsidRPr="004F469F">
        <w:t>.</w:t>
      </w:r>
    </w:p>
    <w:p w14:paraId="6A9D56C0" w14:textId="77777777" w:rsidR="00797351" w:rsidRPr="004F469F" w:rsidRDefault="00797351" w:rsidP="00AA740D">
      <w:pPr>
        <w:pStyle w:val="Heading2"/>
        <w:snapToGrid w:val="0"/>
        <w:spacing w:before="0" w:after="120" w:line="480" w:lineRule="auto"/>
        <w:rPr>
          <w:rFonts w:ascii="Times New Roman" w:hAnsi="Times New Roman" w:cs="Times New Roman"/>
          <w:b/>
          <w:bCs/>
          <w:color w:val="auto"/>
          <w:sz w:val="28"/>
          <w:szCs w:val="28"/>
        </w:rPr>
      </w:pPr>
      <w:bookmarkStart w:id="10" w:name="_Toc21861283"/>
      <w:r w:rsidRPr="004F469F">
        <w:rPr>
          <w:rFonts w:ascii="Times New Roman" w:hAnsi="Times New Roman" w:cs="Times New Roman"/>
          <w:b/>
          <w:bCs/>
          <w:color w:val="auto"/>
          <w:sz w:val="28"/>
          <w:szCs w:val="28"/>
        </w:rPr>
        <w:t>Broader Impacts and Intellectual Merit</w:t>
      </w:r>
      <w:bookmarkEnd w:id="10"/>
    </w:p>
    <w:p w14:paraId="3115FF75" w14:textId="023BD27F" w:rsidR="00797351" w:rsidRPr="004F469F" w:rsidRDefault="00797351" w:rsidP="00AA740D">
      <w:pPr>
        <w:snapToGrid w:val="0"/>
        <w:spacing w:after="120" w:line="480" w:lineRule="auto"/>
        <w:ind w:firstLine="720"/>
      </w:pPr>
      <w:r w:rsidRPr="004F469F">
        <w:t xml:space="preserve">This dissertation describes a first attempt to fill a gap in the field of tornado impacts research with an environmentally driven tornado impacts model. The proposed model, TorDIS, is capable of assessing tornado impacts on a daily time step and thus can be used to project tornado impacts on any </w:t>
      </w:r>
      <w:r w:rsidR="00C41DA1">
        <w:t>day with anticipated tornado risk</w:t>
      </w:r>
      <w:r w:rsidRPr="004F469F">
        <w:t xml:space="preserve">. Foreknowledge of the potential </w:t>
      </w:r>
      <w:r w:rsidRPr="004F469F">
        <w:lastRenderedPageBreak/>
        <w:t xml:space="preserve">severity of a high-risk day could allow emergency managers to allocate their resources ahead of time potentially saving lives </w:t>
      </w:r>
      <w:r w:rsidRPr="004F469F">
        <w:fldChar w:fldCharType="begin" w:fldLock="1"/>
      </w:r>
      <w:r w:rsidR="00123266">
        <w:instrText>ADDIN CSL_CITATION {"citationItems":[{"id":"ITEM-1","itemData":{"DOI":"10.1175/BAMS-89-1-87","author":[{"dropping-particle":"","family":"Brooks","given":"Harold E.","non-dropping-particle":"","parse-names":false,"suffix":""},{"dropping-particle":"","family":"Doswell","given":"Charles A. III","non-dropping-particle":"","parse-names":false,"suffix":""},{"dropping-particle":"","family":"Sutter","given":"Daniel","non-dropping-particle":"","parse-names":false,"suffix":""}],"container-title":"Bulletin of the American Meteorological Society","id":"ITEM-1","issue":"1","issued":{"date-parts":[["2008"]]},"page":"87-90","title":"Low-level winds in tornadoes and potential catastrophic tornado impacts in urban areas","type":"article-journal","volume":"89"},"uris":["http://www.mendeley.com/documents/?uuid=604e5ef0-847e-4cbf-ba9c-24bf7f03c4ff"]}],"mendeley":{"formattedCitation":"(Brooks et al., 2008)","plainTextFormattedCitation":"(Brooks et al., 2008)","previouslyFormattedCitation":"(Brooks et al., 2008)"},"properties":{"noteIndex":0},"schema":"https://github.com/citation-style-language/schema/raw/master/csl-citation.json"}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2008)</w:t>
      </w:r>
      <w:r w:rsidRPr="004F469F">
        <w:fldChar w:fldCharType="end"/>
      </w:r>
      <w:r w:rsidRPr="004F469F">
        <w:t xml:space="preserve">. Tornado impact models, such as TorDIS, can be used by city planners to assess how changes in land use will affect potential tornado exposure and vulnerability </w:t>
      </w:r>
      <w:r w:rsidRPr="004F469F">
        <w:fldChar w:fldCharType="begin" w:fldLock="1"/>
      </w:r>
      <w:r w:rsidR="00123266">
        <w:instrText>ADDIN CSL_CITATION {"citationItems":[{"id":"ITEM-1","itemData":{"author":[{"dropping-particle":"","family":"Stone","given":"Brian","non-dropping-particle":"","parse-names":false,"suffix":""},{"dropping-particle":"","family":"Hess","given":"Jeremy J","non-dropping-particle":"","parse-names":false,"suffix":""},{"dropping-particle":"","family":"Frumkin","given":"Howard","non-dropping-particle":"","parse-names":false,"suffix":""}],"container-title":"Environmental health perspectives","id":"ITEM-1","issue":"10","issued":{"date-parts":[["2010"]]},"page":"1425-1428","publisher":"National Institute of Environmental Health Sciences","title":"Urban form and extreme heat events: are sprawling cities more vulnerable to climate change than compact cities?","type":"article-journal","volume":"118"},"uris":["http://www.mendeley.com/documents/?uuid=961126c7-689e-414b-bc1e-d45398cf5eea"]},{"id":"ITEM-2","itemData":{"DOI":"10.1016/j.apgeog.2018.03.005","ISSN":"01436228","abstract":"This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Geography","id":"ITEM-2","issue":"March 2017","issued":{"date-parts":[["2018"]]},"page":"18-29","publisher":"Elsevier Ltd","title":"How land use alters the tornado disaster landscape","type":"article-journal","volume":"94"},"uris":["http://www.mendeley.com/documents/?uuid=d9748686-b846-458c-a837-e1e5ffc60746"]},{"id":"ITEM-3","itemData":{"author":[{"dropping-particle":"","family":"Ashley","given":"Walker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Society","id":"ITEM-3","issue":"2","issued":{"date-parts":[["2014"]]},"page":"175-193","title":"Spatiotemporal changes in tornado hazard exposure: The case of the expanding bull's-eye effect in Chicago, illinois","type":"article-journal","volume":"6"},"uris":["http://www.mendeley.com/documents/?uuid=0e441156-498a-43d6-9545-e97b6fa0d5df"]}],"mendeley":{"formattedCitation":"(Stone et al., 2010; Ashley et al., 2014; Strader et al., 2018)","plainTextFormattedCitation":"(Stone et al., 2010; Ashley et al., 2014; Strader et al., 2018)","previouslyFormattedCitation":"(Stone et al., 2010; Ashley et al., 2014; Strader et al., 2018)"},"properties":{"noteIndex":0},"schema":"https://github.com/citation-style-language/schema/raw/master/csl-citation.json"}</w:instrText>
      </w:r>
      <w:r w:rsidRPr="004F469F">
        <w:fldChar w:fldCharType="separate"/>
      </w:r>
      <w:r w:rsidR="00123266" w:rsidRPr="00123266">
        <w:rPr>
          <w:noProof/>
        </w:rPr>
        <w:t xml:space="preserve">(Stone </w:t>
      </w:r>
      <w:r w:rsidR="00123266" w:rsidRPr="00453357">
        <w:rPr>
          <w:i/>
          <w:iCs/>
          <w:noProof/>
        </w:rPr>
        <w:t>et al.</w:t>
      </w:r>
      <w:r w:rsidR="00123266" w:rsidRPr="00123266">
        <w:rPr>
          <w:noProof/>
        </w:rPr>
        <w:t xml:space="preserve">, 2010; Ashley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2018)</w:t>
      </w:r>
      <w:r w:rsidRPr="004F469F">
        <w:fldChar w:fldCharType="end"/>
      </w:r>
      <w:r w:rsidRPr="004F469F">
        <w:t xml:space="preserve">. This knowledge can help justify changes to a city’s land-use plan to reduce tornado risk or justify the addition of public storm shelters in potential high-risk/high-impact areas </w:t>
      </w:r>
      <w:r w:rsidRPr="004F469F">
        <w:fldChar w:fldCharType="begin" w:fldLock="1"/>
      </w:r>
      <w:r w:rsidR="00123266">
        <w:instrText>ADDIN CSL_CITATION {"citationItems":[{"id":"ITEM-1","itemData":{"DOI":"10.1111/1467-7717.00132","author":[{"dropping-particle":"","family":"Balluz","given":"Lina","non-dropping-particle":"","parse-names":false,"suffix":""},{"dropping-particle":"","family":"Schieve","given":"Laura","non-dropping-particle":"","parse-names":false,"suffix":""},{"dropping-particle":"","family":"Holmes","given":"Talmage","non-dropping-particle":"","parse-names":false,"suffix":""},{"dropping-particle":"","family":"Malilay","given":"Josephine","non-dropping-particle":"","parse-names":false,"suffix":""}],"container-title":"Disasters","id":"ITEM-1","issue":"March 1997","issued":{"date-parts":[["2000"]]},"page":"71-77","title":"Predictors for People' s Response to a Tornado Warning : Arkansas , 1 March 1997","type":"article-journal","volume":"24"},"uris":["http://www.mendeley.com/documents/?uuid=de1516b0-cd53-4b01-82ab-2e1f14f29b45"]},{"id":"ITEM-2","itemData":{"author":[{"dropping-particle":"","family":"Liu","given":"Simin","non-dropping-particle":"","parse-names":false,"suffix":""},{"dropping-particle":"","family":"Quenemoen","given":"Lynn E","non-dropping-particle":"","parse-names":false,"suffix":""},{"dropping-particle":"","family":"Malilay","given":"Josephine","non-dropping-particle":"","parse-names":false,"suffix":""},{"dropping-particle":"","family":"Noji","given":"Eric","non-dropping-particle":"","parse-names":false,"suffix":""},{"dropping-particle":"","family":"Sinks","given":"Thomas","non-dropping-particle":"","parse-names":false,"suffix":""},{"dropping-particle":"","family":"Mendlein","given":"James","non-dropping-particle":"","parse-names":false,"suffix":""}],"container-title":"American journal of public health","id":"ITEM-2","issue":"1","issued":{"date-parts":[["1996"]]},"page":"87-89","publisher":"American Public Health Association","title":"Assessment of a severe-weather warning system and disaster preparedness, Calhoun County, Alabama, 1994.","type":"article-journal","volume":"86"},"uris":["http://www.mendeley.com/documents/?uuid=3a582e39-e5e0-4d15-aed1-8cbd98cb832f"]}],"mendeley":{"formattedCitation":"(Liu et al., 1996; Balluz et al., 2000)","plainTextFormattedCitation":"(Liu et al., 1996; Balluz et al., 2000)","previouslyFormattedCitation":"(Liu et al., 1996; Balluz et al., 2000)"},"properties":{"noteIndex":0},"schema":"https://github.com/citation-style-language/schema/raw/master/csl-citation.json"}</w:instrText>
      </w:r>
      <w:r w:rsidRPr="004F469F">
        <w:fldChar w:fldCharType="separate"/>
      </w:r>
      <w:r w:rsidR="0010658B" w:rsidRPr="00123266">
        <w:rPr>
          <w:noProof/>
        </w:rPr>
        <w:t xml:space="preserve">(Liu </w:t>
      </w:r>
      <w:r w:rsidR="0010658B" w:rsidRPr="00453357">
        <w:rPr>
          <w:i/>
          <w:iCs/>
          <w:noProof/>
        </w:rPr>
        <w:t>et al.</w:t>
      </w:r>
      <w:r w:rsidR="0010658B" w:rsidRPr="00123266">
        <w:rPr>
          <w:noProof/>
        </w:rPr>
        <w:t xml:space="preserve">, 1996; Balluz </w:t>
      </w:r>
      <w:r w:rsidR="0010658B" w:rsidRPr="00453357">
        <w:rPr>
          <w:i/>
          <w:iCs/>
          <w:noProof/>
        </w:rPr>
        <w:t>et al.</w:t>
      </w:r>
      <w:r w:rsidR="0010658B" w:rsidRPr="00123266">
        <w:rPr>
          <w:noProof/>
        </w:rPr>
        <w:t>, 2000)</w:t>
      </w:r>
      <w:r w:rsidRPr="004F469F">
        <w:fldChar w:fldCharType="end"/>
      </w:r>
      <w:r w:rsidRPr="004F469F">
        <w:t xml:space="preserve">. The use of atmospheric environmental data also allows for the testing of how climate change may influence tornado risk through a potential changes in the number of tornado favorable days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forcing","type":"article-journal"},"uris":["http://www.mendeley.com/documents/?uuid=c9745462-d91f-4c64-b242-b426b7f04f12"]}],"mendeley":{"formattedCitation":"(Trapp et al., 2007; Diffenbaugh et al., 2013)","plainTextFormattedCitation":"(Trapp et al., 2007; Diffenbaugh et al., 2013)","previouslyFormattedCitation":"(Trapp et al., 2007; Diffenbaugh et al., 2013)"},"properties":{"noteIndex":0},"schema":"https://github.com/citation-style-language/schema/raw/master/csl-citation.json"}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2013)</w:t>
      </w:r>
      <w:r w:rsidRPr="004F469F">
        <w:fldChar w:fldCharType="end"/>
      </w:r>
      <w:r w:rsidRPr="004F469F">
        <w:t xml:space="preserve">, the number of tornadoes occurring on favorable days </w:t>
      </w:r>
      <w:r w:rsidRPr="004F469F">
        <w:fldChar w:fldCharType="begin" w:fldLock="1"/>
      </w:r>
      <w:r w:rsidR="00123266">
        <w:instrText>ADDIN CSL_CITATION {"citationItems":[{"id":"ITEM-1","itemData":{"author":[{"dropping-particle":"","family":"Elsner","given":"J B","non-dropping-particle":"","parse-names":false,"suffix":""},{"dropping-particle":"","family":"Jagger","given":"T H","non-dropping-particle":"","parse-names":false,"suffix":""},{"dropping-particle":"","family":"Widen","given":"H M","non-dropping-particle":"","parse-names":false,"suffix":""},{"dropping-particle":"","family":"Chavas","given":"D R","non-dropping-particle":"","parse-names":false,"suffix":""}],"container-title":"Environmental Research Letters","id":"ITEM-1","issue":"2","issued":{"date-parts":[["2014"]]},"page":"24018","publisher":"IOP Publishing","title":"Daily tornado frequency distributions in the United States","type":"article-journal","volume":"9"},"uris":["http://www.mendeley.com/documents/?uuid=afac0a05-ef42-498e-a8a1-fec17a6e7639"]},{"id":"ITEM-2","itemData":{"DOI":"10.1126/science.1257460","ISBN":"0027-8424","ISSN":"0036-8075","PMID":"24062439","abstract":"The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T.","non-dropping-particle":"","parse-names":false,"suffix":""}],"container-title":"Science","id":"ITEM-2","issue":"6207","issued":{"date-parts":[["2014"]]},"page":"349-352","title":"Increased variability of tornado occurrence in the United States","type":"article-journal","volume":"346"},"uris":["http://www.mendeley.com/documents/?uuid=8864379a-9c12-4249-abb6-42120421d27f"]}],"mendeley":{"formattedCitation":"(Brooks et al., 2014; Elsner et al., 2014)","plainTextFormattedCitation":"(Brooks et al., 2014; Elsner et al., 2014)","previouslyFormattedCitation":"(Brooks et al., 2014; Elsner et al., 2014)"},"properties":{"noteIndex":0},"schema":"https://github.com/citation-style-language/schema/raw/master/csl-citation.json"}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2014)</w:t>
      </w:r>
      <w:r w:rsidRPr="004F469F">
        <w:fldChar w:fldCharType="end"/>
      </w:r>
      <w:r w:rsidRPr="004F469F">
        <w:t xml:space="preserve">, and the interannual variability in tornado occurrence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potential","type":"article-journal","volume":"141"},"uris":["http://www.mendeley.com/documents/?uuid=f875dd0e-da5d-4186-8536-d8e3921d37a0"]}],"mendeley":{"formattedCitation":"(Strader et al., 2017a)","plainTextFormattedCitation":"(Strader et al., 2017a)","previouslyFormattedCitation":"(Strader et al., 2017a)"},"properties":{"noteIndex":0},"schema":"https://github.com/citation-style-language/schema/raw/master/csl-citation.json"}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2017a)</w:t>
      </w:r>
      <w:r w:rsidRPr="004F469F">
        <w:fldChar w:fldCharType="end"/>
      </w:r>
      <w:r w:rsidRPr="004F469F">
        <w:t>.</w:t>
      </w:r>
    </w:p>
    <w:p w14:paraId="67C8C6A8" w14:textId="1C7A0548" w:rsidR="00C86E9F" w:rsidRPr="004F469F" w:rsidRDefault="00C86E9F" w:rsidP="00587EAE">
      <w:pPr>
        <w:spacing w:after="120" w:line="480" w:lineRule="auto"/>
      </w:pPr>
    </w:p>
    <w:p w14:paraId="1029645D" w14:textId="1EFC0905" w:rsidR="00C86E9F" w:rsidRPr="004F469F" w:rsidRDefault="00C86E9F" w:rsidP="00587EAE">
      <w:pPr>
        <w:spacing w:after="120" w:line="480" w:lineRule="auto"/>
      </w:pPr>
    </w:p>
    <w:p w14:paraId="45F2D85D" w14:textId="10632F92" w:rsidR="00C86E9F" w:rsidRPr="004F469F" w:rsidRDefault="00C86E9F" w:rsidP="00587EAE">
      <w:pPr>
        <w:spacing w:after="120" w:line="480" w:lineRule="auto"/>
      </w:pPr>
    </w:p>
    <w:p w14:paraId="4824A7F7" w14:textId="414C83D9" w:rsidR="00C86E9F" w:rsidRPr="004F469F" w:rsidRDefault="00C86E9F" w:rsidP="00587EAE">
      <w:pPr>
        <w:spacing w:after="120" w:line="480" w:lineRule="auto"/>
      </w:pPr>
    </w:p>
    <w:p w14:paraId="2F6B02DC" w14:textId="37598265" w:rsidR="00C86E9F" w:rsidRPr="004F469F" w:rsidRDefault="00C86E9F" w:rsidP="00587EAE">
      <w:pPr>
        <w:spacing w:after="120" w:line="480" w:lineRule="auto"/>
      </w:pPr>
    </w:p>
    <w:p w14:paraId="4C2070CA" w14:textId="444870BD" w:rsidR="00AA740D" w:rsidRDefault="00AA740D" w:rsidP="00587EAE">
      <w:pPr>
        <w:spacing w:after="120" w:line="480" w:lineRule="auto"/>
        <w:rPr>
          <w:b/>
          <w:bCs/>
        </w:rPr>
      </w:pPr>
    </w:p>
    <w:p w14:paraId="2A19D1DC" w14:textId="3B94BE89" w:rsidR="00F26DDF" w:rsidRDefault="00F26DDF" w:rsidP="00587EAE">
      <w:pPr>
        <w:spacing w:after="120" w:line="480" w:lineRule="auto"/>
        <w:rPr>
          <w:b/>
          <w:bCs/>
        </w:rPr>
      </w:pPr>
    </w:p>
    <w:p w14:paraId="545E70E6" w14:textId="0B81FACB" w:rsidR="00F26DDF" w:rsidRDefault="00F26DDF" w:rsidP="00587EAE">
      <w:pPr>
        <w:spacing w:after="120" w:line="480" w:lineRule="auto"/>
        <w:rPr>
          <w:b/>
          <w:bCs/>
        </w:rPr>
      </w:pPr>
    </w:p>
    <w:p w14:paraId="147EFAD1" w14:textId="77777777" w:rsidR="00F26DDF" w:rsidRPr="004F469F" w:rsidRDefault="00F26DDF" w:rsidP="00587EAE">
      <w:pPr>
        <w:spacing w:after="120" w:line="480" w:lineRule="auto"/>
        <w:rPr>
          <w:b/>
          <w:bCs/>
        </w:rPr>
      </w:pPr>
    </w:p>
    <w:p w14:paraId="0D839F13" w14:textId="0F505A24" w:rsidR="008F1B78" w:rsidRPr="004F469F" w:rsidRDefault="00E5297C" w:rsidP="004F469F">
      <w:pPr>
        <w:pStyle w:val="Heading1"/>
        <w:spacing w:before="0" w:after="120"/>
        <w:rPr>
          <w:rFonts w:ascii="Times New Roman" w:hAnsi="Times New Roman" w:cs="Times New Roman"/>
          <w:b/>
          <w:bCs/>
          <w:color w:val="auto"/>
        </w:rPr>
      </w:pPr>
      <w:bookmarkStart w:id="11" w:name="_Ref20152695"/>
      <w:bookmarkStart w:id="12" w:name="_Toc21861284"/>
      <w:r w:rsidRPr="004F469F">
        <w:rPr>
          <w:rFonts w:ascii="Times New Roman" w:hAnsi="Times New Roman" w:cs="Times New Roman"/>
          <w:b/>
          <w:bCs/>
          <w:color w:val="auto"/>
        </w:rPr>
        <w:lastRenderedPageBreak/>
        <w:t xml:space="preserve">Spatiotemporal Analysis </w:t>
      </w:r>
      <w:r>
        <w:rPr>
          <w:rFonts w:ascii="Times New Roman" w:hAnsi="Times New Roman" w:cs="Times New Roman"/>
          <w:b/>
          <w:bCs/>
          <w:color w:val="auto"/>
        </w:rPr>
        <w:t>o</w:t>
      </w:r>
      <w:r w:rsidRPr="004F469F">
        <w:rPr>
          <w:rFonts w:ascii="Times New Roman" w:hAnsi="Times New Roman" w:cs="Times New Roman"/>
          <w:b/>
          <w:bCs/>
          <w:color w:val="auto"/>
        </w:rPr>
        <w:t xml:space="preserve">f Near-Miss Violent Tornadoes </w:t>
      </w:r>
      <w:r>
        <w:rPr>
          <w:rFonts w:ascii="Times New Roman" w:hAnsi="Times New Roman" w:cs="Times New Roman"/>
          <w:b/>
          <w:bCs/>
          <w:color w:val="auto"/>
        </w:rPr>
        <w:t>i</w:t>
      </w:r>
      <w:r w:rsidRPr="004F469F">
        <w:rPr>
          <w:rFonts w:ascii="Times New Roman" w:hAnsi="Times New Roman" w:cs="Times New Roman"/>
          <w:b/>
          <w:bCs/>
          <w:color w:val="auto"/>
        </w:rPr>
        <w:t xml:space="preserve">n </w:t>
      </w:r>
      <w:r>
        <w:rPr>
          <w:rFonts w:ascii="Times New Roman" w:hAnsi="Times New Roman" w:cs="Times New Roman"/>
          <w:b/>
          <w:bCs/>
          <w:color w:val="auto"/>
        </w:rPr>
        <w:t>t</w:t>
      </w:r>
      <w:r w:rsidRPr="004F469F">
        <w:rPr>
          <w:rFonts w:ascii="Times New Roman" w:hAnsi="Times New Roman" w:cs="Times New Roman"/>
          <w:b/>
          <w:bCs/>
          <w:color w:val="auto"/>
        </w:rPr>
        <w:t>he United States</w:t>
      </w:r>
      <w:bookmarkEnd w:id="11"/>
      <w:bookmarkEnd w:id="12"/>
    </w:p>
    <w:p w14:paraId="37FE2BF9" w14:textId="77777777" w:rsidR="004F469F" w:rsidRPr="004F469F" w:rsidRDefault="004F469F" w:rsidP="004F469F">
      <w:pPr>
        <w:rPr>
          <w:sz w:val="32"/>
          <w:szCs w:val="32"/>
        </w:rPr>
      </w:pPr>
    </w:p>
    <w:p w14:paraId="49018B5C" w14:textId="72E5A0EB" w:rsidR="008F1B78" w:rsidRPr="004F469F" w:rsidRDefault="008F1B78" w:rsidP="00587EAE">
      <w:pPr>
        <w:spacing w:after="120" w:line="480" w:lineRule="auto"/>
        <w:rPr>
          <w:b/>
          <w:bCs/>
          <w:sz w:val="28"/>
          <w:szCs w:val="28"/>
        </w:rPr>
      </w:pPr>
      <w:r w:rsidRPr="004F469F">
        <w:rPr>
          <w:b/>
          <w:bCs/>
          <w:sz w:val="28"/>
          <w:szCs w:val="28"/>
        </w:rPr>
        <w:t>A</w:t>
      </w:r>
      <w:r w:rsidR="00CD717F" w:rsidRPr="004F469F">
        <w:rPr>
          <w:b/>
          <w:bCs/>
          <w:sz w:val="28"/>
          <w:szCs w:val="28"/>
        </w:rPr>
        <w:t>bstract</w:t>
      </w:r>
    </w:p>
    <w:p w14:paraId="47F074B6" w14:textId="2DC0A1DD" w:rsidR="008F1B78" w:rsidRPr="004F469F" w:rsidRDefault="00C86E9F" w:rsidP="00435B08">
      <w:pPr>
        <w:spacing w:after="120" w:line="480" w:lineRule="auto"/>
        <w:ind w:firstLine="720"/>
      </w:pPr>
      <w:r w:rsidRPr="004F469F">
        <w:t>In the hazards literature, a near-miss is defined as an event which had a nontrivial probability of causing loss of life or property but did not due to chance. Frequent near-misses can desensitize the public to tornado risk and reduce responses to warnings. Violent tornadoes rarely hit densely populated areas, but when they do they can cause substantial loss of life. It is unknown how frequently violent tornadoes narrowly miss a populated area. To address this question, this study looks at the spatial distribution of possible exposures of people to violent tornadoes in the US. We collected and replicated tornado footprints for all reported US violent tornadoes between 1995 and 2016, across a uniform circular grid, with a radius of 40 km and a resolution of 0.5 km, surrounding the centroid of the original footprint. We then estimated the number of people exposed to each tornado footprint using proportional allocation. We found that violent tornadoes tended to touch down in less populated areas with only 33.1% potentially impacting 5,000 persons or more. Hits and near-misses were most common in the Southern Plains and Southeastern US with the highest risk in central Oklahoma and northern Alabama.  Knowledge about the location of frequent near-misses can help emergency managers and risk communicators target communities that might be more vulnerable, due to an underestimation of tornado risk, for educational campaigns. By increasing educational efforts in these high-risk areas, it might be possible to improve local knowledge and reduce casualties when violent tornadoes do hit.</w:t>
      </w:r>
    </w:p>
    <w:p w14:paraId="6709F707" w14:textId="1F7E389A" w:rsidR="008F1B78" w:rsidRPr="004F469F" w:rsidRDefault="008F1B78" w:rsidP="00435B08">
      <w:pPr>
        <w:pStyle w:val="Heading2"/>
        <w:spacing w:before="0" w:after="120" w:line="480" w:lineRule="auto"/>
        <w:rPr>
          <w:rFonts w:ascii="Times New Roman" w:hAnsi="Times New Roman" w:cs="Times New Roman"/>
          <w:b/>
          <w:bCs/>
          <w:color w:val="auto"/>
          <w:sz w:val="28"/>
          <w:szCs w:val="28"/>
        </w:rPr>
      </w:pPr>
      <w:bookmarkStart w:id="13" w:name="_Toc21861285"/>
      <w:r w:rsidRPr="004F469F">
        <w:rPr>
          <w:rFonts w:ascii="Times New Roman" w:hAnsi="Times New Roman" w:cs="Times New Roman"/>
          <w:b/>
          <w:bCs/>
          <w:color w:val="auto"/>
          <w:sz w:val="28"/>
          <w:szCs w:val="28"/>
        </w:rPr>
        <w:lastRenderedPageBreak/>
        <w:t>Introduction</w:t>
      </w:r>
      <w:bookmarkEnd w:id="13"/>
    </w:p>
    <w:p w14:paraId="0456B8B0" w14:textId="7B1D0DAA" w:rsidR="008F1B78" w:rsidRPr="004F469F" w:rsidRDefault="008F1B78" w:rsidP="00435B08">
      <w:pPr>
        <w:spacing w:after="120" w:line="480" w:lineRule="auto"/>
        <w:ind w:firstLine="720"/>
      </w:pPr>
      <w:r w:rsidRPr="004F469F">
        <w:t xml:space="preserve">Tornadoes are one of the most destructive forces on Earth and present a substantial threat to both life and property. Each year approximately 1,200 tornadoes are reported in the United States and while the majority (~98.0%) cause no fatalities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a single tornado can result in a large number of fatalities (</w:t>
      </w:r>
      <w:r w:rsidRPr="004F469F">
        <w:rPr>
          <w:i/>
          <w:iCs/>
        </w:rPr>
        <w:t>e.g.</w:t>
      </w:r>
      <w:r w:rsidRPr="004F469F">
        <w:t>, Joplin, Missouri on 22 May 2011</w:t>
      </w:r>
      <w:r w:rsidR="004018A9">
        <w:t>;</w:t>
      </w:r>
      <w:r w:rsidRPr="004F469F">
        <w:t xml:space="preserve"> </w:t>
      </w:r>
      <w:r w:rsidRPr="004F469F">
        <w:fldChar w:fldCharType="begin" w:fldLock="1"/>
      </w:r>
      <w:r w:rsidR="004018A9">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tornado","type":"article-journal","volume":"64"},"uris":["http://www.mendeley.com/documents/?uuid=20b4b09b-7791-4d88-b2dd-b2d4d2b6540d"]}],"mendeley":{"formattedCitation":"(Paul and Stimers, 2012)","manualFormatting":"Paul and Stimers, 2012)","plainTextFormattedCitation":"(Paul and Stimers, 2012)","previouslyFormattedCitation":"(Paul and Stimers, 2012)"},"properties":{"noteIndex":0},"schema":"https://github.com/citation-style-language/schema/raw/master/csl-citation.json"}</w:instrText>
      </w:r>
      <w:r w:rsidRPr="004F469F">
        <w:fldChar w:fldCharType="separate"/>
      </w:r>
      <w:r w:rsidR="0010658B" w:rsidRPr="0010658B">
        <w:rPr>
          <w:noProof/>
        </w:rPr>
        <w:t>Paul and Stimers, 2012)</w:t>
      </w:r>
      <w:r w:rsidRPr="004F469F">
        <w:fldChar w:fldCharType="end"/>
      </w:r>
      <w:r w:rsidRPr="004F469F">
        <w:t xml:space="preserve">. High-fatality tornadoes (hereafter any tornado causing 100 or more fatalities) are extremely rare with only 14 occurring since 1880 </w:t>
      </w:r>
      <w:r w:rsidRPr="004F469F">
        <w:fldChar w:fldCharType="begin" w:fldLock="1"/>
      </w:r>
      <w:r w:rsidR="00C31A1B" w:rsidRPr="004F469F">
        <w:instrText>ADDIN CSL_CITATION {"citationItems":[{"id":"ITEM-1","itemData":{"ISBN":"1879362031","author":[{"dropping-particle":"","family":"Grazulis","given":"Thomas P.","non-dropping-particle":"","parse-names":false,"suffix":""}],"id":"ITEM-1","issued":{"date-parts":[["1993"]]},"number-of-pages":"1326","publisher":"Enviromental Films","title":"Significant Tornadoes: 1680-1991","type":"book"},"uris":["http://www.mendeley.com/documents/?uuid=38eac11f-29c5-48cb-8964-889060b73087"]},{"id":"ITEM-2","itemData":{"ISBN":"187936204X","author":[{"dropping-particle":"","family":"Grazulis","given":"Thomas P.","non-dropping-particle":"","parse-names":false,"suffix":""}],"id":"ITEM-2","issued":{"date-parts":[["1997"]]},"number-of-pages":"118","publisher":"Environmental Films","title":"Significant Tornadoes (Update): 1992-1995","type":"book"},"uris":["http://www.mendeley.com/documents/?uuid=df4baf2d-949a-47b7-a427-d4d2d13ea34d"]}],"mendeley":{"formattedCitation":"(Grazulis, 1993, 1997)","plainTextFormattedCitation":"(Grazulis, 1993, 1997)","previouslyFormattedCitation":"(Grazulis, 1993, 1997)"},"properties":{"noteIndex":0},"schema":"https://github.com/citation-style-language/schema/raw/master/csl-citation.json"}</w:instrText>
      </w:r>
      <w:r w:rsidRPr="004F469F">
        <w:fldChar w:fldCharType="separate"/>
      </w:r>
      <w:r w:rsidR="00C31A1B" w:rsidRPr="004F469F">
        <w:rPr>
          <w:noProof/>
        </w:rPr>
        <w:t>(Grazulis, 1993, 1997)</w:t>
      </w:r>
      <w:r w:rsidRPr="004F469F">
        <w:fldChar w:fldCharType="end"/>
      </w:r>
      <w:r w:rsidRPr="004F469F">
        <w:t xml:space="preserve">, and of those only three occurring after the advent of the first tornado forecasts in 1948 </w:t>
      </w:r>
      <w:r w:rsidRPr="004F469F">
        <w:fldChar w:fldCharType="begin" w:fldLock="1"/>
      </w:r>
      <w:r w:rsidR="00123266">
        <w:instrText>ADDIN CSL_CITATION {"citationItems":[{"id":"ITEM-1","itemData":{"DOI":"10.1175/1520-0434(1999)014&lt;0544:SSAPAS&gt;2.0.CO;2","ISBN":"1520-0434","ISSN":"0882-8156","abstract":"Abstract The history of storm spotting and public awareness of the tornado threat is reviewed. It is shown that a downward trend in fatalities apparently began after the famous ?Tri-State? tornado of 1925. Storm spotting?s history begins in World War II as an effort to protect the nation?s military installations, but became a public service with the resumption of public tornado forecasting, pioneered in 1948 by the Air Force?s Fawbush and Miller and begun in the public sector in 1952. The current spotter program, known generally as SKYWARN, is a civilian-based volunteer organization. Responsibility for spotter training has rested with the national forecasting services (originally, the Weather Bureau and now the National Weather Service). That training has evolved with (a) the proliferation of widespread film and (recently) video footage of severe storms; (b) growth in the scientific knowledge about tornadoes and tornadic storms, as well as a better understanding of how tornadoes produce damage; and (c) the inception and growth of scientific and hobbyist storm chasing. The concept of an integrated warning system is presented in detail, and considered in light of past and present accomplishments and what needs to be done in the future to maintain the downward trend in fatalities. As the integrated warning system has evolved over its history, it has become clear that volunteer spotters and the public forecasting services need to be closely tied. Further, public information dissemination is a major factor in an integrated warning service; warnings and forecasts that do not reach the users and produce appropriate responses are not very valuable, even if they are accurate and timely. The history of the integration has been somewhat checkered, but compelling evidence of the overall efficacy of the watch?warning program can be found in the maintenance of the downward trend in annual fatalities that began in 1925.","author":[{"dropping-particle":"","family":"Doswell","given":"Charles A. III","non-dropping-particle":"","parse-names":false,"suffix":""},{"dropping-particle":"","family":"Moller","given":"Alan R.","non-dropping-particle":"","parse-names":false,"suffix":""},{"dropping-particle":"","family":"Brooks","given":"Harold E.","non-dropping-particle":"","parse-names":false,"suffix":""}],"container-title":"Weather and Forecasting","id":"ITEM-1","issue":"4","issued":{"date-parts":[["1999"]]},"page":"544-557","title":"Storm Spotting and Public Awareness since the First Tornado Forecasts of 1948","type":"article-journal","volume":"14"},"uris":["http://www.mendeley.com/documents/?uuid=2e1bc37d-bb88-4df0-91e8-35001dcd6493"]}],"mendeley":{"formattedCitation":"(Doswell et al., 1999)","plainTextFormattedCitation":"(Doswell et al., 1999)","previouslyFormattedCitation":"(Doswell et al., 1999)"},"properties":{"noteIndex":0},"schema":"https://github.com/citation-style-language/schema/raw/master/csl-citation.json"}</w:instrText>
      </w:r>
      <w:r w:rsidRPr="004F469F">
        <w:fldChar w:fldCharType="separate"/>
      </w:r>
      <w:r w:rsidR="00123266" w:rsidRPr="00123266">
        <w:rPr>
          <w:noProof/>
        </w:rPr>
        <w:t xml:space="preserve">(Doswell </w:t>
      </w:r>
      <w:r w:rsidR="00123266" w:rsidRPr="00453357">
        <w:rPr>
          <w:i/>
          <w:iCs/>
          <w:noProof/>
        </w:rPr>
        <w:t>et al.</w:t>
      </w:r>
      <w:r w:rsidR="00123266" w:rsidRPr="00123266">
        <w:rPr>
          <w:noProof/>
        </w:rPr>
        <w:t>, 1999)</w:t>
      </w:r>
      <w:r w:rsidRPr="004F469F">
        <w:fldChar w:fldCharType="end"/>
      </w:r>
      <w:r w:rsidRPr="004F469F">
        <w:t xml:space="preserve">. While major improvements in tornado detection and warning dissemination systems, building technology, and general public awareness have dramatically reduced the likelihood of the occurrence of a high-fatality tornado, the 2011 tornado season proved that they can and still do occur </w:t>
      </w:r>
      <w:r w:rsidR="000A3398" w:rsidRPr="004F469F">
        <w:fldChar w:fldCharType="begin" w:fldLock="1"/>
      </w:r>
      <w:r w:rsidR="0010658B">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tornado","type":"article-journal","volume":"64"},"uris":["http://www.mendeley.com/documents/?uuid=20b4b09b-7791-4d88-b2dd-b2d4d2b6540d"]},{"id":"ITEM-2","itemData":{"DOI":"10.1175/BAMS-D-11-00126.1","ISSN":"00030007","abstract":"The 27 April 2011 tornado outbreak across the southern United States set a record for the most tornadoes in a 24-h period and was the second deadliest in U.S. history. Less than a month later, the Joplin, Missouri, tornado added another record: the most fatalities from a single storm since official records began being kept. Numerous commentators have asked how such a death toll could occur today, given all of the available communications technologies and extensive knowledge of atmospheric conditions leading to the formation of tornadoes. Both the Joplin tornado and the 27 April outbreak were well anticipated and warned; the Storm Prediction Center's convective outlook for 27 April included an area of high risk centered over northern Alabama, where the deadliest tornadoes occurred, and all of the deaths occurred within tornado watches. Similarly, the Joplin tornado had watches covering the area and a tornado warning of more than 20 minutes...","author":[{"dropping-particle":"","family":"Simmons","given":"Kevin M.","non-dropping-particle":"","parse-names":false,"suffix":""},{"dropping-particle":"","family":"Sutter","given":"Daniel","non-dropping-particle":"","parse-names":false,"suffix":""}],"container-title":"Bulletin of the American Meteorological Society","id":"ITEM-2","issue":"7","issued":{"date-parts":[["2012"]]},"page":"959-961","publisher":"American Meteorological Society","title":"The 2011 tornadoes and the future of tornado research","type":"article-journal","volume":"93"},"uris":["http://www.mendeley.com/documents/?uuid=bcf9cd43-a6d4-44d2-a10b-3b563ecd84b5"]}],"mendeley":{"formattedCitation":"(Paul and Stimers, 2012; Simmons and Sutter, 2012)","plainTextFormattedCitation":"(Paul and Stimers, 2012; Simmons and Sutter, 2012)","previouslyFormattedCitation":"(Paul and Stimers, 2012; Simmons and Sutter, 2012)"},"properties":{"noteIndex":0},"schema":"https://github.com/citation-style-language/schema/raw/master/csl-citation.json"}</w:instrText>
      </w:r>
      <w:r w:rsidR="000A3398" w:rsidRPr="004F469F">
        <w:fldChar w:fldCharType="separate"/>
      </w:r>
      <w:r w:rsidR="0010658B" w:rsidRPr="0010658B">
        <w:rPr>
          <w:noProof/>
        </w:rPr>
        <w:t>(Paul and Stimers, 2012; Simmons and Sutter, 2012)</w:t>
      </w:r>
      <w:r w:rsidR="000A3398" w:rsidRPr="004F469F">
        <w:fldChar w:fldCharType="end"/>
      </w:r>
      <w:r w:rsidR="000A3398" w:rsidRPr="004F469F">
        <w:t>.</w:t>
      </w:r>
    </w:p>
    <w:p w14:paraId="0DF7F60E" w14:textId="5617F929" w:rsidR="008F1B78" w:rsidRPr="004F469F" w:rsidRDefault="008F1B78" w:rsidP="00435B08">
      <w:pPr>
        <w:spacing w:after="120" w:line="480" w:lineRule="auto"/>
        <w:ind w:firstLine="720"/>
      </w:pPr>
      <w:r w:rsidRPr="004F469F">
        <w:t xml:space="preserve">High-fatality tornadoes tend to occur when a violent tornado (rated [E]F4 or higher on the [Enhanced] Fujita Scale) hits a densely populated area, but this is a rare occurrence given that between 1995 and 2016 there were, on average, only seven violent tornadoes per year </w:t>
      </w:r>
      <w:r w:rsidR="000A3398" w:rsidRPr="004F469F">
        <w:fldChar w:fldCharType="begin" w:fldLock="1"/>
      </w:r>
      <w:r w:rsidR="000A3398"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000A3398" w:rsidRPr="004F469F">
        <w:fldChar w:fldCharType="separate"/>
      </w:r>
      <w:r w:rsidR="000A3398" w:rsidRPr="004F469F">
        <w:rPr>
          <w:noProof/>
        </w:rPr>
        <w:t>(SPC, 2017)</w:t>
      </w:r>
      <w:r w:rsidR="000A3398" w:rsidRPr="004F469F">
        <w:fldChar w:fldCharType="end"/>
      </w:r>
      <w:r w:rsidRPr="004F469F">
        <w:t xml:space="preserve">, and densely populated areas are relatively small targets </w:t>
      </w:r>
      <w:r w:rsidR="000A3398" w:rsidRPr="004F469F">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0A3398" w:rsidRPr="004F469F">
        <w:fldChar w:fldCharType="separate"/>
      </w:r>
      <w:r w:rsidR="0010658B" w:rsidRPr="0010658B">
        <w:rPr>
          <w:noProof/>
        </w:rPr>
        <w:t>(Ashley and Strader, 2016)</w:t>
      </w:r>
      <w:r w:rsidR="000A3398" w:rsidRPr="004F469F">
        <w:fldChar w:fldCharType="end"/>
      </w:r>
      <w:r w:rsidRPr="004F469F">
        <w:t xml:space="preserve">. Many studies have investigated these "worst-case scenarios," where violent tornadoes track through the central business district or urban core of a major city by transposing historical </w:t>
      </w:r>
      <w:r w:rsidR="000A3398" w:rsidRPr="004F469F">
        <w:fldChar w:fldCharType="begin" w:fldLock="1"/>
      </w:r>
      <w:r w:rsidR="00123266">
        <w:instrText>ADDIN CSL_CITATION {"citationItems":[{"id":"ITEM-1","itemData":{"author":[{"dropping-particle":"","family":"Rae","given":"Scott","non-dropping-particle":"","parse-names":false,"suffix":""},{"dropping-particle":"","family":"Stefkovich","given":"Jim","non-dropping-particle":"","parse-names":false,"suffix":""}],"container-title":"Extended Abstracts, 20th Conf. on Severe Local Storms","id":"ITEM-1","issued":{"date-parts":[["2000"]]},"publisher":"Amer. Meteor. Soc","publisher-place":"Orlando, FL","title":"The tornado damage risk assessment predicting the impact of a big outbreak in Dallas-Fort Worth, Texas","type":"article-journal","volume":"9.6"},"uris":["http://www.mendeley.com/documents/?uuid=07ecb52e-9663-42ec-9c57-e744cff78446"]},{"id":"ITEM-2","itemData":{"DOI":"10.1061/͑ASCE͒1527-6988͑2008͒9:4͑209͒","abstract":"A sprawling U.S. population continues to spread into the fringes of urban development placing both populations and property in areas that were once largely unoccupied. Population tallies, housing unit totals, and housing values for 1990 and 2000 are examined to determine the extent to which this growth has affected the tornado hazard in northeastern Illinois. The growing town of Plainfield, Ill., located southwest of Chicago, is examined to determine how vulnerability to a tornado impact has changed in the town since an F5 tornado stuck the community in 1990. The population and housing data indicate an increase of 8,629 persons and 3,058 housing units affected if the tornado were to have occurred in 2000 rather than 1990. Estimations of housing value affected by the Plainfield tornado indicate a 50% increase in 2000 compared with 1990 values. In addition to studying the impacts on Plainfield, four other scenarios are examined in suburban Chicago counties using the 1990 Plainfield tornado as a model for a potentially devastating strike. The large increase in total value of homes affected for each scenario highlights the overall increase in wealth throughout the study area, specifically along the urban fringe of development. The physical vulnerability throughout the study area has increased with the rise in population, but the most socially vulnerable areas appear to remain in the older urban centers.","author":[{"dropping-particle":"","family":"Hall","given":"Soren G.","non-dropping-particle":"","parse-names":false,"suffix":""},{"dropping-particle":"","family":"Ashley","given":"Walker S.","non-dropping-particle":"","parse-names":false,"suffix":""}],"container-title":"Natural Hazards Review","id":"ITEM-2","issue":"4","issued":{"date-parts":[["2008"]]},"page":"209-219","title":"Effects of Urban Sprawl on the Vulnerability to a Significant Tornado Impact in Northeastern Illinois","type":"article-journal","volume":"9"},"uris":["http://www.mendeley.com/documents/?uuid=86db408c-9005-3f20-aa36-5946917beeb8"]},{"id":"ITEM-3","itemData":{"author":[{"dropping-particle":"","family":"Ashley","given":"Walker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Society","id":"ITEM-3","issue":"2","issued":{"date-parts":[["2014"]]},"page":"175-193","title":"Spatiotemporal changes in tornado hazard exposure: The case of the expanding bull's-eye effect in Chicago, illinois","type":"article-journal","volume":"6"},"uris":["http://www.mendeley.com/documents/?uuid=0e441156-498a-43d6-9545-e97b6fa0d5df"]}],"mendeley":{"formattedCitation":"(Rae and Stefkovich, 2000; Hall and Ashley, 2008; Ashley et al., 2014)","plainTextFormattedCitation":"(Rae and Stefkovich, 2000; Hall and Ashley, 2008; Ashley et al., 2014)","previouslyFormattedCitation":"(Rae and Stefkovich, 2000; Hall and Ashley, 2008; Ashley et al., 2014)"},"properties":{"noteIndex":0},"schema":"https://github.com/citation-style-language/schema/raw/master/csl-citation.json"}</w:instrText>
      </w:r>
      <w:r w:rsidR="000A3398" w:rsidRPr="004F469F">
        <w:fldChar w:fldCharType="separate"/>
      </w:r>
      <w:r w:rsidR="0010658B" w:rsidRPr="00123266">
        <w:rPr>
          <w:noProof/>
        </w:rPr>
        <w:t xml:space="preserve">(Rae and Stefkovich, 2000; Hall and Ashley, 2008; Ashley </w:t>
      </w:r>
      <w:r w:rsidR="0010658B" w:rsidRPr="00453357">
        <w:rPr>
          <w:i/>
          <w:iCs/>
          <w:noProof/>
        </w:rPr>
        <w:t>et al.</w:t>
      </w:r>
      <w:r w:rsidR="0010658B" w:rsidRPr="00123266">
        <w:rPr>
          <w:noProof/>
        </w:rPr>
        <w:t>, 2014)</w:t>
      </w:r>
      <w:r w:rsidR="000A3398" w:rsidRPr="004F469F">
        <w:fldChar w:fldCharType="end"/>
      </w:r>
      <w:r w:rsidRPr="004F469F">
        <w:t xml:space="preserve"> or synthetic </w:t>
      </w:r>
      <w:r w:rsidR="000A3398"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areas","type":"article-journal","volume":"88"},"uris":["http://www.mendeley.com/documents/?uuid=6b61d9bd-055f-4858-8645-03943c0892b6"]},{"id":"ITEM-2","itemData":{"author":[{"dropping-particle":"","family":"Ashley","given":"Walker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illinois","type":"article-journal","volume":"6"},"uris":["http://www.mendeley.com/documents/?uuid=0e441156-498a-43d6-9545-e97b6fa0d5df"]}],"mendeley":{"formattedCitation":"(Wurman et al., 2007; Ashley et al., 2014)","plainTextFormattedCitation":"(Wurman et al., 2007; Ashley et al., 2014)","previouslyFormattedCitation":"(Wurman et al., 2007; Ashley et al., 2014)"},"properties":{"noteIndex":0},"schema":"https://github.com/citation-style-language/schema/raw/master/csl-citation.json"}</w:instrText>
      </w:r>
      <w:r w:rsidR="000A3398"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2014)</w:t>
      </w:r>
      <w:r w:rsidR="000A3398" w:rsidRPr="004F469F">
        <w:fldChar w:fldCharType="end"/>
      </w:r>
      <w:r w:rsidRPr="004F469F">
        <w:t xml:space="preserve"> tornado footprints over urban areas. Some studies have focused on specific external influences on these impacts including urban growth and expansion </w:t>
      </w:r>
      <w:r w:rsidR="000A3398"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0A3398"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0A3398" w:rsidRPr="004F469F">
        <w:fldChar w:fldCharType="end"/>
      </w:r>
      <w:r w:rsidRPr="004F469F">
        <w:t xml:space="preserve">, and daily mobility patterns </w:t>
      </w:r>
      <w:r w:rsidR="000A3398" w:rsidRPr="004F469F">
        <w:fldChar w:fldCharType="begin" w:fldLock="1"/>
      </w:r>
      <w:r w:rsidR="000A3398" w:rsidRPr="004F469F">
        <w:instrText>ADDIN CSL_CITATION {"citationItems":[{"id":"ITEM-1","itemData":{"author":[{"dropping-particle":"","family":"Paulikas","given":"Marius J.","non-dropping-particle":"","parse-names":false,"suffix":""}],"id":"ITEM-1","issued":{"date-parts":[["2015"]]},"number-of-pages":"221","publisher":"Kent State University","title":"Potential tornado vulnerability variance over a 24-hour cycle for an urban metropolitan region","type":"thesis"},"uris":["http://www.mendeley.com/documents/?uuid=338340a5-aeb4-46ca-bbc2-46b9d9081baa"]}],"mendeley":{"formattedCitation":"(Paulikas, 2015)","plainTextFormattedCitation":"(Paulikas, 2015)","previouslyFormattedCitation":"(Paulikas, 2015)"},"properties":{"noteIndex":0},"schema":"https://github.com/citation-style-language/schema/raw/master/csl-citation.json"}</w:instrText>
      </w:r>
      <w:r w:rsidR="000A3398" w:rsidRPr="004F469F">
        <w:fldChar w:fldCharType="separate"/>
      </w:r>
      <w:r w:rsidR="000A3398" w:rsidRPr="004F469F">
        <w:rPr>
          <w:noProof/>
        </w:rPr>
        <w:t>(Paulikas, 2015)</w:t>
      </w:r>
      <w:r w:rsidR="000A3398" w:rsidRPr="004F469F">
        <w:fldChar w:fldCharType="end"/>
      </w:r>
      <w:r w:rsidRPr="004F469F">
        <w:t>. While tornadoes have hit major cities in the past (</w:t>
      </w:r>
      <w:r w:rsidRPr="004F469F">
        <w:rPr>
          <w:i/>
          <w:iCs/>
        </w:rPr>
        <w:t>e.g.</w:t>
      </w:r>
      <w:r w:rsidRPr="004F469F">
        <w:t>, St. Louis, Missouri; Waco, Texas; Nashville, Tennessee</w:t>
      </w:r>
      <w:r w:rsidR="004018A9">
        <w:t>;</w:t>
      </w:r>
      <w:r w:rsidRPr="004F469F">
        <w:t xml:space="preserve"> </w:t>
      </w:r>
      <w:r w:rsidR="000A3398" w:rsidRPr="004F469F">
        <w:fldChar w:fldCharType="begin" w:fldLock="1"/>
      </w:r>
      <w:r w:rsidR="004018A9">
        <w:instrText>ADDIN CSL_CITATION {"citationItems":[{"id":"ITEM-1","itemData":{"DOI":"10.1080/00431672.1981.9931955 To","author":[{"dropping-particle":"","family":"Galway","given":"Joseph G.","non-dropping-particle":"","parse-names":false,"suffix":""}],"container-title":"Weatherwise","id":"ITEM-1","issue":"3","issued":{"date-parts":[["1981"]]},"page":"100-109","title":"Ten famous tornado outbreaks","type":"article-journal","volume":"34"},"uris":["http://www.mendeley.com/documents/?uuid=4d4b20c6-ab32-4998-85e0-5ad61a1dce3b"]},{"id":"ITEM-2","itemData":{"ISBN":"1879362031","author":[{"dropping-particle":"","family":"Grazulis","given":"Thomas P.","non-dropping-particle":"","parse-names":false,"suffix":""}],"id":"ITEM-2","issued":{"date-parts":[["1993"]]},"number-of-pages":"1326","publisher":"Enviromental Films","title":"Significant Tornadoes: 1680-1991","type":"book"},"uris":["http://www.mendeley.com/documents/?uuid=38eac11f-29c5-48cb-8964-889060b73087"]},{"id":"ITEM-3","itemData":{"author":[{"dropping-particle":"","family":"Edwards","given":"R","non-dropping-particle":"","parse-names":false,"suffix":""},{"dropping-particle":"","family":"Schaefer","given":"J","non-dropping-particle":"","parse-names":false,"suffix":""}],"container-title":"Accessed through NOAA on","id":"ITEM-3","issued":{"date-parts":[["2012"]]},"title":"Downtown tornadoes","type":"article-journal","volume":"13"},"uris":["http://www.mendeley.com/documents/?uuid=093396a4-217c-406d-9f9e-0aba06adff39"]}],"mendeley":{"formattedCitation":"(Galway, 1981; Grazulis, 1993; Edwards and Schaefer, 2012)","manualFormatting":"Galway, 1981; Grazulis, 1993; Edwards and Schaefer, 2012)","plainTextFormattedCitation":"(Galway, 1981; Grazulis, 1993; Edwards and Schaefer, 2012)","previouslyFormattedCitation":"(Galway, 1981; Grazulis, 1993; Edwards and Schaefer, 2012)"},"properties":{"noteIndex":0},"schema":"https://github.com/citation-style-language/schema/raw/master/csl-citation.json"}</w:instrText>
      </w:r>
      <w:r w:rsidR="000A3398" w:rsidRPr="004F469F">
        <w:fldChar w:fldCharType="separate"/>
      </w:r>
      <w:r w:rsidR="0010658B" w:rsidRPr="0010658B">
        <w:rPr>
          <w:noProof/>
        </w:rPr>
        <w:t xml:space="preserve">Galway, 1981; Grazulis, 1993; </w:t>
      </w:r>
      <w:r w:rsidR="0010658B" w:rsidRPr="0010658B">
        <w:rPr>
          <w:noProof/>
        </w:rPr>
        <w:lastRenderedPageBreak/>
        <w:t>Edwards and Schaefer, 2012)</w:t>
      </w:r>
      <w:r w:rsidR="000A3398" w:rsidRPr="004F469F">
        <w:fldChar w:fldCharType="end"/>
      </w:r>
      <w:r w:rsidRPr="004F469F">
        <w:t xml:space="preserve">, the odds of a </w:t>
      </w:r>
      <w:r w:rsidR="00F12D5E">
        <w:t xml:space="preserve">rare, </w:t>
      </w:r>
      <w:r w:rsidRPr="004F469F">
        <w:t>violent tornado hitting the urban core of a major city are minimal</w:t>
      </w:r>
      <w:r w:rsidR="00F12D5E">
        <w:t xml:space="preserve"> (due to its relatively small surface area)</w:t>
      </w:r>
      <w:r w:rsidRPr="004F469F">
        <w:t xml:space="preserve"> and, thus, "worst-case scenario" events are extremely unlikely to occur </w:t>
      </w:r>
      <w:r w:rsidR="000A3398" w:rsidRPr="004F469F">
        <w:fldChar w:fldCharType="begin" w:fldLock="1"/>
      </w:r>
      <w:r w:rsidR="00123266">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perspective","type":"article-journal","volume":"67"},"uris":["http://www.mendeley.com/documents/?uuid=42235697-4e43-4cf7-9772-fa9a876de81d"]}],"mendeley":{"formattedCitation":"(Doswell et al., 2012)","plainTextFormattedCitation":"(Doswell et al., 2012)","previouslyFormattedCitation":"(Doswell et al., 2012)"},"properties":{"noteIndex":0},"schema":"https://github.com/citation-style-language/schema/raw/master/csl-citation.json"}</w:instrText>
      </w:r>
      <w:r w:rsidR="000A3398" w:rsidRPr="004F469F">
        <w:fldChar w:fldCharType="separate"/>
      </w:r>
      <w:r w:rsidR="00123266" w:rsidRPr="00123266">
        <w:rPr>
          <w:noProof/>
        </w:rPr>
        <w:t xml:space="preserve">(Doswell </w:t>
      </w:r>
      <w:r w:rsidR="00123266" w:rsidRPr="00453357">
        <w:rPr>
          <w:i/>
          <w:iCs/>
          <w:noProof/>
        </w:rPr>
        <w:t>et al.</w:t>
      </w:r>
      <w:r w:rsidR="00123266" w:rsidRPr="00123266">
        <w:rPr>
          <w:noProof/>
        </w:rPr>
        <w:t>, 2012)</w:t>
      </w:r>
      <w:r w:rsidR="000A3398" w:rsidRPr="004F469F">
        <w:fldChar w:fldCharType="end"/>
      </w:r>
      <w:r w:rsidR="000A3398" w:rsidRPr="004F469F">
        <w:t>.</w:t>
      </w:r>
    </w:p>
    <w:p w14:paraId="7CA740D0" w14:textId="148C08AA" w:rsidR="008F1B78" w:rsidRPr="004F469F" w:rsidRDefault="008F1B78" w:rsidP="00435B08">
      <w:pPr>
        <w:spacing w:after="120" w:line="480" w:lineRule="auto"/>
        <w:ind w:firstLine="720"/>
      </w:pPr>
      <w:r w:rsidRPr="004F469F">
        <w:t xml:space="preserve">While direct hits have been historically rare, there appears to be an increase in the potential for high-impact tornadoes with the expansion of the urban environment </w:t>
      </w:r>
      <w:r w:rsidR="000A3398"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landscape","type":"article-journal","volume":"97"},"uris":["http://www.mendeley.com/documents/?uuid=f66d6182-0c44-4efe-84e8-83956e5e4d92"]},{"id":"ITEM-3","itemData":{"DOI":"10.1016/j.apgeog.2018.03.005","ISSN":"01436228","abstract":"This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Geography","id":"ITEM-3","issue":"March 2017","issued":{"date-parts":[["2018"]]},"page":"18-29","publisher":"Elsevier Ltd","title":"How land use alters the tornado disaster landscape","type":"article-journal","volume":"94"},"uris":["http://www.mendeley.com/documents/?uuid=d9748686-b846-458c-a837-e1e5ffc60746"]}],"mendeley":{"formattedCitation":"(Ashley et al., 2014; Ashley and Strader, 2016; Strader et al., 2018)","plainTextFormattedCitation":"(Ashley et al., 2014; Ashley and Strader, 2016; Strader et al., 2018)","previouslyFormattedCitation":"(Ashley et al., 2014; Ashley and Strader, 2016; Strader et al., 2018)"},"properties":{"noteIndex":0},"schema":"https://github.com/citation-style-language/schema/raw/master/csl-citation.json"}</w:instrText>
      </w:r>
      <w:r w:rsidR="000A3398" w:rsidRPr="004F469F">
        <w:fldChar w:fldCharType="separate"/>
      </w:r>
      <w:r w:rsidR="0010658B" w:rsidRPr="00123266">
        <w:rPr>
          <w:noProof/>
        </w:rPr>
        <w:t xml:space="preserve">(Ashley </w:t>
      </w:r>
      <w:r w:rsidR="0010658B" w:rsidRPr="00453357">
        <w:rPr>
          <w:i/>
          <w:iCs/>
          <w:noProof/>
        </w:rPr>
        <w:t>et al.</w:t>
      </w:r>
      <w:r w:rsidR="0010658B" w:rsidRPr="00123266">
        <w:rPr>
          <w:noProof/>
        </w:rPr>
        <w:t xml:space="preserve">, 2014; Ashley and Strader, 2016; Strader </w:t>
      </w:r>
      <w:r w:rsidR="0010658B" w:rsidRPr="00453357">
        <w:rPr>
          <w:i/>
          <w:iCs/>
          <w:noProof/>
        </w:rPr>
        <w:t>et al.</w:t>
      </w:r>
      <w:r w:rsidR="0010658B" w:rsidRPr="00123266">
        <w:rPr>
          <w:noProof/>
        </w:rPr>
        <w:t>, 2018)</w:t>
      </w:r>
      <w:r w:rsidR="000A3398" w:rsidRPr="004F469F">
        <w:fldChar w:fldCharType="end"/>
      </w:r>
      <w:r w:rsidRPr="004F469F">
        <w:t xml:space="preserve">, increased traffic along the interstate </w:t>
      </w:r>
      <w:r w:rsidR="000A3398" w:rsidRPr="004F469F">
        <w:fldChar w:fldCharType="begin" w:fldLock="1"/>
      </w:r>
      <w:r w:rsidR="0010658B">
        <w:instrText>ADDIN CSL_CITATION {"citationItems":[{"id":"ITEM-1","itemData":{"author":[{"dropping-particle":"","family":"Blair","given":"Scott F","non-dropping-particle":"","parse-names":false,"suffix":""},{"dropping-particle":"","family":"Lunde","given":"Elizabeth P K","non-dropping-particle":"","parse-names":false,"suffix":""}],"container-title":"E-Journal of Severe Storms Meteorology","id":"ITEM-1","issue":"4","issued":{"date-parts":[["2010"]]},"title":"Tornadoes impacting interstates: Service and societal considerations","type":"article-journal","volume":"5"},"uris":["http://www.mendeley.com/documents/?uuid=e0f5d93d-617c-4110-9f23-4779211a0fcb"]}],"mendeley":{"formattedCitation":"(Blair and Lunde, 2010)","plainTextFormattedCitation":"(Blair and Lunde, 2010)","previouslyFormattedCitation":"(Blair and Lunde, 2010)"},"properties":{"noteIndex":0},"schema":"https://github.com/citation-style-language/schema/raw/master/csl-citation.json"}</w:instrText>
      </w:r>
      <w:r w:rsidR="000A3398" w:rsidRPr="004F469F">
        <w:fldChar w:fldCharType="separate"/>
      </w:r>
      <w:r w:rsidR="0010658B" w:rsidRPr="0010658B">
        <w:rPr>
          <w:noProof/>
        </w:rPr>
        <w:t>(Blair and Lunde, 2010)</w:t>
      </w:r>
      <w:r w:rsidR="000A3398" w:rsidRPr="004F469F">
        <w:fldChar w:fldCharType="end"/>
      </w:r>
      <w:r w:rsidRPr="004F469F">
        <w:t xml:space="preserve">, and the influence of climate change </w:t>
      </w:r>
      <w:r w:rsidR="000A3398"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Reanalysis","type":"article-journal","volume":"6"},"uris":["http://www.mendeley.com/documents/?uuid=c00b076a-fd2d-4516-ac75-69faf6495920"]},{"id":"ITEM-3","itemData":{"DOI":"10.1002/joc.3769","ISBN":"1097-0088","ISSN":"10970088","abstract":"This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Climatology","id":"ITEM-3","issue":"5","issued":{"date-parts":[["2014"]]},"page":"1699-1705","title":"Future convective environments using NARCCAP","type":"article-journal","volume":"34"},"uris":["http://www.mendeley.com/documents/?uuid=bcd3292d-bda8-4322-96cd-a32ad75b2206"]},{"id":"ITEM-4","itemData":{"DOI":"10.1007/s10584-017-1905-4","author":[{"dropping-particle":"","family":"Strader","given":"Stephen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Change","id":"ITEM-4","issue":"2","issued":{"date-parts":[["2017"]]},"page":"301-313","publisher":"Springer","title":"Projected 21st century changes in tornado exposure, risk, and disaster potential","type":"article-journal","volume":"141"},"uris":["http://www.mendeley.com/documents/?uuid=f875dd0e-da5d-4186-8536-d8e3921d37a0"]},{"id":"ITEM-5","itemData":{"author":[{"dropping-particle":"","family":"Gensini","given":"Victor A.","non-dropping-particle":"","parse-names":false,"suffix":""},{"dropping-particle":"","family":"Mote","given":"Thomas L.","non-dropping-particle":"","parse-names":false,"suffix":""}],"container-title":"Climatic Change","id":"ITEM-5","issue":"1-2","issued":{"date-parts":[["2015"]]},"page":"307-321","publisher":"Springer","title":"Downscaled estimates of late 21st century severe weather from CCSM3","type":"article-journal","volume":"129"},"uris":["http://www.mendeley.com/documents/?uuid=18e2bc25-26e3-4cdd-b884-615f1f068201"]}],"mendeley":{"formattedCitation":"(Trapp et al., 2007; Gensini and Ashley, 2011; Gensini et al., 2014b; Gensini and Mote, 2015; Strader et al., 2017a)","plainTextFormattedCitation":"(Trapp et al., 2007; Gensini and Ashley, 2011; Gensini et al., 2014b; Gensini and Mote, 2015; Strader et al., 2017a)","previouslyFormattedCitation":"(Trapp et al., 2007; Gensini and Ashley, 2011; Gensini et al., 2014b; Gensini and Mote, 2015; Strader et al., 2017a)"},"properties":{"noteIndex":0},"schema":"https://github.com/citation-style-language/schema/raw/master/csl-citation.json"}</w:instrText>
      </w:r>
      <w:r w:rsidR="000A3398"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Gensini and Ashley, 2011; Gensini </w:t>
      </w:r>
      <w:r w:rsidR="00123266" w:rsidRPr="00453357">
        <w:rPr>
          <w:i/>
          <w:iCs/>
          <w:noProof/>
        </w:rPr>
        <w:t>et al.</w:t>
      </w:r>
      <w:r w:rsidR="00123266" w:rsidRPr="00123266">
        <w:rPr>
          <w:noProof/>
        </w:rPr>
        <w:t xml:space="preserve">, 2014b; Gensini and Mote, 2015; Strader </w:t>
      </w:r>
      <w:r w:rsidR="00123266" w:rsidRPr="00453357">
        <w:rPr>
          <w:i/>
          <w:iCs/>
          <w:noProof/>
        </w:rPr>
        <w:t>et al.</w:t>
      </w:r>
      <w:r w:rsidR="00123266" w:rsidRPr="00123266">
        <w:rPr>
          <w:noProof/>
        </w:rPr>
        <w:t>, 2017a)</w:t>
      </w:r>
      <w:r w:rsidR="000A3398" w:rsidRPr="004F469F">
        <w:fldChar w:fldCharType="end"/>
      </w:r>
      <w:r w:rsidR="000A3398" w:rsidRPr="004F469F">
        <w:t>.</w:t>
      </w:r>
      <w:r w:rsidRPr="004F469F">
        <w:t xml:space="preserve"> The exact role that climate change may have on tornado risk (here defined as the probability of the occurrence of a tornado) is unclear. However, there have already been changes in the interannual variability of tornadoes </w:t>
      </w:r>
      <w:r w:rsidR="000A3398" w:rsidRPr="004F469F">
        <w:fldChar w:fldCharType="begin" w:fldLock="1"/>
      </w:r>
      <w:r w:rsidR="00123266">
        <w:instrText>ADDIN CSL_CITATION {"citationItems":[{"id":"ITEM-1","itemData":{"DOI":"10.1126/science.1257460","ISBN":"0027-8424","ISSN":"0036-8075","PMID":"24062439","abstract":"The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T.","non-dropping-particle":"","parse-names":false,"suffix":""}],"container-title":"Science","id":"ITEM-1","issue":"6207","issued":{"date-parts":[["2014"]]},"page":"349-352","title":"Increased variability of tornado occurrence in the United States","type":"article-journal","volume":"346"},"uris":["http://www.mendeley.com/documents/?uuid=8864379a-9c12-4249-abb6-42120421d27f"]},{"id":"ITEM-2","itemData":{"DOI":"10.1007/s00382-014-2277-3","ISBN":"0027-8424","ISSN":"14320894","PMID":"24062439","abstract":"The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environmen","author":[{"dropping-particle":"","family":"Elsner","given":"James B.","non-dropping-particle":"","parse-names":false,"suffix":""},{"dropping-particle":"","family":"Elsner","given":"Svetoslava C.","non-dropping-particle":"","parse-names":false,"suffix":""},{"dropping-particle":"","family":"Jagger","given":"Thomas H.","non-dropping-particle":"","parse-names":false,"suffix":""}],"container-title":"Climate Dynamics","id":"ITEM-2","issue":"3-4","issued":{"date-parts":[["2015"]]},"page":"651-659","publisher":"Springer","title":"The increasing efficiency of tornado days in the United States","type":"article-journal","volume":"45"},"uris":["http://www.mendeley.com/documents/?uuid=3f69e9ce-eaab-4c23-9a16-21daebeb7d3a"]}],"mendeley":{"formattedCitation":"(Brooks et al., 2014; Elsner et al., 2015)","plainTextFormattedCitation":"(Brooks et al., 2014; Elsner et al., 2015)","previouslyFormattedCitation":"(Brooks et al., 2014; Elsner et al., 2015)"},"properties":{"noteIndex":0},"schema":"https://github.com/citation-style-language/schema/raw/master/csl-citation.json"}</w:instrText>
      </w:r>
      <w:r w:rsidR="000A3398"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2015)</w:t>
      </w:r>
      <w:r w:rsidR="000A3398" w:rsidRPr="004F469F">
        <w:fldChar w:fldCharType="end"/>
      </w:r>
      <w:r w:rsidRPr="004F469F">
        <w:t xml:space="preserve"> and many studies have projected that there will be increases in the number of days with environments favorable for tornado development </w:t>
      </w:r>
      <w:r w:rsidR="000A3398"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Reanalysis","type":"article-journal","volume":"6"},"uris":["http://www.mendeley.com/documents/?uuid=c00b076a-fd2d-4516-ac75-69faf6495920"]},{"id":"ITEM-4","itemData":{"DOI":"10.1002/joc.3769","ISBN":"1097-0088","ISSN":"10970088","abstract":"This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Climatology","id":"ITEM-4","issue":"5","issued":{"date-parts":[["2014"]]},"page":"1699-1705","title":"Future convective environments using NARCCAP","type":"article-journal","volume":"34"},"uris":["http://www.mendeley.com/documents/?uuid=dc5272eb-bd85-42a6-8efc-ce143f74e287"]},{"id":"ITEM-5","itemData":{"author":[{"dropping-particle":"","family":"Gensini","given":"Victor A.","non-dropping-particle":"","parse-names":false,"suffix":""},{"dropping-particle":"","family":"Mote","given":"Thomas L.","non-dropping-particle":"","parse-names":false,"suffix":""}],"container-title":"Climatic Change","id":"ITEM-5","issue":"1-2","issued":{"date-parts":[["2015"]]},"page":"307-321","publisher":"Springer","title":"Downscaled estimates of late 21st century severe weather from CCSM3","type":"article-journal","volume":"129"},"uris":["http://www.mendeley.com/documents/?uuid=18e2bc25-26e3-4cdd-b884-615f1f068201"]}],"mendeley":{"formattedCitation":"(Trapp et al., 2007; Diffenbaugh et al., 2008; Gensini and Ashley, 2011; Gensini et al., 2014b; Gensini and Mote, 2015)","plainTextFormattedCitation":"(Trapp et al., 2007; Diffenbaugh et al., 2008; Gensini and Ashley, 2011; Gensini et al., 2014b; Gensini and Mote, 2015)","previouslyFormattedCitation":"(Trapp et al., 2007; Diffenbaugh et al., 2008; Gensini and Ashley, 2011; Gensini et al., 2014b; Gensini and Mote, 2015)"},"properties":{"noteIndex":0},"schema":"https://github.com/citation-style-language/schema/raw/master/csl-citation.json"}</w:instrText>
      </w:r>
      <w:r w:rsidR="000A3398"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2008; Gensini and Ashley, 2011; Gensini </w:t>
      </w:r>
      <w:r w:rsidR="00123266" w:rsidRPr="00453357">
        <w:rPr>
          <w:i/>
          <w:iCs/>
          <w:noProof/>
        </w:rPr>
        <w:t>et al.</w:t>
      </w:r>
      <w:r w:rsidR="00123266" w:rsidRPr="00123266">
        <w:rPr>
          <w:noProof/>
        </w:rPr>
        <w:t>, 2014b; Gensini and Mote, 2015)</w:t>
      </w:r>
      <w:r w:rsidR="000A3398" w:rsidRPr="004F469F">
        <w:fldChar w:fldCharType="end"/>
      </w:r>
      <w:r w:rsidRPr="004F469F">
        <w:t xml:space="preserve"> </w:t>
      </w:r>
      <w:r w:rsidR="003C5299" w:rsidRPr="004F469F">
        <w:t>.</w:t>
      </w:r>
    </w:p>
    <w:p w14:paraId="376E6193" w14:textId="5ED4E3AA" w:rsidR="008F1B78" w:rsidRPr="004F469F" w:rsidRDefault="008F1B78" w:rsidP="00435B08">
      <w:pPr>
        <w:spacing w:after="120" w:line="480" w:lineRule="auto"/>
        <w:ind w:firstLine="720"/>
      </w:pPr>
      <w:r w:rsidRPr="004F469F">
        <w:t xml:space="preserve">True tornado risk includes both direct hits and near-misses. The latter are tornadoes that come close to hitting densely populated areas or potentially tornadic storms that pass over a densely populated area without producing a tornado. The hazards literature defines a near-miss as an event that had some nontrivial probability of causing a disaster, but by chance, it did not </w:t>
      </w:r>
      <w:r w:rsidR="003C5299" w:rsidRPr="004F469F">
        <w:fldChar w:fldCharType="begin" w:fldLock="1"/>
      </w:r>
      <w:r w:rsidR="00123266">
        <w:instrText>ADDIN CSL_CITATION {"citationItems":[{"id":"ITEM-1","itemData":{"DOI":"10.1111/j.1539-6924.2010.01506.x","abstract":"Prior research shows that when people perceive the risk of some hazardous event to be low, they are unlikely to engage in mitigation activities for the potential hazard. We believe one factor that can lower inappropriately (from a normative perspective) people's perception of the risk of a hazard is information about prior near-miss events. A near-miss occurs when an event (such as a hurricane), which had some nontrivial probability of ending in disaster (loss of life, property damage), does not because good fortune intervenes. People appear to mistake such good fortune as an indicator of resiliency. In our first study, people with near-miss information were less likely to purchase flood insurance, and this was shown for both participants from the general population and individuals with specific interests in risk and natural disasters. In our second study, we consider a different mitigation decision, that is, to evacuate from a hurricane, and vary the level of statistical probability of hurricane damage. We still found a strong effect for near-miss information. Our research thus shows how people who have experienced a similar situation but escape damage because of chance will make decisions consistent with a perception that the situation is less risky than those without the past experience. We end by discussing the implications for risk communication.","author":[{"dropping-particle":"","family":"Dillon","given":"Robin L.","non-dropping-particle":"","parse-names":false,"suffix":""},{"dropping-particle":"","family":"Tinsley","given":"Catherine H.","non-dropping-particle":"","parse-names":false,"suffix":""},{"dropping-particle":"","family":"Cronin","given":"Matthew","non-dropping-particle":"","parse-names":false,"suffix":""}],"container-title":"Risk Analysis","id":"ITEM-1","issue":"3","issued":{"date-parts":[["2011"]]},"page":"440-449","title":"Why near-miss events can decrease an individual's protective response to hurricanes","type":"article-journal","volume":"31"},"uris":["http://www.mendeley.com/documents/?uuid=e2928bee-ca9f-4ba0-8e85-d90ec5a2c761"]}],"mendeley":{"formattedCitation":"(Dillon et al., 2011)","plainTextFormattedCitation":"(Dillon et al., 2011)","previouslyFormattedCitation":"(Dillon et al., 2011)"},"properties":{"noteIndex":0},"schema":"https://github.com/citation-style-language/schema/raw/master/csl-citation.json"}</w:instrText>
      </w:r>
      <w:r w:rsidR="003C5299" w:rsidRPr="004F469F">
        <w:fldChar w:fldCharType="separate"/>
      </w:r>
      <w:r w:rsidR="00123266" w:rsidRPr="00123266">
        <w:rPr>
          <w:noProof/>
        </w:rPr>
        <w:t xml:space="preserve">(Dillon </w:t>
      </w:r>
      <w:r w:rsidR="00123266" w:rsidRPr="00453357">
        <w:rPr>
          <w:i/>
          <w:iCs/>
          <w:noProof/>
        </w:rPr>
        <w:t>et al.</w:t>
      </w:r>
      <w:r w:rsidR="00123266" w:rsidRPr="00123266">
        <w:rPr>
          <w:noProof/>
        </w:rPr>
        <w:t>, 2011)</w:t>
      </w:r>
      <w:r w:rsidR="003C5299" w:rsidRPr="004F469F">
        <w:fldChar w:fldCharType="end"/>
      </w:r>
      <w:r w:rsidRPr="004F469F">
        <w:t xml:space="preserve">. Examples would include a tornado that ends just before entering a populated area or a hurricane that suddenly curves away from the coast </w:t>
      </w:r>
      <w:r w:rsidR="003C5299" w:rsidRPr="004F469F">
        <w:fldChar w:fldCharType="begin" w:fldLock="1"/>
      </w:r>
      <w:r w:rsidR="00123266">
        <w:instrText>ADDIN CSL_CITATION {"citationItems":[{"id":"ITEM-1","itemData":{"DOI":"10.1287/mnsc.1120.1517","author":[{"dropping-particle":"","family":"Tinsley","given":"Catherine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Science","id":"ITEM-1","issue":"9","issued":{"date-parts":[["2012"]]},"page":"1596-1613","publisher":"INFORMS","title":"How near-miss events amplify or attenuate risky decision making","type":"article-journal","volume":"58"},"uris":["http://www.mendeley.com/documents/?uuid=01a0883f-6890-4f85-9119-a977e6a984f2"]}],"mendeley":{"formattedCitation":"(Tinsley et al., 2012)","plainTextFormattedCitation":"(Tinsley et al., 2012)","previouslyFormattedCitation":"(Tinsley et al., 2012)"},"properties":{"noteIndex":0},"schema":"https://github.com/citation-style-language/schema/raw/master/csl-citation.json"}</w:instrText>
      </w:r>
      <w:r w:rsidR="003C5299" w:rsidRPr="004F469F">
        <w:fldChar w:fldCharType="separate"/>
      </w:r>
      <w:r w:rsidR="00123266" w:rsidRPr="00123266">
        <w:rPr>
          <w:noProof/>
        </w:rPr>
        <w:t xml:space="preserve">(Tinsley </w:t>
      </w:r>
      <w:r w:rsidR="00123266" w:rsidRPr="00453357">
        <w:rPr>
          <w:i/>
          <w:iCs/>
          <w:noProof/>
        </w:rPr>
        <w:t>et al.</w:t>
      </w:r>
      <w:r w:rsidR="00123266" w:rsidRPr="00123266">
        <w:rPr>
          <w:noProof/>
        </w:rPr>
        <w:t>, 2012)</w:t>
      </w:r>
      <w:r w:rsidR="003C5299" w:rsidRPr="004F469F">
        <w:fldChar w:fldCharType="end"/>
      </w:r>
      <w:r w:rsidRPr="004F469F">
        <w:t xml:space="preserve">. Near-misses are important because they could have caused a disaster and they can influence risk perception and future disaster preparedness </w:t>
      </w:r>
      <w:r w:rsidR="003C5299" w:rsidRPr="004F469F">
        <w:fldChar w:fldCharType="begin" w:fldLock="1"/>
      </w:r>
      <w:r w:rsidR="00123266">
        <w:instrText>ADDIN CSL_CITATION {"citationItems":[{"id":"ITEM-1","itemData":{"DOI":"10.1111/risa.12209","author":[{"dropping-particle":"","family":"Dillon","given":"Robin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Analysis","id":"ITEM-1","issue":"10","issued":{"date-parts":[["2014"]]},"page":"1907-1922","publisher":"Wiley Online Library","title":"Near-misses and future disaster preparedness","type":"article-journal","volume":"34"},"uris":["http://www.mendeley.com/documents/?uuid=d86a4e9b-c93c-4426-be37-751ddab6f780"]}],"mendeley":{"formattedCitation":"(Dillon et al., 2014)","plainTextFormattedCitation":"(Dillon et al., 2014)","previouslyFormattedCitation":"(Dillon et al., 2014)"},"properties":{"noteIndex":0},"schema":"https://github.com/citation-style-language/schema/raw/master/csl-citation.json"}</w:instrText>
      </w:r>
      <w:r w:rsidR="003C5299" w:rsidRPr="004F469F">
        <w:fldChar w:fldCharType="separate"/>
      </w:r>
      <w:r w:rsidR="00123266" w:rsidRPr="00123266">
        <w:rPr>
          <w:noProof/>
        </w:rPr>
        <w:t xml:space="preserve">(Dillon </w:t>
      </w:r>
      <w:r w:rsidR="00123266" w:rsidRPr="00453357">
        <w:rPr>
          <w:i/>
          <w:iCs/>
          <w:noProof/>
        </w:rPr>
        <w:t>et al.</w:t>
      </w:r>
      <w:r w:rsidR="00123266" w:rsidRPr="00123266">
        <w:rPr>
          <w:noProof/>
        </w:rPr>
        <w:t>, 2014)</w:t>
      </w:r>
      <w:r w:rsidR="003C5299" w:rsidRPr="004F469F">
        <w:fldChar w:fldCharType="end"/>
      </w:r>
      <w:r w:rsidR="003C5299" w:rsidRPr="004F469F">
        <w:t>.</w:t>
      </w:r>
    </w:p>
    <w:p w14:paraId="20A2218A" w14:textId="2F075ACD" w:rsidR="008F1B78" w:rsidRPr="004F469F" w:rsidRDefault="008F1B78" w:rsidP="00435B08">
      <w:pPr>
        <w:spacing w:after="120" w:line="480" w:lineRule="auto"/>
        <w:ind w:firstLine="720"/>
      </w:pPr>
      <w:r w:rsidRPr="004F469F">
        <w:lastRenderedPageBreak/>
        <w:t xml:space="preserve">Risk perception is a key component of public safety during a tornado. If a person does not believe themselves to be at risk, they are unlikely to seek shelter if a tornado warning is issued </w:t>
      </w:r>
      <w:r w:rsidR="003C5299" w:rsidRPr="004F469F">
        <w:fldChar w:fldCharType="begin" w:fldLock="1"/>
      </w:r>
      <w:r w:rsidR="0010658B">
        <w:instrText>ADDIN CSL_CITATION {"citationItems":[{"id":"ITEM-1","itemData":{"author":[{"dropping-particle":"","family":"Biddle","given":"Matthew David","non-dropping-particle":"","parse-names":false,"suffix":""}],"id":"ITEM-1","issued":{"date-parts":[["1994"]]},"publisher":"University of Oklahoma","title":"Tornado hazards, coping styles and modernized warning systems","type":"thesis"},"uris":["http://www.mendeley.com/documents/?uuid=86b8c250-8b38-47d0-8826-6cdd273046d7"]},{"id":"ITEM-2","itemData":{"DOI":"10.1175/2007WAF2007004.1","ISBN":"0882-8156","ISSN":"0882-8156","abstract":"A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1880–2005","type":"article-journal","volume":"22"},"uris":["http://www.mendeley.com/documents/?uuid=14fd8bf9-6b84-4fc3-bae5-6fa5f66b5ccf"]}],"mendeley":{"formattedCitation":"(Biddle, 1994; Ashley, 2007)","plainTextFormattedCitation":"(Biddle, 1994; Ashley, 2007)","previouslyFormattedCitation":"(Biddle, 1994; Ashley, 2007)"},"properties":{"noteIndex":0},"schema":"https://github.com/citation-style-language/schema/raw/master/csl-citation.json"}</w:instrText>
      </w:r>
      <w:r w:rsidR="003C5299" w:rsidRPr="004F469F">
        <w:fldChar w:fldCharType="separate"/>
      </w:r>
      <w:r w:rsidR="0010658B" w:rsidRPr="0010658B">
        <w:rPr>
          <w:noProof/>
        </w:rPr>
        <w:t>(Biddle, 1994; Ashley, 2007)</w:t>
      </w:r>
      <w:r w:rsidR="003C5299" w:rsidRPr="004F469F">
        <w:fldChar w:fldCharType="end"/>
      </w:r>
      <w:r w:rsidRPr="004F469F">
        <w:t xml:space="preserve">. Frequent false alarms due to near-misses can erode public confidence in the warning dissemination systems making people less likely to seek shelter </w:t>
      </w:r>
      <w:r w:rsidR="003C5299" w:rsidRPr="004F469F">
        <w:fldChar w:fldCharType="begin" w:fldLock="1"/>
      </w:r>
      <w:r w:rsidR="00123266">
        <w:instrText>ADDIN CSL_CITATION {"citationItems":[{"id":"ITEM-1","itemData":{"author":[{"dropping-particle":"","family":"Barnes","given":"Lindsey R","non-dropping-particle":"","parse-names":false,"suffix":""},{"dropping-particle":"","family":"Gruntfest","given":"Eve C","non-dropping-particle":"","parse-names":false,"suffix":""},{"dropping-particle":"","family":"Hayden","given":"Mary H","non-dropping-particle":"","parse-names":false,"suffix":""},{"dropping-particle":"","family":"Schultz","given":"David M","non-dropping-particle":"","parse-names":false,"suffix":""},{"dropping-particle":"","family":"Benight","given":"Charles","non-dropping-particle":"","parse-names":false,"suffix":""}],"container-title":"Weather and Forecasting","id":"ITEM-1","issue":"5","issued":{"date-parts":[["2007"]]},"page":"1140-1147","title":"False alarms and close calls: A conceptual model of warning accuracy","type":"article-journal","volume":"22"},"uris":["http://www.mendeley.com/documents/?uuid=e3151d52-3f26-4156-83a0-1af9b6e09f61"]},{"id":"ITEM-2","itemData":{"DOI":"10.1175/WAF-D-10-05004.1","ISBN":"0882-8156","ISSN":"0882-8156","abstract":"During 2008 approximately 75%% of tornado warnings issued by the National Weather Service (NWS) were false alarms. This study investigates some of the climatological trends in the issuance of false alarms and highlights several factors that impact false-alarm ratio (FAR) statistics. All tornadoes and tornado warnings issued across the continental United States between 2000 and 2004 were analyzed, and the data were sorted by hour of the day, month of the year, geographical region and weather forecast office (WFO), the number of tornadoes observed on a day in which a false alarm was issued, distance of the warned area from the nearest NWS radar, county population density, and county area. Analysis of the tornado false-alarm data identified six specific trends. First, the FAR was highest during nonpeak storm periods, such as during the night and during the winter and late summer. Second, the FAR was strongly tied to the number of tornadoes warned per day. Nearly one-third of all false alarms were issued on days when no tornadoes were confirmed within the WFO's county warning area. Third, the FAR varied with distance from radar, with significantly lower estimates found beyond 150 km from radar. Fourth, the FAR varied with population density. For warnings within 50 km of an NWS radar, FAR increased with population density; however, for warnings beyond 150 km from radar, FAR decreased regardless of population density. Fifth, the FAR also varied as a function of county size. The FAR was generally highest for the smallest counties; the FAR was ~80%% for all counties less than 1000 km2 regardless of distance from radar. Finally, the combined effects of distance from radar, population density, and county size led to significant variability across geographic regions.","author":[{"dropping-particle":"","family":"Brotzge","given":"J.","non-dropping-particle":"","parse-names":false,"suffix":""},{"dropping-particle":"","family":"Erickson","given":"S.","non-dropping-particle":"","parse-names":false,"suffix":""},{"dropping-particle":"","family":"Brooks","given":"H.","non-dropping-particle":"","parse-names":false,"suffix":""}],"container-title":"Weather and Forecasting","id":"ITEM-2","issue":"4","issued":{"date-parts":[["2011"]]},"page":"534-544","title":"A 5-yr climatology of tornado false alarms","type":"article-journal","volume":"26"},"uris":["http://www.mendeley.com/documents/?uuid=e7563fb0-67b4-4eaa-aa36-3ebe52976207"]},{"id":"ITEM-3","itemData":{"ISBN":"9781878220998","author":[{"dropping-particle":"","family":"Simmons","given":"Kevin M.","non-dropping-particle":"","parse-names":false,"suffix":""},{"dropping-particle":"","family":"Sutter","given":"Daniel","non-dropping-particle":"","parse-names":false,"suffix":""}],"edition":"1","id":"ITEM-3","issued":{"date-parts":[["2011"]]},"number-of-pages":"282","publisher":"American Meteorological Society","publisher-place":"Boston, MA","title":"Economic and societal impacts of tornadoes","type":"book"},"uris":["http://www.mendeley.com/documents/?uuid=679dd86e-3cb6-4bd9-aa65-841ad4dddd4a"]}],"mendeley":{"formattedCitation":"(Barnes et al., 2007; Brotzge et al., 2011; Simmons and Sutter, 2011)","plainTextFormattedCitation":"(Barnes et al., 2007; Brotzge et al., 2011; Simmons and Sutter, 2011)","previouslyFormattedCitation":"(Barnes et al., 2007; Brotzge et al., 2011; Simmons and Sutter, 2011)"},"properties":{"noteIndex":0},"schema":"https://github.com/citation-style-language/schema/raw/master/csl-citation.json"}</w:instrText>
      </w:r>
      <w:r w:rsidR="003C5299" w:rsidRPr="004F469F">
        <w:fldChar w:fldCharType="separate"/>
      </w:r>
      <w:r w:rsidR="00123266" w:rsidRPr="00123266">
        <w:rPr>
          <w:noProof/>
        </w:rPr>
        <w:t xml:space="preserve">(Barnes </w:t>
      </w:r>
      <w:r w:rsidR="00123266" w:rsidRPr="00453357">
        <w:rPr>
          <w:i/>
          <w:iCs/>
          <w:noProof/>
        </w:rPr>
        <w:t>et al.</w:t>
      </w:r>
      <w:r w:rsidR="00123266" w:rsidRPr="00123266">
        <w:rPr>
          <w:noProof/>
        </w:rPr>
        <w:t xml:space="preserve">, 2007; Brotzge </w:t>
      </w:r>
      <w:r w:rsidR="00123266" w:rsidRPr="00453357">
        <w:rPr>
          <w:i/>
          <w:iCs/>
          <w:noProof/>
        </w:rPr>
        <w:t>et al.</w:t>
      </w:r>
      <w:r w:rsidR="00123266" w:rsidRPr="00123266">
        <w:rPr>
          <w:noProof/>
        </w:rPr>
        <w:t>, 2011; Simmons and Sutter, 2011)</w:t>
      </w:r>
      <w:r w:rsidR="003C5299" w:rsidRPr="004F469F">
        <w:fldChar w:fldCharType="end"/>
      </w:r>
      <w:r w:rsidRPr="004F469F">
        <w:t xml:space="preserve">. </w:t>
      </w:r>
      <w:r w:rsidR="003C5299" w:rsidRPr="004F469F">
        <w:t xml:space="preserve">Simmons and Sutter </w:t>
      </w:r>
      <w:r w:rsidR="003C5299" w:rsidRPr="004F469F">
        <w:fldChar w:fldCharType="begin" w:fldLock="1"/>
      </w:r>
      <w:r w:rsidR="003C5299" w:rsidRPr="004F469F">
        <w:instrText>ADDIN CSL_CITATION {"citationItems":[{"id":"ITEM-1","itemData":{"DOI":"10.1175/2009WCAS1005.1","ISBN":"1948-8335","abstract":"This paper extends prior research on the societal value of tornado warnings to the impact of false alarms. Intuition and theory suggest that false alarms will reduce the response to warnings, yet little evidence of a “false alarm effect” has been unearthed. This paper exploits differences in the false-alarm ratio across the United States to test for a false-alarm effect in a regression model of tornado casualties from 1986 to 2004. A statistically significant and large false-alarm effect is found: tornadoes that occur in an area with a higher false-alarm ratio kill and injure more people, everything else being constant. The effect is consistent across false-alarm ratios defined over different geographies and time intervals. A one-standard-deviation increase in the false-alarm ratio increases expected fatalities by between 12% and 29% and increases expected injuries by between 14% and 32%. The reduction in the national tornado false-alarm ratio over the period reduced fatalities by 4%–11% and injuries by 4%–13%. The casualty effects of false alarms and warning lead times are approximately equal in magnitude, suggesting that the National Weather Service could not reduce casualties by trading off a higher probability of detection for a higher false-alarm ratio, or vice versa.","author":[{"dropping-particle":"","family":"Simmons","given":"Kevin M","non-dropping-particle":"","parse-names":false,"suffix":""},{"dropping-particle":"","family":"Sutter","given":"Daniel","non-dropping-particle":"","parse-names":false,"suffix":""}],"container-title":"Weather, Climate, and Society","id":"ITEM-1","issue":"1","issued":{"date-parts":[["2009"]]},"page":"38-53","title":"False alarms, tornado warnings, and tornado casualties","type":"article-journal","volume":"1"},"suppress-author":1,"uris":["http://www.mendeley.com/documents/?uuid=f849a444-f729-4454-80ab-d7f24d5e368b"]}],"mendeley":{"formattedCitation":"(2009)","plainTextFormattedCitation":"(2009)","previouslyFormattedCitation":"(2009)"},"properties":{"noteIndex":0},"schema":"https://github.com/citation-style-language/schema/raw/master/csl-citation.json"}</w:instrText>
      </w:r>
      <w:r w:rsidR="003C5299" w:rsidRPr="004F469F">
        <w:fldChar w:fldCharType="separate"/>
      </w:r>
      <w:r w:rsidR="003C5299" w:rsidRPr="004F469F">
        <w:rPr>
          <w:noProof/>
        </w:rPr>
        <w:t>(2009)</w:t>
      </w:r>
      <w:r w:rsidR="003C5299" w:rsidRPr="004F469F">
        <w:fldChar w:fldCharType="end"/>
      </w:r>
      <w:r w:rsidR="003C5299" w:rsidRPr="004F469F">
        <w:t xml:space="preserve"> </w:t>
      </w:r>
      <w:r w:rsidRPr="004F469F">
        <w:t xml:space="preserve">showed a direct causal link between the average tornado false-alarm rate of an area and the average rate of casualties. </w:t>
      </w:r>
      <w:r w:rsidR="003C5299" w:rsidRPr="004F469F">
        <w:t xml:space="preserve">Paul </w:t>
      </w:r>
      <w:r w:rsidR="003C5299" w:rsidRPr="004F469F">
        <w:fldChar w:fldCharType="begin" w:fldLock="1"/>
      </w:r>
      <w:r w:rsidR="003C5299" w:rsidRPr="004F469F">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suppress-author":1,"uris":["http://www.mendeley.com/documents/?uuid=20b4b09b-7791-4d88-b2dd-b2d4d2b6540d"]}],"mendeley":{"formattedCitation":"(2012)","plainTextFormattedCitation":"(2012)","previouslyFormattedCitation":"(2012)"},"properties":{"noteIndex":0},"schema":"https://github.com/citation-style-language/schema/raw/master/csl-citation.json"}</w:instrText>
      </w:r>
      <w:r w:rsidR="003C5299" w:rsidRPr="004F469F">
        <w:fldChar w:fldCharType="separate"/>
      </w:r>
      <w:r w:rsidR="003C5299" w:rsidRPr="004F469F">
        <w:rPr>
          <w:noProof/>
        </w:rPr>
        <w:t>(2012)</w:t>
      </w:r>
      <w:r w:rsidR="003C5299" w:rsidRPr="004F469F">
        <w:fldChar w:fldCharType="end"/>
      </w:r>
      <w:r w:rsidR="003C5299" w:rsidRPr="004F469F">
        <w:t xml:space="preserve"> </w:t>
      </w:r>
      <w:r w:rsidRPr="004F469F">
        <w:t xml:space="preserve">found that 27% of respondents to a survey, given to tornado survivors after the 2011 Joplin, Missouri tornado, received a warning about the tornado but did not act because of how frequently the city sounded the tornado sirens. Frequent near-misses can also prompt the development of tornado myths and folklore that can lead people to assume they are safe and thus not seek shelter or seek shelter in the wrong location </w:t>
      </w:r>
      <w:r w:rsidR="003C5299" w:rsidRPr="004F469F">
        <w:fldChar w:fldCharType="begin" w:fldLock="1"/>
      </w:r>
      <w:r w:rsidR="00123266">
        <w:instrText>ADDIN CSL_CITATION {"citationItems":[{"id":"ITEM-1","itemData":{"DOI":"10.1175/2011WCAS1076.1","ISBN":"1948-8327","ISSN":"1948-8327","abstract":"Tornado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Society","id":"ITEM-1","issue":"2","issued":{"date-parts":[["2011"]]},"page":"128-140","title":"A Preliminary Look at the Social Perspective of Warn-on-Forecast: Preferred Tornado Warning Lead Time and the General Public’s Perceptions of Weather Risks","type":"article-journal","volume":"3"},"uris":["http://www.mendeley.com/documents/?uuid=781a5543-d038-4ec3-9825-6e94cd7bebcc"]}],"mendeley":{"formattedCitation":"(Hoekstra et al., 2011)","plainTextFormattedCitation":"(Hoekstra et al., 2011)","previouslyFormattedCitation":"(Hoekstra et al., 2011)"},"properties":{"noteIndex":0},"schema":"https://github.com/citation-style-language/schema/raw/master/csl-citation.json"}</w:instrText>
      </w:r>
      <w:r w:rsidR="003C5299" w:rsidRPr="004F469F">
        <w:fldChar w:fldCharType="separate"/>
      </w:r>
      <w:r w:rsidR="0010658B" w:rsidRPr="00123266">
        <w:rPr>
          <w:noProof/>
        </w:rPr>
        <w:t xml:space="preserve">(Hoekstra </w:t>
      </w:r>
      <w:r w:rsidR="0010658B" w:rsidRPr="00453357">
        <w:rPr>
          <w:i/>
          <w:iCs/>
          <w:noProof/>
        </w:rPr>
        <w:t>et al.</w:t>
      </w:r>
      <w:r w:rsidR="0010658B" w:rsidRPr="00123266">
        <w:rPr>
          <w:noProof/>
        </w:rPr>
        <w:t>, 2011)</w:t>
      </w:r>
      <w:r w:rsidR="003C5299" w:rsidRPr="004F469F">
        <w:fldChar w:fldCharType="end"/>
      </w:r>
      <w:r w:rsidRPr="004F469F">
        <w:t xml:space="preserve">. Some examples of these myths include: when on the road, it is safest to seek shelter under an overpass </w:t>
      </w:r>
      <w:r w:rsidR="003C5299" w:rsidRPr="004F469F">
        <w:fldChar w:fldCharType="begin" w:fldLock="1"/>
      </w:r>
      <w:r w:rsidR="003C5299" w:rsidRPr="004F469F">
        <w:instrText>ADDIN CSL_CITATION {"citationItems":[{"id":"ITEM-1","itemData":{"author":[{"dropping-particle":"","family":"Hoffman","given":"Rebecca Lynn","non-dropping-particle":"","parse-names":false,"suffix":""}],"id":"ITEM-1","issued":{"date-parts":[["2013"]]},"publisher":"Kent State University","title":"To the Southwest Corner: Tornado Myths and Socio-Demographic Vulnerability","type":"thesis"},"uris":["http://www.mendeley.com/documents/?uuid=204e27e5-fdf9-499e-9642-4ccfb96eb271"]}],"mendeley":{"formattedCitation":"(Hoffman, 2013)","plainTextFormattedCitation":"(Hoffman, 2013)","previouslyFormattedCitation":"(Hoffman, 2013)"},"properties":{"noteIndex":0},"schema":"https://github.com/citation-style-language/schema/raw/master/csl-citation.json"}</w:instrText>
      </w:r>
      <w:r w:rsidR="003C5299" w:rsidRPr="004F469F">
        <w:fldChar w:fldCharType="separate"/>
      </w:r>
      <w:r w:rsidR="003C5299" w:rsidRPr="004F469F">
        <w:rPr>
          <w:noProof/>
        </w:rPr>
        <w:t>(Hoffman, 2013)</w:t>
      </w:r>
      <w:r w:rsidR="003C5299" w:rsidRPr="004F469F">
        <w:fldChar w:fldCharType="end"/>
      </w:r>
      <w:r w:rsidRPr="004F469F">
        <w:t xml:space="preserve">; tornadoes will not cross rivers; tornadoes will not stay on the ground for many miles </w:t>
      </w:r>
      <w:r w:rsidR="003C5299" w:rsidRPr="004F469F">
        <w:fldChar w:fldCharType="begin" w:fldLock="1"/>
      </w:r>
      <w:r w:rsidR="00123266">
        <w:instrText>ADDIN CSL_CITATION {"citationItems":[{"id":"ITEM-1","itemData":{"DOI":"10.1007/s10708-013-9518-6","author":[{"dropping-particle":"","family":"Klockow","given":"Kimberly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A.","non-dropping-particle":"","parse-names":false,"suffix":""}],"container-title":"GeoJournal","id":"ITEM-1","issue":"6","issued":{"date-parts":[["2014"]]},"page":"791-804","title":"Tornado folk science in Alabama and Mississippi in the 27 April 2011 tornado outbreak","type":"article-journal","volume":"79"},"uris":["http://www.mendeley.com/documents/?uuid=b2de5efd-e72d-4641-8d1d-ff4cb52012e2"]}],"mendeley":{"formattedCitation":"(Klockow et al., 2014)","plainTextFormattedCitation":"(Klockow et al., 2014)","previouslyFormattedCitation":"(Klockow et al., 2014)"},"properties":{"noteIndex":0},"schema":"https://github.com/citation-style-language/schema/raw/master/csl-citation.json"}</w:instrText>
      </w:r>
      <w:r w:rsidR="003C5299" w:rsidRPr="004F469F">
        <w:fldChar w:fldCharType="separate"/>
      </w:r>
      <w:r w:rsidR="00123266" w:rsidRPr="00123266">
        <w:rPr>
          <w:noProof/>
        </w:rPr>
        <w:t xml:space="preserve">(Klockow </w:t>
      </w:r>
      <w:r w:rsidR="00123266" w:rsidRPr="00453357">
        <w:rPr>
          <w:i/>
          <w:iCs/>
          <w:noProof/>
        </w:rPr>
        <w:t>et al.</w:t>
      </w:r>
      <w:r w:rsidR="00123266" w:rsidRPr="00123266">
        <w:rPr>
          <w:noProof/>
        </w:rPr>
        <w:t>, 2014)</w:t>
      </w:r>
      <w:r w:rsidR="003C5299" w:rsidRPr="004F469F">
        <w:fldChar w:fldCharType="end"/>
      </w:r>
      <w:r w:rsidRPr="004F469F">
        <w:t xml:space="preserve">, and tornadoes will not hit large cities </w:t>
      </w:r>
      <w:r w:rsidR="003C5299" w:rsidRPr="004F469F">
        <w:fldChar w:fldCharType="begin" w:fldLock="1"/>
      </w:r>
      <w:r w:rsidR="00123266">
        <w:instrText>ADDIN CSL_CITATION {"citationItems":[{"id":"ITEM-1","itemData":{"DOI":"10.1175/2011WCAS1076.1","ISBN":"1948-8327","ISSN":"1948-8327","abstract":"Tornado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Society","id":"ITEM-1","issue":"2","issued":{"date-parts":[["2011"]]},"page":"128-140","title":"A Preliminary Look at the Social Perspective of Warn-on-Forecast: Preferred Tornado Warning Lead Time and the General Public’s Perceptions of Weather Risks","type":"article-journal","volume":"3"},"uris":["http://www.mendeley.com/documents/?uuid=781a5543-d038-4ec3-9825-6e94cd7bebcc"]},{"id":"ITEM-2","itemData":{"author":[{"dropping-particle":"","family":"Hoffman","given":"Rebecca Lynn","non-dropping-particle":"","parse-names":false,"suffix":""}],"id":"ITEM-2","issued":{"date-parts":[["2013"]]},"publisher":"Kent State University","title":"To the Southwest Corner: Tornado Myths and Socio-Demographic Vulnerability","type":"thesis"},"uris":["http://www.mendeley.com/documents/?uuid=204e27e5-fdf9-499e-9642-4ccfb96eb271"]},{"id":"ITEM-3","itemData":{"DOI":"10.1007/s10708-013-9518-6","author":[{"dropping-particle":"","family":"Klockow","given":"Kimberly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A.","non-dropping-particle":"","parse-names":false,"suffix":""}],"container-title":"GeoJournal","id":"ITEM-3","issue":"6","issued":{"date-parts":[["2014"]]},"page":"791-804","title":"Tornado folk science in Alabama and Mississippi in the 27 April 2011 tornado outbreak","type":"article-journal","volume":"79"},"uris":["http://www.mendeley.com/documents/?uuid=b2de5efd-e72d-4641-8d1d-ff4cb52012e2"]}],"mendeley":{"formattedCitation":"(Hoekstra et al., 2011; Hoffman, 2013; Klockow et al., 2014)","plainTextFormattedCitation":"(Hoekstra et al., 2011; Hoffman, 2013; Klockow et al., 2014)","previouslyFormattedCitation":"(Hoekstra et al., 2011; Hoffman, 2013; Klockow et al., 2014)"},"properties":{"noteIndex":0},"schema":"https://github.com/citation-style-language/schema/raw/master/csl-citation.json"}</w:instrText>
      </w:r>
      <w:r w:rsidR="003C5299" w:rsidRPr="004F469F">
        <w:fldChar w:fldCharType="separate"/>
      </w:r>
      <w:r w:rsidR="00123266" w:rsidRPr="00123266">
        <w:rPr>
          <w:noProof/>
        </w:rPr>
        <w:t xml:space="preserve">(Hoekstra </w:t>
      </w:r>
      <w:r w:rsidR="00123266" w:rsidRPr="00453357">
        <w:rPr>
          <w:i/>
          <w:iCs/>
          <w:noProof/>
        </w:rPr>
        <w:t>et al.</w:t>
      </w:r>
      <w:r w:rsidR="00123266" w:rsidRPr="00123266">
        <w:rPr>
          <w:noProof/>
        </w:rPr>
        <w:t xml:space="preserve">, 2011; Hoffman, 2013; Klockow </w:t>
      </w:r>
      <w:r w:rsidR="00123266" w:rsidRPr="00453357">
        <w:rPr>
          <w:i/>
          <w:iCs/>
          <w:noProof/>
        </w:rPr>
        <w:t>et al.</w:t>
      </w:r>
      <w:r w:rsidR="00123266" w:rsidRPr="00123266">
        <w:rPr>
          <w:noProof/>
        </w:rPr>
        <w:t>, 2014)</w:t>
      </w:r>
      <w:r w:rsidR="003C5299" w:rsidRPr="004F469F">
        <w:fldChar w:fldCharType="end"/>
      </w:r>
      <w:r w:rsidRPr="004F469F">
        <w:t xml:space="preserve">. Near-misses can influence disaster preparedness in two ways (1) if a person interprets a near-miss as a non-event they may underestimate their risk; (2) if a person interprets it as a lucky break they may prepare more for future events as if they had been hit </w:t>
      </w:r>
      <w:r w:rsidR="003C5299" w:rsidRPr="004F469F">
        <w:fldChar w:fldCharType="begin" w:fldLock="1"/>
      </w:r>
      <w:r w:rsidR="00123266">
        <w:instrText>ADDIN CSL_CITATION {"citationItems":[{"id":"ITEM-1","itemData":{"DOI":"10.1287/mnsc.1120.1517","author":[{"dropping-particle":"","family":"Tinsley","given":"Catherine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Science","id":"ITEM-1","issue":"9","issued":{"date-parts":[["2012"]]},"page":"1596-1613","publisher":"INFORMS","title":"How near-miss events amplify or attenuate risky decision making","type":"article-journal","volume":"58"},"uris":["http://www.mendeley.com/documents/?uuid=01a0883f-6890-4f85-9119-a977e6a984f2"]},{"id":"ITEM-2","itemData":{"DOI":"10.1111/risa.12209","author":[{"dropping-particle":"","family":"Dillon","given":"Robin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Analysis","id":"ITEM-2","issue":"10","issued":{"date-parts":[["2014"]]},"page":"1907-1922","publisher":"Wiley Online Library","title":"Near-misses and future disaster preparedness","type":"article-journal","volume":"34"},"uris":["http://www.mendeley.com/documents/?uuid=d86a4e9b-c93c-4426-be37-751ddab6f780"]}],"mendeley":{"formattedCitation":"(Tinsley et al., 2012; Dillon et al., 2014)","plainTextFormattedCitation":"(Tinsley et al., 2012; Dillon et al., 2014)","previouslyFormattedCitation":"(Tinsley et al., 2012; Dillon et al., 2014)"},"properties":{"noteIndex":0},"schema":"https://github.com/citation-style-language/schema/raw/master/csl-citation.json"}</w:instrText>
      </w:r>
      <w:r w:rsidR="003C5299" w:rsidRPr="004F469F">
        <w:fldChar w:fldCharType="separate"/>
      </w:r>
      <w:r w:rsidR="00123266" w:rsidRPr="00123266">
        <w:rPr>
          <w:noProof/>
        </w:rPr>
        <w:t xml:space="preserve">(Tinsley </w:t>
      </w:r>
      <w:r w:rsidR="00123266" w:rsidRPr="00453357">
        <w:rPr>
          <w:i/>
          <w:iCs/>
          <w:noProof/>
        </w:rPr>
        <w:t>et al.</w:t>
      </w:r>
      <w:r w:rsidR="00123266" w:rsidRPr="00123266">
        <w:rPr>
          <w:noProof/>
        </w:rPr>
        <w:t xml:space="preserve">, 2012; Dillon </w:t>
      </w:r>
      <w:r w:rsidR="00123266" w:rsidRPr="00453357">
        <w:rPr>
          <w:i/>
          <w:iCs/>
          <w:noProof/>
        </w:rPr>
        <w:t>et al.</w:t>
      </w:r>
      <w:r w:rsidR="00123266" w:rsidRPr="00123266">
        <w:rPr>
          <w:noProof/>
        </w:rPr>
        <w:t>, 2014)</w:t>
      </w:r>
      <w:r w:rsidR="003C5299" w:rsidRPr="004F469F">
        <w:fldChar w:fldCharType="end"/>
      </w:r>
      <w:r w:rsidR="003C5299" w:rsidRPr="004F469F">
        <w:t>.</w:t>
      </w:r>
    </w:p>
    <w:p w14:paraId="06ED7C82" w14:textId="58DDBFDE" w:rsidR="008F1B78" w:rsidRPr="004F469F" w:rsidRDefault="008F1B78" w:rsidP="00435B08">
      <w:pPr>
        <w:spacing w:after="120" w:line="480" w:lineRule="auto"/>
        <w:ind w:firstLine="720"/>
      </w:pPr>
      <w:r w:rsidRPr="004F469F">
        <w:t xml:space="preserve">Studies on near-miss severe weather events often focus on the impacts of a singular event without formally defining the parameters of a near-miss. </w:t>
      </w:r>
      <w:r w:rsidR="003C5299" w:rsidRPr="004F469F">
        <w:t xml:space="preserve">Prosser </w:t>
      </w:r>
      <w:r w:rsidR="003C5299" w:rsidRPr="004F469F">
        <w:fldChar w:fldCharType="begin" w:fldLock="1"/>
      </w:r>
      <w:r w:rsidR="003C5299" w:rsidRPr="004F469F">
        <w:instrText>ADDIN CSL_CITATION {"citationItems":[{"id":"ITEM-1","itemData":{"author":[{"dropping-particle":"","family":"Prosser","given":"Norman E.","non-dropping-particle":"","parse-names":false,"suffix":""}],"container-title":"Monthly Weather Review","id":"ITEM-1","issue":"6","issued":{"date-parts":[["1976"]]},"page":"800-803","title":"Denver's near-miss tornado of 1975","type":"article-journal","volume":"104"},"suppress-author":1,"uris":["http://www.mendeley.com/documents/?uuid=cd9afad6-60c8-47a1-9ac9-0374e7e8fdc3"]}],"mendeley":{"formattedCitation":"(1976)","plainTextFormattedCitation":"(1976)","previouslyFormattedCitation":"(1976)"},"properties":{"noteIndex":0},"schema":"https://github.com/citation-style-language/schema/raw/master/csl-citation.json"}</w:instrText>
      </w:r>
      <w:r w:rsidR="003C5299" w:rsidRPr="004F469F">
        <w:fldChar w:fldCharType="separate"/>
      </w:r>
      <w:r w:rsidR="003C5299" w:rsidRPr="004F469F">
        <w:rPr>
          <w:noProof/>
        </w:rPr>
        <w:t>(1976)</w:t>
      </w:r>
      <w:r w:rsidR="003C5299" w:rsidRPr="004F469F">
        <w:fldChar w:fldCharType="end"/>
      </w:r>
      <w:r w:rsidR="003C5299" w:rsidRPr="004F469F">
        <w:t xml:space="preserve"> </w:t>
      </w:r>
      <w:r w:rsidRPr="004F469F">
        <w:t xml:space="preserve">studied the unusual characteristics of a tornado which nearly hit Denver, Colorado on 18 May 1975 and </w:t>
      </w:r>
      <w:r w:rsidR="003C5299" w:rsidRPr="004F469F">
        <w:rPr>
          <w:noProof/>
        </w:rPr>
        <w:t>Sherman-Morris</w:t>
      </w:r>
      <w:r w:rsidR="003C5299" w:rsidRPr="004F469F">
        <w:t xml:space="preserve"> </w:t>
      </w:r>
      <w:r w:rsidR="003C5299" w:rsidRPr="004F469F">
        <w:fldChar w:fldCharType="begin" w:fldLock="1"/>
      </w:r>
      <w:r w:rsidR="003C5299" w:rsidRPr="004F469F">
        <w:instrText>ADDIN CSL_CITATION {"citationItems":[{"id":"ITEM-1","itemData":{"DOI":"10.1007/s11069-009-9405-0","author":[{"dropping-particle":"","family":"Sherman-Morris","given":"Kathleen","non-dropping-particle":"","parse-names":false,"suffix":""}],"container-title":"Natural Hazards","id":"ITEM-1","issue":"3","issued":{"date-parts":[["2010"]]},"page":"623-638","publisher":"Springer","title":"Tornado warning dissemination and response at a university campus","type":"article-journal","volume":"52"},"suppress-author":1,"uris":["http://www.mendeley.com/documents/?uuid=6eb01b2d-1d5f-4507-a439-4482c098070b"]}],"mendeley":{"formattedCitation":"(2010)","plainTextFormattedCitation":"(2010)","previouslyFormattedCitation":"(2010)"},"properties":{"noteIndex":0},"schema":"https://github.com/citation-style-language/schema/raw/master/csl-citation.json"}</w:instrText>
      </w:r>
      <w:r w:rsidR="003C5299" w:rsidRPr="004F469F">
        <w:fldChar w:fldCharType="separate"/>
      </w:r>
      <w:r w:rsidR="003C5299" w:rsidRPr="004F469F">
        <w:rPr>
          <w:noProof/>
        </w:rPr>
        <w:t>(2010)</w:t>
      </w:r>
      <w:r w:rsidR="003C5299" w:rsidRPr="004F469F">
        <w:fldChar w:fldCharType="end"/>
      </w:r>
      <w:r w:rsidRPr="004F469F">
        <w:t xml:space="preserve"> studied sheltering behavior during a near-miss tornado at Mississippi State University on 10 January 2008. However, the authors are aware of no large-scale study on near-</w:t>
      </w:r>
      <w:r w:rsidRPr="004F469F">
        <w:lastRenderedPageBreak/>
        <w:t>miss tornadoes which provides a clear definition of a near-miss. One such study on</w:t>
      </w:r>
      <w:r w:rsidR="00CD717F" w:rsidRPr="004F469F">
        <w:t xml:space="preserve"> </w:t>
      </w:r>
      <w:r w:rsidRPr="004F469F">
        <w:rPr>
          <w:i/>
          <w:iCs/>
        </w:rPr>
        <w:t>hurricanes</w:t>
      </w:r>
      <w:r w:rsidRPr="004F469F">
        <w:t xml:space="preserve"> defined near-misses as hurricanes which were forecast to make landfall but did not, and used this definition as a part of an analysis on the accuracy of tropical cyclone forecasts in the Atlantic Ocean between 1976 and 2000 </w:t>
      </w:r>
      <w:r w:rsidR="003C5299" w:rsidRPr="004F469F">
        <w:fldChar w:fldCharType="begin" w:fldLock="1"/>
      </w:r>
      <w:r w:rsidR="0010658B">
        <w:instrText>ADDIN CSL_CITATION {"citationItems":[{"id":"ITEM-1","itemData":{"author":[{"dropping-particle":"","family":"Powell","given":"Mark D.","non-dropping-particle":"","parse-names":false,"suffix":""},{"dropping-particle":"","family":"Aberson","given":"Sim D.","non-dropping-particle":"","parse-names":false,"suffix":""}],"container-title":"Bulletin of the American Meteorological Society","id":"ITEM-1","issue":"12","issued":{"date-parts":[["2001"]]},"page":"2749-2767","title":"Accuracy of United States tropical cyclone landfall forecasts in the Atlantic basin (1976-2000)","type":"article-journal","volume":"82"},"uris":["http://www.mendeley.com/documents/?uuid=a2373e94-1ec9-47c1-ada6-2ae2bc89312c"]}],"mendeley":{"formattedCitation":"(Powell and Aberson, 2001)","plainTextFormattedCitation":"(Powell and Aberson, 2001)","previouslyFormattedCitation":"(Powell and Aberson, 2001)"},"properties":{"noteIndex":0},"schema":"https://github.com/citation-style-language/schema/raw/master/csl-citation.json"}</w:instrText>
      </w:r>
      <w:r w:rsidR="003C5299" w:rsidRPr="004F469F">
        <w:fldChar w:fldCharType="separate"/>
      </w:r>
      <w:r w:rsidR="0010658B" w:rsidRPr="0010658B">
        <w:rPr>
          <w:noProof/>
        </w:rPr>
        <w:t>(Powell and Aberson, 2001)</w:t>
      </w:r>
      <w:r w:rsidR="003C5299" w:rsidRPr="004F469F">
        <w:fldChar w:fldCharType="end"/>
      </w:r>
      <w:r w:rsidRPr="004F469F">
        <w:t>. The authors propose to fill in this gap in the literature by developing a methodology to define near-miss violent tornadoes as a function of the population surrounding the tornado footprint, and to apply this definition to all violent tornadoes in the US between 1995 and 2016.</w:t>
      </w:r>
    </w:p>
    <w:p w14:paraId="5FCE44BE" w14:textId="2E05F0C2" w:rsidR="008F1B78" w:rsidRPr="004F469F" w:rsidRDefault="008F1B78" w:rsidP="00435B08">
      <w:pPr>
        <w:spacing w:after="120" w:line="480" w:lineRule="auto"/>
        <w:ind w:firstLine="720"/>
      </w:pPr>
      <w:r w:rsidRPr="004F469F">
        <w:t xml:space="preserve">The purpose of this study is to determine the frequency with which violent tornadoes in the US are near-misses and to assess any spatiotemporal patterns that exist for near-miss violent tornadoes in the US. To answer these questions, </w:t>
      </w:r>
      <w:r w:rsidR="00F12D5E">
        <w:t xml:space="preserve">we update the violent tornado climatology of Concannon </w:t>
      </w:r>
      <w:r w:rsidR="00F12D5E" w:rsidRPr="00453357">
        <w:rPr>
          <w:i/>
          <w:iCs/>
        </w:rPr>
        <w:t>et al.</w:t>
      </w:r>
      <w:r w:rsidR="00F12D5E">
        <w:t xml:space="preserve"> </w:t>
      </w:r>
      <w:r w:rsidR="00F12D5E">
        <w:fldChar w:fldCharType="begin" w:fldLock="1"/>
      </w:r>
      <w:r w:rsidR="00327E10">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F12D5E">
        <w:fldChar w:fldCharType="separate"/>
      </w:r>
      <w:r w:rsidR="00F12D5E" w:rsidRPr="00F12D5E">
        <w:rPr>
          <w:noProof/>
        </w:rPr>
        <w:t>(2000)</w:t>
      </w:r>
      <w:r w:rsidR="00F12D5E">
        <w:fldChar w:fldCharType="end"/>
      </w:r>
      <w:r w:rsidR="00F12D5E">
        <w:t xml:space="preserve"> to extend from 1880 – 2016 and </w:t>
      </w:r>
      <w:r w:rsidRPr="004F469F">
        <w:t>use replicates of historical violent tornado footprints and gridded representations of historical census data to determine possible exposure (here defined as the number of people residing in the footprint of the tornado) scenarios for violent tornadoes.</w:t>
      </w:r>
      <w:r w:rsidR="00F12D5E">
        <w:t xml:space="preserve"> We conclude this study by mapping out the high risk area for near-miss violent tornadoes.</w:t>
      </w:r>
    </w:p>
    <w:p w14:paraId="4A387563" w14:textId="40C857F5" w:rsidR="003C5299" w:rsidRPr="004F469F" w:rsidRDefault="003C5299" w:rsidP="00435B08">
      <w:pPr>
        <w:pStyle w:val="Heading2"/>
        <w:spacing w:before="0" w:after="120" w:line="480" w:lineRule="auto"/>
        <w:rPr>
          <w:rFonts w:ascii="Times New Roman" w:eastAsia="Times New Roman" w:hAnsi="Times New Roman" w:cs="Times New Roman"/>
          <w:b/>
          <w:bCs/>
          <w:color w:val="auto"/>
          <w:sz w:val="28"/>
          <w:szCs w:val="28"/>
        </w:rPr>
      </w:pPr>
      <w:bookmarkStart w:id="14" w:name="_Toc21861286"/>
      <w:r w:rsidRPr="004F469F">
        <w:rPr>
          <w:rFonts w:ascii="Times New Roman" w:eastAsia="Times New Roman" w:hAnsi="Times New Roman" w:cs="Times New Roman"/>
          <w:b/>
          <w:bCs/>
          <w:color w:val="auto"/>
          <w:sz w:val="28"/>
          <w:szCs w:val="28"/>
        </w:rPr>
        <w:t>Data and Methods</w:t>
      </w:r>
      <w:bookmarkEnd w:id="14"/>
    </w:p>
    <w:p w14:paraId="5F5EFC49" w14:textId="03FC0186" w:rsidR="008F1B78" w:rsidRPr="004F469F" w:rsidRDefault="008F1B78" w:rsidP="00435B08">
      <w:pPr>
        <w:spacing w:after="120" w:line="480" w:lineRule="auto"/>
        <w:ind w:firstLine="720"/>
      </w:pPr>
      <w:r w:rsidRPr="004F469F">
        <w:t xml:space="preserve">The track that a tornado takes is primarily dependent upon the atmospheric environment during its life cycle with small changes potentially shifting a track towards or away from a populated area </w:t>
      </w:r>
      <w:r w:rsidR="003C5299" w:rsidRPr="004F469F">
        <w:fldChar w:fldCharType="begin" w:fldLock="1"/>
      </w:r>
      <w:r w:rsidR="00123266">
        <w:instrText>ADDIN CSL_CITATION {"citationItems":[{"id":"ITEM-1","itemData":{"DOI":"10.1175/MWR-D-14-00357.1","ISSN":"0027-0644","abstract":"AbstractOn 20 May 2013, the cities of Newcastle, Oklahoma City, and Moore, Oklahoma were impacted by a long-track violent tornado that was rated as an EF5 on the enhanced Fujita scale by the National Weather Service. Despite a relatively sustained long track, damage surveys revealed a number of small-scale damage indicators that hinted at storm-scale processes that occurred over short time periods. The University of Oklahoma (OU) Advanced Radar Research Center’s PX-1000 transportable, polarimetric, X-band weather radar was operating in a single-elevation PPI scanning strategy at the OU Westheimer airport throughout the duration of the tornado, collecting high spatial and temporal resolution polarimetric data every 20 s at ranges as close as 10 km and heights below 500 m AGL. This dataset contains the only known polarimetric radar observations of the Moore tornado at such high temporal resolution, providing the opportunity to analyze and study fine-scale phenomena occurring on rapid time scales. Analysis i...","author":[{"dropping-particle":"","family":"Kurdzo","given":"James M.","non-dropping-particle":"","parse-names":false,"suffix":""},{"dropping-particle":"","family":"Bodine","given":"David J.","non-dropping-particle":"","parse-names":false,"suffix":""},{"dropping-particle":"","family":"Cheong","given":"Boon Leng","non-dropping-particle":"","parse-names":false,"suffix":""},{"dropping-particle":"","family":"Palmer","given":"Robert D.","non-dropping-particle":"","parse-names":false,"suffix":""}],"container-title":"Monthly Weather Review","id":"ITEM-1","issue":"7","issued":{"date-parts":[["2015"]]},"page":"2711-2735","title":"High-Temporal Resolution Polarimetric X-Band Doppler Radar Observations of the 20 May 2013 Moore, Oklahoma, Tornado","type":"article-journal","volume":"143"},"uris":["http://www.mendeley.com/documents/?uuid=00eaace7-d549-426b-8014-4880be5ac366"]}],"mendeley":{"formattedCitation":"(Kurdzo et al., 2015)","plainTextFormattedCitation":"(Kurdzo et al., 2015)","previouslyFormattedCitation":"(Kurdzo et al., 2015)"},"properties":{"noteIndex":0},"schema":"https://github.com/citation-style-language/schema/raw/master/csl-citation.json"}</w:instrText>
      </w:r>
      <w:r w:rsidR="003C5299" w:rsidRPr="004F469F">
        <w:fldChar w:fldCharType="separate"/>
      </w:r>
      <w:r w:rsidR="0010658B" w:rsidRPr="00123266">
        <w:rPr>
          <w:noProof/>
        </w:rPr>
        <w:t xml:space="preserve">(Kurdzo </w:t>
      </w:r>
      <w:r w:rsidR="0010658B" w:rsidRPr="00453357">
        <w:rPr>
          <w:i/>
          <w:iCs/>
          <w:noProof/>
        </w:rPr>
        <w:t>et al.</w:t>
      </w:r>
      <w:r w:rsidR="0010658B" w:rsidRPr="00123266">
        <w:rPr>
          <w:noProof/>
        </w:rPr>
        <w:t>, 2015)</w:t>
      </w:r>
      <w:r w:rsidR="003C5299" w:rsidRPr="004F469F">
        <w:fldChar w:fldCharType="end"/>
      </w:r>
      <w:r w:rsidRPr="004F469F">
        <w:t xml:space="preserve">. While the environment typically dictates tornado tracks, there is a certain level of randomness to when and where a tornado forms </w:t>
      </w:r>
      <w:r w:rsidR="003C5299" w:rsidRPr="004F469F">
        <w:fldChar w:fldCharType="begin" w:fldLock="1"/>
      </w:r>
      <w:r w:rsidR="00123266">
        <w:instrText>ADDIN CSL_CITATION {"citationItems":[{"id":"ITEM-1","itemData":{"DOI":"10.1007/s10708-013-9518-6","author":[{"dropping-particle":"","family":"Klockow","given":"Kimberly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A.","non-dropping-particle":"","parse-names":false,"suffix":""}],"container-title":"GeoJournal","id":"ITEM-1","issue":"6","issued":{"date-parts":[["2014"]]},"page":"791-804","title":"Tornado folk science in Alabama and Mississippi in the 27 April 2011 tornado outbreak","type":"article-journal","volume":"79"},"uris":["http://www.mendeley.com/documents/?uuid=b2de5efd-e72d-4641-8d1d-ff4cb52012e2"]}],"mendeley":{"formattedCitation":"(Klockow et al., 2014)","plainTextFormattedCitation":"(Klockow et al., 2014)","previouslyFormattedCitation":"(Klockow et al., 2014)"},"properties":{"noteIndex":0},"schema":"https://github.com/citation-style-language/schema/raw/master/csl-citation.json"}</w:instrText>
      </w:r>
      <w:r w:rsidR="003C5299" w:rsidRPr="004F469F">
        <w:fldChar w:fldCharType="separate"/>
      </w:r>
      <w:r w:rsidR="00123266" w:rsidRPr="00123266">
        <w:rPr>
          <w:noProof/>
        </w:rPr>
        <w:t xml:space="preserve">(Klockow </w:t>
      </w:r>
      <w:r w:rsidR="00123266" w:rsidRPr="00453357">
        <w:rPr>
          <w:i/>
          <w:iCs/>
          <w:noProof/>
        </w:rPr>
        <w:t>et al.</w:t>
      </w:r>
      <w:r w:rsidR="00123266" w:rsidRPr="00123266">
        <w:rPr>
          <w:noProof/>
        </w:rPr>
        <w:t>, 2014)</w:t>
      </w:r>
      <w:r w:rsidR="003C5299" w:rsidRPr="004F469F">
        <w:fldChar w:fldCharType="end"/>
      </w:r>
      <w:r w:rsidRPr="004F469F">
        <w:t xml:space="preserve">. As such, there are many potential tracks a tornado could take and since risk includes all events that did or could have happened </w:t>
      </w:r>
      <w:r w:rsidR="003C5299" w:rsidRPr="004F469F">
        <w:fldChar w:fldCharType="begin" w:fldLock="1"/>
      </w:r>
      <w:r w:rsidR="0010658B">
        <w:instrText>ADDIN CSL_CITATION {"citationItems":[{"id":"ITEM-1","itemData":{"DOI":"10.1111/j.1539-6924.1981.tb01350.x","author":[{"dropping-particle":"","family":"Kaplan","given":"Stanley","non-dropping-particle":"","parse-names":false,"suffix":""},{"dropping-particle":"","family":"Garrick","given":"B. John","non-dropping-particle":"","parse-names":false,"suffix":""}],"container-title":"Risk Analysis","id":"ITEM-1","issue":"1","issued":{"date-parts":[["1981"]]},"page":"11-27","publisher":"Wiley Online Library","title":"On the quantitative definition of risk","type":"article-journal","volume":"1"},"uris":["http://www.mendeley.com/documents/?uuid=7f18723a-922e-4948-b186-50fbcfb8f3a4"]}],"mendeley":{"formattedCitation":"(Kaplan and Garrick, 1981)","plainTextFormattedCitation":"(Kaplan and Garrick, 1981)","previouslyFormattedCitation":"(Kaplan and Garrick, 1981)"},"properties":{"noteIndex":0},"schema":"https://github.com/citation-style-language/schema/raw/master/csl-citation.json"}</w:instrText>
      </w:r>
      <w:r w:rsidR="003C5299" w:rsidRPr="004F469F">
        <w:fldChar w:fldCharType="separate"/>
      </w:r>
      <w:r w:rsidR="0010658B" w:rsidRPr="0010658B">
        <w:rPr>
          <w:noProof/>
        </w:rPr>
        <w:t>(Kaplan and Garrick, 1981)</w:t>
      </w:r>
      <w:r w:rsidR="003C5299" w:rsidRPr="004F469F">
        <w:fldChar w:fldCharType="end"/>
      </w:r>
      <w:r w:rsidR="003C5299" w:rsidRPr="004F469F">
        <w:t xml:space="preserve"> </w:t>
      </w:r>
      <w:r w:rsidRPr="004F469F">
        <w:t xml:space="preserve">it is of interest to know the potential distribution of tornado exposure if a tornado took a different, yet reasonable, track through the </w:t>
      </w:r>
      <w:r w:rsidRPr="004F469F">
        <w:lastRenderedPageBreak/>
        <w:t>area. To determine this potential distribution, we replicated historical tornado footprints throughout their respective surrounding areas and estimated the number of people exposed for each replicate.</w:t>
      </w:r>
    </w:p>
    <w:p w14:paraId="3945086D" w14:textId="5A4962B2" w:rsidR="00CC0097" w:rsidRPr="004F469F" w:rsidRDefault="008F1B78" w:rsidP="00435B08">
      <w:pPr>
        <w:spacing w:after="120" w:line="480" w:lineRule="auto"/>
        <w:ind w:firstLine="720"/>
      </w:pPr>
      <w:r w:rsidRPr="004F469F">
        <w:t>The bounds of historical violent tornado activity between 1995 and 2016 closely match the four study regions used by</w:t>
      </w:r>
      <w:r w:rsidR="003C5299" w:rsidRPr="004F469F">
        <w:t xml:space="preserve"> </w:t>
      </w:r>
      <w:r w:rsidR="003C5299" w:rsidRPr="004F469F">
        <w:rPr>
          <w:noProof/>
        </w:rPr>
        <w:t>Gensini and Ashley</w:t>
      </w:r>
      <w:r w:rsidR="003C5299" w:rsidRPr="004F469F">
        <w:t xml:space="preserve"> </w:t>
      </w:r>
      <w:r w:rsidR="003C5299" w:rsidRPr="004F469F">
        <w:fldChar w:fldCharType="begin" w:fldLock="1"/>
      </w:r>
      <w:r w:rsidR="00CC0097" w:rsidRPr="004F469F">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suppress-author":1,"uris":["http://www.mendeley.com/documents/?uuid=c00b076a-fd2d-4516-ac75-69faf6495920"]}],"mendeley":{"formattedCitation":"(2011)","plainTextFormattedCitation":"(2011)","previouslyFormattedCitation":"(2011)"},"properties":{"noteIndex":0},"schema":"https://github.com/citation-style-language/schema/raw/master/csl-citation.json"}</w:instrText>
      </w:r>
      <w:r w:rsidR="003C5299" w:rsidRPr="004F469F">
        <w:fldChar w:fldCharType="separate"/>
      </w:r>
      <w:r w:rsidR="003C5299" w:rsidRPr="004F469F">
        <w:rPr>
          <w:noProof/>
        </w:rPr>
        <w:t>(2011)</w:t>
      </w:r>
      <w:r w:rsidR="003C5299" w:rsidRPr="004F469F">
        <w:fldChar w:fldCharType="end"/>
      </w:r>
      <w:r w:rsidRPr="004F469F">
        <w:t xml:space="preserve"> in their study on severe convective environment climatology. Since the regions are representative of environments favorable for violent tornado development, they were replicated for this study (Fig</w:t>
      </w:r>
      <w:r w:rsidR="00CC0097" w:rsidRPr="004F469F">
        <w:t>ure 2.1</w:t>
      </w:r>
      <w:r w:rsidRPr="004F469F">
        <w:t xml:space="preserve">).  In this study, we define a tornado track as a line from the point of touchdown for the tornado to the point of dissipation and a footprint as the total area experiencing tornadic winds. We started our analysis by updating the violent tornado climatology of </w:t>
      </w:r>
      <w:r w:rsidR="00CC0097" w:rsidRPr="004F469F">
        <w:t xml:space="preserve">Concannon </w:t>
      </w:r>
      <w:r w:rsidR="00CC0097" w:rsidRPr="00453357">
        <w:rPr>
          <w:i/>
          <w:iCs/>
        </w:rPr>
        <w:t>et al.</w:t>
      </w:r>
      <w:r w:rsidR="00CC0097" w:rsidRPr="004F469F">
        <w:t xml:space="preserve"> </w:t>
      </w:r>
      <w:r w:rsidR="00CC0097"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CC0097" w:rsidRPr="004F469F">
        <w:fldChar w:fldCharType="separate"/>
      </w:r>
      <w:r w:rsidR="00CC0097" w:rsidRPr="004F469F">
        <w:rPr>
          <w:noProof/>
        </w:rPr>
        <w:t>(2000)</w:t>
      </w:r>
      <w:r w:rsidR="00CC0097" w:rsidRPr="004F469F">
        <w:fldChar w:fldCharType="end"/>
      </w:r>
      <w:r w:rsidRPr="004F469F">
        <w:t xml:space="preserve"> and conducting a sensitivity test to determine whether the error in the exposure estimates, introduced by using linear tornado footprints, could be minimized by careful selection of the census resolution.</w:t>
      </w:r>
    </w:p>
    <w:p w14:paraId="0243831D" w14:textId="443090DE" w:rsidR="008F1B78" w:rsidRPr="004F469F" w:rsidRDefault="00CC0097" w:rsidP="00435B08">
      <w:pPr>
        <w:pStyle w:val="Heading3"/>
        <w:spacing w:before="0" w:after="120" w:line="480" w:lineRule="auto"/>
        <w:rPr>
          <w:rFonts w:ascii="Times New Roman" w:eastAsia="Times New Roman" w:hAnsi="Times New Roman" w:cs="Times New Roman"/>
          <w:i/>
          <w:iCs/>
          <w:color w:val="auto"/>
        </w:rPr>
      </w:pPr>
      <w:bookmarkStart w:id="15" w:name="_Toc21861287"/>
      <w:r w:rsidRPr="004F469F">
        <w:rPr>
          <w:rFonts w:ascii="Times New Roman" w:eastAsia="Times New Roman" w:hAnsi="Times New Roman" w:cs="Times New Roman"/>
          <w:i/>
          <w:iCs/>
          <w:color w:val="auto"/>
        </w:rPr>
        <w:t>Data and Data Accuracy</w:t>
      </w:r>
      <w:bookmarkEnd w:id="15"/>
    </w:p>
    <w:p w14:paraId="73099885" w14:textId="645C9C5B" w:rsidR="008F1B78" w:rsidRPr="004F469F" w:rsidRDefault="008F1B78" w:rsidP="00435B08">
      <w:pPr>
        <w:spacing w:after="120" w:line="480" w:lineRule="auto"/>
        <w:ind w:firstLine="720"/>
      </w:pPr>
      <w:r w:rsidRPr="004F469F">
        <w:t>We collected population data from the US Census Bureau at multiple levels between 1880 and 2010 from the University of Minnesota's National Historical Geographic Information System (NHGIS</w:t>
      </w:r>
      <w:r w:rsidR="004018A9">
        <w:t>;</w:t>
      </w:r>
      <w:r w:rsidR="00CC0097" w:rsidRPr="004F469F">
        <w:t xml:space="preserve"> </w:t>
      </w:r>
      <w:r w:rsidR="00CC0097" w:rsidRPr="004F469F">
        <w:fldChar w:fldCharType="begin" w:fldLock="1"/>
      </w:r>
      <w:r w:rsidR="004018A9">
        <w:instrText>ADDIN CSL_CITATION {"citationItems":[{"id":"ITEM-1","itemData":{"DOI":"10.18128/D050.V12.0","author":[{"dropping-particle":"","family":"Manson","given":"Steven","non-dropping-particle":"","parse-names":false,"suffix":""},{"dropping-particle":"","family":"Schroeder","given":"Jonathan","non-dropping-particle":"","parse-names":false,"suffix":""},{"dropping-particle":"","family":"Riper","given":"David","non-dropping-particle":"Van","parse-names":false,"suffix":""},{"dropping-particle":"","family":"Ruggles","given":"Steven","non-dropping-particle":"","parse-names":false,"suffix":""}],"id":"ITEM-1","issued":{"date-parts":[["2017"]]},"publisher":"University of Minnesota","publisher-place":"Minneapolis, MN","title":"IPUMS National Historical Geographic Information System: Version 12.0","type":"article"},"uris":["http://www.mendeley.com/documents/?uuid=a7fc725c-c521-4f18-ba5c-c97fad53860b"]}],"mendeley":{"formattedCitation":"(Manson et al., 2017)","manualFormatting":"Manson et al., 2017)","plainTextFormattedCitation":"(Manson et al., 2017)","previouslyFormattedCitation":"(Manson et al., 2017)"},"properties":{"noteIndex":0},"schema":"https://github.com/citation-style-language/schema/raw/master/csl-citation.json"}</w:instrText>
      </w:r>
      <w:r w:rsidR="00CC0097" w:rsidRPr="004F469F">
        <w:fldChar w:fldCharType="separate"/>
      </w:r>
      <w:r w:rsidR="0010658B" w:rsidRPr="00123266">
        <w:rPr>
          <w:noProof/>
        </w:rPr>
        <w:t xml:space="preserve">Manson </w:t>
      </w:r>
      <w:r w:rsidR="0010658B" w:rsidRPr="00453357">
        <w:rPr>
          <w:i/>
          <w:iCs/>
          <w:noProof/>
        </w:rPr>
        <w:t>et al.</w:t>
      </w:r>
      <w:r w:rsidR="0010658B" w:rsidRPr="00123266">
        <w:rPr>
          <w:noProof/>
        </w:rPr>
        <w:t>, 2017)</w:t>
      </w:r>
      <w:r w:rsidR="00CC0097" w:rsidRPr="004F469F">
        <w:fldChar w:fldCharType="end"/>
      </w:r>
      <w:r w:rsidRPr="004F469F">
        <w:t>. We used county-level data from 1880 to 2010 for the violent tornado climatology and sensitivity test, tract and block group level data from 2000 for the sensitivity test, and block-level data from 1990 to 2010 for the sensitivity test as well as for our primary analysis.</w:t>
      </w:r>
    </w:p>
    <w:p w14:paraId="522D0DDE" w14:textId="5531D9CC" w:rsidR="008F1B78" w:rsidRPr="004F469F" w:rsidRDefault="008F1B78" w:rsidP="00435B08">
      <w:pPr>
        <w:spacing w:after="120" w:line="480" w:lineRule="auto"/>
        <w:ind w:firstLine="720"/>
      </w:pPr>
      <w:r w:rsidRPr="004F469F">
        <w:t xml:space="preserve">We obtained historical violent tornado data for 1880 to 2016 from two sources: tornado reports from a long-term study of US tornadoes by Tom Grazulis, hereafter referred to as the Grazulis dataset (1880 </w:t>
      </w:r>
      <w:r w:rsidR="00CC0097" w:rsidRPr="004F469F">
        <w:t>–</w:t>
      </w:r>
      <w:r w:rsidRPr="004F469F">
        <w:t xml:space="preserve"> 1994</w:t>
      </w:r>
      <w:r w:rsidR="004018A9">
        <w:t>;</w:t>
      </w:r>
      <w:r w:rsidR="00CC0097" w:rsidRPr="004F469F">
        <w:t xml:space="preserve"> </w:t>
      </w:r>
      <w:r w:rsidR="00CC0097" w:rsidRPr="004F469F">
        <w:fldChar w:fldCharType="begin" w:fldLock="1"/>
      </w:r>
      <w:r w:rsidR="004018A9">
        <w:instrText>ADDIN CSL_CITATION {"citationItems":[{"id":"ITEM-1","itemData":{"ISBN":"187936204X","author":[{"dropping-particle":"","family":"Grazulis","given":"Thomas P.","non-dropping-particle":"","parse-names":false,"suffix":""}],"id":"ITEM-1","issued":{"date-parts":[["1997"]]},"number-of-pages":"118","publisher":"Environmental Films","title":"Significant Tornadoes (Update): 1992-1995","type":"book"},"uris":["http://www.mendeley.com/documents/?uuid=df4baf2d-949a-47b7-a427-d4d2d13ea34d"]},{"id":"ITEM-2","itemData":{"ISBN":"1879362031","author":[{"dropping-particle":"","family":"Grazulis","given":"Thomas P.","non-dropping-particle":"","parse-names":false,"suffix":""}],"id":"ITEM-2","issued":{"date-parts":[["1993"]]},"number-of-pages":"1326","publisher":"Enviromental Films","title":"Significant Tornadoes: 1680-1991","type":"book"},"uris":["http://www.mendeley.com/documents/?uuid=38eac11f-29c5-48cb-8964-889060b73087"]}],"mendeley":{"formattedCitation":"(Grazulis, 1993, 1997)","manualFormatting":"Grazulis, 1993, 1997)","plainTextFormattedCitation":"(Grazulis, 1993, 1997)","previouslyFormattedCitation":"(Grazulis, 1993, 1997)"},"properties":{"noteIndex":0},"schema":"https://github.com/citation-style-language/schema/raw/master/csl-citation.json"}</w:instrText>
      </w:r>
      <w:r w:rsidR="00CC0097" w:rsidRPr="004F469F">
        <w:fldChar w:fldCharType="separate"/>
      </w:r>
      <w:r w:rsidR="00C31A1B" w:rsidRPr="004F469F">
        <w:rPr>
          <w:noProof/>
        </w:rPr>
        <w:t>Grazulis, 1993, 1997)</w:t>
      </w:r>
      <w:r w:rsidR="00CC0097" w:rsidRPr="004F469F">
        <w:fldChar w:fldCharType="end"/>
      </w:r>
      <w:r w:rsidRPr="004F469F">
        <w:t xml:space="preserve">, and tornado tracks from the US Storm Prediction Center's (SPC) SVRGIS database, hereafter referred to as the SPC dataset (1995 </w:t>
      </w:r>
      <w:r w:rsidR="00CC0097" w:rsidRPr="004F469F">
        <w:t>–</w:t>
      </w:r>
      <w:r w:rsidRPr="004F469F">
        <w:t xml:space="preserve"> </w:t>
      </w:r>
      <w:r w:rsidRPr="004F469F">
        <w:lastRenderedPageBreak/>
        <w:t>2016</w:t>
      </w:r>
      <w:r w:rsidR="004018A9">
        <w:t>;</w:t>
      </w:r>
      <w:r w:rsidR="00CC0097" w:rsidRPr="004F469F">
        <w:t xml:space="preserve"> </w:t>
      </w:r>
      <w:r w:rsidR="00CC0097" w:rsidRPr="004F469F">
        <w:fldChar w:fldCharType="begin" w:fldLock="1"/>
      </w:r>
      <w:r w:rsidR="004018A9">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2017)","manualFormatting":"SPC, 2017)","plainTextFormattedCitation":"(SPC, 2017)","previouslyFormattedCitation":"(SPC, 2017)"},"properties":{"noteIndex":0},"schema":"https://github.com/citation-style-language/schema/raw/master/csl-citation.json"}</w:instrText>
      </w:r>
      <w:r w:rsidR="00CC0097" w:rsidRPr="004F469F">
        <w:fldChar w:fldCharType="separate"/>
      </w:r>
      <w:r w:rsidR="00CC0097" w:rsidRPr="004F469F">
        <w:rPr>
          <w:noProof/>
        </w:rPr>
        <w:t>SPC, 2017)</w:t>
      </w:r>
      <w:r w:rsidR="00CC0097" w:rsidRPr="004F469F">
        <w:fldChar w:fldCharType="end"/>
      </w:r>
      <w:r w:rsidRPr="004F469F">
        <w:t xml:space="preserve">. The starting year was selected as 1880 as this is the period after which John Park Finley started collecting regular tornado reports </w:t>
      </w:r>
      <w:r w:rsidR="00CC0097" w:rsidRPr="004F469F">
        <w:fldChar w:fldCharType="begin" w:fldLock="1"/>
      </w:r>
      <w:r w:rsidR="0010658B">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Forecasting","id":"ITEM-2","issue":"3","issued":{"date-parts":[["2002"]]},"page":"354-361","title":"Deaths in the 3 May 1999 Oklahoma City Tornado from a Historical Perspective","type":"article-journal","volume":"17"},"uris":["http://www.mendeley.com/documents/?uuid=5eb3ce29-8c0e-406f-9550-7fedc326e547"]}],"mendeley":{"formattedCitation":"(Brooks and Doswell, 2002; Ashley, 2007)","plainTextFormattedCitation":"(Brooks and Doswell, 2002; Ashley, 2007)","previouslyFormattedCitation":"(Brooks and Doswell, 2002; Ashley, 2007)"},"properties":{"noteIndex":0},"schema":"https://github.com/citation-style-language/schema/raw/master/csl-citation.json"}</w:instrText>
      </w:r>
      <w:r w:rsidR="00CC0097" w:rsidRPr="004F469F">
        <w:fldChar w:fldCharType="separate"/>
      </w:r>
      <w:r w:rsidR="0010658B" w:rsidRPr="0010658B">
        <w:rPr>
          <w:noProof/>
        </w:rPr>
        <w:t>(Brooks and Doswell, 2002; Ashley, 2007)</w:t>
      </w:r>
      <w:r w:rsidR="00CC0097" w:rsidRPr="004F469F">
        <w:fldChar w:fldCharType="end"/>
      </w:r>
      <w:r w:rsidRPr="004F469F">
        <w:t xml:space="preserve">. These reports and tracks were collected from both amateur and professional observers and included information on the time and location, size and intensity, and the damage and casualties caused by each tornado. Many articles discuss the quality problems inherent in this data including errors in report accuracy and consistency </w:t>
      </w:r>
      <w:r w:rsidR="00CC0097" w:rsidRPr="004F469F">
        <w:fldChar w:fldCharType="begin" w:fldLock="1"/>
      </w:r>
      <w:r w:rsidR="0010658B">
        <w:instrText>ADDIN CSL_CITATION {"citationItems":[{"id":"ITEM-1","itemData":{"DOI":"10.1175/1520-0493(1988)116&lt;0495:OSIOUS&gt;2.0.CO;2","author":[{"dropping-particle":"","family":"Doswell","given":"Charles A. III","non-dropping-particle":"","parse-names":false,"suffix":""},{"dropping-particle":"","family":"Burgess","given":"Donald W.","non-dropping-particle":"","parse-names":false,"suffix":""}],"container-title":"Monthly Weather Review","id":"ITEM-1","issue":"2","issued":{"date-parts":[["1988"]]},"page":"495-501","title":"On some issues of United States tornado climatology","type":"article-journal","volume":"116"},"uris":["http://www.mendeley.com/documents/?uuid=0a116520-4b4d-4cce-b548-6bf2b6e4dd32"]},{"id":"ITEM-2","itemData":{"ISBN":"1879362031","author":[{"dropping-particle":"","family":"Grazulis","given":"Thomas P.","non-dropping-particle":"","parse-names":false,"suffix":""}],"id":"ITEM-2","issued":{"date-parts":[["1993"]]},"number-of-pages":"1326","publisher":"Enviromental Films","title":"Significant Tornadoes: 1680-1991","type":"book"},"uris":["http://www.mendeley.com/documents/?uuid=38eac11f-29c5-48cb-8964-889060b73087"]}],"mendeley":{"formattedCitation":"(Doswell and Burgess, 1988; Grazulis, 1993)","plainTextFormattedCitation":"(Doswell and Burgess, 1988; Grazulis, 1993)","previouslyFormattedCitation":"(Doswell and Burgess, 1988; Grazulis, 1993)"},"properties":{"noteIndex":0},"schema":"https://github.com/citation-style-language/schema/raw/master/csl-citation.json"}</w:instrText>
      </w:r>
      <w:r w:rsidR="00CC0097" w:rsidRPr="004F469F">
        <w:fldChar w:fldCharType="separate"/>
      </w:r>
      <w:r w:rsidR="0010658B" w:rsidRPr="0010658B">
        <w:rPr>
          <w:noProof/>
        </w:rPr>
        <w:t>(Doswell and Burgess, 1988; Grazulis, 1993)</w:t>
      </w:r>
      <w:r w:rsidR="00CC0097" w:rsidRPr="004F469F">
        <w:fldChar w:fldCharType="end"/>
      </w:r>
      <w:r w:rsidRPr="004F469F">
        <w:t xml:space="preserve">, limits of using damage to assess tornado intensity </w:t>
      </w:r>
      <w:r w:rsidR="00CC0097" w:rsidRPr="004F469F">
        <w:fldChar w:fldCharType="begin" w:fldLock="1"/>
      </w:r>
      <w:r w:rsidR="00123266">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1954-2003","type":"article-journal","volume":"21"},"uris":["http://www.mendeley.com/documents/?uuid=158f941c-21cf-45f6-9bc6-7f308a153955"]}],"mendeley":{"formattedCitation":"(Verbout et al., 2006)","plainTextFormattedCitation":"(Verbout et al., 2006)","previouslyFormattedCitation":"(Verbout et al., 2006)"},"properties":{"noteIndex":0},"schema":"https://github.com/citation-style-language/schema/raw/master/csl-citation.json"}</w:instrText>
      </w:r>
      <w:r w:rsidR="00CC0097" w:rsidRPr="004F469F">
        <w:fldChar w:fldCharType="separate"/>
      </w:r>
      <w:r w:rsidR="0010658B" w:rsidRPr="00123266">
        <w:rPr>
          <w:noProof/>
        </w:rPr>
        <w:t xml:space="preserve">(Verbout </w:t>
      </w:r>
      <w:r w:rsidR="0010658B" w:rsidRPr="00453357">
        <w:rPr>
          <w:i/>
          <w:iCs/>
          <w:noProof/>
        </w:rPr>
        <w:t>et al.</w:t>
      </w:r>
      <w:r w:rsidR="0010658B" w:rsidRPr="00123266">
        <w:rPr>
          <w:noProof/>
        </w:rPr>
        <w:t>, 2006)</w:t>
      </w:r>
      <w:r w:rsidR="00CC0097" w:rsidRPr="004F469F">
        <w:fldChar w:fldCharType="end"/>
      </w:r>
      <w:r w:rsidRPr="004F469F">
        <w:t xml:space="preserve">, and changes in reporting methodology </w:t>
      </w:r>
      <w:r w:rsidR="00CC0097" w:rsidRPr="004F469F">
        <w:fldChar w:fldCharType="begin" w:fldLock="1"/>
      </w:r>
      <w:r w:rsidR="00123266">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destruction","type":"article-journal","volume":"53"},"uris":["http://www.mendeley.com/documents/?uuid=881c0ace-6e18-4d86-b1bd-d5c869df82d2"]},{"id":"ITEM-2","itemData":{"DOI":"10.1002/met.1552","abstract":"Determining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Applications","id":"ITEM-2","issue":"2","issued":{"date-parts":[["2016"]]},"page":"269-281","title":"A Monte Carlo model for estimating tornado impacts","type":"article-journal","volume":"23"},"uris":["http://www.mendeley.com/documents/?uuid=35120d27-7369-4b8b-a188-dbf511d1ef98"]}],"mendeley":{"formattedCitation":"(Agee and Childs, 2014; Strader et al., 2016)","plainTextFormattedCitation":"(Agee and Childs, 2014; Strader et al., 2016)","previouslyFormattedCitation":"(Agee and Childs, 2014; Strader et al., 2016)"},"properties":{"noteIndex":0},"schema":"https://github.com/citation-style-language/schema/raw/master/csl-citation.json"}</w:instrText>
      </w:r>
      <w:r w:rsidR="00CC0097" w:rsidRPr="004F469F">
        <w:fldChar w:fldCharType="separate"/>
      </w:r>
      <w:r w:rsidR="00123266" w:rsidRPr="00123266">
        <w:rPr>
          <w:noProof/>
        </w:rPr>
        <w:t xml:space="preserve">(Agee and Childs, 2014; Strader </w:t>
      </w:r>
      <w:r w:rsidR="00123266" w:rsidRPr="00453357">
        <w:rPr>
          <w:i/>
          <w:iCs/>
          <w:noProof/>
        </w:rPr>
        <w:t>et al.</w:t>
      </w:r>
      <w:r w:rsidR="00123266" w:rsidRPr="00123266">
        <w:rPr>
          <w:noProof/>
        </w:rPr>
        <w:t>, 2016)</w:t>
      </w:r>
      <w:r w:rsidR="00CC0097" w:rsidRPr="004F469F">
        <w:fldChar w:fldCharType="end"/>
      </w:r>
      <w:r w:rsidR="00CC0097" w:rsidRPr="004F469F">
        <w:t>.</w:t>
      </w:r>
    </w:p>
    <w:p w14:paraId="2579EF9E" w14:textId="648440DC" w:rsidR="008F1B78" w:rsidRPr="004F469F" w:rsidRDefault="008F1B78" w:rsidP="00435B08">
      <w:pPr>
        <w:spacing w:after="120" w:line="480" w:lineRule="auto"/>
        <w:ind w:firstLine="720"/>
      </w:pPr>
      <w:r w:rsidRPr="004F469F">
        <w:t xml:space="preserve">Two of these quality problems are particularly relevant for this analysis: changes in width reporting and use of damage-based intensity ratings. In 1995, the Storm Prediction Center switched from reporting tornado widths as the mean width of the path to the maximum width </w:t>
      </w:r>
      <w:r w:rsidR="00CC0097" w:rsidRPr="004F469F">
        <w:fldChar w:fldCharType="begin" w:fldLock="1"/>
      </w:r>
      <w:r w:rsidR="00123266">
        <w:instrText>ADDIN CSL_CITATION {"citationItems":[{"id":"ITEM-1","itemData":{"ISBN":"1520-0434","author":[{"dropping-particle":"","family":"Brooks","given":"Harold E.","non-dropping-particle":"","parse-names":false,"suffix":""}],"container-title":"Weather and Forecasting","id":"ITEM-1","issue":"2","issued":{"date-parts":[["2004"]]},"page":"310-319","title":"On the relationship of tornado path length and width to intensity","type":"article-journal","volume":"19"},"uris":["http://www.mendeley.com/documents/?uuid=6daeec75-3842-49f0-aef9-47e2969531ed"]},{"id":"ITEM-2","itemData":{"author":[{"dropping-particle":"","family":"Ashley","given":"Walker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illinois","type":"article-journal","volume":"6"},"uris":["http://www.mendeley.com/documents/?uuid=0e441156-498a-43d6-9545-e97b6fa0d5df"]}],"mendeley":{"formattedCitation":"(Brooks, 2004; Ashley et al., 2014)","plainTextFormattedCitation":"(Brooks, 2004; Ashley et al., 2014)","previouslyFormattedCitation":"(Brooks, 2004; Ashley et al., 2014)"},"properties":{"noteIndex":0},"schema":"https://github.com/citation-style-language/schema/raw/master/csl-citation.json"}</w:instrText>
      </w:r>
      <w:r w:rsidR="00CC0097" w:rsidRPr="004F469F">
        <w:fldChar w:fldCharType="separate"/>
      </w:r>
      <w:r w:rsidR="0010658B" w:rsidRPr="00123266">
        <w:rPr>
          <w:noProof/>
        </w:rPr>
        <w:t xml:space="preserve">(Brooks, 2004; Ashley </w:t>
      </w:r>
      <w:r w:rsidR="0010658B" w:rsidRPr="00453357">
        <w:rPr>
          <w:i/>
          <w:iCs/>
          <w:noProof/>
        </w:rPr>
        <w:t>et al.</w:t>
      </w:r>
      <w:r w:rsidR="0010658B" w:rsidRPr="00123266">
        <w:rPr>
          <w:noProof/>
        </w:rPr>
        <w:t>, 2014)</w:t>
      </w:r>
      <w:r w:rsidR="00CC0097" w:rsidRPr="004F469F">
        <w:fldChar w:fldCharType="end"/>
      </w:r>
      <w:r w:rsidRPr="004F469F">
        <w:t xml:space="preserve">. This switch resulted in significantly larger widths after 1994 </w:t>
      </w:r>
      <w:r w:rsidR="000B1FE2" w:rsidRPr="004F469F">
        <w:fldChar w:fldCharType="begin" w:fldLock="1"/>
      </w:r>
      <w:r w:rsidR="00123266">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destruction","type":"article-journal","volume":"53"},"uris":["http://www.mendeley.com/documents/?uuid=881c0ace-6e18-4d86-b1bd-d5c869df82d2"]},{"id":"ITEM-2","itemData":{"DOI":"10.1002/met.1482","ISBN":"1350-4827","ISSN":"14698080","abstract":"An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assessments","type":"article-journal","volume":"22"},"uris":["http://www.mendeley.com/documents/?uuid=e4377686-df2f-4b6e-9560-9cec9e268521"]}],"mendeley":{"formattedCitation":"(Agee and Childs, 2014; Strader et al., 2015)","plainTextFormattedCitation":"(Agee and Childs, 2014; Strader et al., 2015)","previouslyFormattedCitation":"(Agee and Childs, 2014; Strader et al., 2015)"},"properties":{"noteIndex":0},"schema":"https://github.com/citation-style-language/schema/raw/master/csl-citation.json"}</w:instrText>
      </w:r>
      <w:r w:rsidR="000B1FE2" w:rsidRPr="004F469F">
        <w:fldChar w:fldCharType="separate"/>
      </w:r>
      <w:r w:rsidR="0010658B" w:rsidRPr="00123266">
        <w:rPr>
          <w:noProof/>
        </w:rPr>
        <w:t xml:space="preserve">(Agee and Childs, 2014; Strader </w:t>
      </w:r>
      <w:r w:rsidR="0010658B" w:rsidRPr="00453357">
        <w:rPr>
          <w:i/>
          <w:iCs/>
          <w:noProof/>
        </w:rPr>
        <w:t>et al.</w:t>
      </w:r>
      <w:r w:rsidR="0010658B" w:rsidRPr="00123266">
        <w:rPr>
          <w:noProof/>
        </w:rPr>
        <w:t>, 2015)</w:t>
      </w:r>
      <w:r w:rsidR="000B1FE2" w:rsidRPr="004F469F">
        <w:fldChar w:fldCharType="end"/>
      </w:r>
      <w:r w:rsidRPr="004F469F">
        <w:t xml:space="preserve"> and introduced a source of error in estimating tornado exposure. Previous studies have resolved this inconsistency by using only tornadoes after 1995 </w:t>
      </w:r>
      <w:r w:rsidR="000B1FE2"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assessments","type":"article-journal","volume":"22"},"uris":["http://www.mendeley.com/documents/?uuid=e4377686-df2f-4b6e-9560-9cec9e268521"]}],"mendeley":{"formattedCitation":"(Ashley et al., 2014; Strader et al., 2015)","plainTextFormattedCitation":"(Ashley et al., 2014; Strader et al., 2015)","previouslyFormattedCitation":"(Ashley et al., 2014; Strader et al., 2015)"},"properties":{"noteIndex":0},"schema":"https://github.com/citation-style-language/schema/raw/master/csl-citation.json"}</w:instrText>
      </w:r>
      <w:r w:rsidR="000B1FE2" w:rsidRPr="004F469F">
        <w:fldChar w:fldCharType="separate"/>
      </w:r>
      <w:r w:rsidR="0010658B" w:rsidRPr="00123266">
        <w:rPr>
          <w:noProof/>
        </w:rPr>
        <w:t xml:space="preserve">(Ashley </w:t>
      </w:r>
      <w:r w:rsidR="0010658B" w:rsidRPr="00453357">
        <w:rPr>
          <w:i/>
          <w:iCs/>
          <w:noProof/>
        </w:rPr>
        <w:t>et al.</w:t>
      </w:r>
      <w:r w:rsidR="0010658B" w:rsidRPr="00123266">
        <w:rPr>
          <w:noProof/>
        </w:rPr>
        <w:t xml:space="preserve">, 2014; Strader </w:t>
      </w:r>
      <w:r w:rsidR="0010658B" w:rsidRPr="00453357">
        <w:rPr>
          <w:i/>
          <w:iCs/>
          <w:noProof/>
        </w:rPr>
        <w:t>et al.</w:t>
      </w:r>
      <w:r w:rsidR="0010658B" w:rsidRPr="00123266">
        <w:rPr>
          <w:noProof/>
        </w:rPr>
        <w:t>, 2015)</w:t>
      </w:r>
      <w:r w:rsidR="000B1FE2" w:rsidRPr="004F469F">
        <w:fldChar w:fldCharType="end"/>
      </w:r>
      <w:r w:rsidRPr="004F469F">
        <w:t xml:space="preserve"> or adjusting the widths before 1995 by adding the difference in the mean width between the two periods </w:t>
      </w:r>
      <w:r w:rsidR="000B1FE2" w:rsidRPr="004F469F">
        <w:fldChar w:fldCharType="begin" w:fldLock="1"/>
      </w:r>
      <w:r w:rsidR="0010658B">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destruction","type":"article-journal","volume":"53"},"uris":["http://www.mendeley.com/documents/?uuid=881c0ace-6e18-4d86-b1bd-d5c869df82d2"]}],"mendeley":{"formattedCitation":"(Agee and Childs, 2014)","plainTextFormattedCitation":"(Agee and Childs, 2014)","previouslyFormattedCitation":"(Agee and Childs, 2014)"},"properties":{"noteIndex":0},"schema":"https://github.com/citation-style-language/schema/raw/master/csl-citation.json"}</w:instrText>
      </w:r>
      <w:r w:rsidR="000B1FE2" w:rsidRPr="004F469F">
        <w:fldChar w:fldCharType="separate"/>
      </w:r>
      <w:r w:rsidR="0010658B" w:rsidRPr="0010658B">
        <w:rPr>
          <w:noProof/>
        </w:rPr>
        <w:t>(Agee and Childs, 2014)</w:t>
      </w:r>
      <w:r w:rsidR="000B1FE2" w:rsidRPr="004F469F">
        <w:fldChar w:fldCharType="end"/>
      </w:r>
      <w:r w:rsidRPr="004F469F">
        <w:t xml:space="preserve"> or defining a standard width to use for all tornadoes based on the intensity </w:t>
      </w:r>
      <w:r w:rsidR="000B1FE2" w:rsidRPr="004F469F">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0B1FE2" w:rsidRPr="004F469F">
        <w:fldChar w:fldCharType="separate"/>
      </w:r>
      <w:r w:rsidR="0010658B" w:rsidRPr="0010658B">
        <w:rPr>
          <w:noProof/>
        </w:rPr>
        <w:t>(Ashley and Strader, 2016)</w:t>
      </w:r>
      <w:r w:rsidR="000B1FE2" w:rsidRPr="004F469F">
        <w:fldChar w:fldCharType="end"/>
      </w:r>
      <w:r w:rsidRPr="004F469F">
        <w:t xml:space="preserve">. We chose to employ the prior method and started our analysis in 1995 since the required block-level population data was only available nationally after 1990 </w:t>
      </w:r>
      <w:r w:rsidR="000B1FE2"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0B1FE2"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0B1FE2" w:rsidRPr="004F469F">
        <w:fldChar w:fldCharType="end"/>
      </w:r>
      <w:r w:rsidR="000B1FE2" w:rsidRPr="004F469F">
        <w:t>.</w:t>
      </w:r>
    </w:p>
    <w:p w14:paraId="51EA3E70" w14:textId="5A3026CF" w:rsidR="008F1B78" w:rsidRPr="004F469F" w:rsidRDefault="008F1B78" w:rsidP="00435B08">
      <w:pPr>
        <w:spacing w:after="120" w:line="480" w:lineRule="auto"/>
        <w:ind w:firstLine="720"/>
      </w:pPr>
      <w:r w:rsidRPr="004F469F">
        <w:t xml:space="preserve">Tornado intensity was estimated using the [Enhanced] Fujita ([E]F) scale, a scale that measures the degree of damage (DoD; </w:t>
      </w:r>
      <w:r w:rsidRPr="004F469F">
        <w:rPr>
          <w:i/>
          <w:iCs/>
        </w:rPr>
        <w:t>i.e.</w:t>
      </w:r>
      <w:r w:rsidRPr="004F469F">
        <w:t xml:space="preserve">, magnitude of damage to an object) a tornado causes to various damage indicators (DI; </w:t>
      </w:r>
      <w:r w:rsidRPr="004F469F">
        <w:rPr>
          <w:i/>
          <w:iCs/>
        </w:rPr>
        <w:t>e.g.</w:t>
      </w:r>
      <w:r w:rsidRPr="004F469F">
        <w:t xml:space="preserve">, mobile homes, trees) and relates it, empirically, to a wind speed. The scale was originally devised by T. Theodore Fujita and colleagues in the 1970s, after </w:t>
      </w:r>
      <w:r w:rsidRPr="004F469F">
        <w:lastRenderedPageBreak/>
        <w:t xml:space="preserve">the completion of many detailed tornado damage surveys, in reference to the damage caused to "well built" one- and two-family homes </w:t>
      </w:r>
      <w:r w:rsidR="000B1FE2" w:rsidRPr="004F469F">
        <w:fldChar w:fldCharType="begin" w:fldLock="1"/>
      </w:r>
      <w:r w:rsidR="0010658B">
        <w:instrText>ADDIN CSL_CITATION {"citationItems":[{"id":"ITEM-1","itemData":{"author":[{"dropping-particle":"","family":"Fujita","given":"T. Theodore","non-dropping-particle":"","parse-names":false,"suffix":""}],"collection-title":"Satellite &amp; Mesometeorology Research Project","id":"ITEM-1","issue":"91","issued":{"date-parts":[["1971"]]},"number":"91","number-of-pages":"42","publisher-place":"Chicago, IL","title":"Proposed characterization of tornadoes and hurricanes by area and intensity","type":"report"},"uris":["http://www.mendeley.com/documents/?uuid=715c6228-9ad8-4359-b35d-ddad5c23c571"]},{"id":"ITEM-2","itemData":{"author":[{"dropping-particle":"","family":"Fujita","given":"T Theodore","non-dropping-particle":"","parse-names":false,"suffix":""},{"dropping-particle":"","family":"Pearson","given":"Allen D","non-dropping-particle":"","parse-names":false,"suffix":""}],"container-title":"Bulletin of the American Meteorological Society","id":"ITEM-2","issue":"6","issued":{"date-parts":[["1973"]]},"title":"Results of FPP classification of 1971 and 1972 tornadoes","type":"paper-conference","volume":"54"},"uris":["http://www.mendeley.com/documents/?uuid=a391cc31-b0dd-494d-accf-6c7fbbfce238"]},{"id":"ITEM-3","itemData":{"author":[{"dropping-particle":"","family":"Abbey","given":"Robert F.","non-dropping-particle":"","parse-names":false,"suffix":""}],"container-title":"Proceedings of the Symposium on Tornadoes: Assessment of Knowledge and Implications for Man","editor":[{"dropping-particle":"","family":"Abbey","given":"Robert F.","non-dropping-particle":"","parse-names":false,"suffix":""},{"dropping-particle":"","family":"Mehta","given":"Kishor C.","non-dropping-particle":"","parse-names":false,"suffix":""}],"id":"ITEM-3","issued":{"date-parts":[["1976"]]},"page":"177-236","publisher-place":"Lubbock, TX","title":"Risk probabilities associated with tornado wind speeds","type":"paper-conference"},"uris":["http://www.mendeley.com/documents/?uuid=2687ccdf-18a8-4650-b6c9-044c3fcd2cf2"]}],"mendeley":{"formattedCitation":"(Fujita, 1971; Fujita and Pearson, 1973; Abbey, 1976)","plainTextFormattedCitation":"(Fujita, 1971; Fujita and Pearson, 1973; Abbey, 1976)","previouslyFormattedCitation":"(Fujita, 1971; Fujita and Pearson, 1973; Abbey, 1976)"},"properties":{"noteIndex":0},"schema":"https://github.com/citation-style-language/schema/raw/master/csl-citation.json"}</w:instrText>
      </w:r>
      <w:r w:rsidR="000B1FE2" w:rsidRPr="004F469F">
        <w:fldChar w:fldCharType="separate"/>
      </w:r>
      <w:r w:rsidR="0010658B" w:rsidRPr="0010658B">
        <w:rPr>
          <w:noProof/>
        </w:rPr>
        <w:t>(Fujita, 1971; Fujita and Pearson, 1973; Abbey, 1976)</w:t>
      </w:r>
      <w:r w:rsidR="000B1FE2" w:rsidRPr="004F469F">
        <w:fldChar w:fldCharType="end"/>
      </w:r>
      <w:r w:rsidRPr="004F469F">
        <w:t>. Many flaws were noticed in the F scale including too few DIs, especially in rural areas</w:t>
      </w:r>
      <w:r w:rsidR="000B1FE2" w:rsidRPr="004F469F">
        <w:t xml:space="preserve"> </w:t>
      </w:r>
      <w:r w:rsidR="000B1FE2" w:rsidRPr="004F469F">
        <w:fldChar w:fldCharType="begin" w:fldLock="1"/>
      </w:r>
      <w:r w:rsidR="00123266">
        <w:instrText>ADDIN CSL_CITATION {"citationItems":[{"id":"ITEM-1","itemData":{"DOI":"10.1175/1520-0493(1988)116&lt;0495:OSIOUS&gt;2.0.CO;2","author":[{"dropping-particle":"","family":"Doswell","given":"Charles A. III","non-dropping-particle":"","parse-names":false,"suffix":""},{"dropping-particle":"","family":"Burgess","given":"Donald W.","non-dropping-particle":"","parse-names":false,"suffix":""}],"container-title":"Monthly Weather Review","id":"ITEM-1","issue":"2","issued":{"date-parts":[["1988"]]},"page":"495-501","title":"On some issues of United States tornado climatology","type":"article-journal","volume":"116"},"uris":["http://www.mendeley.com/documents/?uuid=0a116520-4b4d-4cce-b548-6bf2b6e4dd32"]},{"id":"ITEM-2","itemData":{"DOI":"10.1016/j.atmosres.2008.11.003","ISBN":"0169-8095","ISSN":"01698095","abstract":"The history of tornado intensity rating in the United States of America (USA), pioneered by T. Fujita, is reviewed, showing that non-meteorological changes in the climatology of the tornado intensity ratings are likely, raising questions about the temporal (and spatial) consistency of the ratings. Although the Fujita scale (F-scale) originally was formulated as a peak wind speed scale for tornadoes, it necessarily has been implemented using damage to estimate the wind speed. Complexities of the damage-wind speed relationship are discussed. Recently, the Fujita scale has been replaced in the USA as the official system for rating tornado intensity by the so-called Enhanced Fujita scale (EF-scale). Several features of the new rating system are reviewed and discussed in the context of a proposed set of desirable features of a tornado intensity rating system. It is concluded that adoption of the EF-scale in the USA may have been premature, especially if it is to serve as a model for how to rate tornado intensity outside of the USA. This is in large part because its degree of damage measures used for estimating wind speeds are based on USA-specific construction practices. It is also concluded that the USA's tornado intensity rating system has been compromised by secular changes in how the F-scale has been applied, most recently by the adoption of the EF-scale. Several recommendations are offered as possible ways to help develop an improved rating system that will be applicable worldwide. © 2008.","author":[{"dropping-particle":"","family":"Doswell","given":"Charles A. III","non-dropping-particle":"","parse-names":false,"suffix":""},{"dropping-particle":"","family":"Brooks","given":"Harold E.","non-dropping-particle":"","parse-names":false,"suffix":""},{"dropping-particle":"","family":"Dotzek","given":"Nikolai","non-dropping-particle":"","parse-names":false,"suffix":""}],"container-title":"Atmospheric Research","id":"ITEM-2","issue":"1-3","issued":{"date-parts":[["2009"]]},"page":"554-563","publisher":"Elsevier B.V.","title":"On the implementation of the enhanced Fujita scale in the USA","type":"article-journal","volume":"93"},"uris":["http://www.mendeley.com/documents/?uuid=d4e73825-e2d6-46de-9790-d3e00308854f"]}],"mendeley":{"formattedCitation":"(Doswell and Burgess, 1988; Doswell et al., 2009)","plainTextFormattedCitation":"(Doswell and Burgess, 1988; Doswell et al., 2009)","previouslyFormattedCitation":"(Doswell and Burgess, 1988; Doswell et al., 2009)"},"properties":{"noteIndex":0},"schema":"https://github.com/citation-style-language/schema/raw/master/csl-citation.json"}</w:instrText>
      </w:r>
      <w:r w:rsidR="000B1FE2" w:rsidRPr="004F469F">
        <w:fldChar w:fldCharType="separate"/>
      </w:r>
      <w:r w:rsidR="00123266" w:rsidRPr="00123266">
        <w:rPr>
          <w:noProof/>
        </w:rPr>
        <w:t xml:space="preserve">(Doswell and Burgess, 1988; Doswell </w:t>
      </w:r>
      <w:r w:rsidR="00123266" w:rsidRPr="00453357">
        <w:rPr>
          <w:i/>
          <w:iCs/>
          <w:noProof/>
        </w:rPr>
        <w:t>et al.</w:t>
      </w:r>
      <w:r w:rsidR="00123266" w:rsidRPr="00123266">
        <w:rPr>
          <w:noProof/>
        </w:rPr>
        <w:t>, 2009)</w:t>
      </w:r>
      <w:r w:rsidR="000B1FE2" w:rsidRPr="004F469F">
        <w:fldChar w:fldCharType="end"/>
      </w:r>
      <w:r w:rsidRPr="004F469F">
        <w:t>, the maximum intensity rating was limited by the presence of DIs and the wind speed required to cause the maximum DoD (</w:t>
      </w:r>
      <w:r w:rsidRPr="004F469F">
        <w:rPr>
          <w:i/>
          <w:iCs/>
        </w:rPr>
        <w:t>e.g.</w:t>
      </w:r>
      <w:r w:rsidRPr="004F469F">
        <w:t>, double-wide manufactured homes have their maximum DoD at 134 mph while one- and two-family residents have their maximum DoD at 200 mph</w:t>
      </w:r>
      <w:r w:rsidR="004018A9">
        <w:t>;</w:t>
      </w:r>
      <w:r w:rsidR="000B1FE2" w:rsidRPr="004F469F">
        <w:t xml:space="preserve"> </w:t>
      </w:r>
      <w:r w:rsidR="000B1FE2" w:rsidRPr="004F469F">
        <w:fldChar w:fldCharType="begin" w:fldLock="1"/>
      </w:r>
      <w:r w:rsidR="004018A9">
        <w:instrText>ADDIN CSL_CITATION {"citationItems":[{"id":"ITEM-1","itemData":{"abstract":"An Enhanced Fujita Scale (EF Scale) is proposed in this document. The enhanced scale addresses the major limitations of the original Fujita Scale that was first published in 1971. Additional damage indicators (DIs) are proposedalong with degrees of damage (DODs). Through an expert elicitation process, wind speeds corresponding to the described damage for each DOD are estimated. The estimated wind speed then determines the EF-Scale category appropriate for the observed damage. The categories range from EF0 to EF5. The wind speed ranges in each category are related to Fujita Scale ranges by a correlation function (Equation 1). This correlation between Fujita-Scale and EF-Scale wind speeds provides a link between the two scales and thus makes it possible to express a Fujita-Scale rating in terms of an EF-Scale rating. The only difference is the wind speed ranges in each scale. Thus, the historical tornado database is preserved and can be easily convertedto the criteria of the EF Scale. The problem of no DIs in open country remains. Research is currently underway to identify additional damage indicators and to obtain estimates of the wind speeds to cause defined damage. Of particular interest are damage to various crops, farm equipment, silos, grain storage facilities and irrigation equipment. These indicators can be incorporated as DIs in the EF Scale as reliable data become available. The technology of portable Doppler radar should also be a part of the EF Scale process, either as a direct measurement, when available, or as a means of validating the wind speeds estimated by the experts. The authors recommend that the EF Scale be given serious consideration for ultimately replacing the Fujita Scale as a means of rating the intensity of tornadoes. Additional refinements will be possible as experience is gained from use of the EF Scale.","author":[{"dropping-particle":"","family":"McDonald","given":"James R.","non-dropping-particle":"","parse-names":false,"suffix":""},{"dropping-particle":"","family":"Mehta","given":"Kishor C.","non-dropping-particle":"","parse-names":false,"suffix":""}],"id":"ITEM-1","issue":"June","issued":{"date-parts":[["2006"]]},"number-of-pages":"1-95","publisher":"Wind Science and Engineering Center, Texas Tech University","title":"A recommendation for an Enhanced Fujita scale (EF-Scale)","type":"book"},"uris":["http://www.mendeley.com/documents/?uuid=0528c8a3-3815-4aee-a1ee-61de7c06e67b"]},{"id":"ITEM-2","itemData":{"DOI":"10.1175/BAMS-D-11-00006.1","ISBN":"1520-0477","ISSN":"00030007","abstract":"During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Society","id":"ITEM-2","issue":"5","issued":{"date-parts":[["2013"]]},"page":"641-653","publisher":"American Meteorological Society","title":"Tornado intensity estimation: Past, present, and future","type":"article-journal","volume":"94"},"uris":["http://www.mendeley.com/documents/?uuid=1e2ce021-f934-4efa-92c8-266e5f8914c2"]}],"mendeley":{"formattedCitation":"(McDonald and Mehta, 2006a; Edwards et al., 2013)","manualFormatting":"McDonald and Mehta, 2006a; Edwards et al., 2013)","plainTextFormattedCitation":"(McDonald and Mehta, 2006a; Edwards et al., 2013)","previouslyFormattedCitation":"(McDonald and Mehta, 2006a; Edwards et al., 2013)"},"properties":{"noteIndex":0},"schema":"https://github.com/citation-style-language/schema/raw/master/csl-citation.json"}</w:instrText>
      </w:r>
      <w:r w:rsidR="000B1FE2" w:rsidRPr="004F469F">
        <w:fldChar w:fldCharType="separate"/>
      </w:r>
      <w:r w:rsidR="0010658B" w:rsidRPr="00123266">
        <w:rPr>
          <w:noProof/>
        </w:rPr>
        <w:t xml:space="preserve">McDonald and Mehta, 2006a; Edwards </w:t>
      </w:r>
      <w:r w:rsidR="0010658B" w:rsidRPr="00453357">
        <w:rPr>
          <w:i/>
          <w:iCs/>
          <w:noProof/>
        </w:rPr>
        <w:t>et al.</w:t>
      </w:r>
      <w:r w:rsidR="0010658B" w:rsidRPr="00123266">
        <w:rPr>
          <w:noProof/>
        </w:rPr>
        <w:t>, 2013)</w:t>
      </w:r>
      <w:r w:rsidR="000B1FE2" w:rsidRPr="004F469F">
        <w:fldChar w:fldCharType="end"/>
      </w:r>
      <w:r w:rsidRPr="004F469F">
        <w:t xml:space="preserve">, and according to wind engineers the maximum wind speeds for each intensity category were generally too high </w:t>
      </w:r>
      <w:r w:rsidR="00FC5042" w:rsidRPr="004F469F">
        <w:fldChar w:fldCharType="begin" w:fldLock="1"/>
      </w:r>
      <w:r w:rsidR="00123266">
        <w:instrText>ADDIN CSL_CITATION {"citationItems":[{"id":"ITEM-1","itemData":{"author":[{"dropping-particle":"","family":"McDonald","given":"J R","non-dropping-particle":"","parse-names":false,"suffix":""},{"dropping-particle":"","family":"Mehta","given":"K C","non-dropping-particle":"","parse-names":false,"suffix":""},{"dropping-particle":"","family":"Mani","given":"S","non-dropping-particle":"","parse-names":false,"suffix":""}],"container-title":"Symp. on the F-Scale and Severe-Weather Damage Assessment","id":"ITEM-1","issued":{"date-parts":[["2003"]]},"title":"F-scale modification process and proposed revisions. Preprints","type":"paper-conference"},"uris":["http://www.mendeley.com/documents/?uuid=05e1aefe-d15e-4904-b313-50b9ff549365"]}],"mendeley":{"formattedCitation":"(McDonald et al., 2003)","plainTextFormattedCitation":"(McDonald et al., 2003)","previouslyFormattedCitation":"(McDonald et al., 2003)"},"properties":{"noteIndex":0},"schema":"https://github.com/citation-style-language/schema/raw/master/csl-citation.json"}</w:instrText>
      </w:r>
      <w:r w:rsidR="00FC5042" w:rsidRPr="004F469F">
        <w:fldChar w:fldCharType="separate"/>
      </w:r>
      <w:r w:rsidR="00123266" w:rsidRPr="00123266">
        <w:rPr>
          <w:noProof/>
        </w:rPr>
        <w:t xml:space="preserve">(McDonald </w:t>
      </w:r>
      <w:r w:rsidR="00123266" w:rsidRPr="00453357">
        <w:rPr>
          <w:i/>
          <w:iCs/>
          <w:noProof/>
        </w:rPr>
        <w:t>et al.</w:t>
      </w:r>
      <w:r w:rsidR="00123266" w:rsidRPr="00123266">
        <w:rPr>
          <w:noProof/>
        </w:rPr>
        <w:t>, 2003)</w:t>
      </w:r>
      <w:r w:rsidR="00FC5042" w:rsidRPr="004F469F">
        <w:fldChar w:fldCharType="end"/>
      </w:r>
      <w:r w:rsidRPr="004F469F">
        <w:t>. These concerns led to the development and adoption of the Enhanced Fujita (EF) scale which provided 28 DIs a number of which are common in rural areas (</w:t>
      </w:r>
      <w:r w:rsidRPr="004F469F">
        <w:rPr>
          <w:i/>
          <w:iCs/>
        </w:rPr>
        <w:t>e.g.</w:t>
      </w:r>
      <w:r w:rsidRPr="004F469F">
        <w:t xml:space="preserve">, small barns, hardwood and softwood trees), as well as a more engineering-based understanding of the wind speeds required to cause damage/failure to various DIs </w:t>
      </w:r>
      <w:r w:rsidR="00FC5042" w:rsidRPr="004F469F">
        <w:fldChar w:fldCharType="begin" w:fldLock="1"/>
      </w:r>
      <w:r w:rsidR="00123266">
        <w:instrText>ADDIN CSL_CITATION {"citationItems":[{"id":"ITEM-1","itemData":{"DOI":"10.1175/BAMS-D-11-00006.1","ISBN":"1520-0477","ISSN":"00030007","abstract":"During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Society","id":"ITEM-1","issue":"5","issued":{"date-parts":[["2013"]]},"page":"641-653","publisher":"American Meteorological Society","title":"Tornado intensity estimation: Past, present, and future","type":"article-journal","volume":"94"},"uris":["http://www.mendeley.com/documents/?uuid=1e2ce021-f934-4efa-92c8-266e5f8914c2"]}],"mendeley":{"formattedCitation":"(Edwards et al., 2013)","plainTextFormattedCitation":"(Edwards et al., 2013)","previouslyFormattedCitation":"(Edwards et al., 2013)"},"properties":{"noteIndex":0},"schema":"https://github.com/citation-style-language/schema/raw/master/csl-citation.json"}</w:instrText>
      </w:r>
      <w:r w:rsidR="00FC5042" w:rsidRPr="004F469F">
        <w:fldChar w:fldCharType="separate"/>
      </w:r>
      <w:r w:rsidR="0010658B" w:rsidRPr="00123266">
        <w:rPr>
          <w:noProof/>
        </w:rPr>
        <w:t xml:space="preserve">(Edwards </w:t>
      </w:r>
      <w:r w:rsidR="0010658B" w:rsidRPr="00453357">
        <w:rPr>
          <w:i/>
          <w:iCs/>
          <w:noProof/>
        </w:rPr>
        <w:t>et al.</w:t>
      </w:r>
      <w:r w:rsidR="0010658B" w:rsidRPr="00123266">
        <w:rPr>
          <w:noProof/>
        </w:rPr>
        <w:t>, 2013)</w:t>
      </w:r>
      <w:r w:rsidR="00FC5042" w:rsidRPr="004F469F">
        <w:fldChar w:fldCharType="end"/>
      </w:r>
      <w:r w:rsidRPr="004F469F">
        <w:t>.  In the EF scale each DI has a maximum possible DoD, associated with an expected wind speed, so each DI has a maximum intensity rating associated with that wind speed that it can indicate (</w:t>
      </w:r>
      <w:r w:rsidRPr="004F469F">
        <w:rPr>
          <w:i/>
          <w:iCs/>
        </w:rPr>
        <w:t>e.g.</w:t>
      </w:r>
      <w:r w:rsidRPr="004F469F">
        <w:t>, double-wide manufactured homes are expected to be destroyed in 134 mph winds (EF2 range), so they cannot be used to indicate intensities over EF2).</w:t>
      </w:r>
    </w:p>
    <w:p w14:paraId="226A37D0" w14:textId="1FE1ADC0" w:rsidR="008F1B78" w:rsidRPr="004F469F" w:rsidRDefault="008F1B78" w:rsidP="00435B08">
      <w:pPr>
        <w:spacing w:after="120" w:line="480" w:lineRule="auto"/>
        <w:ind w:firstLine="720"/>
      </w:pPr>
      <w:r w:rsidRPr="004F469F">
        <w:t xml:space="preserve">The adoption of the EF scale helped alleviate some of the concerns with using the F scale to rate tornado intensity; however, for tornadoes that hit in rural areas, it is still very easy to either not hit any damage indicators or to not hit damage indicators with DoDs allowing for a rating of EF4-5. This implies that, historically, especially before the adoption of the EF scale in 2007, rural tornadoes may have been underrated and there may have been more violent tornadoes than the records currently indicate </w:t>
      </w:r>
      <w:r w:rsidR="00FC5042" w:rsidRPr="004F469F">
        <w:fldChar w:fldCharType="begin" w:fldLock="1"/>
      </w:r>
      <w:r w:rsidR="00123266">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assessments","type":"article-journal","volume":"22"},"uris":["http://www.mendeley.com/documents/?uuid=e4377686-df2f-4b6e-9560-9cec9e268521"]}],"mendeley":{"formattedCitation":"(Strader et al., 2015)","plainTextFormattedCitation":"(Strader et al., 2015)","previouslyFormattedCitation":"(Strader et al., 2015)"},"properties":{"noteIndex":0},"schema":"https://github.com/citation-style-language/schema/raw/master/csl-citation.json"}</w:instrText>
      </w:r>
      <w:r w:rsidR="00FC5042" w:rsidRPr="004F469F">
        <w:fldChar w:fldCharType="separate"/>
      </w:r>
      <w:r w:rsidR="0010658B" w:rsidRPr="00123266">
        <w:rPr>
          <w:noProof/>
        </w:rPr>
        <w:t xml:space="preserve">(Strader </w:t>
      </w:r>
      <w:r w:rsidR="0010658B" w:rsidRPr="00453357">
        <w:rPr>
          <w:i/>
          <w:iCs/>
          <w:noProof/>
        </w:rPr>
        <w:t>et al.</w:t>
      </w:r>
      <w:r w:rsidR="0010658B" w:rsidRPr="00123266">
        <w:rPr>
          <w:noProof/>
        </w:rPr>
        <w:t>, 2015)</w:t>
      </w:r>
      <w:r w:rsidR="00FC5042" w:rsidRPr="004F469F">
        <w:fldChar w:fldCharType="end"/>
      </w:r>
      <w:r w:rsidRPr="004F469F">
        <w:t xml:space="preserve">. A good example of a tornado that was likely underrated was the tornado which hit El Reno, Oklahoma on 31 May 2013. This tornado </w:t>
      </w:r>
      <w:r w:rsidRPr="004F469F">
        <w:lastRenderedPageBreak/>
        <w:t>tracked over mostly rural areas and did not hit many DIs, resulting in a rating of only EF3. However, a mobile Doppler unit (RaXPol) recorded multiple wind speed measurements exceeding 100 m s</w:t>
      </w:r>
      <w:r w:rsidR="00FC5042" w:rsidRPr="004F469F">
        <w:rPr>
          <w:vertAlign w:val="superscript"/>
        </w:rPr>
        <w:t>-1</w:t>
      </w:r>
      <w:r w:rsidRPr="004F469F">
        <w:t xml:space="preserve"> (maximum recorded wind speed was 135 </w:t>
      </w:r>
      <w:r w:rsidR="00FC5042" w:rsidRPr="004F469F">
        <w:t>m s</w:t>
      </w:r>
      <w:r w:rsidR="00FC5042" w:rsidRPr="004F469F">
        <w:rPr>
          <w:vertAlign w:val="superscript"/>
        </w:rPr>
        <w:t>-1</w:t>
      </w:r>
      <w:r w:rsidRPr="004F469F">
        <w:t xml:space="preserve">) which is in the EF5 range </w:t>
      </w:r>
      <w:r w:rsidR="00FC5042" w:rsidRPr="004F469F">
        <w:fldChar w:fldCharType="begin" w:fldLock="1"/>
      </w:r>
      <w:r w:rsidR="0010658B">
        <w:instrText>ADDIN CSL_CITATION {"citationItems":[{"id":"ITEM-1","itemData":{"author":[{"dropping-particle":"","family":"Snyder","given":"Jeffrey C","non-dropping-particle":"","parse-names":false,"suffix":""},{"dropping-particle":"","family":"Bluestein","given":"Howard B","non-dropping-particle":"","parse-names":false,"suffix":""}],"container-title":"Weather and Forecasting","id":"ITEM-1","issue":"4","issued":{"date-parts":[["2014"]]},"page":"799-827","title":"Some considerations for the use of high-resolution mobile radar data in tornado intensity determination","type":"article-journal","volume":"29"},"uris":["http://www.mendeley.com/documents/?uuid=9d018705-55e7-43d8-8065-c42c7b75a66f"]}],"mendeley":{"formattedCitation":"(Snyder and Bluestein, 2014)","plainTextFormattedCitation":"(Snyder and Bluestein, 2014)","previouslyFormattedCitation":"(Snyder and Bluestein, 2014)"},"properties":{"noteIndex":0},"schema":"https://github.com/citation-style-language/schema/raw/master/csl-citation.json"}</w:instrText>
      </w:r>
      <w:r w:rsidR="00FC5042" w:rsidRPr="004F469F">
        <w:fldChar w:fldCharType="separate"/>
      </w:r>
      <w:r w:rsidR="0010658B" w:rsidRPr="0010658B">
        <w:rPr>
          <w:noProof/>
        </w:rPr>
        <w:t>(Snyder and Bluestein, 2014)</w:t>
      </w:r>
      <w:r w:rsidR="00FC5042" w:rsidRPr="004F469F">
        <w:fldChar w:fldCharType="end"/>
      </w:r>
      <w:r w:rsidRPr="004F469F">
        <w:t xml:space="preserve">. Despite these quality issues, this database is the best record of tornado occurrence currently available and is considered suitable for climatological studies </w:t>
      </w:r>
      <w:r w:rsidR="00FC5042" w:rsidRPr="004F469F">
        <w:fldChar w:fldCharType="begin" w:fldLock="1"/>
      </w:r>
      <w:r w:rsidR="00123266">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1880–2005","type":"article-journal","volume":"22"},"uris":["http://www.mendeley.com/documents/?uuid=14fd8bf9-6b84-4fc3-bae5-6fa5f66b5ccf"]},{"id":"ITEM-3","itemData":{"DOI":"10.1126/science.1257460","ISBN":"0027-8424","ISSN":"0036-8075","PMID":"24062439","abstract":"The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T.","non-dropping-particle":"","parse-names":false,"suffix":""}],"container-title":"Science","id":"ITEM-3","issue":"6207","issued":{"date-parts":[["2014"]]},"page":"349-352","title":"Increased variability of tornado occurrence in the United States","type":"article-journal","volume":"346"},"uris":["http://www.mendeley.com/documents/?uuid=8864379a-9c12-4249-abb6-42120421d27f"]}],"mendeley":{"formattedCitation":"(Verbout et al., 2006; Ashley, 2007; Brooks et al., 2014)","plainTextFormattedCitation":"(Verbout et al., 2006; Ashley, 2007; Brooks et al., 2014)","previouslyFormattedCitation":"(Verbout et al., 2006; Ashley, 2007; Brooks et al., 2014)"},"properties":{"noteIndex":0},"schema":"https://github.com/citation-style-language/schema/raw/master/csl-citation.json"}</w:instrText>
      </w:r>
      <w:r w:rsidR="00FC5042" w:rsidRPr="004F469F">
        <w:fldChar w:fldCharType="separate"/>
      </w:r>
      <w:r w:rsidR="00123266" w:rsidRPr="00123266">
        <w:rPr>
          <w:noProof/>
        </w:rPr>
        <w:t xml:space="preserve">(Verbout </w:t>
      </w:r>
      <w:r w:rsidR="00123266" w:rsidRPr="00453357">
        <w:rPr>
          <w:i/>
          <w:iCs/>
          <w:noProof/>
        </w:rPr>
        <w:t>et al.</w:t>
      </w:r>
      <w:r w:rsidR="00123266" w:rsidRPr="00123266">
        <w:rPr>
          <w:noProof/>
        </w:rPr>
        <w:t xml:space="preserve">, 2006; Ashley, 2007; Brooks </w:t>
      </w:r>
      <w:r w:rsidR="00123266" w:rsidRPr="00453357">
        <w:rPr>
          <w:i/>
          <w:iCs/>
          <w:noProof/>
        </w:rPr>
        <w:t>et al.</w:t>
      </w:r>
      <w:r w:rsidR="00123266" w:rsidRPr="00123266">
        <w:rPr>
          <w:noProof/>
        </w:rPr>
        <w:t>, 2014)</w:t>
      </w:r>
      <w:r w:rsidR="00FC5042" w:rsidRPr="004F469F">
        <w:fldChar w:fldCharType="end"/>
      </w:r>
      <w:r w:rsidR="00FC5042" w:rsidRPr="004F469F">
        <w:t>.</w:t>
      </w:r>
    </w:p>
    <w:p w14:paraId="5FEBFA55" w14:textId="2BA0CE9E" w:rsidR="008F1B78" w:rsidRPr="004F469F" w:rsidRDefault="008F1B78" w:rsidP="00435B08">
      <w:pPr>
        <w:spacing w:after="120" w:line="480" w:lineRule="auto"/>
        <w:ind w:firstLine="720"/>
      </w:pPr>
      <w:r w:rsidRPr="004F469F">
        <w:t xml:space="preserve">We obtained official tornado footprints from the US National Weather Service (NWS) offices in Norman (Oklahoma), Birmingham (Alabama), and Springfield (Missouri) for select tornadoes during the Great Plains Outbreak of 3 May 1999 </w:t>
      </w:r>
      <w:r w:rsidR="00FC5042" w:rsidRPr="004F469F">
        <w:fldChar w:fldCharType="begin" w:fldLock="1"/>
      </w:r>
      <w:r w:rsidR="00FC5042" w:rsidRPr="004F469F">
        <w:instrText>ADDIN CSL_CITATION {"citationItems":[{"id":"ITEM-1","itemData":{"author":[{"dropping-particle":"","family":"NWS","given":"","non-dropping-particle":"","parse-names":false,"suffix":""}],"id":"ITEM-1","issued":{"date-parts":[["1999"]]},"publisher":"National Weather Service","publisher-place":"Norman, OK","title":"The Great Plains tornado outbreak of May 3-4, 1999","type":"article"},"uris":["http://www.mendeley.com/documents/?uuid=4bf555cf-7e9b-4934-95b0-7dd40ea16c26"]}],"mendeley":{"formattedCitation":"(NWS, 1999)","plainTextFormattedCitation":"(NWS, 1999)","previouslyFormattedCitation":"(NWS, 1999)"},"properties":{"noteIndex":0},"schema":"https://github.com/citation-style-language/schema/raw/master/csl-citation.json"}</w:instrText>
      </w:r>
      <w:r w:rsidR="00FC5042" w:rsidRPr="004F469F">
        <w:fldChar w:fldCharType="separate"/>
      </w:r>
      <w:r w:rsidR="00FC5042" w:rsidRPr="004F469F">
        <w:rPr>
          <w:noProof/>
        </w:rPr>
        <w:t>(NWS, 1999)</w:t>
      </w:r>
      <w:r w:rsidR="00FC5042" w:rsidRPr="004F469F">
        <w:fldChar w:fldCharType="end"/>
      </w:r>
      <w:r w:rsidRPr="004F469F">
        <w:t xml:space="preserve"> and the Super Outbreak of 27 April 27 2011 </w:t>
      </w:r>
      <w:r w:rsidR="00FC5042" w:rsidRPr="004F469F">
        <w:fldChar w:fldCharType="begin" w:fldLock="1"/>
      </w:r>
      <w:r w:rsidR="00FC5042" w:rsidRPr="004F469F">
        <w:instrText>ADDIN CSL_CITATION {"citationItems":[{"id":"ITEM-1","itemData":{"author":[{"dropping-particle":"","family":"NWS","given":"","non-dropping-particle":"","parse-names":false,"suffix":""}],"id":"ITEM-1","issued":{"date-parts":[["2011"]]},"publisher":"National Weather Service","publisher-place":"Birmingham, AL","title":"Historic Outbreak of April 27, 2011","type":"article"},"uris":["http://www.mendeley.com/documents/?uuid=27404a27-d0f3-4101-8c6c-4d8840cebf4e"]}],"mendeley":{"formattedCitation":"(NWS, 2011)","plainTextFormattedCitation":"(NWS, 2011)","previouslyFormattedCitation":"(NWS, 2011)"},"properties":{"noteIndex":0},"schema":"https://github.com/citation-style-language/schema/raw/master/csl-citation.json"}</w:instrText>
      </w:r>
      <w:r w:rsidR="00FC5042" w:rsidRPr="004F469F">
        <w:fldChar w:fldCharType="separate"/>
      </w:r>
      <w:r w:rsidR="00FC5042" w:rsidRPr="004F469F">
        <w:rPr>
          <w:noProof/>
        </w:rPr>
        <w:t>(NWS, 2011)</w:t>
      </w:r>
      <w:r w:rsidR="00FC5042" w:rsidRPr="004F469F">
        <w:fldChar w:fldCharType="end"/>
      </w:r>
      <w:r w:rsidRPr="004F469F">
        <w:t xml:space="preserve"> as well as for the tornado that hit Joplin, Missouri on 22 May 2011 </w:t>
      </w:r>
      <w:r w:rsidR="00FC5042" w:rsidRPr="004F469F">
        <w:fldChar w:fldCharType="begin" w:fldLock="1"/>
      </w:r>
      <w:r w:rsidR="00FC5042" w:rsidRPr="004F469F">
        <w:instrText>ADDIN CSL_CITATION {"citationItems":[{"id":"ITEM-1","itemData":{"author":[{"dropping-particle":"","family":"NWS","given":"","non-dropping-particle":"","parse-names":false,"suffix":""}],"id":"ITEM-1","issued":{"date-parts":[["2017"]]},"publisher":"National Weather Service","publisher-place":"Springfield, MO","title":"6th anniversary of the Joplin tornado - May 22nd, 2011","type":"article"},"uris":["http://www.mendeley.com/documents/?uuid=824a912d-fbcf-42b6-8f01-6725b198aad2"]}],"mendeley":{"formattedCitation":"(NWS, 2017)","plainTextFormattedCitation":"(NWS, 2017)","previouslyFormattedCitation":"(NWS, 2017)"},"properties":{"noteIndex":0},"schema":"https://github.com/citation-style-language/schema/raw/master/csl-citation.json"}</w:instrText>
      </w:r>
      <w:r w:rsidR="00FC5042" w:rsidRPr="004F469F">
        <w:fldChar w:fldCharType="separate"/>
      </w:r>
      <w:r w:rsidR="00FC5042" w:rsidRPr="004F469F">
        <w:rPr>
          <w:noProof/>
        </w:rPr>
        <w:t>(NWS, 2017)</w:t>
      </w:r>
      <w:r w:rsidR="00FC5042" w:rsidRPr="004F469F">
        <w:fldChar w:fldCharType="end"/>
      </w:r>
      <w:r w:rsidRPr="004F469F">
        <w:t>. The Great Plains Outbreak tornadoes were used in the sensitivity test while the others were used to compare the accuracy of synthetic versus observed tornado footprints.</w:t>
      </w:r>
    </w:p>
    <w:p w14:paraId="7AEF6B90" w14:textId="5434D5BA" w:rsidR="008F1B78" w:rsidRPr="004F469F" w:rsidRDefault="00FC5042" w:rsidP="00435B08">
      <w:pPr>
        <w:pStyle w:val="Heading3"/>
        <w:spacing w:before="0" w:after="120" w:line="480" w:lineRule="auto"/>
        <w:rPr>
          <w:rFonts w:ascii="Times New Roman" w:hAnsi="Times New Roman" w:cs="Times New Roman"/>
          <w:i/>
          <w:iCs/>
          <w:color w:val="auto"/>
        </w:rPr>
      </w:pPr>
      <w:bookmarkStart w:id="16" w:name="_Toc21861288"/>
      <w:r w:rsidRPr="004F469F">
        <w:rPr>
          <w:rFonts w:ascii="Times New Roman" w:hAnsi="Times New Roman" w:cs="Times New Roman"/>
          <w:i/>
          <w:iCs/>
          <w:color w:val="auto"/>
        </w:rPr>
        <w:t>Violent Tornado Climatology</w:t>
      </w:r>
      <w:bookmarkEnd w:id="16"/>
    </w:p>
    <w:p w14:paraId="4DFE679A" w14:textId="218CF7C1" w:rsidR="008F1B78" w:rsidRPr="004F469F" w:rsidRDefault="00FC5042" w:rsidP="00435B08">
      <w:pPr>
        <w:spacing w:after="120" w:line="480" w:lineRule="auto"/>
        <w:ind w:firstLine="720"/>
      </w:pPr>
      <w:r w:rsidRPr="004F469F">
        <w:t xml:space="preserve">Concannon </w:t>
      </w:r>
      <w:r w:rsidRPr="00453357">
        <w:rPr>
          <w:i/>
          <w:iCs/>
        </w:rPr>
        <w:t>et al.</w:t>
      </w:r>
      <w:r w:rsidRPr="004F469F">
        <w:t xml:space="preserve"> </w:t>
      </w:r>
      <w:r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Pr="004F469F">
        <w:t xml:space="preserve"> </w:t>
      </w:r>
      <w:r w:rsidR="008F1B78" w:rsidRPr="004F469F">
        <w:t xml:space="preserve">produced a spatial and temporal climatology of violent tornadoes for the period from 1921 to 1995 using the database of </w:t>
      </w:r>
      <w:r w:rsidRPr="004F469F">
        <w:t xml:space="preserve">Grazulis </w:t>
      </w:r>
      <w:r w:rsidRPr="004F469F">
        <w:fldChar w:fldCharType="begin" w:fldLock="1"/>
      </w:r>
      <w:r w:rsidRPr="004F469F">
        <w:instrText>ADDIN CSL_CITATION {"citationItems":[{"id":"ITEM-1","itemData":{"ISBN":"1879362031","author":[{"dropping-particle":"","family":"Grazulis","given":"Thomas P.","non-dropping-particle":"","parse-names":false,"suffix":""}],"id":"ITEM-1","issued":{"date-parts":[["1993"]]},"number-of-pages":"1326","publisher":"Enviromental Films","title":"Significant Tornadoes: 1680-1991","type":"book"},"suppress-author":1,"uris":["http://www.mendeley.com/documents/?uuid=38eac11f-29c5-48cb-8964-889060b73087"]}],"mendeley":{"formattedCitation":"(1993)","plainTextFormattedCitation":"(1993)","previouslyFormattedCitation":"(1993)"},"properties":{"noteIndex":0},"schema":"https://github.com/citation-style-language/schema/raw/master/csl-citation.json"}</w:instrText>
      </w:r>
      <w:r w:rsidRPr="004F469F">
        <w:fldChar w:fldCharType="separate"/>
      </w:r>
      <w:r w:rsidRPr="004F469F">
        <w:rPr>
          <w:noProof/>
        </w:rPr>
        <w:t>(1993)</w:t>
      </w:r>
      <w:r w:rsidRPr="004F469F">
        <w:fldChar w:fldCharType="end"/>
      </w:r>
      <w:r w:rsidR="008F1B78" w:rsidRPr="004F469F">
        <w:t>. We propose an update to the climatology to include the period from 1880 to 2016. To extend our period of record from 1880 to 2016 we combined the Grazulis and SPC datasets. Since the Grazulis dataset only had the name of the counties impacted by each tornado, we chose to follow the method of</w:t>
      </w:r>
      <w:r w:rsidRPr="004F469F">
        <w:t xml:space="preserve"> Concannon </w:t>
      </w:r>
      <w:r w:rsidRPr="00453357">
        <w:rPr>
          <w:i/>
          <w:iCs/>
        </w:rPr>
        <w:t>et al.</w:t>
      </w:r>
      <w:r w:rsidRPr="004F469F">
        <w:t xml:space="preserve"> </w:t>
      </w:r>
      <w:r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008F1B78" w:rsidRPr="004F469F">
        <w:t xml:space="preserve"> and assigned each tornado (for both datasets) a location based on the coordinates of the centroid of the county where it touched down. Once each tornado has coordinates we create an 80 km by 80 km grid (corresponding to the Storm Prediction Center's practice of using 40 km as a proximity distance for severe weather events</w:t>
      </w:r>
      <w:r w:rsidR="004018A9">
        <w:t>;</w:t>
      </w:r>
      <w:r w:rsidRPr="004F469F">
        <w:t xml:space="preserve"> </w:t>
      </w:r>
      <w:r w:rsidRPr="004F469F">
        <w:fldChar w:fldCharType="begin" w:fldLock="1"/>
      </w:r>
      <w:r w:rsidR="004018A9">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2013)","manualFormatting":"Hitchens et al., 2013)","plainTextFormattedCitation":"(Hitchens et al., 2013)","previouslyFormattedCitation":"(Hitchens et al., 2013)"},"properties":{"noteIndex":0},"schema":"https://github.com/citation-style-language/schema/raw/master/csl-citation.json"}</w:instrText>
      </w:r>
      <w:r w:rsidRPr="004F469F">
        <w:fldChar w:fldCharType="separate"/>
      </w:r>
      <w:r w:rsidR="00123266" w:rsidRPr="00123266">
        <w:rPr>
          <w:noProof/>
        </w:rPr>
        <w:t xml:space="preserve">Hitchens </w:t>
      </w:r>
      <w:r w:rsidR="00123266" w:rsidRPr="00453357">
        <w:rPr>
          <w:i/>
          <w:iCs/>
          <w:noProof/>
        </w:rPr>
        <w:t>et al.</w:t>
      </w:r>
      <w:r w:rsidR="00123266" w:rsidRPr="00123266">
        <w:rPr>
          <w:noProof/>
        </w:rPr>
        <w:t>, 2013)</w:t>
      </w:r>
      <w:r w:rsidRPr="004F469F">
        <w:fldChar w:fldCharType="end"/>
      </w:r>
      <w:r w:rsidR="008F1B78" w:rsidRPr="004F469F">
        <w:t xml:space="preserve"> over the continental US and calculated the number of days where a violent tornado touched </w:t>
      </w:r>
      <w:r w:rsidR="008F1B78" w:rsidRPr="004F469F">
        <w:lastRenderedPageBreak/>
        <w:t xml:space="preserve">down in each grid cell ("violent tornado days"). We used "tornado days" instead of actual tornado reports to reduce the influence of changes in reporting frequency </w:t>
      </w:r>
      <w:r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Forecasting","id":"ITEM-2","issue":"4","issued":{"date-parts":[["2003"]]},"page":"626-640","title":"Climatological estimates of local daily tornado probability for the United States","type":"article-journal","volume":"18"},"uris":["http://www.mendeley.com/documents/?uuid=d2c29800-b258-46b1-9db2-3480e3ee0273"]}],"mendeley":{"formattedCitation":"(Concannon et al., 2000; Brooks et al., 2003a)","plainTextFormattedCitation":"(Concannon et al., 2000; Brooks et al., 2003a)","previouslyFormattedCitation":"(Concannon et al., 2000; Brooks et al., 2003a)"},"properties":{"noteIndex":0},"schema":"https://github.com/citation-style-language/schema/raw/master/csl-citation.json"}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Brooks </w:t>
      </w:r>
      <w:r w:rsidR="00123266" w:rsidRPr="00453357">
        <w:rPr>
          <w:i/>
          <w:iCs/>
          <w:noProof/>
        </w:rPr>
        <w:t>et al.</w:t>
      </w:r>
      <w:r w:rsidR="00123266" w:rsidRPr="00123266">
        <w:rPr>
          <w:noProof/>
        </w:rPr>
        <w:t>, 2003a)</w:t>
      </w:r>
      <w:r w:rsidRPr="004F469F">
        <w:fldChar w:fldCharType="end"/>
      </w:r>
      <w:r w:rsidR="008F1B78" w:rsidRPr="004F469F">
        <w:t xml:space="preserve">. We are interested in changes in the violent tornado climatology over time, so we break the record into three 30-year periods: 1880 - 1909, 1930 - 1959, 1987 - 2016 and calculated the mean number of violent tornado days per millennium. Since we are only interested in large-scale patterns, we smooth the data using a Gaussian lowpass filter with a 120 km standard deviation following </w:t>
      </w:r>
      <w:r w:rsidRPr="004F469F">
        <w:t xml:space="preserve">Concannon </w:t>
      </w:r>
      <w:r w:rsidRPr="00453357">
        <w:rPr>
          <w:i/>
          <w:iCs/>
        </w:rPr>
        <w:t>et al.</w:t>
      </w:r>
      <w:r w:rsidRPr="004F469F">
        <w:t xml:space="preserve"> </w:t>
      </w:r>
      <w:r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008F1B78" w:rsidRPr="004F469F">
        <w:t>. We test for trends in both the number of violent tornadoes and violent tornado days during this period using the nonparametric Mann-Kendall test (</w:t>
      </w:r>
      <m:oMath>
        <m:r>
          <w:rPr>
            <w:rFonts w:ascii="Cambria Math" w:hAnsi="Cambria Math"/>
          </w:rPr>
          <m:t>α=0.05</m:t>
        </m:r>
      </m:oMath>
      <w:r w:rsidR="004018A9">
        <w:t>;</w:t>
      </w:r>
      <w:r w:rsidR="00FB3C93" w:rsidRPr="004F469F">
        <w:t xml:space="preserve"> </w:t>
      </w:r>
      <w:r w:rsidR="00FB3C93" w:rsidRPr="004F469F">
        <w:fldChar w:fldCharType="begin" w:fldLock="1"/>
      </w:r>
      <w:r w:rsidR="004018A9">
        <w:instrText>ADDIN CSL_CITATION {"citationItems":[{"id":"ITEM-1","itemData":{"author":[{"dropping-particle":"","family":"Mann","given":"Henry B","non-dropping-particle":"","parse-names":false,"suffix":""}],"container-title":"Econometrica: Journal of the Econometric Society","id":"ITEM-1","issued":{"date-parts":[["1945"]]},"page":"245-259","publisher":"JSTOR","title":"Nonparametric tests against trend","type":"article-journal"},"uris":["http://www.mendeley.com/documents/?uuid=292e8f1d-91b1-4fc3-a2a4-9c33c19e4465"]},{"id":"ITEM-2","itemData":{"author":[{"dropping-particle":"","family":"Kendall","given":"M G","non-dropping-particle":"","parse-names":false,"suffix":""}],"id":"ITEM-2","issued":{"date-parts":[["1975"]]},"publisher":"Charles Griffin, London","title":"Rank Correlation Methods 4th edition","type":"book"},"uris":["http://www.mendeley.com/documents/?uuid=9f49dbab-9ab8-440d-bd3e-5129be5d48c6"]}],"mendeley":{"formattedCitation":"(Mann, 1945; Kendall, 1975)","manualFormatting":"Mann, 1945; Kendall, 1975)","plainTextFormattedCitation":"(Mann, 1945; Kendall, 1975)","previouslyFormattedCitation":"(Mann, 1945; Kendall, 1975)"},"properties":{"noteIndex":0},"schema":"https://github.com/citation-style-language/schema/raw/master/csl-citation.json"}</w:instrText>
      </w:r>
      <w:r w:rsidR="00FB3C93" w:rsidRPr="004F469F">
        <w:fldChar w:fldCharType="separate"/>
      </w:r>
      <w:r w:rsidR="0010658B" w:rsidRPr="0010658B">
        <w:rPr>
          <w:noProof/>
        </w:rPr>
        <w:t>Mann, 1945; Kendall, 1975)</w:t>
      </w:r>
      <w:r w:rsidR="00FB3C93" w:rsidRPr="004F469F">
        <w:fldChar w:fldCharType="end"/>
      </w:r>
      <w:r w:rsidR="008F1B78" w:rsidRPr="004F469F">
        <w:t xml:space="preserve">. We chose Mann-Kendall as our data was non-normal and Mann-Kendall is commonly used to test for trends in climate research </w:t>
      </w:r>
      <w:r w:rsidR="00FB3C93" w:rsidRPr="004F469F">
        <w:fldChar w:fldCharType="begin" w:fldLock="1"/>
      </w:r>
      <w:r w:rsidR="00123266">
        <w:instrText>ADDIN CSL_CITATION {"citationItems":[{"id":"ITEM-1","itemData":{"author":[{"dropping-particle":"","family":"Fraedrich","given":"K","non-dropping-particle":"","parse-names":false,"suffix":""},{"dropping-particle":"","family":"Gerstengarbe","given":"F-W","non-dropping-particle":"","parse-names":false,"suffix":""},{"dropping-particle":"","family":"Werner","given":"P C","non-dropping-particle":"","parse-names":false,"suffix":""}],"container-title":"Climatic Change","id":"ITEM-1","issue":"4","issued":{"date-parts":[["2001"]]},"page":"405-417","publisher":"Springer","title":"Climate shifts during the last century","type":"article-journal","volume":"50"},"uris":["http://www.mendeley.com/documents/?uuid=2666c4be-93d0-418b-a109-1ca7ec62e4cf"]},{"id":"ITEM-2","itemData":{"author":[{"dropping-particle":"","family":"Yue","given":"Sheng","non-dropping-particle":"","parse-names":false,"suffix":""},{"dropping-particle":"","family":"Pilon","given":"Paul","non-dropping-particle":"","parse-names":false,"suffix":""},{"dropping-particle":"","family":"Cavadias","given":"George","non-dropping-particle":"","parse-names":false,"suffix":""}],"container-title":"Journal of hydrology","id":"ITEM-2","issue":"1-4","issued":{"date-parts":[["2002"]]},"page":"254-271","publisher":"Elsevier","title":"Power of the Mann--Kendall and Spearman's rho tests for detecting monotonic trends in hydrological series","type":"article-journal","volume":"259"},"uris":["http://www.mendeley.com/documents/?uuid=afc51a7e-09ad-470a-bc9c-ef9013d5fc3c"]},{"id":"ITEM-3","itemData":{"author":[{"dropping-particle":"","family":"Sayemuzzaman","given":"Mohammad","non-dropping-particle":"","parse-names":false,"suffix":""},{"dropping-particle":"","family":"Jha","given":"Manoj K","non-dropping-particle":"","parse-names":false,"suffix":""}],"container-title":"Atmospheric Research","id":"ITEM-3","issued":{"date-parts":[["2014"]]},"page":"183-194","publisher":"Elsevier","title":"Seasonal and annual precipitation time series trend analysis in North Carolina, United States","type":"article-journal","volume":"137"},"uris":["http://www.mendeley.com/documents/?uuid=6999361a-3282-4a10-aba7-00606c4b79f5"]},{"id":"ITEM-4","itemData":{"author":[{"dropping-particle":"","family":"Westra","given":"Seth","non-dropping-particle":"","parse-names":false,"suffix":""},{"dropping-particle":"V","family":"Alexander","given":"Lisa","non-dropping-particle":"","parse-names":false,"suffix":""},{"dropping-particle":"","family":"Zwiers","given":"Francis W","non-dropping-particle":"","parse-names":false,"suffix":""}],"container-title":"Journal of Climate","id":"ITEM-4","issue":"11","issued":{"date-parts":[["2013"]]},"page":"3904-3918","title":"Global increasing trends in annual maximum daily precipitation","type":"article-journal","volume":"26"},"uris":["http://www.mendeley.com/documents/?uuid=dc370620-c205-41fa-876d-a8216c7ea7bc"]}],"mendeley":{"formattedCitation":"(Fraedrich et al., 2001; Yue et al., 2002; Westra et al., 2013; Sayemuzzaman and Jha, 2014)","plainTextFormattedCitation":"(Fraedrich et al., 2001; Yue et al., 2002; Westra et al., 2013; Sayemuzzaman and Jha, 2014)","previouslyFormattedCitation":"(Fraedrich et al., 2001; Yue et al., 2002; Westra et al., 2013; Sayemuzzaman and Jha, 2014)"},"properties":{"noteIndex":0},"schema":"https://github.com/citation-style-language/schema/raw/master/csl-citation.json"}</w:instrText>
      </w:r>
      <w:r w:rsidR="00FB3C93" w:rsidRPr="004F469F">
        <w:fldChar w:fldCharType="separate"/>
      </w:r>
      <w:r w:rsidR="00123266" w:rsidRPr="00123266">
        <w:rPr>
          <w:noProof/>
        </w:rPr>
        <w:t xml:space="preserve">(Fraedrich </w:t>
      </w:r>
      <w:r w:rsidR="00123266" w:rsidRPr="00453357">
        <w:rPr>
          <w:i/>
          <w:iCs/>
          <w:noProof/>
        </w:rPr>
        <w:t>et al.</w:t>
      </w:r>
      <w:r w:rsidR="00123266" w:rsidRPr="00123266">
        <w:rPr>
          <w:noProof/>
        </w:rPr>
        <w:t xml:space="preserve">, 2001; Yue </w:t>
      </w:r>
      <w:r w:rsidR="00123266" w:rsidRPr="00453357">
        <w:rPr>
          <w:i/>
          <w:iCs/>
          <w:noProof/>
        </w:rPr>
        <w:t>et al.</w:t>
      </w:r>
      <w:r w:rsidR="00123266" w:rsidRPr="00123266">
        <w:rPr>
          <w:noProof/>
        </w:rPr>
        <w:t xml:space="preserve">, 2002; Westra </w:t>
      </w:r>
      <w:r w:rsidR="00123266" w:rsidRPr="00453357">
        <w:rPr>
          <w:i/>
          <w:iCs/>
          <w:noProof/>
        </w:rPr>
        <w:t>et al.</w:t>
      </w:r>
      <w:r w:rsidR="00123266" w:rsidRPr="00123266">
        <w:rPr>
          <w:noProof/>
        </w:rPr>
        <w:t>, 2013; Sayemuzzaman and Jha, 2014)</w:t>
      </w:r>
      <w:r w:rsidR="00FB3C93" w:rsidRPr="004F469F">
        <w:fldChar w:fldCharType="end"/>
      </w:r>
      <w:r w:rsidR="008F1B78" w:rsidRPr="004F469F">
        <w:t xml:space="preserve">. All subsequent trend testing was done using the same Mann-Kendall test. </w:t>
      </w:r>
    </w:p>
    <w:p w14:paraId="5A25CF0D" w14:textId="09F827CA" w:rsidR="00FB3C93" w:rsidRPr="004F469F" w:rsidRDefault="00FB3C93" w:rsidP="00435B08">
      <w:pPr>
        <w:pStyle w:val="Heading3"/>
        <w:spacing w:before="0" w:after="120" w:line="480" w:lineRule="auto"/>
        <w:rPr>
          <w:rFonts w:ascii="Times New Roman" w:eastAsia="Times New Roman" w:hAnsi="Times New Roman" w:cs="Times New Roman"/>
          <w:i/>
          <w:iCs/>
          <w:color w:val="auto"/>
        </w:rPr>
      </w:pPr>
      <w:bookmarkStart w:id="17" w:name="_Toc21861289"/>
      <w:r w:rsidRPr="004F469F">
        <w:rPr>
          <w:rFonts w:ascii="Times New Roman" w:eastAsia="Times New Roman" w:hAnsi="Times New Roman" w:cs="Times New Roman"/>
          <w:i/>
          <w:iCs/>
          <w:color w:val="auto"/>
        </w:rPr>
        <w:t>Sensitivity Test for Grid Resolution</w:t>
      </w:r>
      <w:bookmarkEnd w:id="17"/>
    </w:p>
    <w:p w14:paraId="33A5EEE6" w14:textId="5CED619F" w:rsidR="008F1B78" w:rsidRPr="004F469F" w:rsidRDefault="008F1B78" w:rsidP="00435B08">
      <w:pPr>
        <w:spacing w:after="120" w:line="480" w:lineRule="auto"/>
        <w:ind w:firstLine="720"/>
      </w:pPr>
      <w:r w:rsidRPr="004F469F">
        <w:t xml:space="preserve">Three main methodologies exist for creating tornado footprint polygons for exposure analysis: (1) digitizing post-event damage surveys by government agencies, consulting meteorologists and others </w:t>
      </w:r>
      <w:r w:rsidR="00FB3C9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FB3C93"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FB3C93" w:rsidRPr="004F469F">
        <w:fldChar w:fldCharType="end"/>
      </w:r>
      <w:r w:rsidRPr="004F469F">
        <w:t xml:space="preserve">, (2) digitizing observed (radar generated) or modeled wind field data for a tornado </w:t>
      </w:r>
      <w:r w:rsidR="00FB3C93"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assessments","type":"article-journal","volume":"22"},"uris":["http://www.mendeley.com/documents/?uuid=e4377686-df2f-4b6e-9560-9cec9e268521"]}],"mendeley":{"formattedCitation":"(Wurman et al., 2007; Strader et al., 2015)","plainTextFormattedCitation":"(Wurman et al., 2007; Strader et al., 2015)","previouslyFormattedCitation":"(Wurman et al., 2007; Strader et al., 2015)"},"properties":{"noteIndex":0},"schema":"https://github.com/citation-style-language/schema/raw/master/csl-citation.json"}</w:instrText>
      </w:r>
      <w:r w:rsidR="00FB3C93"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Strader </w:t>
      </w:r>
      <w:r w:rsidR="0010658B" w:rsidRPr="00453357">
        <w:rPr>
          <w:i/>
          <w:iCs/>
          <w:noProof/>
        </w:rPr>
        <w:t>et al.</w:t>
      </w:r>
      <w:r w:rsidR="0010658B" w:rsidRPr="00123266">
        <w:rPr>
          <w:noProof/>
        </w:rPr>
        <w:t>, 2015)</w:t>
      </w:r>
      <w:r w:rsidR="00FB3C93" w:rsidRPr="004F469F">
        <w:fldChar w:fldCharType="end"/>
      </w:r>
      <w:r w:rsidRPr="004F469F">
        <w:t xml:space="preserve">, and (3) synthesizing tornado footprints by buffering a tornado track, in a GIS, to a distance corresponding to the reported tornado width </w:t>
      </w:r>
      <w:r w:rsidR="00FB3C93" w:rsidRPr="004F469F">
        <w:fldChar w:fldCharType="begin" w:fldLock="1"/>
      </w:r>
      <w:r w:rsidR="00123266">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assessments","type":"article-journal","volume":"22"},"uris":["http://www.mendeley.com/documents/?uuid=e4377686-df2f-4b6e-9560-9cec9e268521"]}],"mendeley":{"formattedCitation":"(Strader et al., 2015)","plainTextFormattedCitation":"(Strader et al., 2015)","previouslyFormattedCitation":"(Strader et al., 2015)"},"properties":{"noteIndex":0},"schema":"https://github.com/citation-style-language/schema/raw/master/csl-citation.json"}</w:instrText>
      </w:r>
      <w:r w:rsidR="00FB3C93" w:rsidRPr="004F469F">
        <w:fldChar w:fldCharType="separate"/>
      </w:r>
      <w:r w:rsidR="0010658B" w:rsidRPr="00123266">
        <w:rPr>
          <w:noProof/>
        </w:rPr>
        <w:t xml:space="preserve">(Strader </w:t>
      </w:r>
      <w:r w:rsidR="0010658B" w:rsidRPr="00453357">
        <w:rPr>
          <w:i/>
          <w:iCs/>
          <w:noProof/>
        </w:rPr>
        <w:t>et al.</w:t>
      </w:r>
      <w:r w:rsidR="0010658B" w:rsidRPr="00123266">
        <w:rPr>
          <w:noProof/>
        </w:rPr>
        <w:t>, 2015)</w:t>
      </w:r>
      <w:r w:rsidR="00FB3C93" w:rsidRPr="004F469F">
        <w:fldChar w:fldCharType="end"/>
      </w:r>
      <w:r w:rsidRPr="004F469F">
        <w:t xml:space="preserve">. Of these three methods, the most accurate is the first as observations constrain the footprints. However, post-event surveys are mostly only available for recent high-end events </w:t>
      </w:r>
      <w:r w:rsidR="00FB3C9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NWS","given":"","non-dropping-particle":"","parse-names":false,"suffix":""}],"id":"ITEM-2","issued":{"date-parts":[["2018"]]},"title":"NWS Damage Assessment Toolkit","type":"article"},"uris":["http://www.mendeley.com/documents/?uuid=064fffc8-9aee-410a-aa56-fa874f4937c9"]}],"mendeley":{"formattedCitation":"(Ashley et al., 2014; NWS, 2018)","plainTextFormattedCitation":"(Ashley et al., 2014; NWS, 2018)","previouslyFormattedCitation":"(Ashley et al., 2014; NWS, 2018)"},"properties":{"noteIndex":0},"schema":"https://github.com/citation-style-language/schema/raw/master/csl-citation.json"}</w:instrText>
      </w:r>
      <w:r w:rsidR="00FB3C93" w:rsidRPr="004F469F">
        <w:fldChar w:fldCharType="separate"/>
      </w:r>
      <w:r w:rsidR="0010658B" w:rsidRPr="00123266">
        <w:rPr>
          <w:noProof/>
        </w:rPr>
        <w:t xml:space="preserve">(Ashley </w:t>
      </w:r>
      <w:r w:rsidR="0010658B" w:rsidRPr="00453357">
        <w:rPr>
          <w:i/>
          <w:iCs/>
          <w:noProof/>
        </w:rPr>
        <w:t>et al.</w:t>
      </w:r>
      <w:r w:rsidR="0010658B" w:rsidRPr="00123266">
        <w:rPr>
          <w:noProof/>
        </w:rPr>
        <w:t>, 2014; NWS, 2018)</w:t>
      </w:r>
      <w:r w:rsidR="00FB3C93" w:rsidRPr="004F469F">
        <w:fldChar w:fldCharType="end"/>
      </w:r>
      <w:r w:rsidRPr="004F469F">
        <w:t xml:space="preserve">. Radar-based wind fields can be unrealistically large </w:t>
      </w:r>
      <w:r w:rsidR="00FB3C93"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areas","type":"article-journal","volume":"88"},"uris":["http://www.mendeley.com/documents/?uuid=e0a647d9-97d9-4bb8-a0e8-d46f828d01fb"]}],"mendeley":{"formattedCitation":"(Wurman et al., 2007)","plainTextFormattedCitation":"(Wurman et al., 2007)","previouslyFormattedCitation":"(Wurman et al., 2007)"},"properties":{"noteIndex":0},"schema":"https://github.com/citation-style-language/schema/raw/master/csl-citation.json"}</w:instrText>
      </w:r>
      <w:r w:rsidR="00FB3C93" w:rsidRPr="004F469F">
        <w:fldChar w:fldCharType="separate"/>
      </w:r>
      <w:r w:rsidR="0010658B" w:rsidRPr="00123266">
        <w:rPr>
          <w:noProof/>
        </w:rPr>
        <w:t xml:space="preserve">(Wurman </w:t>
      </w:r>
      <w:r w:rsidR="0010658B" w:rsidRPr="00453357">
        <w:rPr>
          <w:i/>
          <w:iCs/>
          <w:noProof/>
        </w:rPr>
        <w:t>et al.</w:t>
      </w:r>
      <w:r w:rsidR="0010658B" w:rsidRPr="00123266">
        <w:rPr>
          <w:noProof/>
        </w:rPr>
        <w:t>, 2007)</w:t>
      </w:r>
      <w:r w:rsidR="00FB3C93" w:rsidRPr="004F469F">
        <w:fldChar w:fldCharType="end"/>
      </w:r>
      <w:r w:rsidRPr="004F469F">
        <w:t xml:space="preserve"> due to the angle and height at which the radar samples the tornado and can lead to overestimations of exposure </w:t>
      </w:r>
      <w:r w:rsidR="00FB3C9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assessments","type":"article-journal","volume":"22"},"uris":["http://www.mendeley.com/documents/?uuid=e4377686-df2f-4b6e-9560-9cec9e268521"]}],"mendeley":{"formattedCitation":"(Ashley et al., 2014; Strader et al., 2015)","plainTextFormattedCitation":"(Ashley et al., 2014; Strader et al., 2015)","previouslyFormattedCitation":"(Ashley et al., 2014; Strader et al., 2015)"},"properties":{"noteIndex":0},"schema":"https://github.com/citation-style-language/schema/raw/master/csl-citation.json"}</w:instrText>
      </w:r>
      <w:r w:rsidR="00FB3C93" w:rsidRPr="004F469F">
        <w:fldChar w:fldCharType="separate"/>
      </w:r>
      <w:r w:rsidR="0010658B" w:rsidRPr="00123266">
        <w:rPr>
          <w:noProof/>
        </w:rPr>
        <w:t xml:space="preserve">(Ashley </w:t>
      </w:r>
      <w:r w:rsidR="0010658B" w:rsidRPr="00453357">
        <w:rPr>
          <w:i/>
          <w:iCs/>
          <w:noProof/>
        </w:rPr>
        <w:t xml:space="preserve">et </w:t>
      </w:r>
      <w:r w:rsidR="0010658B" w:rsidRPr="00453357">
        <w:rPr>
          <w:i/>
          <w:iCs/>
          <w:noProof/>
        </w:rPr>
        <w:lastRenderedPageBreak/>
        <w:t>al.</w:t>
      </w:r>
      <w:r w:rsidR="0010658B" w:rsidRPr="00123266">
        <w:rPr>
          <w:noProof/>
        </w:rPr>
        <w:t xml:space="preserve">, 2014; Strader </w:t>
      </w:r>
      <w:r w:rsidR="0010658B" w:rsidRPr="00453357">
        <w:rPr>
          <w:i/>
          <w:iCs/>
          <w:noProof/>
        </w:rPr>
        <w:t>et al.</w:t>
      </w:r>
      <w:r w:rsidR="0010658B" w:rsidRPr="00123266">
        <w:rPr>
          <w:noProof/>
        </w:rPr>
        <w:t>, 2015)</w:t>
      </w:r>
      <w:r w:rsidR="00FB3C93" w:rsidRPr="004F469F">
        <w:fldChar w:fldCharType="end"/>
      </w:r>
      <w:r w:rsidRPr="004F469F">
        <w:t xml:space="preserve"> and additionally, tornadoes rarely pass close enough to radar to obtain wind field data </w:t>
      </w:r>
      <w:r w:rsidR="00FB3C93"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tornadoes","type":"book"},"uris":["http://www.mendeley.com/documents/?uuid=679dd86e-3cb6-4bd9-aa65-841ad4dddd4a"]}],"mendeley":{"formattedCitation":"(Wurman et al., 2007; Simmons and Sutter, 2011)","plainTextFormattedCitation":"(Wurman et al., 2007; Simmons and Sutter, 2011)","previouslyFormattedCitation":"(Wurman et al., 2007; Simmons and Sutter, 2011)"},"properties":{"noteIndex":0},"schema":"https://github.com/citation-style-language/schema/raw/master/csl-citation.json"}</w:instrText>
      </w:r>
      <w:r w:rsidR="00FB3C93" w:rsidRPr="004F469F">
        <w:fldChar w:fldCharType="separate"/>
      </w:r>
      <w:r w:rsidR="0010658B" w:rsidRPr="00123266">
        <w:rPr>
          <w:noProof/>
        </w:rPr>
        <w:t xml:space="preserve">(Wurman </w:t>
      </w:r>
      <w:r w:rsidR="0010658B" w:rsidRPr="00453357">
        <w:rPr>
          <w:i/>
          <w:iCs/>
          <w:noProof/>
        </w:rPr>
        <w:t>et al.</w:t>
      </w:r>
      <w:r w:rsidR="0010658B" w:rsidRPr="00123266">
        <w:rPr>
          <w:noProof/>
        </w:rPr>
        <w:t>, 2007; Simmons and Sutter, 2011)</w:t>
      </w:r>
      <w:r w:rsidR="00FB3C93" w:rsidRPr="004F469F">
        <w:fldChar w:fldCharType="end"/>
      </w:r>
      <w:r w:rsidRPr="004F469F">
        <w:t xml:space="preserve">. While synthetic footprints </w:t>
      </w:r>
      <w:r w:rsidR="00327E10">
        <w:t xml:space="preserve">are typically (unrealistically) </w:t>
      </w:r>
      <w:r w:rsidRPr="004F469F">
        <w:t xml:space="preserve">linear and constant width they can be produced for most tornadoes in the Storm Events Database, and thus are frequently used in "worst-case scenario" work for tornado hazards </w:t>
      </w:r>
      <w:r w:rsidR="00FB3C93"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Applications","id":"ITEM-3","issue":"2","issued":{"date-parts":[["2016"]]},"page":"269-281","title":"A Monte Carlo model for estimating tornado impacts","type":"article-journal","volume":"23"},"uris":["http://www.mendeley.com/documents/?uuid=35120d27-7369-4b8b-a188-dbf511d1ef98"]}],"mendeley":{"formattedCitation":"(Wurman et al., 2007; Ashley et al., 2014; Strader et al., 2016)","plainTextFormattedCitation":"(Wurman et al., 2007; Ashley et al., 2014; Strader et al., 2016)","previouslyFormattedCitation":"(Wurman et al., 2007; Ashley et al., 2014; Strader et al., 2016)"},"properties":{"noteIndex":0},"schema":"https://github.com/citation-style-language/schema/raw/master/csl-citation.json"}</w:instrText>
      </w:r>
      <w:r w:rsidR="00FB3C93" w:rsidRPr="004F469F">
        <w:fldChar w:fldCharType="separate"/>
      </w:r>
      <w:r w:rsidR="00123266" w:rsidRPr="00123266">
        <w:rPr>
          <w:noProof/>
        </w:rPr>
        <w:t xml:space="preserve">(Wurman </w:t>
      </w:r>
      <w:r w:rsidR="00123266" w:rsidRPr="00453357">
        <w:rPr>
          <w:i/>
          <w:iCs/>
          <w:noProof/>
        </w:rPr>
        <w:t>et al.</w:t>
      </w:r>
      <w:r w:rsidR="00123266" w:rsidRPr="00123266">
        <w:rPr>
          <w:noProof/>
        </w:rPr>
        <w:t xml:space="preserve">, 2007; Ashley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2016)</w:t>
      </w:r>
      <w:r w:rsidR="00FB3C93" w:rsidRPr="004F469F">
        <w:fldChar w:fldCharType="end"/>
      </w:r>
      <w:r w:rsidRPr="004F469F">
        <w:t>. Hence, we chose to buffer the collected tornado tracks in a GIS using the reported width to create synthetic footprints for all violent tornadoes between 1995 and 2016.</w:t>
      </w:r>
    </w:p>
    <w:p w14:paraId="7FCACCEF" w14:textId="1B48D41F" w:rsidR="008F1B78" w:rsidRPr="004F469F" w:rsidRDefault="008F1B78" w:rsidP="00435B08">
      <w:pPr>
        <w:spacing w:after="120" w:line="480" w:lineRule="auto"/>
        <w:ind w:firstLine="720"/>
      </w:pPr>
      <w:r w:rsidRPr="004F469F">
        <w:t>Since tornadoes frequently have curved tracks and their widths vary over the lifetime of the storm, it is of interest to note how accurately tornado exposure can be estimated using a synthetic footprint. It is also of interest to analyze the error in exposure (here defined as the difference between the exposures calculated for an observed and synthetic footprint) to determine if it can be minimized by carefully choosing the resolution of the census data to use in the exposure calculations.  We required the finest resolution census data available (blocks) for our analysis because we were interested in the influence of small-scale variations in population on tornado exposure. However, it was unclear if census blocks provided the most accurate estimate of the population in a synthetic tornado footprint. To validate our choice, we conducted a sensitivity test to determine which census resolution yielded the smallest error in exposure.</w:t>
      </w:r>
    </w:p>
    <w:p w14:paraId="2224F5CC" w14:textId="36EB3AF3" w:rsidR="008F1B78" w:rsidRPr="004F469F" w:rsidRDefault="008F1B78" w:rsidP="00435B08">
      <w:pPr>
        <w:spacing w:after="120" w:line="480" w:lineRule="auto"/>
        <w:ind w:firstLine="720"/>
      </w:pPr>
      <w:r w:rsidRPr="004F469F">
        <w:t xml:space="preserve">In this study, we define tornado exposure as the number of persons residing in the footprint of the tornado based on data from the US Census Bureau. The census data is effectively a nighttime estimate of population, in a given area, as many people leave home for certain periods during the day to work or run errands </w:t>
      </w:r>
      <w:r w:rsidR="00FB3C93" w:rsidRPr="004F469F">
        <w:fldChar w:fldCharType="begin" w:fldLock="1"/>
      </w:r>
      <w:r w:rsidR="0010658B">
        <w:instrText>ADDIN CSL_CITATION {"citationItems":[{"id":"ITEM-1","itemData":{"author":[{"dropping-particle":"","family":"Paulikas","given":"Marius J.","non-dropping-particle":"","parse-names":false,"suffix":""}],"id":"ITEM-1","issued":{"date-parts":[["2015"]]},"number-of-pages":"221","publisher":"Kent State University","title":"Potential tornado vulnerability variance over a 24-hour cycle for an urban metropolitan region","type":"thesis"},"uris":["http://www.mendeley.com/documents/?uuid=338340a5-aeb4-46ca-bbc2-46b9d9081baa"]},{"id":"ITEM-2","itemData":{"author":[{"dropping-particle":"","family":"Ashley","given":"Walker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landscape","type":"article-journal","volume":"97"},"uris":["http://www.mendeley.com/documents/?uuid=f66d6182-0c44-4efe-84e8-83956e5e4d92"]}],"mendeley":{"formattedCitation":"(Paulikas, 2015; Ashley and Strader, 2016)","plainTextFormattedCitation":"(Paulikas, 2015; Ashley and Strader, 2016)","previouslyFormattedCitation":"(Paulikas, 2015; Ashley and Strader, 2016)"},"properties":{"noteIndex":0},"schema":"https://github.com/citation-style-language/schema/raw/master/csl-citation.json"}</w:instrText>
      </w:r>
      <w:r w:rsidR="00FB3C93" w:rsidRPr="004F469F">
        <w:fldChar w:fldCharType="separate"/>
      </w:r>
      <w:r w:rsidR="0010658B" w:rsidRPr="0010658B">
        <w:rPr>
          <w:noProof/>
        </w:rPr>
        <w:t>(Paulikas, 2015; Ashley and Strader, 2016)</w:t>
      </w:r>
      <w:r w:rsidR="00FB3C93" w:rsidRPr="004F469F">
        <w:fldChar w:fldCharType="end"/>
      </w:r>
      <w:r w:rsidRPr="004F469F">
        <w:t xml:space="preserve">. We chose this measure instead of the more conservative housing units used by many studies </w:t>
      </w:r>
      <w:r w:rsidR="00FB3C9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landscape","type":"article-journal","volume":"97"},"uris":["http://www.mendeley.com/documents/?uuid=f66d6182-0c44-4efe-84e8-83956e5e4d92"]},{"id":"ITEM-4","itemData":{"DOI":"10.1002/met.1552","abstract":"Determining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Applications","id":"ITEM-4","issue":"2","issued":{"date-parts":[["2016"]]},"page":"269-281","title":"A Monte Carlo model for estimating tornado impacts","type":"article-journal","volume":"23"},"uris":["http://www.mendeley.com/documents/?uuid=35120d27-7369-4b8b-a188-dbf511d1ef98"]}],"mendeley":{"formattedCitation":"(Ashley et al., 2014; Strader et al., 2015, 2016; Ashley and Strader, 2016)","plainTextFormattedCitation":"(Ashley et al., 2014; Strader et al., 2015, 2016; Ashley and Strader, 2016)","previouslyFormattedCitation":"(Ashley et al., 2014; Strader et al., 2015, 2016; Ashley and Strader, 2016)"},"properties":{"noteIndex":0},"schema":"https://github.com/citation-style-language/schema/raw/master/csl-citation.json"}</w:instrText>
      </w:r>
      <w:r w:rsidR="00FB3C93" w:rsidRPr="004F469F">
        <w:fldChar w:fldCharType="separate"/>
      </w:r>
      <w:r w:rsidR="00123266" w:rsidRPr="00123266">
        <w:rPr>
          <w:noProof/>
        </w:rPr>
        <w:t xml:space="preserve">(Ashley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2015, 2016; Ashley and Strader, 2016)</w:t>
      </w:r>
      <w:r w:rsidR="00FB3C93" w:rsidRPr="004F469F">
        <w:fldChar w:fldCharType="end"/>
      </w:r>
      <w:r w:rsidRPr="004F469F">
        <w:t xml:space="preserve"> because we were interested in </w:t>
      </w:r>
      <w:r w:rsidRPr="004F469F">
        <w:lastRenderedPageBreak/>
        <w:t xml:space="preserve">relating the people potentially exposed to a tornado with potential fatalities </w:t>
      </w:r>
      <w:r w:rsidR="00FB3C93" w:rsidRPr="004F469F">
        <w:fldChar w:fldCharType="begin" w:fldLock="1"/>
      </w:r>
      <w:r w:rsidR="00123266">
        <w:instrText>ADDIN CSL_CITATION {"citationItems":[{"id":"ITEM-1","itemData":{"author":[{"dropping-particle":"","family":"Merrell","given":"David","non-dropping-particle":"","parse-names":false,"suffix":""},{"dropping-particle":"","family":"Simmons","given":"Kevin M","non-dropping-particle":"","parse-names":false,"suffix":""},{"dropping-particle":"","family":"Sutter","given":"Daniel","non-dropping-particle":"","parse-names":false,"suffix":""}],"container-title":"Land Economics","id":"ITEM-1","issue":"1","issued":{"date-parts":[["2005"]]},"page":"87-99","publisher":"University of Wisconsin Press","title":"The determinants of tornado casualties and the benefits of tornado shelters","type":"article-journal","volume":"81"},"uris":["http://www.mendeley.com/documents/?uuid=c554c701-4850-4023-baa7-f2e5a333e1cc"]},{"id":"ITEM-2","itemData":{"ISBN":"9781878220998","author":[{"dropping-particle":"","family":"Simmons","given":"Kevin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tornadoes","type":"book"},"uris":["http://www.mendeley.com/documents/?uuid=679dd86e-3cb6-4bd9-aa65-841ad4dddd4a"]}],"mendeley":{"formattedCitation":"(Merrell et al., 2005; Simmons and Sutter, 2011)","plainTextFormattedCitation":"(Merrell et al., 2005; Simmons and Sutter, 2011)","previouslyFormattedCitation":"(Merrell et al., 2005; Simmons and Sutter, 2011)"},"properties":{"noteIndex":0},"schema":"https://github.com/citation-style-language/schema/raw/master/csl-citation.json"}</w:instrText>
      </w:r>
      <w:r w:rsidR="00FB3C93" w:rsidRPr="004F469F">
        <w:fldChar w:fldCharType="separate"/>
      </w:r>
      <w:r w:rsidR="00123266" w:rsidRPr="00123266">
        <w:rPr>
          <w:noProof/>
        </w:rPr>
        <w:t xml:space="preserve">(Merrell </w:t>
      </w:r>
      <w:r w:rsidR="00123266" w:rsidRPr="00453357">
        <w:rPr>
          <w:i/>
          <w:iCs/>
          <w:noProof/>
        </w:rPr>
        <w:t>et al.</w:t>
      </w:r>
      <w:r w:rsidR="00123266" w:rsidRPr="00123266">
        <w:rPr>
          <w:noProof/>
        </w:rPr>
        <w:t>, 2005; Simmons and Sutter, 2011)</w:t>
      </w:r>
      <w:r w:rsidR="00FB3C93" w:rsidRPr="004F469F">
        <w:fldChar w:fldCharType="end"/>
      </w:r>
      <w:r w:rsidRPr="004F469F">
        <w:t xml:space="preserve">. Tornado exposure was estimated using proportional allocation based on the intersection between a tornado footprint and the census population data. We allocated each section of the tornado a population, based on the proportion of the area of each census unit that is in that section of the tornado. For example, if the tornado footprint covered 70% of a census unit, we would assign 70% of that census unit's population to that segment of the tornado. The total population exposure for the tornado footprint was then the sum of the population in each segment </w:t>
      </w:r>
      <w:r w:rsidR="00FB3C9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FB3C93"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FB3C93" w:rsidRPr="004F469F">
        <w:fldChar w:fldCharType="end"/>
      </w:r>
      <w:r w:rsidR="00FB3C93" w:rsidRPr="004F469F">
        <w:t>.</w:t>
      </w:r>
    </w:p>
    <w:p w14:paraId="7EF64815" w14:textId="0F259A3F" w:rsidR="008F1B78" w:rsidRPr="004F469F" w:rsidRDefault="008F1B78" w:rsidP="00435B08">
      <w:pPr>
        <w:spacing w:after="120" w:line="480" w:lineRule="auto"/>
        <w:ind w:firstLine="720"/>
      </w:pPr>
      <w:r w:rsidRPr="004F469F">
        <w:t>To determine how changes in population distribution might influence the error in exposure between observed and synthetic tornado footprints, we replicate selected tornadoes from the 3 May 1999 Great Plains Outbreak over the entire study area. We paired each of the 28 selected observed tornado footprints with the corresponding synthetic footprints generated from the SPC SVRGIS database (see Section 2</w:t>
      </w:r>
      <w:r w:rsidR="00FB3C93" w:rsidRPr="004F469F">
        <w:t>.2.1</w:t>
      </w:r>
      <w:r w:rsidRPr="004F469F">
        <w:t>). We then created a 10 km resolution replication grid over the entire study area and replicated and shifted the paired footprints to the center of each grid cell maintaining the size and distribution of the tornadoes within the original outbreak (Fig</w:t>
      </w:r>
      <w:r w:rsidR="00FB3C93" w:rsidRPr="004F469F">
        <w:t>ure 2.2</w:t>
      </w:r>
      <w:r w:rsidRPr="004F469F">
        <w:t>). The tornado footprints were intersected in a GIS with the population data (2000 census) at each census level (county, tract, block group, and block) for each region in the study area. During the intersection procedure, we split the tornado footprint into many small segments, one for each census unit it crossed. We assigned each segment a population, based on the proportion of the original census unit it covered (proportional allocation</w:t>
      </w:r>
      <w:r w:rsidR="004018A9">
        <w:t>;</w:t>
      </w:r>
      <w:r w:rsidR="00FB3C93" w:rsidRPr="004F469F">
        <w:t xml:space="preserve"> </w:t>
      </w:r>
      <w:r w:rsidR="00FB3C93" w:rsidRPr="004F469F">
        <w:fldChar w:fldCharType="begin" w:fldLock="1"/>
      </w:r>
      <w:r w:rsidR="004018A9">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2014)","manualFormatting":"Ashley et al., 2014)","plainTextFormattedCitation":"(Ashley et al., 2014)","previouslyFormattedCitation":"(Ashley et al., 2014)"},"properties":{"noteIndex":0},"schema":"https://github.com/citation-style-language/schema/raw/master/csl-citation.json"}</w:instrText>
      </w:r>
      <w:r w:rsidR="00FB3C93"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FB3C93" w:rsidRPr="004F469F">
        <w:fldChar w:fldCharType="end"/>
      </w:r>
      <w:r w:rsidRPr="004F469F">
        <w:t xml:space="preserve">. For each cell in the replication grid, we calculated the root mean square error (RMSE) of the exposure. For our RMSE calculation, we compare the exposure for the synthetic footprint, intersected with the population data for each census level, to the observed footprint, intersected </w:t>
      </w:r>
      <w:r w:rsidRPr="004F469F">
        <w:lastRenderedPageBreak/>
        <w:t>with only the block-level population data. We only use the block-level population data for the observed footprint since we want an exact measure of the people residing in the actual footprint. We also calculated the RMSE at the region and study area level. To determine which resolution performed best we selected the resolution that yielded the lowest RMSE value at each level (cell, region, and study area).</w:t>
      </w:r>
    </w:p>
    <w:p w14:paraId="49D0BF74" w14:textId="101B18B3" w:rsidR="00FB3C93" w:rsidRPr="004F469F" w:rsidRDefault="00FB3C93" w:rsidP="00435B08">
      <w:pPr>
        <w:pStyle w:val="Heading3"/>
        <w:spacing w:before="0" w:after="120" w:line="480" w:lineRule="auto"/>
        <w:rPr>
          <w:rFonts w:ascii="Times New Roman" w:eastAsia="Times New Roman" w:hAnsi="Times New Roman" w:cs="Times New Roman"/>
          <w:i/>
          <w:iCs/>
          <w:color w:val="auto"/>
        </w:rPr>
      </w:pPr>
      <w:bookmarkStart w:id="18" w:name="_Toc21861290"/>
      <w:r w:rsidRPr="004F469F">
        <w:rPr>
          <w:rFonts w:ascii="Times New Roman" w:eastAsia="Times New Roman" w:hAnsi="Times New Roman" w:cs="Times New Roman"/>
          <w:i/>
          <w:iCs/>
          <w:color w:val="auto"/>
        </w:rPr>
        <w:t>Exposure Distributions</w:t>
      </w:r>
      <w:bookmarkEnd w:id="18"/>
    </w:p>
    <w:p w14:paraId="0CB8FC9D" w14:textId="1DF2EC9B" w:rsidR="008F1B78" w:rsidRPr="004F469F" w:rsidRDefault="008F1B78" w:rsidP="00435B08">
      <w:pPr>
        <w:spacing w:after="120" w:line="480" w:lineRule="auto"/>
        <w:ind w:firstLine="720"/>
      </w:pPr>
      <w:r w:rsidRPr="004F469F">
        <w:t>To simulate many possible tornado footprints, we first created a uniform circular replication grid with a 40 km radius and a resolution of 0.5 km surrounding the centroid of the synthetic footprint. We define the extent of the area occupied by all tornado replicates as the potential impact zone. We then created replicates of the synthetic footprint (maintaining the size and orientation of the original) and shifted each one to the centroid of each of the 20,140 grid cells in the replication grid (Fig</w:t>
      </w:r>
      <w:r w:rsidR="00FB3C93" w:rsidRPr="004F469F">
        <w:t>ure 2.2)</w:t>
      </w:r>
      <w:r w:rsidRPr="004F469F">
        <w:t xml:space="preserve">. We chose a 40 km radius following the Storm Prediction Center's practice of using 40 km as a proximity distance for severe weather events </w:t>
      </w:r>
      <w:r w:rsidR="00FB3C93" w:rsidRPr="004F469F">
        <w:fldChar w:fldCharType="begin" w:fldLock="1"/>
      </w:r>
      <w:r w:rsidR="00123266">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2013)","plainTextFormattedCitation":"(Hitchens et al., 2013)","previouslyFormattedCitation":"(Hitchens et al., 2013)"},"properties":{"noteIndex":0},"schema":"https://github.com/citation-style-language/schema/raw/master/csl-citation.json"}</w:instrText>
      </w:r>
      <w:r w:rsidR="00FB3C93" w:rsidRPr="004F469F">
        <w:fldChar w:fldCharType="separate"/>
      </w:r>
      <w:r w:rsidR="00123266" w:rsidRPr="00123266">
        <w:rPr>
          <w:noProof/>
        </w:rPr>
        <w:t xml:space="preserve">(Hitchens </w:t>
      </w:r>
      <w:r w:rsidR="00123266" w:rsidRPr="00453357">
        <w:rPr>
          <w:i/>
          <w:iCs/>
          <w:noProof/>
        </w:rPr>
        <w:t>et al.</w:t>
      </w:r>
      <w:r w:rsidR="00123266" w:rsidRPr="00123266">
        <w:rPr>
          <w:noProof/>
        </w:rPr>
        <w:t>, 2013)</w:t>
      </w:r>
      <w:r w:rsidR="00FB3C93" w:rsidRPr="004F469F">
        <w:fldChar w:fldCharType="end"/>
      </w:r>
      <w:r w:rsidRPr="004F469F">
        <w:t xml:space="preserve">. We used block-level population data in our analysis since we aim to assess small-scale changes in exposure and those required the finest resolution possible. Since census blocks vary in size and shape both in space and time, we followed the method of </w:t>
      </w:r>
      <w:r w:rsidR="00FB3C93" w:rsidRPr="004F469F">
        <w:t xml:space="preserve">Ashley </w:t>
      </w:r>
      <w:r w:rsidR="00FB3C93" w:rsidRPr="00453357">
        <w:rPr>
          <w:i/>
          <w:iCs/>
        </w:rPr>
        <w:t>et al.</w:t>
      </w:r>
      <w:r w:rsidR="00FB3C93" w:rsidRPr="004F469F">
        <w:t xml:space="preserve"> </w:t>
      </w:r>
      <w:r w:rsidR="00FB3C93"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suppress-author":1,"uris":["http://www.mendeley.com/documents/?uuid=0e441156-498a-43d6-9545-e97b6fa0d5df"]}],"mendeley":{"formattedCitation":"(2014)","plainTextFormattedCitation":"(2014)","previouslyFormattedCitation":"(2014)"},"properties":{"noteIndex":0},"schema":"https://github.com/citation-style-language/schema/raw/master/csl-citation.json"}</w:instrText>
      </w:r>
      <w:r w:rsidR="00FB3C93" w:rsidRPr="004F469F">
        <w:fldChar w:fldCharType="separate"/>
      </w:r>
      <w:r w:rsidR="00FB3C93" w:rsidRPr="004F469F">
        <w:rPr>
          <w:noProof/>
        </w:rPr>
        <w:t>(2014)</w:t>
      </w:r>
      <w:r w:rsidR="00FB3C93" w:rsidRPr="004F469F">
        <w:fldChar w:fldCharType="end"/>
      </w:r>
      <w:r w:rsidRPr="004F469F">
        <w:t xml:space="preserve"> to interpolate census blocks onto a fixed grid using proportional allocation. As in </w:t>
      </w:r>
      <w:r w:rsidR="00D24FC9" w:rsidRPr="004F469F">
        <w:t xml:space="preserve">Ashley </w:t>
      </w:r>
      <w:r w:rsidR="00D24FC9" w:rsidRPr="00453357">
        <w:rPr>
          <w:i/>
          <w:iCs/>
        </w:rPr>
        <w:t>et al.</w:t>
      </w:r>
      <w:r w:rsidR="00D24FC9" w:rsidRPr="004F469F">
        <w:t xml:space="preserve"> </w:t>
      </w:r>
      <w:r w:rsidR="00D24FC9"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suppress-author":1,"uris":["http://www.mendeley.com/documents/?uuid=0e441156-498a-43d6-9545-e97b6fa0d5df"]}],"mendeley":{"formattedCitation":"(2014)","plainTextFormattedCitation":"(2014)","previouslyFormattedCitation":"(2014)"},"properties":{"noteIndex":0},"schema":"https://github.com/citation-style-language/schema/raw/master/csl-citation.json"}</w:instrText>
      </w:r>
      <w:r w:rsidR="00D24FC9" w:rsidRPr="004F469F">
        <w:fldChar w:fldCharType="separate"/>
      </w:r>
      <w:r w:rsidR="00D24FC9" w:rsidRPr="004F469F">
        <w:rPr>
          <w:noProof/>
        </w:rPr>
        <w:t>(2014)</w:t>
      </w:r>
      <w:r w:rsidR="00D24FC9" w:rsidRPr="004F469F">
        <w:fldChar w:fldCharType="end"/>
      </w:r>
      <w:r w:rsidRPr="004F469F">
        <w:t>, we used a grid resolution which corresponded to the mean resolution of the census blocks located within the grid. We then linearly interpolated the population grids to the year of the tornado using the preceding and succeeding census data. Finally, we calculated exposure for each replicate as above by intersecting the tornado footprint and the population grid.</w:t>
      </w:r>
    </w:p>
    <w:p w14:paraId="7C070B98" w14:textId="7C73ECA6" w:rsidR="00D24FC9" w:rsidRPr="004F469F" w:rsidRDefault="008F1B78" w:rsidP="00435B08">
      <w:pPr>
        <w:spacing w:after="120" w:line="480" w:lineRule="auto"/>
        <w:ind w:firstLine="720"/>
      </w:pPr>
      <w:r w:rsidRPr="004F469F">
        <w:t>We subset our replicate exposures into those within 10 km (the upper range for mesocyclone size</w:t>
      </w:r>
      <w:r w:rsidR="004018A9">
        <w:t>;</w:t>
      </w:r>
      <w:r w:rsidR="00D24FC9" w:rsidRPr="004F469F">
        <w:t xml:space="preserve"> </w:t>
      </w:r>
      <w:r w:rsidR="00D24FC9" w:rsidRPr="004F469F">
        <w:fldChar w:fldCharType="begin" w:fldLock="1"/>
      </w:r>
      <w:r w:rsidR="004018A9">
        <w:instrText>ADDIN CSL_CITATION {"citationItems":[{"id":"ITEM-1","itemData":{"author":[{"dropping-particle":"","family":"Adlerman","given":"Edwin J.","non-dropping-particle":"","parse-names":false,"suffix":""},{"dropping-particle":"","family":"Droegemeier","given":"Kelvin K.","non-dropping-particle":"","parse-names":false,"suffix":""},{"dropping-particle":"","family":"Davies-Jones","given":"Robert","non-dropping-particle":"","parse-names":false,"suffix":""}],"container-title":"Journal of the Atmospheric Sciences","id":"ITEM-1","issue":"13","issued":{"date-parts":[["1999"]]},"page":"2045-2069","title":"A numerical simulation of cyclic mesocyclogenesis","type":"article-journal","volume":"56"},"uris":["http://www.mendeley.com/documents/?uuid=95e18feb-6be6-428c-81e4-06bf57f81045"]}],"mendeley":{"formattedCitation":"(Adlerman et al., 1999)","manualFormatting":"Adlerman et al., 1999)","plainTextFormattedCitation":"(Adlerman et al., 1999)","previouslyFormattedCitation":"(Adlerman et al., 1999)"},"properties":{"noteIndex":0},"schema":"https://github.com/citation-style-language/schema/raw/master/csl-citation.json"}</w:instrText>
      </w:r>
      <w:r w:rsidR="00D24FC9" w:rsidRPr="004F469F">
        <w:fldChar w:fldCharType="separate"/>
      </w:r>
      <w:r w:rsidR="00123266" w:rsidRPr="00123266">
        <w:rPr>
          <w:noProof/>
        </w:rPr>
        <w:t xml:space="preserve">Adlerman </w:t>
      </w:r>
      <w:r w:rsidR="00123266" w:rsidRPr="00453357">
        <w:rPr>
          <w:i/>
          <w:iCs/>
          <w:noProof/>
        </w:rPr>
        <w:t>et al.</w:t>
      </w:r>
      <w:r w:rsidR="00123266" w:rsidRPr="00123266">
        <w:rPr>
          <w:noProof/>
        </w:rPr>
        <w:t>, 1999)</w:t>
      </w:r>
      <w:r w:rsidR="00D24FC9" w:rsidRPr="004F469F">
        <w:fldChar w:fldCharType="end"/>
      </w:r>
      <w:r w:rsidRPr="004F469F">
        <w:t xml:space="preserve"> and 40 km (SPC's proximity radius</w:t>
      </w:r>
      <w:r w:rsidR="004018A9">
        <w:t>;</w:t>
      </w:r>
      <w:r w:rsidR="00D24FC9" w:rsidRPr="004F469F">
        <w:t xml:space="preserve"> </w:t>
      </w:r>
      <w:r w:rsidR="00D24FC9" w:rsidRPr="004F469F">
        <w:fldChar w:fldCharType="begin" w:fldLock="1"/>
      </w:r>
      <w:r w:rsidR="004018A9">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2013)","manualFormatting":"Hitchens et al., 2013)","plainTextFormattedCitation":"(Hitchens et al., 2013)","previouslyFormattedCitation":"(Hitchens et al., 2013)"},"properties":{"noteIndex":0},"schema":"https://github.com/citation-style-language/schema/raw/master/csl-citation.json"}</w:instrText>
      </w:r>
      <w:r w:rsidR="00D24FC9" w:rsidRPr="004F469F">
        <w:fldChar w:fldCharType="separate"/>
      </w:r>
      <w:r w:rsidR="00123266" w:rsidRPr="00123266">
        <w:rPr>
          <w:noProof/>
        </w:rPr>
        <w:t xml:space="preserve">Hitchens </w:t>
      </w:r>
      <w:r w:rsidR="00123266" w:rsidRPr="00453357">
        <w:rPr>
          <w:i/>
          <w:iCs/>
          <w:noProof/>
        </w:rPr>
        <w:t>et al.</w:t>
      </w:r>
      <w:r w:rsidR="00123266" w:rsidRPr="00123266">
        <w:rPr>
          <w:noProof/>
        </w:rPr>
        <w:t xml:space="preserve">, </w:t>
      </w:r>
      <w:r w:rsidR="00123266" w:rsidRPr="00123266">
        <w:rPr>
          <w:noProof/>
        </w:rPr>
        <w:lastRenderedPageBreak/>
        <w:t>2013)</w:t>
      </w:r>
      <w:r w:rsidR="00D24FC9" w:rsidRPr="004F469F">
        <w:fldChar w:fldCharType="end"/>
      </w:r>
      <w:r w:rsidRPr="004F469F">
        <w:t xml:space="preserve"> of the original footprint and calculated summary statistics for the following variables: footprint area (</w:t>
      </w:r>
      <w:r w:rsidRPr="004F469F">
        <w:rPr>
          <w:i/>
          <w:iCs/>
        </w:rPr>
        <w:t>AREA</w:t>
      </w:r>
      <w:r w:rsidRPr="004F469F">
        <w:t>), observed tornado exposure (</w:t>
      </w:r>
      <w:r w:rsidRPr="004F469F">
        <w:rPr>
          <w:i/>
          <w:iCs/>
        </w:rPr>
        <w:t>OBS</w:t>
      </w:r>
      <w:r w:rsidRPr="004F469F">
        <w:t>), median (</w:t>
      </w:r>
      <w:r w:rsidRPr="004F469F">
        <w:rPr>
          <w:i/>
          <w:iCs/>
        </w:rPr>
        <w:t>PPEMED</w:t>
      </w:r>
      <w:r w:rsidRPr="004F469F">
        <w:t>) and maximum (</w:t>
      </w:r>
      <w:r w:rsidRPr="004F469F">
        <w:rPr>
          <w:i/>
          <w:iCs/>
        </w:rPr>
        <w:t>PPEMAX</w:t>
      </w:r>
      <w:r w:rsidRPr="004F469F">
        <w:t>) number of persons potentially exposed to the tornado (from the distribution of all replicate exposures), and the probability that a tornado hitting within 10 km (40 km) of the original footprint would exceed the observed exposure (</w:t>
      </w:r>
      <w:r w:rsidRPr="004F469F">
        <w:rPr>
          <w:i/>
          <w:iCs/>
        </w:rPr>
        <w:t>EPOBS</w:t>
      </w:r>
      <w:r w:rsidRPr="004F469F">
        <w:t>), 5,000 persons (</w:t>
      </w:r>
      <w:r w:rsidRPr="004F469F">
        <w:rPr>
          <w:i/>
          <w:iCs/>
        </w:rPr>
        <w:t>EP5K</w:t>
      </w:r>
      <w:r w:rsidRPr="004F469F">
        <w:t>), or 20,000 persons (</w:t>
      </w:r>
      <w:r w:rsidRPr="004F469F">
        <w:rPr>
          <w:i/>
          <w:iCs/>
        </w:rPr>
        <w:t>EP20</w:t>
      </w:r>
      <w:r w:rsidR="00D24FC9" w:rsidRPr="004F469F">
        <w:rPr>
          <w:i/>
          <w:iCs/>
        </w:rPr>
        <w:t>K</w:t>
      </w:r>
      <w:r w:rsidRPr="004F469F">
        <w:t>). The probability of exceedance (</w:t>
      </w:r>
      <w:r w:rsidRPr="004F469F">
        <w:rPr>
          <w:i/>
          <w:iCs/>
        </w:rPr>
        <w:t>EP</w:t>
      </w:r>
      <w:r w:rsidRPr="004F469F">
        <w:t>) was calculated as follows:</w:t>
      </w:r>
      <w:r w:rsidR="00D24FC9" w:rsidRPr="004F469F">
        <w:t xml:space="preserve"> </w:t>
      </w:r>
    </w:p>
    <w:p w14:paraId="10CE4917" w14:textId="51AC1563" w:rsidR="00D24FC9" w:rsidRPr="004F469F" w:rsidRDefault="00D24FC9" w:rsidP="00435B08">
      <w:pPr>
        <w:spacing w:after="120" w:line="480" w:lineRule="auto"/>
        <w:ind w:firstLine="720"/>
        <w:jc w:val="center"/>
      </w:pPr>
      <m:oMath>
        <m:r>
          <w:rPr>
            <w:rFonts w:ascii="Cambria Math" w:hAnsi="Cambria Math"/>
          </w:rPr>
          <m:t>EP</m:t>
        </m:r>
        <m:r>
          <m:rPr>
            <m:sty m:val="p"/>
          </m:rPr>
          <w:rPr>
            <w:rFonts w:ascii="Cambria Math" w:hAnsi="Cambria Math"/>
          </w:rPr>
          <m:t>=1-</m:t>
        </m:r>
        <m:r>
          <w:rPr>
            <w:rFonts w:ascii="Cambria Math" w:hAnsi="Cambria Math"/>
          </w:rPr>
          <m:t>F</m:t>
        </m:r>
        <m:r>
          <m:rPr>
            <m:sty m:val="p"/>
          </m:rPr>
          <w:rPr>
            <w:rFonts w:ascii="Cambria Math" w:hAnsi="Cambria Math"/>
          </w:rPr>
          <m:t>(</m:t>
        </m:r>
        <m:r>
          <w:rPr>
            <w:rFonts w:ascii="Cambria Math" w:hAnsi="Cambria Math"/>
          </w:rPr>
          <m:t>t</m:t>
        </m:r>
        <m:r>
          <m:rPr>
            <m:sty m:val="p"/>
          </m:rPr>
          <w:rPr>
            <w:rFonts w:ascii="Cambria Math" w:hAnsi="Cambria Math"/>
          </w:rPr>
          <m:t>)</m:t>
        </m:r>
      </m:oMath>
      <w:r w:rsidRPr="004F469F">
        <w:t>,</w:t>
      </w:r>
    </w:p>
    <w:p w14:paraId="01BB5069" w14:textId="4AE2563B" w:rsidR="008F1B78" w:rsidRPr="004F469F" w:rsidRDefault="008F1B78" w:rsidP="00435B08">
      <w:pPr>
        <w:spacing w:after="120" w:line="480" w:lineRule="auto"/>
        <w:ind w:firstLine="720"/>
      </w:pPr>
      <w:r w:rsidRPr="004F469F">
        <w:t xml:space="preserve">where </w:t>
      </w:r>
      <w:r w:rsidRPr="004F469F">
        <w:rPr>
          <w:i/>
          <w:iCs/>
        </w:rPr>
        <w:t>t</w:t>
      </w:r>
      <w:r w:rsidRPr="004F469F">
        <w:t xml:space="preserve"> is the threshold (</w:t>
      </w:r>
      <w:r w:rsidRPr="004F469F">
        <w:rPr>
          <w:i/>
          <w:iCs/>
        </w:rPr>
        <w:t>e.g.</w:t>
      </w:r>
      <w:r w:rsidRPr="004F469F">
        <w:t xml:space="preserve">, 5,000 persons), </w:t>
      </w:r>
      <w:r w:rsidRPr="004F469F">
        <w:rPr>
          <w:i/>
          <w:iCs/>
        </w:rPr>
        <w:t>F(t)</w:t>
      </w:r>
      <w:r w:rsidRPr="004F469F">
        <w:t xml:space="preserve"> is the empirical cumulative distribution function derived from the set of all replicate exposures within the specified radius </w:t>
      </w:r>
    </w:p>
    <w:p w14:paraId="0A087EBA" w14:textId="681300E1" w:rsidR="008F1B78" w:rsidRPr="004F469F" w:rsidRDefault="008F1B78" w:rsidP="00435B08">
      <w:pPr>
        <w:spacing w:after="120" w:line="480" w:lineRule="auto"/>
        <w:ind w:firstLine="720"/>
      </w:pPr>
      <w:r w:rsidRPr="004F469F">
        <w:t>(10 km or 40 km), and is calculated as:</w:t>
      </w:r>
    </w:p>
    <w:p w14:paraId="3C15A3B6" w14:textId="6AF4FED0" w:rsidR="00D24FC9" w:rsidRPr="004F469F" w:rsidRDefault="00D24FC9" w:rsidP="00435B08">
      <w:pPr>
        <w:spacing w:after="120" w:line="480" w:lineRule="auto"/>
        <w:ind w:firstLine="720"/>
        <w:jc w:val="center"/>
      </w:pPr>
      <m:oMath>
        <m:r>
          <w:rPr>
            <w:rFonts w:ascii="Cambria Math" w:hAnsi="Cambria Math"/>
          </w:rPr>
          <m:t>F</m:t>
        </m:r>
        <m:d>
          <m:dPr>
            <m:ctrlPr>
              <w:rPr>
                <w:rFonts w:ascii="Cambria Math" w:hAnsi="Cambria Math"/>
              </w:rPr>
            </m:ctrlPr>
          </m:dPr>
          <m:e>
            <m:r>
              <w:rPr>
                <w:rFonts w:ascii="Cambria Math" w:hAnsi="Cambria Math"/>
              </w:rPr>
              <m:t>t</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m:rPr>
                    <m:sty m:val="b"/>
                  </m:rPr>
                  <w:rPr>
                    <w:rFonts w:ascii="Cambria Math" w:hAnsi="Cambria Math"/>
                  </w:rPr>
                  <m:t>1</m:t>
                </m:r>
              </m:e>
              <m:sub>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t</m:t>
                    </m:r>
                  </m:e>
                </m:d>
              </m:sub>
            </m:sSub>
          </m:e>
        </m:nary>
      </m:oMath>
      <w:r w:rsidRPr="004F469F">
        <w:t>,</w:t>
      </w:r>
    </w:p>
    <w:p w14:paraId="240D4405" w14:textId="09021775" w:rsidR="008F1B78" w:rsidRPr="004F469F" w:rsidRDefault="008F1B78" w:rsidP="00435B08">
      <w:pPr>
        <w:spacing w:after="120" w:line="480" w:lineRule="auto"/>
        <w:ind w:firstLine="720"/>
      </w:pPr>
      <w:r w:rsidRPr="004F469F">
        <w:t xml:space="preserve">where </w:t>
      </w:r>
      <w:r w:rsidRPr="004F469F">
        <w:rPr>
          <w:i/>
          <w:iCs/>
        </w:rPr>
        <w:t>n</w:t>
      </w:r>
      <w:r w:rsidRPr="004F469F">
        <w:t xml:space="preserve"> is the number of exposures within the specified radius and </w:t>
      </w:r>
      <w:r w:rsidRPr="004F469F">
        <w:rPr>
          <w:b/>
          <w:bCs/>
          <w:i/>
          <w:iCs/>
        </w:rPr>
        <w:t>1</w:t>
      </w:r>
      <w:r w:rsidRPr="004F469F">
        <w:t xml:space="preserve"> is the indicator function (1 if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≤t</m:t>
        </m:r>
      </m:oMath>
      <w:r w:rsidRPr="004F469F">
        <w:t xml:space="preserve"> and 0 otherwise). The likelihood related to the </w:t>
      </w:r>
      <w:r w:rsidRPr="004F469F">
        <w:rPr>
          <w:i/>
          <w:iCs/>
        </w:rPr>
        <w:t>EP</w:t>
      </w:r>
      <w:r w:rsidRPr="004F469F">
        <w:t xml:space="preserve"> is defined as very likely </w:t>
      </w:r>
      <w:r w:rsidR="00CF7E62" w:rsidRPr="004F469F">
        <w:t>(</w:t>
      </w:r>
      <m:oMath>
        <m:r>
          <w:rPr>
            <w:rFonts w:ascii="Cambria Math" w:hAnsi="Cambria Math"/>
          </w:rPr>
          <m:t>EP&gt;75%</m:t>
        </m:r>
      </m:oMath>
      <w:r w:rsidR="00CF7E62" w:rsidRPr="004F469F">
        <w:t>)</w:t>
      </w:r>
      <w:r w:rsidRPr="004F469F">
        <w:t xml:space="preserve">, likely </w:t>
      </w:r>
      <w:r w:rsidR="00CF7E62" w:rsidRPr="004F469F">
        <w:t>(</w:t>
      </w:r>
      <m:oMath>
        <m:r>
          <w:rPr>
            <w:rFonts w:ascii="Cambria Math" w:hAnsi="Cambria Math"/>
          </w:rPr>
          <m:t>50%&lt;EP≤75%</m:t>
        </m:r>
      </m:oMath>
      <w:r w:rsidR="00CF7E62" w:rsidRPr="004F469F">
        <w:t>)</w:t>
      </w:r>
      <w:r w:rsidRPr="004F469F">
        <w:t xml:space="preserve">, unlikely </w:t>
      </w:r>
      <w:r w:rsidR="00CF7E62" w:rsidRPr="004F469F">
        <w:t>(</w:t>
      </w:r>
      <m:oMath>
        <m:r>
          <w:rPr>
            <w:rFonts w:ascii="Cambria Math" w:hAnsi="Cambria Math"/>
          </w:rPr>
          <m:t>25%&lt;EP≤50%</m:t>
        </m:r>
      </m:oMath>
      <w:r w:rsidR="00CF7E62" w:rsidRPr="004F469F">
        <w:t>)</w:t>
      </w:r>
      <w:r w:rsidRPr="004F469F">
        <w:t xml:space="preserve">, or very unlikely </w:t>
      </w:r>
      <w:r w:rsidR="00CF7E62" w:rsidRPr="004F469F">
        <w:t>(</w:t>
      </w:r>
      <m:oMath>
        <m:r>
          <w:rPr>
            <w:rFonts w:ascii="Cambria Math" w:hAnsi="Cambria Math"/>
          </w:rPr>
          <m:t>EP≤25%</m:t>
        </m:r>
      </m:oMath>
      <w:r w:rsidR="00CF7E62" w:rsidRPr="004F469F">
        <w:t>).</w:t>
      </w:r>
    </w:p>
    <w:p w14:paraId="2BF74B97" w14:textId="58B5E103" w:rsidR="008F1B78" w:rsidRPr="004F469F" w:rsidRDefault="008F1B78" w:rsidP="00435B08">
      <w:pPr>
        <w:spacing w:after="120" w:line="480" w:lineRule="auto"/>
        <w:ind w:firstLine="720"/>
      </w:pPr>
      <w:r w:rsidRPr="004F469F">
        <w:t xml:space="preserve">Using the exposure distributions, we defined a hit as a tornado where </w:t>
      </w:r>
      <m:oMath>
        <m:r>
          <w:rPr>
            <w:rFonts w:ascii="Cambria Math" w:hAnsi="Cambria Math"/>
          </w:rPr>
          <m:t>OBS≥5,000 persons</m:t>
        </m:r>
      </m:oMath>
      <w:r w:rsidRPr="004F469F">
        <w:t xml:space="preserve">, a near-miss where </w:t>
      </w:r>
      <m:oMath>
        <m:r>
          <w:rPr>
            <w:rFonts w:ascii="Cambria Math" w:hAnsi="Cambria Math"/>
          </w:rPr>
          <m:t>OBS&lt;5,000 persons</m:t>
        </m:r>
      </m:oMath>
      <w:r w:rsidRPr="004F469F">
        <w:t xml:space="preserve"> and </w:t>
      </w:r>
      <m:oMath>
        <m:r>
          <w:rPr>
            <w:rFonts w:ascii="Cambria Math" w:hAnsi="Cambria Math"/>
          </w:rPr>
          <m:t>PPEMAX≥5,000 persons</m:t>
        </m:r>
      </m:oMath>
      <w:r w:rsidRPr="004F469F">
        <w:t xml:space="preserve"> within 10 km, and a far-miss where </w:t>
      </w:r>
      <m:oMath>
        <m:r>
          <w:rPr>
            <w:rFonts w:ascii="Cambria Math" w:hAnsi="Cambria Math"/>
          </w:rPr>
          <m:t>OBS&lt;5,000 persons</m:t>
        </m:r>
      </m:oMath>
      <w:r w:rsidRPr="004F469F">
        <w:t xml:space="preserve">, </w:t>
      </w:r>
      <m:oMath>
        <m:r>
          <w:rPr>
            <w:rFonts w:ascii="Cambria Math" w:hAnsi="Cambria Math"/>
          </w:rPr>
          <m:t>PPEMAX&lt;5,000 persons</m:t>
        </m:r>
      </m:oMath>
      <w:r w:rsidR="00CF7E62" w:rsidRPr="004F469F">
        <w:t xml:space="preserve"> </w:t>
      </w:r>
      <w:r w:rsidRPr="004F469F">
        <w:t xml:space="preserve">within 10 km and </w:t>
      </w:r>
      <m:oMath>
        <m:r>
          <w:rPr>
            <w:rFonts w:ascii="Cambria Math" w:hAnsi="Cambria Math"/>
          </w:rPr>
          <m:t>PPEMAX≥5,000 persons</m:t>
        </m:r>
      </m:oMath>
      <w:r w:rsidR="00CF7E62" w:rsidRPr="004F469F">
        <w:t xml:space="preserve"> </w:t>
      </w:r>
      <w:r w:rsidRPr="004F469F">
        <w:t>within 40 km. We chose 5,000 persons as the threshold</w:t>
      </w:r>
      <w:r w:rsidR="00CF7E62" w:rsidRPr="004F469F">
        <w:t xml:space="preserve"> </w:t>
      </w:r>
      <w:r w:rsidRPr="004F469F">
        <w:t xml:space="preserve">as </w:t>
      </w:r>
      <w:r w:rsidR="00CF7E62" w:rsidRPr="004F469F">
        <w:t xml:space="preserve">Brooks </w:t>
      </w:r>
      <w:r w:rsidR="00CF7E62" w:rsidRPr="00453357">
        <w:rPr>
          <w:i/>
          <w:iCs/>
        </w:rPr>
        <w:t>et al.</w:t>
      </w:r>
      <w:r w:rsidR="00CF7E62" w:rsidRPr="004F469F">
        <w:t xml:space="preserve"> </w:t>
      </w:r>
      <w:r w:rsidR="00CF7E62" w:rsidRPr="004F469F">
        <w:fldChar w:fldCharType="begin" w:fldLock="1"/>
      </w:r>
      <w:r w:rsidR="00C31A1B" w:rsidRPr="004F469F">
        <w:instrText>ADDIN CSL_CITATION {"citationItems":[{"id":"ITEM-1","itemData":{"DOI":"10.1175/BAMS-89-1-87","author":[{"dropping-particle":"","family":"Brooks","given":"Harold E.","non-dropping-particle":"","parse-names":false,"suffix":""},{"dropping-particle":"","family":"Doswell","given":"Charles A. III","non-dropping-particle":"","parse-names":false,"suffix":""},{"dropping-particle":"","family":"Sutter","given":"Daniel","non-dropping-particle":"","parse-names":false,"suffix":""}],"container-title":"Bulletin of the American Meteorological Society","id":"ITEM-1","issue":"1","issued":{"date-parts":[["2008"]]},"page":"87-90","title":"Low-level winds in tornadoes and potential catastrophic tornado impacts in urban areas","type":"article-journal","volume":"89"},"suppress-author":1,"uris":["http://www.mendeley.com/documents/?uuid=604e5ef0-847e-4cbf-ba9c-24bf7f03c4ff"]}],"mendeley":{"formattedCitation":"(2008)","plainTextFormattedCitation":"(2008)","previouslyFormattedCitation":"(2008)"},"properties":{"noteIndex":0},"schema":"https://github.com/citation-style-language/schema/raw/master/csl-citation.json"}</w:instrText>
      </w:r>
      <w:r w:rsidR="00CF7E62" w:rsidRPr="004F469F">
        <w:fldChar w:fldCharType="separate"/>
      </w:r>
      <w:r w:rsidR="00CF7E62" w:rsidRPr="004F469F">
        <w:rPr>
          <w:noProof/>
        </w:rPr>
        <w:t>(2008)</w:t>
      </w:r>
      <w:r w:rsidR="00CF7E62" w:rsidRPr="004F469F">
        <w:fldChar w:fldCharType="end"/>
      </w:r>
      <w:r w:rsidRPr="004F469F">
        <w:t xml:space="preserve"> report a 0.1 to 1.9% fatality rate for select violent tornadoes and this range was supported by fatality estimates from the 27 April 2011 Tuscaloosa-Birmingham, Alabama (1.9%) and the 22 May 2011 Joplin, Missouri tornadoes (0.9%). These estimates were </w:t>
      </w:r>
      <w:r w:rsidRPr="004F469F">
        <w:lastRenderedPageBreak/>
        <w:t xml:space="preserve">derived by following the methodology of </w:t>
      </w:r>
      <w:r w:rsidR="00CF7E62" w:rsidRPr="004F469F">
        <w:t xml:space="preserve">Brooks </w:t>
      </w:r>
      <w:r w:rsidR="00CF7E62" w:rsidRPr="00453357">
        <w:rPr>
          <w:i/>
          <w:iCs/>
        </w:rPr>
        <w:t>et al.</w:t>
      </w:r>
      <w:r w:rsidR="00CF7E62" w:rsidRPr="004F469F">
        <w:t xml:space="preserve"> </w:t>
      </w:r>
      <w:r w:rsidR="00CF7E62" w:rsidRPr="004F469F">
        <w:fldChar w:fldCharType="begin" w:fldLock="1"/>
      </w:r>
      <w:r w:rsidR="00C31A1B" w:rsidRPr="004F469F">
        <w:instrText>ADDIN CSL_CITATION {"citationItems":[{"id":"ITEM-1","itemData":{"DOI":"10.1175/BAMS-89-1-87","author":[{"dropping-particle":"","family":"Brooks","given":"Harold E.","non-dropping-particle":"","parse-names":false,"suffix":""},{"dropping-particle":"","family":"Doswell","given":"Charles A. III","non-dropping-particle":"","parse-names":false,"suffix":""},{"dropping-particle":"","family":"Sutter","given":"Daniel","non-dropping-particle":"","parse-names":false,"suffix":""}],"container-title":"Bulletin of the American Meteorological Society","id":"ITEM-1","issue":"1","issued":{"date-parts":[["2008"]]},"page":"87-90","title":"Low-level winds in tornadoes and potential catastrophic tornado impacts in urban areas","type":"article-journal","volume":"89"},"suppress-author":1,"uris":["http://www.mendeley.com/documents/?uuid=604e5ef0-847e-4cbf-ba9c-24bf7f03c4ff"]}],"mendeley":{"formattedCitation":"(2008)","plainTextFormattedCitation":"(2008)","previouslyFormattedCitation":"(2008)"},"properties":{"noteIndex":0},"schema":"https://github.com/citation-style-language/schema/raw/master/csl-citation.json"}</w:instrText>
      </w:r>
      <w:r w:rsidR="00CF7E62" w:rsidRPr="004F469F">
        <w:fldChar w:fldCharType="separate"/>
      </w:r>
      <w:r w:rsidR="00CF7E62" w:rsidRPr="004F469F">
        <w:rPr>
          <w:noProof/>
        </w:rPr>
        <w:t>(2008)</w:t>
      </w:r>
      <w:r w:rsidR="00CF7E62" w:rsidRPr="004F469F">
        <w:fldChar w:fldCharType="end"/>
      </w:r>
      <w:r w:rsidRPr="004F469F">
        <w:t xml:space="preserve">, using the number of homes destroyed as reported by </w:t>
      </w:r>
      <w:r w:rsidR="00CF7E62" w:rsidRPr="004F469F">
        <w:rPr>
          <w:noProof/>
        </w:rPr>
        <w:t xml:space="preserve">Prevatt </w:t>
      </w:r>
      <w:r w:rsidR="00CF7E62" w:rsidRPr="00453357">
        <w:rPr>
          <w:i/>
          <w:iCs/>
          <w:noProof/>
        </w:rPr>
        <w:t>et al.</w:t>
      </w:r>
      <w:r w:rsidR="00CF7E62" w:rsidRPr="004F469F">
        <w:rPr>
          <w:noProof/>
        </w:rPr>
        <w:t xml:space="preserve"> </w:t>
      </w:r>
      <w:r w:rsidR="00CF7E62" w:rsidRPr="004F469F">
        <w:fldChar w:fldCharType="begin" w:fldLock="1"/>
      </w:r>
      <w:r w:rsidR="00CF7E62" w:rsidRPr="004F469F">
        <w:instrText>ADDIN CSL_CITATION {"citationItems":[{"id":"ITEM-1","itemData":{"author":[{"dropping-particle":"","family":"Prevatt","given":"David O.","non-dropping-particle":"","parse-names":false,"suffix":""},{"dropping-particle":"","family":"Lindt","given":"John W.","non-dropping-particle":"van de","parse-names":false,"suffix":""},{"dropping-particle":"","family":"Back","given":"Edward W.","non-dropping-particle":"","parse-names":false,"suffix":""},{"dropping-particle":"","family":"Graettinger","given":"Andrew J.","non-dropping-particle":"","parse-names":false,"suffix":""},{"dropping-particle":"","family":"Pei","given":"Shiling","non-dropping-particle":"","parse-names":false,"suffix":""},{"dropping-particle":"","family":"Coulbourne","given":"William","non-dropping-particle":"","parse-names":false,"suffix":""},{"dropping-particle":"","family":"Gupta","given":"Rakesh","non-dropping-particle":"","parse-names":false,"suffix":""},{"dropping-particle":"","family":"James","given":"Darryl","non-dropping-particle":"","parse-names":false,"suffix":""},{"dropping-particle":"","family":"Agdas","given":"Duzgun","non-dropping-particle":"","parse-names":false,"suffix":""}],"container-title":"Leadership and Management in Engineering","id":"ITEM-1","issue":"4","issued":{"date-parts":[["2012"]]},"page":"254-270","publisher":"American Society of Civil Engineers","title":"Making the case for improved structural design: Tornado outbreaks of 2011","type":"article-journal","volume":"12"},"suppress-author":1,"uris":["http://www.mendeley.com/documents/?uuid=3df6ced8-b9f3-4aaa-8a4f-5548147851e1"]}],"mendeley":{"formattedCitation":"(2012)","plainTextFormattedCitation":"(2012)","previouslyFormattedCitation":"(2012)"},"properties":{"noteIndex":0},"schema":"https://github.com/citation-style-language/schema/raw/master/csl-citation.json"}</w:instrText>
      </w:r>
      <w:r w:rsidR="00CF7E62" w:rsidRPr="004F469F">
        <w:fldChar w:fldCharType="separate"/>
      </w:r>
      <w:r w:rsidR="00CF7E62" w:rsidRPr="004F469F">
        <w:rPr>
          <w:noProof/>
        </w:rPr>
        <w:t>(2012)</w:t>
      </w:r>
      <w:r w:rsidR="00CF7E62" w:rsidRPr="004F469F">
        <w:fldChar w:fldCharType="end"/>
      </w:r>
      <w:r w:rsidRPr="004F469F">
        <w:t xml:space="preserve"> and assuming the national average of 2.64 persons per home </w:t>
      </w:r>
      <w:r w:rsidR="00CF7E62" w:rsidRPr="004F469F">
        <w:fldChar w:fldCharType="begin" w:fldLock="1"/>
      </w:r>
      <w:r w:rsidR="00CF7E62" w:rsidRPr="004F469F">
        <w:instrText>ADDIN CSL_CITATION {"citationItems":[{"id":"ITEM-1","itemData":{"author":[{"dropping-particle":"","family":"U.S. Census Bureau","given":"","non-dropping-particle":"","parse-names":false,"suffix":""}],"id":"ITEM-1","issued":{"date-parts":[["2015"]]},"publisher":"American Community Survey","publisher-place":"Washington, DC","title":"2011-2015 American Community Survey 5-Year Estimates","type":"article"},"uris":["http://www.mendeley.com/documents/?uuid=55a2a197-5ae8-49e5-becb-5819bc44706f"]}],"mendeley":{"formattedCitation":"(U.S. Census Bureau, 2015)","plainTextFormattedCitation":"(U.S. Census Bureau, 2015)","previouslyFormattedCitation":"(U.S. Census Bureau, 2015)"},"properties":{"noteIndex":0},"schema":"https://github.com/citation-style-language/schema/raw/master/csl-citation.json"}</w:instrText>
      </w:r>
      <w:r w:rsidR="00CF7E62" w:rsidRPr="004F469F">
        <w:fldChar w:fldCharType="separate"/>
      </w:r>
      <w:r w:rsidR="00CF7E62" w:rsidRPr="004F469F">
        <w:rPr>
          <w:noProof/>
        </w:rPr>
        <w:t>(U.S. Census Bureau, 2015)</w:t>
      </w:r>
      <w:r w:rsidR="00CF7E62" w:rsidRPr="004F469F">
        <w:fldChar w:fldCharType="end"/>
      </w:r>
      <w:r w:rsidRPr="004F469F">
        <w:t xml:space="preserve">. A threshold of 5,000 persons would yield an expected fatality total of 5 to </w:t>
      </w:r>
      <w:r w:rsidR="00CF7E62" w:rsidRPr="004F469F">
        <w:t>~</w:t>
      </w:r>
      <w:r w:rsidRPr="004F469F">
        <w:t xml:space="preserve">100 and only 10.4% of all violent tornadoes occurring between 1995 and 2016 had fatality totals exceeding five </w:t>
      </w:r>
      <w:r w:rsidR="00CF7E62" w:rsidRPr="004F469F">
        <w:fldChar w:fldCharType="begin" w:fldLock="1"/>
      </w:r>
      <w:r w:rsidR="00CF7E62"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00CF7E62" w:rsidRPr="004F469F">
        <w:fldChar w:fldCharType="separate"/>
      </w:r>
      <w:r w:rsidR="00CF7E62" w:rsidRPr="004F469F">
        <w:rPr>
          <w:noProof/>
        </w:rPr>
        <w:t>(SPC, 2017)</w:t>
      </w:r>
      <w:r w:rsidR="00CF7E62" w:rsidRPr="004F469F">
        <w:fldChar w:fldCharType="end"/>
      </w:r>
      <w:r w:rsidRPr="004F469F">
        <w:t xml:space="preserve">. We used a similar procedure as that used to produce the violent tornado climatology to determine the high-risk areas for violent tornadoes and for all tornadoes with observed or potential exposures exceeding 5,000 persons (hits or near-misses) during the period of 1995 to 2016. We used the reported coordinates of tornado touchdown to place each tornado on an 80 km by 80 km grid. We then proceeded to calculate the mean number of days where a violent tornado touched down in each grid cell during the study period. As in the violent tornado climatology we were only interested in large-scale trends so we smoothed the data using a Gaussian lowpass filter with a standard deviation of 120 km </w:t>
      </w:r>
      <w:r w:rsidR="00CF7E62"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States","type":"paper-conference"},"uris":["http://www.mendeley.com/documents/?uuid=6e052979-6a88-43b7-af1c-e706b78cdfb5"]}],"mendeley":{"formattedCitation":"(Concannon et al., 2000)","plainTextFormattedCitation":"(Concannon et al., 2000)","previouslyFormattedCitation":"(Concannon et al., 2000)"},"properties":{"noteIndex":0},"schema":"https://github.com/citation-style-language/schema/raw/master/csl-citation.json"}</w:instrText>
      </w:r>
      <w:r w:rsidR="00CF7E62" w:rsidRPr="004F469F">
        <w:fldChar w:fldCharType="separate"/>
      </w:r>
      <w:r w:rsidR="00123266" w:rsidRPr="00123266">
        <w:rPr>
          <w:noProof/>
        </w:rPr>
        <w:t xml:space="preserve">(Concannon </w:t>
      </w:r>
      <w:r w:rsidR="00123266" w:rsidRPr="00453357">
        <w:rPr>
          <w:i/>
          <w:iCs/>
          <w:noProof/>
        </w:rPr>
        <w:t>et al.</w:t>
      </w:r>
      <w:r w:rsidR="00123266" w:rsidRPr="00123266">
        <w:rPr>
          <w:noProof/>
        </w:rPr>
        <w:t>, 2000)</w:t>
      </w:r>
      <w:r w:rsidR="00CF7E62" w:rsidRPr="004F469F">
        <w:fldChar w:fldCharType="end"/>
      </w:r>
      <w:r w:rsidRPr="004F469F">
        <w:t>. We arbitrarily defined high-risk areas as all areas estimated to have had at least two violent tornado days per century as the one day per century area covered most of the middle part of the country. We tested for trends in the number of hits, near-misses, far-misses, observed exposure, median and maximum potential exposure and the probability that a tornado would impact at least 5,000 persons. We used a Quadrat Analysis with a Chi-Squared Test (</w:t>
      </w:r>
      <m:oMath>
        <m:r>
          <w:rPr>
            <w:rFonts w:ascii="Cambria Math" w:hAnsi="Cambria Math"/>
          </w:rPr>
          <m:t>α=0.05</m:t>
        </m:r>
      </m:oMath>
      <w:r w:rsidR="004018A9">
        <w:t>;</w:t>
      </w:r>
      <w:r w:rsidR="00CF7E62" w:rsidRPr="004F469F">
        <w:t xml:space="preserve"> </w:t>
      </w:r>
      <w:r w:rsidR="00CF7E62" w:rsidRPr="004F469F">
        <w:fldChar w:fldCharType="begin" w:fldLock="1"/>
      </w:r>
      <w:r w:rsidR="004018A9">
        <w:instrText>ADDIN CSL_CITATION {"citationItems":[{"id":"ITEM-1","itemData":{"author":[{"dropping-particle":"","family":"Griffith","given":"Daniel A","non-dropping-particle":"","parse-names":false,"suffix":""},{"dropping-particle":"","family":"Haining","given":"Robert","non-dropping-particle":"","parse-names":false,"suffix":""}],"container-title":"Geographical Analysis","id":"ITEM-1","issue":"2","issued":{"date-parts":[["2006"]]},"page":"123-139","publisher":"Wiley Online Library","title":"Beyond mule kicks: The Poisson distribution in geographical analysis","type":"article-journal","volume":"38"},"uris":["http://www.mendeley.com/documents/?uuid=ed40c944-b220-4d4a-952f-c1b92f6ccf67"]},{"id":"ITEM-2","itemData":{"author":[{"dropping-particle":"","family":"Arnold","given":"K","non-dropping-particle":"","parse-names":false,"suffix":""},{"dropping-particle":"","family":"Golino","given":"D A","non-dropping-particle":"","parse-names":false,"suffix":""},{"dropping-particle":"","family":"McRoberts","given":"N","non-dropping-particle":"","parse-names":false,"suffix":""}],"container-title":"Phytopathology","id":"ITEM-2","issue":"4","issued":{"date-parts":[["2017"]]},"page":"418-426","publisher":"Am Phytopath Society","title":"A synoptic analysis of the temporal and spatial aspects of grapevine leafroll disease in a historic Napa vineyard and experimental vine blocks","type":"article-journal","volume":"107"},"uris":["http://www.mendeley.com/documents/?uuid=6ce939fc-790b-4804-b136-7f1179597c20"]}],"mendeley":{"formattedCitation":"(Griffith and Haining, 2006; Arnold et al., 2017)","manualFormatting":"Griffith and Haining, 2006; Arnold et al., 2017)","plainTextFormattedCitation":"(Griffith and Haining, 2006; Arnold et al., 2017)","previouslyFormattedCitation":"(Griffith and Haining, 2006; Arnold et al., 2017)"},"properties":{"noteIndex":0},"schema":"https://github.com/citation-style-language/schema/raw/master/csl-citation.json"}</w:instrText>
      </w:r>
      <w:r w:rsidR="00CF7E62" w:rsidRPr="004F469F">
        <w:fldChar w:fldCharType="separate"/>
      </w:r>
      <w:r w:rsidR="00123266" w:rsidRPr="00123266">
        <w:rPr>
          <w:noProof/>
        </w:rPr>
        <w:t xml:space="preserve">Griffith and Haining, 2006; Arnold </w:t>
      </w:r>
      <w:r w:rsidR="00123266" w:rsidRPr="00453357">
        <w:rPr>
          <w:i/>
          <w:iCs/>
          <w:noProof/>
        </w:rPr>
        <w:t>et al.</w:t>
      </w:r>
      <w:r w:rsidR="00123266" w:rsidRPr="00123266">
        <w:rPr>
          <w:noProof/>
        </w:rPr>
        <w:t>, 2017)</w:t>
      </w:r>
      <w:r w:rsidR="00CF7E62" w:rsidRPr="004F469F">
        <w:fldChar w:fldCharType="end"/>
      </w:r>
      <w:r w:rsidRPr="004F469F">
        <w:t xml:space="preserve"> to determine which regions had more hits, near-misses and far-misses. We also used global </w:t>
      </w:r>
      <w:r w:rsidR="00CF7E62" w:rsidRPr="004F469F">
        <w:fldChar w:fldCharType="begin" w:fldLock="1"/>
      </w:r>
      <w:r w:rsidR="0010658B">
        <w:instrText>ADDIN CSL_CITATION {"citationItems":[{"id":"ITEM-1","itemData":{"author":[{"dropping-particle":"","family":"Moran","given":"Patrick A P","non-dropping-particle":"","parse-names":false,"suffix":""}],"container-title":"Biometrika","id":"ITEM-1","issue":"1/2","issued":{"date-parts":[["1950"]]},"page":"17-23","publisher":"JSTOR","title":"Notes on continuous stochastic phenomena","type":"article-journal","volume":"37"},"uris":["http://www.mendeley.com/documents/?uuid=f5fe9f9c-9b1d-4fad-b2a1-2df2788aacc8"]},{"id":"ITEM-2","itemData":{"author":[{"dropping-particle":"","family":"Legendre","given":"P","non-dropping-particle":"","parse-names":false,"suffix":""},{"dropping-particle":"","family":"Legendre","given":"L","non-dropping-particle":"","parse-names":false,"suffix":""}],"id":"ITEM-2","issued":{"date-parts":[["2012"]]},"publisher":"Elsevier, Amsterdam","title":"Numerical ecology, 3rd English edition","type":"book"},"uris":["http://www.mendeley.com/documents/?uuid=433e1ae8-0eb2-4e58-ad1a-bd38e4a4b91e"]}],"mendeley":{"formattedCitation":"(Moran, 1950; Legendre and Legendre, 2012)","plainTextFormattedCitation":"(Moran, 1950; Legendre and Legendre, 2012)","previouslyFormattedCitation":"(Moran, 1950; Legendre and Legendre, 2012)"},"properties":{"noteIndex":0},"schema":"https://github.com/citation-style-language/schema/raw/master/csl-citation.json"}</w:instrText>
      </w:r>
      <w:r w:rsidR="00CF7E62" w:rsidRPr="004F469F">
        <w:fldChar w:fldCharType="separate"/>
      </w:r>
      <w:r w:rsidR="0010658B" w:rsidRPr="0010658B">
        <w:rPr>
          <w:noProof/>
        </w:rPr>
        <w:t>(Moran, 1950; Legendre and Legendre, 2012)</w:t>
      </w:r>
      <w:r w:rsidR="00CF7E62" w:rsidRPr="004F469F">
        <w:fldChar w:fldCharType="end"/>
      </w:r>
      <w:r w:rsidRPr="004F469F">
        <w:t xml:space="preserve"> and local Moran's I tests </w:t>
      </w:r>
      <w:r w:rsidR="00CF7E62" w:rsidRPr="004F469F">
        <w:fldChar w:fldCharType="begin" w:fldLock="1"/>
      </w:r>
      <w:r w:rsidR="00CF7E62" w:rsidRPr="004F469F">
        <w:instrText>ADDIN CSL_CITATION {"citationItems":[{"id":"ITEM-1","itemData":{"author":[{"dropping-particle":"","family":"Anselin","given":"Luc","non-dropping-particle":"","parse-names":false,"suffix":""}],"container-title":"Geographical Analysis","id":"ITEM-1","issue":"2","issued":{"date-parts":[["1995"]]},"page":"93-115","publisher":"Wiley Online Library","title":"Local indicators of spatial association-LISA","type":"article-journal","volume":"27"},"uris":["http://www.mendeley.com/documents/?uuid=bd8be924-52e6-468c-b2a3-dfe111de8d28"]}],"mendeley":{"formattedCitation":"(Anselin, 1995)","plainTextFormattedCitation":"(Anselin, 1995)","previouslyFormattedCitation":"(Anselin, 1995)"},"properties":{"noteIndex":0},"schema":"https://github.com/citation-style-language/schema/raw/master/csl-citation.json"}</w:instrText>
      </w:r>
      <w:r w:rsidR="00CF7E62" w:rsidRPr="004F469F">
        <w:fldChar w:fldCharType="separate"/>
      </w:r>
      <w:r w:rsidR="00CF7E62" w:rsidRPr="004F469F">
        <w:rPr>
          <w:noProof/>
        </w:rPr>
        <w:t>(Anselin, 1995)</w:t>
      </w:r>
      <w:r w:rsidR="00CF7E62" w:rsidRPr="004F469F">
        <w:fldChar w:fldCharType="end"/>
      </w:r>
      <w:r w:rsidRPr="004F469F">
        <w:t xml:space="preserve"> to determine the degree of spatial autocorrelation in the tornado locations and the locations of clusters with reference to large metropolitan statistical areas. To perform the Moran's I tests we first counted the number of </w:t>
      </w:r>
      <w:r w:rsidRPr="004F469F">
        <w:lastRenderedPageBreak/>
        <w:t xml:space="preserve">tornadoes in each county during the whole study period and then defined our neighborhood using the county boundaries with the standard "queen's case" contiguity rule </w:t>
      </w:r>
      <w:r w:rsidR="00CF7E62" w:rsidRPr="004F469F">
        <w:fldChar w:fldCharType="begin" w:fldLock="1"/>
      </w:r>
      <w:r w:rsidR="003322B9" w:rsidRPr="004F469F">
        <w:instrText>ADDIN CSL_CITATION {"citationItems":[{"id":"ITEM-1","itemData":{"author":[{"dropping-particle":"","family":"Greenbaum","given":"Robert T","non-dropping-particle":"","parse-names":false,"suffix":""}],"container-title":"Journal of Labor Research","id":"ITEM-1","issue":"1","issued":{"date-parts":[["2002"]]},"page":"69-86","publisher":"Springer","title":"A spatial study of teachers’ salaries in Pennsylvania school districts","type":"article-journal","volume":"23"},"uris":["http://www.mendeley.com/documents/?uuid=e45276a0-ecf6-459d-abde-7d0c7d8e7333"]}],"mendeley":{"formattedCitation":"(Greenbaum, 2002)","plainTextFormattedCitation":"(Greenbaum, 2002)","previouslyFormattedCitation":"(Greenbaum, 2002)"},"properties":{"noteIndex":0},"schema":"https://github.com/citation-style-language/schema/raw/master/csl-citation.json"}</w:instrText>
      </w:r>
      <w:r w:rsidR="00CF7E62" w:rsidRPr="004F469F">
        <w:fldChar w:fldCharType="separate"/>
      </w:r>
      <w:r w:rsidR="00CF7E62" w:rsidRPr="004F469F">
        <w:rPr>
          <w:noProof/>
        </w:rPr>
        <w:t>(Greenbaum, 2002)</w:t>
      </w:r>
      <w:r w:rsidR="00CF7E62" w:rsidRPr="004F469F">
        <w:fldChar w:fldCharType="end"/>
      </w:r>
      <w:r w:rsidRPr="004F469F">
        <w:t xml:space="preserve">. </w:t>
      </w:r>
    </w:p>
    <w:p w14:paraId="491BA64A" w14:textId="7A8F33DC" w:rsidR="008F1B78" w:rsidRPr="004F469F" w:rsidRDefault="00CF7E62" w:rsidP="00435B08">
      <w:pPr>
        <w:pStyle w:val="Heading3"/>
        <w:spacing w:before="0" w:after="120" w:line="480" w:lineRule="auto"/>
        <w:rPr>
          <w:rFonts w:ascii="Times New Roman" w:eastAsia="Times New Roman" w:hAnsi="Times New Roman" w:cs="Times New Roman"/>
          <w:i/>
          <w:iCs/>
          <w:color w:val="auto"/>
        </w:rPr>
      </w:pPr>
      <w:bookmarkStart w:id="19" w:name="_Toc21861291"/>
      <w:r w:rsidRPr="004F469F">
        <w:rPr>
          <w:rFonts w:ascii="Times New Roman" w:eastAsia="Times New Roman" w:hAnsi="Times New Roman" w:cs="Times New Roman"/>
          <w:i/>
          <w:iCs/>
          <w:color w:val="auto"/>
        </w:rPr>
        <w:t>Comparing Exposures Using Synthetic and Observed Damage Paths</w:t>
      </w:r>
      <w:bookmarkEnd w:id="19"/>
    </w:p>
    <w:p w14:paraId="44C734D5" w14:textId="6E7185D1" w:rsidR="008F1B78" w:rsidRPr="004F469F" w:rsidRDefault="008F1B78" w:rsidP="00435B08">
      <w:pPr>
        <w:spacing w:after="120" w:line="480" w:lineRule="auto"/>
        <w:ind w:firstLine="720"/>
      </w:pPr>
      <w:r w:rsidRPr="004F469F">
        <w:t xml:space="preserve">We selected ten violent historical tornadoes with both synthetic and observed footprints available (Table  </w:t>
      </w:r>
      <w:r w:rsidR="00CF7E62" w:rsidRPr="004F469F">
        <w:t>2.1)</w:t>
      </w:r>
      <w:r w:rsidRPr="004F469F">
        <w:t xml:space="preserve"> and re-ran the replication analysis to calculate the observed exposure (</w:t>
      </w:r>
      <w:r w:rsidRPr="004F469F">
        <w:rPr>
          <w:i/>
          <w:iCs/>
        </w:rPr>
        <w:t>OBS</w:t>
      </w:r>
      <w:r w:rsidRPr="004F469F">
        <w:t>) and maximum replicate exposure (</w:t>
      </w:r>
      <w:r w:rsidRPr="004F469F">
        <w:rPr>
          <w:i/>
          <w:iCs/>
        </w:rPr>
        <w:t>PPEMAX</w:t>
      </w:r>
      <w:r w:rsidRPr="004F469F">
        <w:t>) within 10 km and 40 km for each footprint type for each tornado. We used these results to classify each footprint as a hit, near-miss, or far-miss to determine if the use of synthetic footprints affects the classification of the tornado.</w:t>
      </w:r>
    </w:p>
    <w:p w14:paraId="684F54E2" w14:textId="62C57EE6" w:rsidR="003322B9" w:rsidRPr="004F469F" w:rsidRDefault="003322B9" w:rsidP="00435B08">
      <w:pPr>
        <w:pStyle w:val="Heading2"/>
        <w:spacing w:before="0" w:after="120" w:line="480" w:lineRule="auto"/>
        <w:rPr>
          <w:rFonts w:ascii="Times New Roman" w:eastAsia="Times New Roman" w:hAnsi="Times New Roman" w:cs="Times New Roman"/>
          <w:b/>
          <w:bCs/>
          <w:color w:val="auto"/>
          <w:sz w:val="28"/>
          <w:szCs w:val="28"/>
        </w:rPr>
      </w:pPr>
      <w:bookmarkStart w:id="20" w:name="_Toc21861292"/>
      <w:r w:rsidRPr="004F469F">
        <w:rPr>
          <w:rFonts w:ascii="Times New Roman" w:eastAsia="Times New Roman" w:hAnsi="Times New Roman" w:cs="Times New Roman"/>
          <w:b/>
          <w:bCs/>
          <w:color w:val="auto"/>
          <w:sz w:val="28"/>
          <w:szCs w:val="28"/>
        </w:rPr>
        <w:t>Results</w:t>
      </w:r>
      <w:bookmarkEnd w:id="20"/>
    </w:p>
    <w:p w14:paraId="099EFA0D" w14:textId="4DA220AF" w:rsidR="003322B9" w:rsidRPr="004F469F" w:rsidRDefault="00C62934" w:rsidP="00435B08">
      <w:pPr>
        <w:pStyle w:val="Heading3"/>
        <w:spacing w:before="0" w:after="120" w:line="480" w:lineRule="auto"/>
        <w:rPr>
          <w:rFonts w:ascii="Times New Roman" w:eastAsia="Times New Roman" w:hAnsi="Times New Roman" w:cs="Times New Roman"/>
          <w:i/>
          <w:iCs/>
          <w:color w:val="auto"/>
        </w:rPr>
      </w:pPr>
      <w:bookmarkStart w:id="21" w:name="_Toc21861293"/>
      <w:r w:rsidRPr="004F469F">
        <w:rPr>
          <w:rFonts w:ascii="Times New Roman" w:eastAsia="Times New Roman" w:hAnsi="Times New Roman" w:cs="Times New Roman"/>
          <w:i/>
          <w:iCs/>
          <w:color w:val="auto"/>
        </w:rPr>
        <w:t>V</w:t>
      </w:r>
      <w:r w:rsidR="003322B9" w:rsidRPr="004F469F">
        <w:rPr>
          <w:rFonts w:ascii="Times New Roman" w:eastAsia="Times New Roman" w:hAnsi="Times New Roman" w:cs="Times New Roman"/>
          <w:i/>
          <w:iCs/>
          <w:color w:val="auto"/>
        </w:rPr>
        <w:t>iolent Tornado Climatology</w:t>
      </w:r>
      <w:bookmarkEnd w:id="21"/>
    </w:p>
    <w:p w14:paraId="0233A274" w14:textId="701C693C" w:rsidR="008F1B78" w:rsidRPr="004F469F" w:rsidRDefault="008F1B78" w:rsidP="00435B08">
      <w:pPr>
        <w:spacing w:after="120" w:line="480" w:lineRule="auto"/>
        <w:ind w:firstLine="720"/>
      </w:pPr>
      <w:r w:rsidRPr="004F469F">
        <w:t>Risk occurs when a hazard (</w:t>
      </w:r>
      <w:r w:rsidRPr="004F469F">
        <w:rPr>
          <w:i/>
          <w:iCs/>
        </w:rPr>
        <w:t>i.e.</w:t>
      </w:r>
      <w:r w:rsidRPr="004F469F">
        <w:t xml:space="preserve">, tornado) and a vulnerable population/structure are collocated. An understanding of the violent tornado climatology is thus key in determining violent tornado risk </w:t>
      </w:r>
      <w:r w:rsidR="003322B9" w:rsidRPr="004F469F">
        <w:fldChar w:fldCharType="begin" w:fldLock="1"/>
      </w:r>
      <w:r w:rsidR="00123266">
        <w:instrText>ADDIN CSL_CITATION {"citationItems":[{"id":"ITEM-1","itemData":{"DOI":"10.1175/2010BAMS3102.1","ISBN":"0003-0007","ISSN":"0003-0007","author":[{"dropping-particle":"","family":"Dixon","given":"P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Society","id":"ITEM-1","issue":"4","issued":{"date-parts":[["2011"]]},"page":"433","title":"Tornado risk analysis: is Dixie Alley an extension of Tornado Alley?","type":"article-journal","volume":"92"},"uris":["http://www.mendeley.com/documents/?uuid=7a3e5f30-55c6-4dfa-a460-4f44599b65d8"]},{"id":"ITEM-2","itemData":{"DOI":"10.1175/WAF-D-13-00057.1","ISBN":"0882-8156","ISSN":"0882-8156","abstract":"In this paper, an objective analysis of spatial tornado risk in the United States is performed, using a somewhat different dataset than in some previous tornado climatologies. We focus on significant tornadoes because their reporting frequency has remained fairly stable for several decades. Also, data before 1973 are excluded, since those tornadoes were rated after the fact, and were often over-rated. Tornado path length within the vicinity of a grid point is used to show tornado risk, as opposed to tornado days or the total number of reported tornadoes. The possibility that many tornadoes in the Great Plains were under-rated due to the lack of damage indicators, causing a low bias in the number of significant tornadoes there, is mostly discounted through several analyses. Our kernel density analysis of 1973-2011 significant tornadoes shows that the area of highest risk for tornadoes in the United States extends roughly from Oklahoma to Tennessee and northwestern Georgia, with the highest risk in the southeastern United States, from central Arkansas across most of Mississippi and northern Alabama.","author":[{"dropping-particle":"","family":"Coleman","given":"Timothy A.","non-dropping-particle":"","parse-names":false,"suffix":""},{"dropping-particle":"","family":"Dixon","given":"P. Grady","non-dropping-particle":"","parse-names":false,"suffix":""}],"container-title":"Weather and forecasting","id":"ITEM-2","issue":"2","issued":{"date-parts":[["2014"]]},"page":"366-376","title":"An objective analysis of tornado risk in the United States","type":"article-journal","volume":"29"},"uris":["http://www.mendeley.com/documents/?uuid=8ba75ee6-e210-4d57-8ebf-d76007afd0a7"]},{"id":"ITEM-3","itemData":{"author":[{"dropping-particle":"","family":"Ashley","given":"Walker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landscape","type":"article-journal","volume":"97"},"uris":["http://www.mendeley.com/documents/?uuid=f66d6182-0c44-4efe-84e8-83956e5e4d92"]}],"mendeley":{"formattedCitation":"(Dixon et al., 2011; Coleman and Dixon, 2014; Ashley and Strader, 2016)","plainTextFormattedCitation":"(Dixon et al., 2011; Coleman and Dixon, 2014; Ashley and Strader, 2016)","previouslyFormattedCitation":"(Dixon et al., 2011; Coleman and Dixon, 2014; Ashley and Strader, 2016)"},"properties":{"noteIndex":0},"schema":"https://github.com/citation-style-language/schema/raw/master/csl-citation.json"}</w:instrText>
      </w:r>
      <w:r w:rsidR="003322B9" w:rsidRPr="004F469F">
        <w:fldChar w:fldCharType="separate"/>
      </w:r>
      <w:r w:rsidR="0010658B" w:rsidRPr="00123266">
        <w:rPr>
          <w:noProof/>
        </w:rPr>
        <w:t xml:space="preserve">(Dixon </w:t>
      </w:r>
      <w:r w:rsidR="0010658B" w:rsidRPr="00453357">
        <w:rPr>
          <w:i/>
          <w:iCs/>
          <w:noProof/>
        </w:rPr>
        <w:t>et al.</w:t>
      </w:r>
      <w:r w:rsidR="0010658B" w:rsidRPr="00123266">
        <w:rPr>
          <w:noProof/>
        </w:rPr>
        <w:t>, 2011; Coleman and Dixon, 2014; Ashley and Strader, 2016)</w:t>
      </w:r>
      <w:r w:rsidR="003322B9" w:rsidRPr="004F469F">
        <w:fldChar w:fldCharType="end"/>
      </w:r>
      <w:r w:rsidR="003322B9" w:rsidRPr="004F469F">
        <w:t>.</w:t>
      </w:r>
      <w:r w:rsidRPr="004F469F">
        <w:t xml:space="preserve"> A large body of literature has discussed tornado climatology </w:t>
      </w:r>
      <w:r w:rsidR="003322B9" w:rsidRPr="004F469F">
        <w:fldChar w:fldCharType="begin" w:fldLock="1"/>
      </w:r>
      <w:r w:rsidR="00123266">
        <w:instrText>ADDIN CSL_CITATION {"citationItems":[{"id":"ITEM-1","itemData":{"author":[{"dropping-particle":"","family":"Abbey","given":"Robert F.","non-dropping-particle":"","parse-names":false,"suffix":""}],"container-title":"Proceedings of the Symposium on Tornadoes: Assessment of Knowledge and Implications for Man","editor":[{"dropping-particle":"","family":"Abbey","given":"Robert F.","non-dropping-particle":"","parse-names":false,"suffix":""},{"dropping-particle":"","family":"Mehta","given":"Kishor C.","non-dropping-particle":"","parse-names":false,"suffix":""}],"id":"ITEM-1","issued":{"date-parts":[["1976"]]},"page":"177-236","publisher-place":"Lubbock, TX","title":"Risk probabilities associated with tornado wind speeds","type":"paper-conference"},"uris":["http://www.mendeley.com/documents/?uuid=2687ccdf-18a8-4650-b6c9-044c3fcd2cf2"]},{"id":"ITEM-2","itemData":{"author":[{"dropping-particle":"","family":"Concannon","given":"Peggy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Applications","id":"ITEM-2","issued":{"date-parts":[["2000"]]},"page":"212-219","publisher":"American Meteorological Society","publisher-place":"Long Beach, CA","title":"Climatological risk of strong and violent tornadoes in the United States","type":"paper-conference"},"uris":["http://www.mendeley.com/documents/?uuid=6e052979-6a88-43b7-af1c-e706b78cdfb5"]},{"id":"ITEM-3","itemData":{"DOI":"10.1175/1520-0493(1988)116&lt;0495:OSIOUS&gt;2.0.CO;2","author":[{"dropping-particle":"","family":"Doswell","given":"Charles A. III","non-dropping-particle":"","parse-names":false,"suffix":""},{"dropping-particle":"","family":"Burgess","given":"Donald W.","non-dropping-particle":"","parse-names":false,"suffix":""}],"container-title":"Monthly Weather Review","id":"ITEM-3","issue":"2","issued":{"date-parts":[["1988"]]},"page":"495-501","title":"On some issues of United States tornado climatology","type":"article-journal","volume":"116"},"uris":["http://www.mendeley.com/documents/?uuid=0a116520-4b4d-4cce-b548-6bf2b6e4dd32"]},{"id":"ITEM-4","itemData":{"ISBN":"1879362031","author":[{"dropping-particle":"","family":"Grazulis","given":"Thomas P.","non-dropping-particle":"","parse-names":false,"suffix":""}],"id":"ITEM-4","issued":{"date-parts":[["1993"]]},"number-of-pages":"1326","publisher":"Enviromental Films","title":"Significant Tornadoes: 1680-1991","type":"book"},"uris":["http://www.mendeley.com/documents/?uuid=38eac11f-29c5-48cb-8964-889060b73087"]},{"id":"ITEM-5","itemData":{"DOI":"10.1175/2007WAF2007004.1","ISBN":"0882-8156","ISSN":"0882-8156","abstract":"A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Forecasting","id":"ITEM-5","issue":"6","issued":{"date-parts":[["2007"]]},"page":"1214-1228","title":"Spatial and Temporal Analysis of Tornado Fatalities in the United States: 1880–2005","type":"article-journal","volume":"22"},"uris":["http://www.mendeley.com/documents/?uuid=14fd8bf9-6b84-4fc3-bae5-6fa5f66b5ccf"]},{"id":"ITEM-6","itemData":{"ISBN":"1477-8696","author":[{"dropping-particle":"","family":"Doswell","given":"Charles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E.","non-dropping-particle":"","parse-names":false,"suffix":""}],"container-title":"Weather","id":"ITEM-6","issue":"4","issued":{"date-parts":[["2012"]]},"page":"88-94","title":"The tornadoes of spring 2011 in the USA: An historical perspective","type":"article-journal","volume":"67"},"uris":["http://www.mendeley.com/documents/?uuid=42235697-4e43-4cf7-9772-fa9a876de81d"]},{"id":"ITEM-7","itemData":{"DOI":"10.1126/science.1257460","ISBN":"0027-8424","ISSN":"0036-8075","PMID":"24062439","abstract":"The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T.","non-dropping-particle":"","parse-names":false,"suffix":""}],"container-title":"Science","id":"ITEM-7","issue":"6207","issued":{"date-parts":[["2014"]]},"page":"349-352","title":"Increased variability of tornado occurrence in the United States","type":"article-journal","volume":"346"},"uris":["http://www.mendeley.com/documents/?uuid=8864379a-9c12-4249-abb6-42120421d27f"]},{"id":"ITEM-8","itemData":{"DOI":"10.1002/met.1482","ISBN":"1350-4827","ISSN":"14698080","abstract":"An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Applications","id":"ITEM-8","issue":"3","issued":{"date-parts":[["2015"]]},"page":"513-524","publisher":"Wiley Online Library","title":"A climatology of tornado intensity assessments","type":"article-journal","volume":"22"},"uris":["http://www.mendeley.com/documents/?uuid=e4377686-df2f-4b6e-9560-9cec9e268521"]}],"mendeley":{"formattedCitation":"(Abbey, 1976; Doswell and Burgess, 1988; Grazulis, 1993; Concannon et al., 2000; Ashley, 2007; Doswell et al., 2012; Brooks et al., 2014; Strader et al., 2015)","plainTextFormattedCitation":"(Abbey, 1976; Doswell and Burgess, 1988; Grazulis, 1993; Concannon et al., 2000; Ashley, 2007; Doswell et al., 2012; Brooks et al., 2014; Strader et al., 2015)","previouslyFormattedCitation":"(Abbey, 1976; Doswell and Burgess, 1988; Grazulis, 1993; Concannon et al., 2000; Ashley, 2007; Doswell et al., 2012; Brooks et al., 2014; Strader et al., 2015)"},"properties":{"noteIndex":0},"schema":"https://github.com/citation-style-language/schema/raw/master/csl-citation.json"}</w:instrText>
      </w:r>
      <w:r w:rsidR="003322B9" w:rsidRPr="004F469F">
        <w:fldChar w:fldCharType="separate"/>
      </w:r>
      <w:r w:rsidR="00123266" w:rsidRPr="00123266">
        <w:rPr>
          <w:noProof/>
        </w:rPr>
        <w:t xml:space="preserve">(Abbey, 1976; Doswell and Burgess, 1988; Grazulis, 1993; Concannon </w:t>
      </w:r>
      <w:r w:rsidR="00123266" w:rsidRPr="00453357">
        <w:rPr>
          <w:i/>
          <w:iCs/>
          <w:noProof/>
        </w:rPr>
        <w:t>et al.</w:t>
      </w:r>
      <w:r w:rsidR="00123266" w:rsidRPr="00123266">
        <w:rPr>
          <w:noProof/>
        </w:rPr>
        <w:t xml:space="preserve">, 2000; Ashley, 2007; Doswell </w:t>
      </w:r>
      <w:r w:rsidR="00123266" w:rsidRPr="00453357">
        <w:rPr>
          <w:i/>
          <w:iCs/>
          <w:noProof/>
        </w:rPr>
        <w:t>et al.</w:t>
      </w:r>
      <w:r w:rsidR="00123266" w:rsidRPr="00123266">
        <w:rPr>
          <w:noProof/>
        </w:rPr>
        <w:t xml:space="preserve">, 2012; Brooks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2015)</w:t>
      </w:r>
      <w:r w:rsidR="003322B9" w:rsidRPr="004F469F">
        <w:fldChar w:fldCharType="end"/>
      </w:r>
      <w:r w:rsidRPr="004F469F">
        <w:t>. We update the violent tornado climatologies o</w:t>
      </w:r>
      <w:r w:rsidR="003322B9" w:rsidRPr="004F469F">
        <w:t xml:space="preserve">f Concannon </w:t>
      </w:r>
      <w:r w:rsidR="003322B9" w:rsidRPr="00453357">
        <w:rPr>
          <w:i/>
          <w:iCs/>
        </w:rPr>
        <w:t>et al.</w:t>
      </w:r>
      <w:r w:rsidR="003322B9" w:rsidRPr="004F469F">
        <w:t xml:space="preserve"> </w:t>
      </w:r>
      <w:r w:rsidR="003322B9"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3322B9" w:rsidRPr="004F469F">
        <w:fldChar w:fldCharType="separate"/>
      </w:r>
      <w:r w:rsidR="003322B9" w:rsidRPr="004F469F">
        <w:rPr>
          <w:noProof/>
        </w:rPr>
        <w:t>(2000)</w:t>
      </w:r>
      <w:r w:rsidR="003322B9" w:rsidRPr="004F469F">
        <w:fldChar w:fldCharType="end"/>
      </w:r>
      <w:r w:rsidR="003322B9" w:rsidRPr="004F469F">
        <w:t xml:space="preserve"> and Doswell </w:t>
      </w:r>
      <w:r w:rsidR="003322B9" w:rsidRPr="00453357">
        <w:rPr>
          <w:i/>
          <w:iCs/>
        </w:rPr>
        <w:t>et al.</w:t>
      </w:r>
      <w:r w:rsidR="003322B9" w:rsidRPr="004F469F">
        <w:t xml:space="preserve"> </w:t>
      </w:r>
      <w:r w:rsidR="003322B9" w:rsidRPr="004F469F">
        <w:fldChar w:fldCharType="begin" w:fldLock="1"/>
      </w:r>
      <w:r w:rsidR="00C31A1B" w:rsidRPr="004F469F">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suppress-author":1,"uris":["http://www.mendeley.com/documents/?uuid=42235697-4e43-4cf7-9772-fa9a876de81d"]}],"mendeley":{"formattedCitation":"(2012)","plainTextFormattedCitation":"(2012)","previouslyFormattedCitation":"(2012)"},"properties":{"noteIndex":0},"schema":"https://github.com/citation-style-language/schema/raw/master/csl-citation.json"}</w:instrText>
      </w:r>
      <w:r w:rsidR="003322B9" w:rsidRPr="004F469F">
        <w:fldChar w:fldCharType="separate"/>
      </w:r>
      <w:r w:rsidR="003322B9" w:rsidRPr="004F469F">
        <w:rPr>
          <w:noProof/>
        </w:rPr>
        <w:t>(2012)</w:t>
      </w:r>
      <w:r w:rsidR="003322B9" w:rsidRPr="004F469F">
        <w:fldChar w:fldCharType="end"/>
      </w:r>
      <w:r w:rsidRPr="004F469F">
        <w:t xml:space="preserve"> to include the period from 1880 to 2016 during which there were 1,255 violent tornadoes reported in the US, occurring over 786 days </w:t>
      </w:r>
      <w:r w:rsidR="003322B9" w:rsidRPr="004F469F">
        <w:fldChar w:fldCharType="begin" w:fldLock="1"/>
      </w:r>
      <w:r w:rsidR="00C31A1B"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OK","title":"SVRGIS","type":"article"},"uris":["http://www.mendeley.com/documents/?uuid=73f3b16c-2500-4d12-aecb-e8f20da06b3f"]},{"id":"ITEM-2","itemData":{"ISBN":"1879362031","author":[{"dropping-particle":"","family":"Grazulis","given":"Thomas P.","non-dropping-particle":"","parse-names":false,"suffix":""}],"id":"ITEM-2","issued":{"date-parts":[["1993"]]},"number-of-pages":"1326","publisher":"Enviromental Films","title":"Significant Tornadoes: 1680-1991","type":"book"},"uris":["http://www.mendeley.com/documents/?uuid=38eac11f-29c5-48cb-8964-889060b73087"]},{"id":"ITEM-3","itemData":{"ISBN":"187936204X","author":[{"dropping-particle":"","family":"Grazulis","given":"Thomas P.","non-dropping-particle":"","parse-names":false,"suffix":""}],"id":"ITEM-3","issued":{"date-parts":[["1997"]]},"number-of-pages":"118","publisher":"Environmental Films","title":"Significant Tornadoes (Update): 1992-1995","type":"book"},"uris":["http://www.mendeley.com/documents/?uuid=df4baf2d-949a-47b7-a427-d4d2d13ea34d"]}],"mendeley":{"formattedCitation":"(Grazulis, 1993, 1997; SPC, 2017)","plainTextFormattedCitation":"(Grazulis, 1993, 1997; SPC, 2017)","previouslyFormattedCitation":"(Grazulis, 1993, 1997; SPC, 2017)"},"properties":{"noteIndex":0},"schema":"https://github.com/citation-style-language/schema/raw/master/csl-citation.json"}</w:instrText>
      </w:r>
      <w:r w:rsidR="003322B9" w:rsidRPr="004F469F">
        <w:fldChar w:fldCharType="separate"/>
      </w:r>
      <w:r w:rsidR="00C31A1B" w:rsidRPr="004F469F">
        <w:rPr>
          <w:noProof/>
        </w:rPr>
        <w:t>(Grazulis, 1993, 1997; SPC, 2017)</w:t>
      </w:r>
      <w:r w:rsidR="003322B9" w:rsidRPr="004F469F">
        <w:fldChar w:fldCharType="end"/>
      </w:r>
      <w:r w:rsidRPr="004F469F">
        <w:t xml:space="preserve">. During this period violent tornadoes were most common in an 'L' shaped pattern between Iowa, Oklahoma, and Alabama, similar to the patterns found by </w:t>
      </w:r>
      <w:r w:rsidR="003322B9" w:rsidRPr="004F469F">
        <w:t xml:space="preserve">Concannon </w:t>
      </w:r>
      <w:r w:rsidR="003322B9" w:rsidRPr="00453357">
        <w:rPr>
          <w:i/>
          <w:iCs/>
        </w:rPr>
        <w:t>et al.</w:t>
      </w:r>
      <w:r w:rsidR="003322B9" w:rsidRPr="004F469F">
        <w:t xml:space="preserve"> </w:t>
      </w:r>
      <w:r w:rsidR="003322B9"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3322B9" w:rsidRPr="004F469F">
        <w:fldChar w:fldCharType="separate"/>
      </w:r>
      <w:r w:rsidR="003322B9" w:rsidRPr="004F469F">
        <w:rPr>
          <w:noProof/>
        </w:rPr>
        <w:t>(2000)</w:t>
      </w:r>
      <w:r w:rsidR="003322B9" w:rsidRPr="004F469F">
        <w:fldChar w:fldCharType="end"/>
      </w:r>
      <w:r w:rsidR="003322B9" w:rsidRPr="004F469F">
        <w:t xml:space="preserve"> and Doswell </w:t>
      </w:r>
      <w:r w:rsidR="003322B9" w:rsidRPr="00453357">
        <w:rPr>
          <w:i/>
          <w:iCs/>
        </w:rPr>
        <w:t>et al.</w:t>
      </w:r>
      <w:r w:rsidR="003322B9" w:rsidRPr="004F469F">
        <w:t xml:space="preserve"> </w:t>
      </w:r>
      <w:r w:rsidR="003322B9" w:rsidRPr="004F469F">
        <w:fldChar w:fldCharType="begin" w:fldLock="1"/>
      </w:r>
      <w:r w:rsidR="00C31A1B" w:rsidRPr="004F469F">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suppress-author":1,"uris":["http://www.mendeley.com/documents/?uuid=42235697-4e43-4cf7-9772-fa9a876de81d"]}],"mendeley":{"formattedCitation":"(2012)","plainTextFormattedCitation":"(2012)","previouslyFormattedCitation":"(2012)"},"properties":{"noteIndex":0},"schema":"https://github.com/citation-style-language/schema/raw/master/csl-citation.json"}</w:instrText>
      </w:r>
      <w:r w:rsidR="003322B9" w:rsidRPr="004F469F">
        <w:fldChar w:fldCharType="separate"/>
      </w:r>
      <w:r w:rsidR="003322B9" w:rsidRPr="004F469F">
        <w:rPr>
          <w:noProof/>
        </w:rPr>
        <w:t>(2012)</w:t>
      </w:r>
      <w:r w:rsidR="003322B9" w:rsidRPr="004F469F">
        <w:fldChar w:fldCharType="end"/>
      </w:r>
      <w:r w:rsidR="003322B9" w:rsidRPr="004F469F">
        <w:t xml:space="preserve"> </w:t>
      </w:r>
      <w:r w:rsidRPr="004F469F">
        <w:t xml:space="preserve">for the period of 1921 to 1995 (2010). The greatest number of mean violent tornado days (35 to 39 days per millennium) was found in central Oklahoma. The </w:t>
      </w:r>
      <w:r w:rsidRPr="004F469F">
        <w:lastRenderedPageBreak/>
        <w:t>1880 to 1909 period saw peak activity (35 to 39 days per millennium) in the central Great Plains while the 1930 to 1959 and 1987 to 2016 periods saw peak activity shift to the southern Great Plains (50+ days per millennium) and Southeast (35 to 39 days per millennium) respectively (Fig</w:t>
      </w:r>
      <w:r w:rsidR="003322B9" w:rsidRPr="004F469F">
        <w:t>ure 2.3</w:t>
      </w:r>
      <w:r w:rsidRPr="004F469F">
        <w:t>). While there was no significant temporal trend nationally for either annual violent tornado counts (</w:t>
      </w:r>
      <m:oMath>
        <m:r>
          <w:rPr>
            <w:rFonts w:ascii="Cambria Math" w:hAnsi="Cambria Math"/>
          </w:rPr>
          <m:t>p=0.57</m:t>
        </m:r>
      </m:oMath>
      <w:r w:rsidRPr="004F469F">
        <w:t>) or tornado days (</w:t>
      </w:r>
      <m:oMath>
        <m:r>
          <w:rPr>
            <w:rFonts w:ascii="Cambria Math" w:hAnsi="Cambria Math"/>
          </w:rPr>
          <m:t>p=0.63</m:t>
        </m:r>
      </m:oMath>
      <w:r w:rsidRPr="004F469F">
        <w:t>) between 1880 and 2016, we found a small but significant decrease in annual counts the Northern Plains (</w:t>
      </w:r>
      <m:oMath>
        <m:r>
          <w:rPr>
            <w:rFonts w:ascii="Cambria Math" w:hAnsi="Cambria Math"/>
          </w:rPr>
          <m:t>p=0.02</m:t>
        </m:r>
      </m:oMath>
      <w:r w:rsidRPr="004F469F">
        <w:t>) and a corresponding increase in the Southeast (</w:t>
      </w:r>
      <m:oMath>
        <m:r>
          <w:rPr>
            <w:rFonts w:ascii="Cambria Math" w:hAnsi="Cambria Math"/>
          </w:rPr>
          <m:t>p=0.05</m:t>
        </m:r>
      </m:oMath>
      <w:r w:rsidRPr="004F469F">
        <w:t>; Fig</w:t>
      </w:r>
      <w:r w:rsidR="003322B9" w:rsidRPr="004F469F">
        <w:t>ure 2.4</w:t>
      </w:r>
      <w:r w:rsidRPr="004F469F">
        <w:t>). With regards to tornado days only the increase in the Southeast was significant (</w:t>
      </w:r>
      <m:oMath>
        <m:r>
          <w:rPr>
            <w:rFonts w:ascii="Cambria Math" w:hAnsi="Cambria Math"/>
          </w:rPr>
          <m:t>p=0.04</m:t>
        </m:r>
      </m:oMath>
      <w:r w:rsidRPr="004F469F">
        <w:t xml:space="preserve">). As in </w:t>
      </w:r>
      <w:r w:rsidR="003322B9" w:rsidRPr="004F469F">
        <w:t xml:space="preserve">Concannon </w:t>
      </w:r>
      <w:r w:rsidR="003322B9" w:rsidRPr="00453357">
        <w:rPr>
          <w:i/>
          <w:iCs/>
        </w:rPr>
        <w:t>et al.</w:t>
      </w:r>
      <w:r w:rsidR="003322B9" w:rsidRPr="004F469F">
        <w:t xml:space="preserve"> </w:t>
      </w:r>
      <w:r w:rsidR="003322B9"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3322B9" w:rsidRPr="004F469F">
        <w:fldChar w:fldCharType="separate"/>
      </w:r>
      <w:r w:rsidR="003322B9" w:rsidRPr="004F469F">
        <w:rPr>
          <w:noProof/>
        </w:rPr>
        <w:t>(2000)</w:t>
      </w:r>
      <w:r w:rsidR="003322B9" w:rsidRPr="004F469F">
        <w:fldChar w:fldCharType="end"/>
      </w:r>
      <w:r w:rsidR="003322B9" w:rsidRPr="004F469F">
        <w:t xml:space="preserve"> and Ashley and Strader </w:t>
      </w:r>
      <w:r w:rsidR="003322B9"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003322B9" w:rsidRPr="004F469F">
        <w:fldChar w:fldCharType="separate"/>
      </w:r>
      <w:r w:rsidR="003322B9" w:rsidRPr="004F469F">
        <w:rPr>
          <w:noProof/>
        </w:rPr>
        <w:t>(2016)</w:t>
      </w:r>
      <w:r w:rsidR="003322B9" w:rsidRPr="004F469F">
        <w:fldChar w:fldCharType="end"/>
      </w:r>
      <w:r w:rsidRPr="004F469F">
        <w:t xml:space="preserve"> we found a high degree of interannual variability in violent tornado occurrence and location resulting in some periods where certain regions are more active than others. It is unclear if the long-term significant increasing (decreasing) trend for violent tornado counts in the Southeast (Northern Plains) is due to overall changes in tornado favorable environments or due to other nonmeteorological factors such as a short period of record or changes in reporting frequency over time </w:t>
      </w:r>
      <w:r w:rsidR="003322B9"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activity?","type":"article-journal","volume":"89"},"uris":["http://www.mendeley.com/documents/?uuid=3e309387-b981-4120-ba7b-ece4c9971012"]},{"id":"ITEM-3","itemData":{"author":[{"dropping-particle":"","family":"Diffenbaugh","given":"Noah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Sciences","id":"ITEM-3","issued":{"date-parts":[["2013"]]},"page":"201307758","publisher":"National Acad Sciences","title":"Robust increases in severe thunderstorm environments in response to greenhouse forcing","type":"article-journal"},"uris":["http://www.mendeley.com/documents/?uuid=c9745462-d91f-4c64-b242-b426b7f04f12"]},{"id":"ITEM-4","itemData":{"author":[{"dropping-particle":"","family":"Ashley","given":"Walker S.","non-dropping-particle":"","parse-names":false,"suffix":""},{"dropping-particle":"","family":"Strader","given":"Stephen M.","non-dropping-particle":"","parse-names":false,"suffix":""}],"container-title":"Bulletin of the American Meteorological Society","id":"ITEM-4","issue":"5","issued":{"date-parts":[["2016"]]},"page":"767-786","title":"Recipe for disaster: how the dynamic ingredients of risk and exposure are changing the tornado disaster landscape","type":"article-journal","volume":"97"},"uris":["http://www.mendeley.com/documents/?uuid=f66d6182-0c44-4efe-84e8-83956e5e4d92"]}],"mendeley":{"formattedCitation":"(Trapp et al., 2007; Diffenbaugh et al., 2008, 2013; Ashley and Strader, 2016)","plainTextFormattedCitation":"(Trapp et al., 2007; Diffenbaugh et al., 2008, 2013; Ashley and Strader, 2016)","previouslyFormattedCitation":"(Trapp et al., 2007; Diffenbaugh et al., 2008, 2013; Ashley and Strader, 2016)"},"properties":{"noteIndex":0},"schema":"https://github.com/citation-style-language/schema/raw/master/csl-citation.json"}</w:instrText>
      </w:r>
      <w:r w:rsidR="003322B9"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2008, 2013; Ashley and Strader, 2016)</w:t>
      </w:r>
      <w:r w:rsidR="003322B9" w:rsidRPr="004F469F">
        <w:fldChar w:fldCharType="end"/>
      </w:r>
      <w:r w:rsidR="003322B9" w:rsidRPr="004F469F">
        <w:t>.</w:t>
      </w:r>
    </w:p>
    <w:p w14:paraId="11EBE607" w14:textId="5FCCBF53" w:rsidR="008F1B78" w:rsidRPr="004F469F" w:rsidRDefault="003322B9" w:rsidP="00435B08">
      <w:pPr>
        <w:pStyle w:val="Heading3"/>
        <w:spacing w:before="0" w:after="120" w:line="480" w:lineRule="auto"/>
        <w:rPr>
          <w:rFonts w:ascii="Times New Roman" w:eastAsia="Times New Roman" w:hAnsi="Times New Roman" w:cs="Times New Roman"/>
          <w:i/>
          <w:iCs/>
          <w:color w:val="auto"/>
        </w:rPr>
      </w:pPr>
      <w:bookmarkStart w:id="22" w:name="_Toc21861294"/>
      <w:r w:rsidRPr="004F469F">
        <w:rPr>
          <w:rFonts w:ascii="Times New Roman" w:eastAsia="Times New Roman" w:hAnsi="Times New Roman" w:cs="Times New Roman"/>
          <w:i/>
          <w:iCs/>
          <w:color w:val="auto"/>
        </w:rPr>
        <w:t>Population Distribution in Potential Impact Zones</w:t>
      </w:r>
      <w:bookmarkEnd w:id="22"/>
    </w:p>
    <w:p w14:paraId="21E462A1" w14:textId="554B6EF7" w:rsidR="008F1B78" w:rsidRPr="004F469F" w:rsidRDefault="008F1B78" w:rsidP="00435B08">
      <w:pPr>
        <w:spacing w:after="120" w:line="480" w:lineRule="auto"/>
        <w:ind w:firstLine="720"/>
      </w:pPr>
      <w:r w:rsidRPr="004F469F">
        <w:t xml:space="preserve">The population distribution over the study area showed significant changes during the period of our study. The regions with the highest (Great Lakes) and lowest (Northern Plains) population densities remained the same. However, the mean population density (per census block) decreased over time as more people moved from rural to urban areas, as found by </w:t>
      </w:r>
      <w:r w:rsidR="003322B9" w:rsidRPr="004F469F">
        <w:t xml:space="preserve">Ashley and Strader </w:t>
      </w:r>
      <w:r w:rsidR="003322B9"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003322B9" w:rsidRPr="004F469F">
        <w:fldChar w:fldCharType="separate"/>
      </w:r>
      <w:r w:rsidR="003322B9" w:rsidRPr="004F469F">
        <w:rPr>
          <w:noProof/>
        </w:rPr>
        <w:t>(2016)</w:t>
      </w:r>
      <w:r w:rsidR="003322B9" w:rsidRPr="004F469F">
        <w:fldChar w:fldCharType="end"/>
      </w:r>
      <w:r w:rsidRPr="004F469F">
        <w:t>.</w:t>
      </w:r>
    </w:p>
    <w:p w14:paraId="51A87AED" w14:textId="602D9A49" w:rsidR="008F1B78" w:rsidRPr="004F469F" w:rsidRDefault="008F1B78" w:rsidP="00435B08">
      <w:pPr>
        <w:spacing w:after="120" w:line="480" w:lineRule="auto"/>
        <w:ind w:firstLine="720"/>
      </w:pPr>
      <w:r w:rsidRPr="004F469F">
        <w:t xml:space="preserve">We defined the potential impact zone for each violent tornado as the extent of the area surrounding all of its replicates. We found that the potential impact zones were largest in the </w:t>
      </w:r>
      <w:r w:rsidRPr="004F469F">
        <w:lastRenderedPageBreak/>
        <w:t xml:space="preserve">Southeast (Table </w:t>
      </w:r>
      <w:r w:rsidR="003322B9" w:rsidRPr="004F469F">
        <w:t>2.2</w:t>
      </w:r>
      <w:r w:rsidRPr="004F469F">
        <w:t xml:space="preserve">), due to larger tornado footprints </w:t>
      </w:r>
      <w:r w:rsidR="003322B9"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landscape","type":"article-journal","volume":"97"},"uris":["http://www.mendeley.com/documents/?uuid=f66d6182-0c44-4efe-84e8-83956e5e4d92"]}],"mendeley":{"formattedCitation":"(Ashley, 2007; Strader et al., 2015; Ashley and Strader, 2016)","plainTextFormattedCitation":"(Ashley, 2007; Strader et al., 2015; Ashley and Strader, 2016)","previouslyFormattedCitation":"(Ashley, 2007; Strader et al., 2015; Ashley and Strader, 2016)"},"properties":{"noteIndex":0},"schema":"https://github.com/citation-style-language/schema/raw/master/csl-citation.json"}</w:instrText>
      </w:r>
      <w:r w:rsidR="003322B9" w:rsidRPr="004F469F">
        <w:fldChar w:fldCharType="separate"/>
      </w:r>
      <w:r w:rsidR="0010658B" w:rsidRPr="00123266">
        <w:rPr>
          <w:noProof/>
        </w:rPr>
        <w:t xml:space="preserve">(Ashley, 2007; Strader </w:t>
      </w:r>
      <w:r w:rsidR="0010658B" w:rsidRPr="00453357">
        <w:rPr>
          <w:i/>
          <w:iCs/>
          <w:noProof/>
        </w:rPr>
        <w:t>et al.</w:t>
      </w:r>
      <w:r w:rsidR="0010658B" w:rsidRPr="00123266">
        <w:rPr>
          <w:noProof/>
        </w:rPr>
        <w:t>, 2015; Ashley and Strader, 2016)</w:t>
      </w:r>
      <w:r w:rsidR="003322B9" w:rsidRPr="004F469F">
        <w:fldChar w:fldCharType="end"/>
      </w:r>
      <w:r w:rsidRPr="004F469F">
        <w:t xml:space="preserve">. The greatest risk for violent tornadoes (defined here as the shortest recurrence interval) was in the Southern Plains and Southeast </w:t>
      </w:r>
      <w:r w:rsidR="004F796B"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1880–2005","type":"article-journal","volume":"22"},"uris":["http://www.mendeley.com/documents/?uuid=14fd8bf9-6b84-4fc3-bae5-6fa5f66b5ccf"]},{"id":"ITEM-2","itemData":{"DOI":"10.1175/2008WAF2222132.1","ISBN":"0882-8156","ISSN":"0882-8156","abstract":"This study investigates the human vulnerability caused by tornadoes that occurred between sunset and sunrise from 1880 to 2007. Nocturnal tornadoes are theorized to enhance vulnerability because they are difficult to spot and occur when the public tends to be asleep and in weak building structures. Results illustrate that the nocturnal tornado death rate over the past century has not shared the same pace of decline as those events transpiring during the daytime. From 1950 to 2005, a mere 27.3% of tornadoes were nocturnal, yet 39.3% of tornado fatalities and 42.1% of killer tornado events occurred at night. Tornadoes during the overnight period (local midnight to sunrise) are 2.5 times as likely to kill as those occurring during the daytime hours. It is argued that a core reason why the national tornado fatality toll has not continued to decrease in the past few decades is due to the vulnerability to these nocturnal events. This vulnerability is magnified when other factors such as escalating mobile (or \" manufactured \") home stock and an increasing and spreading population are realized. Unlike other structure types that show no robust demarcation between nocturnal and daytime fatalities, nearly 61% of fatalities in mobile homes take place at night revealing this housing stock's distinct nocturnal tornado vulnerability. Further, spatial analysis illustrates that the American South's high nocturnal tornado risk is an important factor leading to the region's high fatality rate. The investigation emphasizes a potential break in the tornado warning dissemi-nation system utilized currently in the United States.","author":[{"dropping-particle":"","family":"Ashley","given":"Walker S.","non-dropping-particle":"","parse-names":false,"suffix":""},{"dropping-particle":"","family":"Krmenec","given":"Andrew J.","non-dropping-particle":"","parse-names":false,"suffix":""},{"dropping-particle":"","family":"Schwantes","given":"Rick","non-dropping-particle":"","parse-names":false,"suffix":""}],"container-title":"Weather and Forecasting","id":"ITEM-2","issue":"5","issued":{"date-parts":[["2008"]]},"page":"795-807","title":"Vulnerability due to Nocturnal Tornadoes","type":"article-journal","volume":"23"},"uris":["http://www.mendeley.com/documents/?uuid=19b3a4e7-c18a-4ca4-85a3-8fa219aea973"]},{"id":"ITEM-3","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Society","id":"ITEM-3","issue":"4","issued":{"date-parts":[["2011"]]},"page":"433","title":"Tornado risk analysis: is Dixie Alley an extension of Tornado Alley?","type":"article-journal","volume":"92"},"uris":["http://www.mendeley.com/documents/?uuid=7a3e5f30-55c6-4dfa-a460-4f44599b65d8"]},{"id":"ITEM-4","itemData":{"DOI":"10.1002/met.1482","ISBN":"1350-4827","ISSN":"14698080","abstract":"An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Applications","id":"ITEM-4","issue":"3","issued":{"date-parts":[["2015"]]},"page":"513-524","publisher":"Wiley Online Library","title":"A climatology of tornado intensity assessments","type":"article-journal","volume":"22"},"uris":["http://www.mendeley.com/documents/?uuid=e4377686-df2f-4b6e-9560-9cec9e268521"]},{"id":"ITEM-5","itemData":{"author":[{"dropping-particle":"","family":"Ashley","given":"Walker S.","non-dropping-particle":"","parse-names":false,"suffix":""},{"dropping-particle":"","family":"Strader","given":"Stephen M.","non-dropping-particle":"","parse-names":false,"suffix":""}],"container-title":"Bulletin of the American Meteorological Society","id":"ITEM-5","issue":"5","issued":{"date-parts":[["2016"]]},"page":"767-786","title":"Recipe for disaster: how the dynamic ingredients of risk and exposure are changing the tornado disaster landscape","type":"article-journal","volume":"97"},"uris":["http://www.mendeley.com/documents/?uuid=f66d6182-0c44-4efe-84e8-83956e5e4d92"]}],"mendeley":{"formattedCitation":"(Ashley, 2007; Ashley et al., 2008; Dixon et al., 2011; Strader et al., 2015; Ashley and Strader, 2016)","plainTextFormattedCitation":"(Ashley, 2007; Ashley et al., 2008; Dixon et al., 2011; Strader et al., 2015; Ashley and Strader, 2016)","previouslyFormattedCitation":"(Ashley, 2007; Ashley et al., 2008; Dixon et al., 2011; Strader et al., 2015; Ashley and Strader, 2016)"},"properties":{"noteIndex":0},"schema":"https://github.com/citation-style-language/schema/raw/master/csl-citation.json"}</w:instrText>
      </w:r>
      <w:r w:rsidR="004F796B" w:rsidRPr="004F469F">
        <w:fldChar w:fldCharType="separate"/>
      </w:r>
      <w:r w:rsidR="00123266" w:rsidRPr="00123266">
        <w:rPr>
          <w:noProof/>
        </w:rPr>
        <w:t xml:space="preserve">(Ashley, 2007; Ashley </w:t>
      </w:r>
      <w:r w:rsidR="00123266" w:rsidRPr="00453357">
        <w:rPr>
          <w:i/>
          <w:iCs/>
          <w:noProof/>
        </w:rPr>
        <w:t>et al.</w:t>
      </w:r>
      <w:r w:rsidR="00123266" w:rsidRPr="00123266">
        <w:rPr>
          <w:noProof/>
        </w:rPr>
        <w:t xml:space="preserve">, 2008; Dixon </w:t>
      </w:r>
      <w:r w:rsidR="00123266" w:rsidRPr="00453357">
        <w:rPr>
          <w:i/>
          <w:iCs/>
          <w:noProof/>
        </w:rPr>
        <w:t>et al.</w:t>
      </w:r>
      <w:r w:rsidR="00123266" w:rsidRPr="00123266">
        <w:rPr>
          <w:noProof/>
        </w:rPr>
        <w:t xml:space="preserve">, 2011; Strader </w:t>
      </w:r>
      <w:r w:rsidR="00123266" w:rsidRPr="00453357">
        <w:rPr>
          <w:i/>
          <w:iCs/>
          <w:noProof/>
        </w:rPr>
        <w:t>et al.</w:t>
      </w:r>
      <w:r w:rsidR="00123266" w:rsidRPr="00123266">
        <w:rPr>
          <w:noProof/>
        </w:rPr>
        <w:t>, 2015; Ashley and Strader, 2016)</w:t>
      </w:r>
      <w:r w:rsidR="004F796B" w:rsidRPr="004F469F">
        <w:fldChar w:fldCharType="end"/>
      </w:r>
      <w:r w:rsidRPr="004F469F">
        <w:t xml:space="preserve">, while the greatest population density was in the Great Lakes (Table </w:t>
      </w:r>
      <w:r w:rsidR="004F796B" w:rsidRPr="004F469F">
        <w:t>2.2</w:t>
      </w:r>
      <w:r w:rsidRPr="004F469F">
        <w:t>). Relative to the mean population density in each region, the population density in each potential impact zone was very small, indicating that most violent tornadoes were hitting in less populated areas. The percent of the areas that were "urban" (here defined following one of the US Census Bureau's criteria for urban area classification; population density exceeds 386 persons km</w:t>
      </w:r>
      <w:r w:rsidR="005450D3" w:rsidRPr="004F469F">
        <w:rPr>
          <w:vertAlign w:val="superscript"/>
        </w:rPr>
        <w:t>-2</w:t>
      </w:r>
      <w:r w:rsidR="005450D3" w:rsidRPr="004F469F">
        <w:t xml:space="preserve"> </w:t>
      </w:r>
      <w:r w:rsidR="005450D3" w:rsidRPr="004F469F">
        <w:fldChar w:fldCharType="begin" w:fldLock="1"/>
      </w:r>
      <w:r w:rsidR="00123266">
        <w:instrText>ADDIN CSL_CITATION {"citationItems":[{"id":"ITEM-1","itemData":{"author":[{"dropping-particle":"","family":"Ratcliffe","given":"Michael","non-dropping-particle":"","parse-names":false,"suffix":""},{"dropping-particle":"","family":"Burd","given":"Charlynn","non-dropping-particle":"","parse-names":false,"suffix":""},{"dropping-particle":"","family":"Holder","given":"Kelly","non-dropping-particle":"","parse-names":false,"suffix":""},{"dropping-particle":"","family":"Fields","given":"Alison","non-dropping-particle":"","parse-names":false,"suffix":""}],"container-title":"American community survey and geography brief","id":"ITEM-1","issued":{"date-parts":[["2016"]]},"page":"1-8","title":"Defining rural at the US Census Bureau","type":"article-journal"},"uris":["http://www.mendeley.com/documents/?uuid=0b6a7b26-897a-4128-8f83-e3051e54e6fb"]}],"mendeley":{"formattedCitation":"(Ratcliffe et al., 2016)","plainTextFormattedCitation":"(Ratcliffe et al., 2016)","previouslyFormattedCitation":"(Ratcliffe et al., 2016)"},"properties":{"noteIndex":0},"schema":"https://github.com/citation-style-language/schema/raw/master/csl-citation.json"}</w:instrText>
      </w:r>
      <w:r w:rsidR="005450D3" w:rsidRPr="004F469F">
        <w:fldChar w:fldCharType="separate"/>
      </w:r>
      <w:r w:rsidR="0010658B" w:rsidRPr="00123266">
        <w:rPr>
          <w:noProof/>
        </w:rPr>
        <w:t xml:space="preserve">(Ratcliffe </w:t>
      </w:r>
      <w:r w:rsidR="0010658B" w:rsidRPr="00453357">
        <w:rPr>
          <w:i/>
          <w:iCs/>
          <w:noProof/>
        </w:rPr>
        <w:t>et al.</w:t>
      </w:r>
      <w:r w:rsidR="0010658B" w:rsidRPr="00123266">
        <w:rPr>
          <w:noProof/>
        </w:rPr>
        <w:t>, 2016)</w:t>
      </w:r>
      <w:r w:rsidR="005450D3" w:rsidRPr="004F469F">
        <w:fldChar w:fldCharType="end"/>
      </w:r>
      <w:r w:rsidRPr="004F469F">
        <w:t xml:space="preserve"> or populated were generally greater in the potential impact zones than in the regions themselves. This is an interesting finding, but given that most of the developable area in the study area is populated (Table </w:t>
      </w:r>
      <w:r w:rsidR="005450D3" w:rsidRPr="004F469F">
        <w:t>2.2</w:t>
      </w:r>
      <w:r w:rsidRPr="004F469F">
        <w:t xml:space="preserve">), it is not surprising that populated areas are more frequently hit </w:t>
      </w:r>
      <w:r w:rsidR="005450D3" w:rsidRPr="004F469F">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5450D3" w:rsidRPr="004F469F">
        <w:fldChar w:fldCharType="separate"/>
      </w:r>
      <w:r w:rsidR="0010658B" w:rsidRPr="0010658B">
        <w:rPr>
          <w:noProof/>
        </w:rPr>
        <w:t>(Ashley and Strader, 2016)</w:t>
      </w:r>
      <w:r w:rsidR="005450D3" w:rsidRPr="004F469F">
        <w:fldChar w:fldCharType="end"/>
      </w:r>
      <w:r w:rsidRPr="004F469F">
        <w:t xml:space="preserve">. The probable explanation is a reduction in the number of reported violent tornadoes in unpopulated areas due to a combination of the underreporting of tornadoes in unpopulated regions </w:t>
      </w:r>
      <w:r w:rsidR="005450D3"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tornadoes","type":"book"},"uris":["http://www.mendeley.com/documents/?uuid=679dd86e-3cb6-4bd9-aa65-841ad4dddd4a"]},{"id":"ITEM-3","itemData":{"author":[{"dropping-particle":"","family":"Elsner","given":"James B","non-dropping-particle":"","parse-names":false,"suffix":""},{"dropping-particle":"","family":"Michaels","given":"Laura E","non-dropping-particle":"","parse-names":false,"suffix":""},{"dropping-particle":"","family":"Scheitlin","given":"Kelsey N","non-dropping-particle":"","parse-names":false,"suffix":""},{"dropping-particle":"","family":"Elsner","given":"Ian J","non-dropping-particle":"","parse-names":false,"suffix":""}],"container-title":"Weather, Climate, and Society","id":"ITEM-3","issue":"3","issued":{"date-parts":[["2013"]]},"page":"221-232","title":"The decreasing population bias in tornado reports across the central Plains","type":"article-journal","volume":"5"},"uris":["http://www.mendeley.com/documents/?uuid=63bd47f7-5b60-46ae-a7cf-825d7ca9a593"]},{"id":"ITEM-4","itemData":{"DOI":"10.1002/met.1482","ISBN":"1350-4827","ISSN":"14698080","abstract":"An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Applications","id":"ITEM-4","issue":"3","issued":{"date-parts":[["2015"]]},"page":"513-524","publisher":"Wiley Online Library","title":"A climatology of tornado intensity assessments","type":"article-journal","volume":"22"},"uris":["http://www.mendeley.com/documents/?uuid=e4377686-df2f-4b6e-9560-9cec9e268521"]}],"mendeley":{"formattedCitation":"(Brooks et al., 2003a; Simmons and Sutter, 2011; Elsner et al., 2013a; Strader et al., 2015)","plainTextFormattedCitation":"(Brooks et al., 2003a; Simmons and Sutter, 2011; Elsner et al., 2013a; Strader et al., 2015)","previouslyFormattedCitation":"(Brooks et al., 2003a; Simmons and Sutter, 2011; Elsner et al., 2013a; Strader et al., 2015)"},"properties":{"noteIndex":0},"schema":"https://github.com/citation-style-language/schema/raw/master/csl-citation.json"}</w:instrText>
      </w:r>
      <w:r w:rsidR="005450D3"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2003a; Simmons and Sutter, 2011; Elsner </w:t>
      </w:r>
      <w:r w:rsidR="00123266" w:rsidRPr="00453357">
        <w:rPr>
          <w:i/>
          <w:iCs/>
          <w:noProof/>
        </w:rPr>
        <w:t>et al.</w:t>
      </w:r>
      <w:r w:rsidR="00123266" w:rsidRPr="00123266">
        <w:rPr>
          <w:noProof/>
        </w:rPr>
        <w:t xml:space="preserve">, 2013a; Strader </w:t>
      </w:r>
      <w:r w:rsidR="00123266" w:rsidRPr="00453357">
        <w:rPr>
          <w:i/>
          <w:iCs/>
          <w:noProof/>
        </w:rPr>
        <w:t>et al.</w:t>
      </w:r>
      <w:r w:rsidR="00123266" w:rsidRPr="00123266">
        <w:rPr>
          <w:noProof/>
        </w:rPr>
        <w:t>, 2015)</w:t>
      </w:r>
      <w:r w:rsidR="005450D3" w:rsidRPr="004F469F">
        <w:fldChar w:fldCharType="end"/>
      </w:r>
      <w:r w:rsidRPr="004F469F">
        <w:t xml:space="preserve"> and the underrating of tornadoes in rural areas because of a lack of people/structures to impact </w:t>
      </w:r>
      <w:r w:rsidR="005450D3" w:rsidRPr="004F469F">
        <w:fldChar w:fldCharType="begin" w:fldLock="1"/>
      </w:r>
      <w:r w:rsidR="00123266">
        <w:instrText>ADDIN CSL_CITATION {"citationItems":[{"id":"ITEM-1","itemData":{"DOI":"10.1175/1520-0493(1988)116&lt;0495:OSIOUS&gt;2.0.CO;2","author":[{"dropping-particle":"","family":"Doswell","given":"Charles A. III","non-dropping-particle":"","parse-names":false,"suffix":""},{"dropping-particle":"","family":"Burgess","given":"Donald W.","non-dropping-particle":"","parse-names":false,"suffix":""}],"container-title":"Monthly Weather Review","id":"ITEM-1","issue":"2","issued":{"date-parts":[["1988"]]},"page":"495-501","title":"On some issues of United States tornado climatology","type":"article-journal","volume":"116"},"uris":["http://www.mendeley.com/documents/?uuid=0a116520-4b4d-4cce-b548-6bf2b6e4dd32"]},{"id":"ITEM-2","itemData":{"DOI":"10.1016/j.atmosres.2008.11.003","ISBN":"0169-8095","ISSN":"01698095","abstract":"The history of tornado intensity rating in the United States of America (USA), pioneered by T. Fujita, is reviewed, showing that non-meteorological changes in the climatology of the tornado intensity ratings are likely, raising questions about the temporal (and spatial) consistency of the ratings. Although the Fujita scale (F-scale) originally was formulated as a peak wind speed scale for tornadoes, it necessarily has been implemented using damage to estimate the wind speed. Complexities of the damage-wind speed relationship are discussed. Recently, the Fujita scale has been replaced in the USA as the official system for rating tornado intensity by the so-called Enhanced Fujita scale (EF-scale). Several features of the new rating system are reviewed and discussed in the context of a proposed set of desirable features of a tornado intensity rating system. It is concluded that adoption of the EF-scale in the USA may have been premature, especially if it is to serve as a model for how to rate tornado intensity outside of the USA. This is in large part because its degree of damage measures used for estimating wind speeds are based on USA-specific construction practices. It is also concluded that the USA's tornado intensity rating system has been compromised by secular changes in how the F-scale has been applied, most recently by the adoption of the EF-scale. Several recommendations are offered as possible ways to help develop an improved rating system that will be applicable worldwide. © 2008.","author":[{"dropping-particle":"","family":"Doswell","given":"Charles A. III","non-dropping-particle":"","parse-names":false,"suffix":""},{"dropping-particle":"","family":"Brooks","given":"Harold E.","non-dropping-particle":"","parse-names":false,"suffix":""},{"dropping-particle":"","family":"Dotzek","given":"Nikolai","non-dropping-particle":"","parse-names":false,"suffix":""}],"container-title":"Atmospheric Research","id":"ITEM-2","issue":"1-3","issued":{"date-parts":[["2009"]]},"page":"554-563","publisher":"Elsevier B.V.","title":"On the implementation of the enhanced Fujita scale in the USA","type":"article-journal","volume":"93"},"uris":["http://www.mendeley.com/documents/?uuid=d4e73825-e2d6-46de-9790-d3e00308854f"]},{"id":"ITEM-3","itemData":{"DOI":"10.1002/met.1482","ISBN":"1350-4827","ISSN":"14698080","abstract":"An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Applications","id":"ITEM-3","issue":"3","issued":{"date-parts":[["2015"]]},"page":"513-524","publisher":"Wiley Online Library","title":"A climatology of tornado intensity assessments","type":"article-journal","volume":"22"},"uris":["http://www.mendeley.com/documents/?uuid=e4377686-df2f-4b6e-9560-9cec9e268521"]}],"mendeley":{"formattedCitation":"(Doswell and Burgess, 1988; Doswell et al., 2009; Strader et al., 2015)","plainTextFormattedCitation":"(Doswell and Burgess, 1988; Doswell et al., 2009; Strader et al., 2015)","previouslyFormattedCitation":"(Doswell and Burgess, 1988; Doswell et al., 2009; Strader et al., 2015)"},"properties":{"noteIndex":0},"schema":"https://github.com/citation-style-language/schema/raw/master/csl-citation.json"}</w:instrText>
      </w:r>
      <w:r w:rsidR="005450D3" w:rsidRPr="004F469F">
        <w:fldChar w:fldCharType="separate"/>
      </w:r>
      <w:r w:rsidR="00123266" w:rsidRPr="00123266">
        <w:rPr>
          <w:noProof/>
        </w:rPr>
        <w:t xml:space="preserve">(Doswell and Burgess, 1988; Doswell </w:t>
      </w:r>
      <w:r w:rsidR="00123266" w:rsidRPr="00453357">
        <w:rPr>
          <w:i/>
          <w:iCs/>
          <w:noProof/>
        </w:rPr>
        <w:t>et al.</w:t>
      </w:r>
      <w:r w:rsidR="00123266" w:rsidRPr="00123266">
        <w:rPr>
          <w:noProof/>
        </w:rPr>
        <w:t xml:space="preserve">, 2009; Strader </w:t>
      </w:r>
      <w:r w:rsidR="00123266" w:rsidRPr="00453357">
        <w:rPr>
          <w:i/>
          <w:iCs/>
          <w:noProof/>
        </w:rPr>
        <w:t>et al.</w:t>
      </w:r>
      <w:r w:rsidR="00123266" w:rsidRPr="00123266">
        <w:rPr>
          <w:noProof/>
        </w:rPr>
        <w:t>, 2015)</w:t>
      </w:r>
      <w:r w:rsidR="005450D3" w:rsidRPr="004F469F">
        <w:fldChar w:fldCharType="end"/>
      </w:r>
      <w:r w:rsidRPr="004F469F">
        <w:t>.</w:t>
      </w:r>
    </w:p>
    <w:p w14:paraId="4780B807" w14:textId="4CD4C69E" w:rsidR="008F1B78" w:rsidRPr="004F469F" w:rsidRDefault="005450D3" w:rsidP="00435B08">
      <w:pPr>
        <w:pStyle w:val="Heading3"/>
        <w:spacing w:before="0" w:after="120" w:line="480" w:lineRule="auto"/>
        <w:rPr>
          <w:rFonts w:ascii="Times New Roman" w:eastAsia="Times New Roman" w:hAnsi="Times New Roman" w:cs="Times New Roman"/>
          <w:i/>
          <w:iCs/>
          <w:color w:val="auto"/>
        </w:rPr>
      </w:pPr>
      <w:bookmarkStart w:id="23" w:name="_Toc21861295"/>
      <w:r w:rsidRPr="004F469F">
        <w:rPr>
          <w:rFonts w:ascii="Times New Roman" w:eastAsia="Times New Roman" w:hAnsi="Times New Roman" w:cs="Times New Roman"/>
          <w:i/>
          <w:iCs/>
          <w:color w:val="auto"/>
        </w:rPr>
        <w:t>Sensitivity Test</w:t>
      </w:r>
      <w:bookmarkEnd w:id="23"/>
    </w:p>
    <w:p w14:paraId="3020CDE5" w14:textId="7185C07A" w:rsidR="008F1B78" w:rsidRPr="004F469F" w:rsidRDefault="008F1B78" w:rsidP="00435B08">
      <w:pPr>
        <w:spacing w:after="120" w:line="480" w:lineRule="auto"/>
        <w:ind w:firstLine="720"/>
      </w:pPr>
      <w:r w:rsidRPr="004F469F">
        <w:t>At the grid cell-level, we found that no one census resolution significantly outperformed the others in terms of providing the lowest RMSE. The block-level resolution yielded the lowest RMSE in the most grid cells (greatest area) for the study area as a whole as well as for each individual region. However, the remaining census levels only performed marginally worse (Fig</w:t>
      </w:r>
      <w:r w:rsidR="005450D3" w:rsidRPr="004F469F">
        <w:t>ure 2.5</w:t>
      </w:r>
      <w:r w:rsidRPr="004F469F">
        <w:t xml:space="preserve">). In regions with higher population densities (Great Lakes and Southeast; Table </w:t>
      </w:r>
      <w:r w:rsidR="005450D3" w:rsidRPr="004F469F">
        <w:t>2.2</w:t>
      </w:r>
      <w:r w:rsidRPr="004F469F">
        <w:t xml:space="preserve">), </w:t>
      </w:r>
      <w:r w:rsidRPr="004F469F">
        <w:lastRenderedPageBreak/>
        <w:t xml:space="preserve">the difference in performance was very low, while in areas with lower population densities (Northern and Southern Plains) the differences were greater but still not significant (Table </w:t>
      </w:r>
      <w:r w:rsidR="005450D3" w:rsidRPr="004F469F">
        <w:t>2.3</w:t>
      </w:r>
      <w:r w:rsidRPr="004F469F">
        <w:t>). At the regional level, we found that the RMSE did not significantly vary by census level for each region, but the lowest RMSE was produced using the county-level resolution for all regions except the Northern Plains. Similar results were found at the level of the study area with the county-level resolution outperforming the others (Table</w:t>
      </w:r>
      <w:r w:rsidR="005450D3" w:rsidRPr="004F469F">
        <w:t xml:space="preserve"> 2.3</w:t>
      </w:r>
      <w:r w:rsidRPr="004F469F">
        <w:t>).</w:t>
      </w:r>
    </w:p>
    <w:p w14:paraId="75878C80" w14:textId="142868DB" w:rsidR="008F1B78" w:rsidRPr="004F469F" w:rsidRDefault="008F1B78" w:rsidP="00435B08">
      <w:pPr>
        <w:spacing w:after="120" w:line="480" w:lineRule="auto"/>
        <w:ind w:firstLine="720"/>
      </w:pPr>
      <w:r w:rsidRPr="004F469F">
        <w:t>The difference in the performance of the block-level resolution between the grid cell-level and the regional and study area levels is likely due to the mismatch between the observed and synthetic footprints. When the observed footprint closely matches the synthetic footprint the finest resolution (block-level) typically yields the lowest RMSE</w:t>
      </w:r>
      <w:r w:rsidR="00327E10">
        <w:t>.</w:t>
      </w:r>
      <w:r w:rsidRPr="004F469F">
        <w:t xml:space="preserve"> </w:t>
      </w:r>
      <w:r w:rsidR="00327E10">
        <w:t>T</w:t>
      </w:r>
      <w:r w:rsidRPr="004F469F">
        <w:t xml:space="preserve">his is not always the case when the footprints are mismatched. When the observed footprint curves significantly it can hit a nearby population center that the synthetic footprint missed yielding a large RMSE. These large differences can be most pronounced when block-level population data is used since coarser resolutions (census level) typically result in fewer variations in population over the length of the footprint. In aggregate, these large differences appear to result in larger RMSEs for the block-level than the county-level. Based on these results it is evident that tornado exposure is only marginally sensitive to the selection of the census resolution. Each resolution has its weaknesses and no one resolution works significantly better than the others. </w:t>
      </w:r>
    </w:p>
    <w:p w14:paraId="6C26012F" w14:textId="19D471B8" w:rsidR="008F1B78" w:rsidRPr="004F469F" w:rsidRDefault="005450D3" w:rsidP="00435B08">
      <w:pPr>
        <w:pStyle w:val="Heading3"/>
        <w:spacing w:before="0" w:after="120" w:line="480" w:lineRule="auto"/>
        <w:rPr>
          <w:rFonts w:ascii="Times New Roman" w:eastAsia="Times New Roman" w:hAnsi="Times New Roman" w:cs="Times New Roman"/>
          <w:i/>
          <w:iCs/>
          <w:color w:val="auto"/>
        </w:rPr>
      </w:pPr>
      <w:bookmarkStart w:id="24" w:name="_Toc21861296"/>
      <w:r w:rsidRPr="004F469F">
        <w:rPr>
          <w:rFonts w:ascii="Times New Roman" w:eastAsia="Times New Roman" w:hAnsi="Times New Roman" w:cs="Times New Roman"/>
          <w:i/>
          <w:iCs/>
          <w:color w:val="auto"/>
        </w:rPr>
        <w:t>Potential Exposure to Violent Tornadoes</w:t>
      </w:r>
      <w:bookmarkEnd w:id="24"/>
    </w:p>
    <w:p w14:paraId="09085D7E" w14:textId="286FE11E" w:rsidR="008F1B78" w:rsidRPr="004F469F" w:rsidRDefault="008F1B78" w:rsidP="00435B08">
      <w:pPr>
        <w:spacing w:after="120" w:line="480" w:lineRule="auto"/>
        <w:ind w:firstLine="720"/>
      </w:pPr>
      <w:r w:rsidRPr="004F469F">
        <w:t xml:space="preserve">Due to the lack of block-level census data prior to 1990 </w:t>
      </w:r>
      <w:r w:rsidR="005450D3"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5450D3"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5450D3" w:rsidRPr="004F469F">
        <w:fldChar w:fldCharType="end"/>
      </w:r>
      <w:r w:rsidRPr="004F469F">
        <w:t xml:space="preserve"> and a shift in tornado width reporting in 1994 </w:t>
      </w:r>
      <w:r w:rsidR="005450D3" w:rsidRPr="004F469F">
        <w:fldChar w:fldCharType="begin" w:fldLock="1"/>
      </w:r>
      <w:r w:rsidR="00123266">
        <w:instrText>ADDIN CSL_CITATION {"citationItems":[{"id":"ITEM-1","itemData":{"ISBN":"1520-0434","author":[{"dropping-particle":"","family":"Brooks","given":"Harold E.","non-dropping-particle":"","parse-names":false,"suffix":""}],"container-title":"Weather and Forecasting","id":"ITEM-1","issue":"2","issued":{"date-parts":[["2004"]]},"page":"310-319","title":"On the relationship of tornado path length and width to intensity","type":"article-journal","volume":"19"},"uris":["http://www.mendeley.com/documents/?uuid=6daeec75-3842-49f0-aef9-47e2969531ed"]},{"id":"ITEM-2","itemData":{"DOI":"10.1175/JAMC-D-13-0235.1","abstract":"The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Climatology","id":"ITEM-2","issue":"6","issued":{"date-parts":[["2014"]]},"page":"1494-1505","title":"Adjustments in tornado counts, F-scale intensity, and path width for assessing significant tornado destruction","type":"article-journal","volume":"53"},"uris":["http://www.mendeley.com/documents/?uuid=881c0ace-6e18-4d86-b1bd-d5c869df82d2"]},{"id":"ITEM-3","itemData":{"DOI":"10.1002/met.1482","ISBN":"1350-4827","ISSN":"14698080","abstract":"An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Applications","id":"ITEM-3","issue":"3","issued":{"date-parts":[["2015"]]},"page":"513-524","publisher":"Wiley Online Library","title":"A climatology of tornado intensity assessments","type":"article-journal","volume":"22"},"uris":["http://www.mendeley.com/documents/?uuid=e4377686-df2f-4b6e-9560-9cec9e268521"]}],"mendeley":{"formattedCitation":"(Brooks, 2004; Agee and Childs, 2014; Strader et al., 2015)","plainTextFormattedCitation":"(Brooks, 2004; Agee and Childs, 2014; Strader et al., 2015)","previouslyFormattedCitation":"(Brooks, 2004; Agee and Childs, 2014; Strader et al., 2015)"},"properties":{"noteIndex":0},"schema":"https://github.com/citation-style-language/schema/raw/master/csl-citation.json"}</w:instrText>
      </w:r>
      <w:r w:rsidR="005450D3" w:rsidRPr="004F469F">
        <w:fldChar w:fldCharType="separate"/>
      </w:r>
      <w:r w:rsidR="0010658B" w:rsidRPr="00123266">
        <w:rPr>
          <w:noProof/>
        </w:rPr>
        <w:t xml:space="preserve">(Brooks, 2004; Agee and Childs, 2014; Strader </w:t>
      </w:r>
      <w:r w:rsidR="0010658B" w:rsidRPr="00453357">
        <w:rPr>
          <w:i/>
          <w:iCs/>
          <w:noProof/>
        </w:rPr>
        <w:t>et al.</w:t>
      </w:r>
      <w:r w:rsidR="0010658B" w:rsidRPr="00123266">
        <w:rPr>
          <w:noProof/>
        </w:rPr>
        <w:t>, 2015)</w:t>
      </w:r>
      <w:r w:rsidR="005450D3" w:rsidRPr="004F469F">
        <w:fldChar w:fldCharType="end"/>
      </w:r>
      <w:r w:rsidRPr="004F469F">
        <w:t xml:space="preserve">, our analysis was limited to the period of 1995 to 2016. This 22-year period is very small and thus is likely influenced by small-sample bias due to the rarity of violent tornadoes </w:t>
      </w:r>
      <w:r w:rsidR="005450D3" w:rsidRPr="004F469F">
        <w:fldChar w:fldCharType="begin" w:fldLock="1"/>
      </w:r>
      <w:r w:rsidR="0010658B">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landscape","type":"article-journal","volume":"97"},"uris":["http://www.mendeley.com/documents/?uuid=f66d6182-0c44-4efe-84e8-83956e5e4d92"]}],"mendeley":{"formattedCitation":"(Doswell, 2007; Ashley and Strader, 2016)","plainTextFormattedCitation":"(Doswell, 2007; Ashley and Strader, 2016)","previouslyFormattedCitation":"(Doswell, 2007; Ashley and Strader, 2016)"},"properties":{"noteIndex":0},"schema":"https://github.com/citation-style-language/schema/raw/master/csl-citation.json"}</w:instrText>
      </w:r>
      <w:r w:rsidR="005450D3" w:rsidRPr="004F469F">
        <w:fldChar w:fldCharType="separate"/>
      </w:r>
      <w:r w:rsidR="0010658B" w:rsidRPr="0010658B">
        <w:rPr>
          <w:noProof/>
        </w:rPr>
        <w:t xml:space="preserve">(Doswell, 2007; </w:t>
      </w:r>
      <w:r w:rsidR="0010658B" w:rsidRPr="0010658B">
        <w:rPr>
          <w:noProof/>
        </w:rPr>
        <w:lastRenderedPageBreak/>
        <w:t>Ashley and Strader, 2016)</w:t>
      </w:r>
      <w:r w:rsidR="005450D3" w:rsidRPr="004F469F">
        <w:fldChar w:fldCharType="end"/>
      </w:r>
      <w:r w:rsidRPr="004F469F">
        <w:t xml:space="preserve">. While the characteristics of individual tornadoes during this period might be biased </w:t>
      </w:r>
      <w:r w:rsidR="005450D3" w:rsidRPr="004F469F">
        <w:fldChar w:fldCharType="begin" w:fldLock="1"/>
      </w:r>
      <w:r w:rsidR="00C31A1B" w:rsidRPr="004F469F">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data","type":"article-journal","volume":"2"},"uris":["http://www.mendeley.com/documents/?uuid=24d98012-7de0-4b8b-aa56-20206aeaa6d7"]}],"mendeley":{"formattedCitation":"(Doswell, 2007)","plainTextFormattedCitation":"(Doswell, 2007)","previouslyFormattedCitation":"(Doswell, 2007)"},"properties":{"noteIndex":0},"schema":"https://github.com/citation-style-language/schema/raw/master/csl-citation.json"}</w:instrText>
      </w:r>
      <w:r w:rsidR="005450D3" w:rsidRPr="004F469F">
        <w:fldChar w:fldCharType="separate"/>
      </w:r>
      <w:r w:rsidR="00C31A1B" w:rsidRPr="004F469F">
        <w:rPr>
          <w:noProof/>
        </w:rPr>
        <w:t>(Doswell, 2007)</w:t>
      </w:r>
      <w:r w:rsidR="005450D3" w:rsidRPr="004F469F">
        <w:fldChar w:fldCharType="end"/>
      </w:r>
      <w:r w:rsidRPr="004F469F">
        <w:t>, the climatology during this period is in general agreement with the long-term climatology from 1880 to 2016 (Fig</w:t>
      </w:r>
      <w:r w:rsidR="005450D3" w:rsidRPr="004F469F">
        <w:t>ure 2.3</w:t>
      </w:r>
      <w:r w:rsidR="004018A9">
        <w:t>;</w:t>
      </w:r>
      <w:r w:rsidR="005450D3" w:rsidRPr="004F469F">
        <w:t xml:space="preserve"> </w:t>
      </w:r>
      <w:r w:rsidR="005450D3" w:rsidRPr="004F469F">
        <w:fldChar w:fldCharType="begin" w:fldLock="1"/>
      </w:r>
      <w:r w:rsidR="004018A9">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landscape","type":"article-journal","volume":"97"},"uris":["http://www.mendeley.com/documents/?uuid=f66d6182-0c44-4efe-84e8-83956e5e4d92"]}],"mendeley":{"formattedCitation":"(Ashley, 2007; Doswell et al., 2012; Ashley and Strader, 2016)","manualFormatting":"Ashley, 2007; Doswell et al., 2012; Ashley and Strader, 2016)","plainTextFormattedCitation":"(Ashley, 2007; Doswell et al., 2012; Ashley and Strader, 2016)","previouslyFormattedCitation":"(Ashley, 2007; Doswell et al., 2012; Ashley and Strader, 2016)"},"properties":{"noteIndex":0},"schema":"https://github.com/citation-style-language/schema/raw/master/csl-citation.json"}</w:instrText>
      </w:r>
      <w:r w:rsidR="005450D3" w:rsidRPr="004F469F">
        <w:fldChar w:fldCharType="separate"/>
      </w:r>
      <w:r w:rsidR="00123266" w:rsidRPr="00123266">
        <w:rPr>
          <w:noProof/>
        </w:rPr>
        <w:t xml:space="preserve">Ashley, 2007; Doswell </w:t>
      </w:r>
      <w:r w:rsidR="00123266" w:rsidRPr="00453357">
        <w:rPr>
          <w:i/>
          <w:iCs/>
          <w:noProof/>
        </w:rPr>
        <w:t>et al.</w:t>
      </w:r>
      <w:r w:rsidR="00123266" w:rsidRPr="00123266">
        <w:rPr>
          <w:noProof/>
        </w:rPr>
        <w:t>, 2012; Ashley and Strader, 2016)</w:t>
      </w:r>
      <w:r w:rsidR="005450D3" w:rsidRPr="004F469F">
        <w:fldChar w:fldCharType="end"/>
      </w:r>
      <w:r w:rsidR="005450D3" w:rsidRPr="004F469F">
        <w:t xml:space="preserve"> </w:t>
      </w:r>
      <w:r w:rsidRPr="004F469F">
        <w:t>implying that the spatial trends may be reliable. In spite of the potential bias, the data can still provide some information about violent tornadoes.</w:t>
      </w:r>
    </w:p>
    <w:p w14:paraId="20F7502A" w14:textId="52C2B339" w:rsidR="008F1B78" w:rsidRPr="004F469F" w:rsidRDefault="008F1B78" w:rsidP="00435B08">
      <w:pPr>
        <w:spacing w:after="120" w:line="480" w:lineRule="auto"/>
        <w:ind w:firstLine="720"/>
      </w:pPr>
      <w:r w:rsidRPr="004F469F">
        <w:t xml:space="preserve">Between 1995 and 2016, there were 154 violent tornadoes in the United States with most of them occurring between the Rocky and Appalachian Mountains. The greatest number occurred in the Southern Plains, but the Northern Plains and Southeast also had significant numbers of violent tornadoes (differences between regions were significant based on a Pearson Chi-Square test; </w:t>
      </w:r>
      <m:oMath>
        <m:r>
          <w:rPr>
            <w:rFonts w:ascii="Cambria Math" w:hAnsi="Cambria Math"/>
          </w:rPr>
          <m:t>p=0.002</m:t>
        </m:r>
      </m:oMath>
      <w:r w:rsidRPr="004F469F">
        <w:t>; Fig</w:t>
      </w:r>
      <w:r w:rsidR="005450D3" w:rsidRPr="004F469F">
        <w:t>ure 2.6a</w:t>
      </w:r>
      <w:r w:rsidRPr="004F469F">
        <w:t>). The high-risk area for violent tornadoes (area expected to have at least two violent tornado days per century) covered approximately 483,788 km</w:t>
      </w:r>
      <w:r w:rsidRPr="00AD33F7">
        <w:rPr>
          <w:vertAlign w:val="superscript"/>
        </w:rPr>
        <w:t>2</w:t>
      </w:r>
      <w:r w:rsidRPr="004F469F">
        <w:t xml:space="preserve"> and extended in a broken 'L' shape between Iowa, Oklahoma and Alabama (Fig</w:t>
      </w:r>
      <w:r w:rsidR="0083629C" w:rsidRPr="004F469F">
        <w:t>ure 2.7</w:t>
      </w:r>
      <w:r w:rsidRPr="004F469F">
        <w:t xml:space="preserve">) following the pattern found by </w:t>
      </w:r>
      <w:r w:rsidR="0083629C" w:rsidRPr="004F469F">
        <w:t xml:space="preserve">Concannon </w:t>
      </w:r>
      <w:r w:rsidR="0083629C" w:rsidRPr="00453357">
        <w:rPr>
          <w:i/>
          <w:iCs/>
        </w:rPr>
        <w:t>et al.</w:t>
      </w:r>
      <w:r w:rsidR="0083629C" w:rsidRPr="004F469F">
        <w:t xml:space="preserve"> </w:t>
      </w:r>
      <w:r w:rsidR="0083629C"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83629C" w:rsidRPr="004F469F">
        <w:fldChar w:fldCharType="separate"/>
      </w:r>
      <w:r w:rsidR="0083629C" w:rsidRPr="004F469F">
        <w:rPr>
          <w:noProof/>
        </w:rPr>
        <w:t>(2000)</w:t>
      </w:r>
      <w:r w:rsidR="0083629C" w:rsidRPr="004F469F">
        <w:fldChar w:fldCharType="end"/>
      </w:r>
      <w:r w:rsidR="0083629C" w:rsidRPr="004F469F">
        <w:t xml:space="preserve"> and Doswell </w:t>
      </w:r>
      <w:r w:rsidR="0083629C" w:rsidRPr="00453357">
        <w:rPr>
          <w:i/>
          <w:iCs/>
        </w:rPr>
        <w:t>et al.</w:t>
      </w:r>
      <w:r w:rsidR="0083629C" w:rsidRPr="004F469F">
        <w:t xml:space="preserve"> </w:t>
      </w:r>
      <w:r w:rsidR="0083629C" w:rsidRPr="004F469F">
        <w:fldChar w:fldCharType="begin" w:fldLock="1"/>
      </w:r>
      <w:r w:rsidR="00C31A1B" w:rsidRPr="004F469F">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suppress-author":1,"uris":["http://www.mendeley.com/documents/?uuid=42235697-4e43-4cf7-9772-fa9a876de81d"]}],"mendeley":{"formattedCitation":"(2012)","plainTextFormattedCitation":"(2012)","previouslyFormattedCitation":"(2012)"},"properties":{"noteIndex":0},"schema":"https://github.com/citation-style-language/schema/raw/master/csl-citation.json"}</w:instrText>
      </w:r>
      <w:r w:rsidR="0083629C" w:rsidRPr="004F469F">
        <w:fldChar w:fldCharType="separate"/>
      </w:r>
      <w:r w:rsidR="0083629C" w:rsidRPr="004F469F">
        <w:rPr>
          <w:noProof/>
        </w:rPr>
        <w:t>(2012)</w:t>
      </w:r>
      <w:r w:rsidR="0083629C" w:rsidRPr="004F469F">
        <w:fldChar w:fldCharType="end"/>
      </w:r>
      <w:r w:rsidRPr="004F469F">
        <w:t>. These violent tornadoes had a median area, observed exposure, potential exposure (within 10 km), and probability of impacting 5,000 persons or more (within 10 km) of 22.9 km</w:t>
      </w:r>
      <w:r w:rsidR="00D41499" w:rsidRPr="004F469F">
        <w:rPr>
          <w:vertAlign w:val="superscript"/>
        </w:rPr>
        <w:t>2</w:t>
      </w:r>
      <w:r w:rsidRPr="004F469F">
        <w:t xml:space="preserve">, 564 persons, 311 persons, and 30.3% respectively. As found by </w:t>
      </w:r>
      <w:r w:rsidR="00D41499" w:rsidRPr="004F469F">
        <w:t xml:space="preserve">Ashley </w:t>
      </w:r>
      <w:r w:rsidR="00D41499"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suppress-author":1,"uris":["http://www.mendeley.com/documents/?uuid=14fd8bf9-6b84-4fc3-bae5-6fa5f66b5ccf"]}],"mendeley":{"formattedCitation":"(2007)","plainTextFormattedCitation":"(2007)","previouslyFormattedCitation":"(2007)"},"properties":{"noteIndex":0},"schema":"https://github.com/citation-style-language/schema/raw/master/csl-citation.json"}</w:instrText>
      </w:r>
      <w:r w:rsidR="00D41499" w:rsidRPr="004F469F">
        <w:fldChar w:fldCharType="separate"/>
      </w:r>
      <w:r w:rsidR="0076275F" w:rsidRPr="004F469F">
        <w:rPr>
          <w:noProof/>
        </w:rPr>
        <w:t>(2007)</w:t>
      </w:r>
      <w:r w:rsidR="00D41499" w:rsidRPr="004F469F">
        <w:fldChar w:fldCharType="end"/>
      </w:r>
      <w:r w:rsidR="00D41499" w:rsidRPr="004F469F">
        <w:t xml:space="preserve"> and Ashley and Strader </w:t>
      </w:r>
      <w:r w:rsidR="00D41499"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00D41499" w:rsidRPr="004F469F">
        <w:fldChar w:fldCharType="separate"/>
      </w:r>
      <w:r w:rsidR="00D41499" w:rsidRPr="004F469F">
        <w:rPr>
          <w:noProof/>
        </w:rPr>
        <w:t>(2016)</w:t>
      </w:r>
      <w:r w:rsidR="00D41499" w:rsidRPr="004F469F">
        <w:fldChar w:fldCharType="end"/>
      </w:r>
      <w:r w:rsidRPr="004F469F">
        <w:t xml:space="preserve">, the tornadoes were largest and had the greatest observed and potential exposure in the Southeast (Table </w:t>
      </w:r>
      <w:r w:rsidR="00D41499" w:rsidRPr="004F469F">
        <w:t>2.4</w:t>
      </w:r>
      <w:r w:rsidRPr="004F469F">
        <w:t xml:space="preserve">), due to greater rural population densities (Table </w:t>
      </w:r>
      <w:r w:rsidR="00D41499" w:rsidRPr="004F469F">
        <w:t>2.2</w:t>
      </w:r>
      <w:r w:rsidRPr="004F469F">
        <w:t>) and larger damage areas. Observed and potential exposure were lower in the Northern Plains due to lower rural population densities.</w:t>
      </w:r>
    </w:p>
    <w:p w14:paraId="4ACB273C" w14:textId="00609E3D" w:rsidR="008F1B78" w:rsidRPr="004F469F" w:rsidRDefault="008F1B78" w:rsidP="00435B08">
      <w:pPr>
        <w:spacing w:after="120" w:line="480" w:lineRule="auto"/>
        <w:ind w:firstLine="720"/>
      </w:pPr>
      <w:r w:rsidRPr="004F469F">
        <w:t xml:space="preserve">Within 10 km (40 km) of the original footprint 33.1% (57.8%) of all violent tornadoes between 1995 and 2016 had a potential exposure of at least 5,000 persons while only 8.4% (24.7%) had an exposure of at least 20,000 persons. The high-risk area for violent tornadoes with observed or potential exposures of at least 5,000 persons (within 10 km) covered approximately </w:t>
      </w:r>
      <w:r w:rsidRPr="004F469F">
        <w:lastRenderedPageBreak/>
        <w:t>35,663 km</w:t>
      </w:r>
      <w:r w:rsidR="00D41499" w:rsidRPr="004F469F">
        <w:rPr>
          <w:vertAlign w:val="superscript"/>
        </w:rPr>
        <w:t>2</w:t>
      </w:r>
      <w:r w:rsidRPr="004F469F">
        <w:t xml:space="preserve"> and was located primarily in central Oklahoma and northern Alabama (Fig</w:t>
      </w:r>
      <w:r w:rsidR="00D41499" w:rsidRPr="004F469F">
        <w:t>ure 2.7</w:t>
      </w:r>
      <w:r w:rsidRPr="004F469F">
        <w:t xml:space="preserve">). This area matches where major metropolitan areas (Oklahoma City, OK and Birmingham, AL) meet the areas with the greatest risk of violent tornadoes </w:t>
      </w:r>
      <w:r w:rsidR="00D41499"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1880–2005","type":"article-journal","volume":"22"},"uris":["http://www.mendeley.com/documents/?uuid=14fd8bf9-6b84-4fc3-bae5-6fa5f66b5ccf"]},{"id":"ITEM-3","itemData":{"ISBN":"1477-8696","author":[{"dropping-particle":"","family":"Doswell","given":"Charles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E.","non-dropping-particle":"","parse-names":false,"suffix":""}],"container-title":"Weather","id":"ITEM-3","issue":"4","issued":{"date-parts":[["2012"]]},"page":"88-94","title":"The tornadoes of spring 2011 in the USA: An historical perspective","type":"article-journal","volume":"67"},"uris":["http://www.mendeley.com/documents/?uuid=42235697-4e43-4cf7-9772-fa9a876de81d"]},{"id":"ITEM-4","itemData":{"author":[{"dropping-particle":"","family":"Ashley","given":"Walker S.","non-dropping-particle":"","parse-names":false,"suffix":""},{"dropping-particle":"","family":"Strader","given":"Stephen M.","non-dropping-particle":"","parse-names":false,"suffix":""}],"container-title":"Bulletin of the American Meteorological Society","id":"ITEM-4","issue":"5","issued":{"date-parts":[["2016"]]},"page":"767-786","title":"Recipe for disaster: how the dynamic ingredients of risk and exposure are changing the tornado disaster landscape","type":"article-journal","volume":"97"},"uris":["http://www.mendeley.com/documents/?uuid=f66d6182-0c44-4efe-84e8-83956e5e4d92"]}],"mendeley":{"formattedCitation":"(Concannon et al., 2000; Ashley, 2007; Doswell et al., 2012; Ashley and Strader, 2016)","plainTextFormattedCitation":"(Concannon et al., 2000; Ashley, 2007; Doswell et al., 2012; Ashley and Strader, 2016)","previouslyFormattedCitation":"(Concannon et al., 2000; Ashley, 2007; Doswell et al., 2012; Ashley and Strader, 2016)"},"properties":{"noteIndex":0},"schema":"https://github.com/citation-style-language/schema/raw/master/csl-citation.json"}</w:instrText>
      </w:r>
      <w:r w:rsidR="00D41499"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Ashley, 2007; Doswell </w:t>
      </w:r>
      <w:r w:rsidR="00123266" w:rsidRPr="00453357">
        <w:rPr>
          <w:i/>
          <w:iCs/>
          <w:noProof/>
        </w:rPr>
        <w:t>et al.</w:t>
      </w:r>
      <w:r w:rsidR="00123266" w:rsidRPr="00123266">
        <w:rPr>
          <w:noProof/>
        </w:rPr>
        <w:t>, 2012; Ashley and Strader, 2016)</w:t>
      </w:r>
      <w:r w:rsidR="00D41499" w:rsidRPr="004F469F">
        <w:fldChar w:fldCharType="end"/>
      </w:r>
      <w:r w:rsidR="00D41499" w:rsidRPr="004F469F">
        <w:t>.</w:t>
      </w:r>
    </w:p>
    <w:p w14:paraId="6EAD09AD" w14:textId="02DBE22D" w:rsidR="008F1B78" w:rsidRPr="004F469F" w:rsidRDefault="008F1B78" w:rsidP="00435B08">
      <w:pPr>
        <w:spacing w:after="120" w:line="480" w:lineRule="auto"/>
        <w:ind w:firstLine="720"/>
      </w:pPr>
      <w:r w:rsidRPr="004F469F">
        <w:t xml:space="preserve">Approximately 10.4% of the violent tornadoes were likely to very likely to be hits </w:t>
      </w:r>
      <m:oMath>
        <m:r>
          <w:rPr>
            <w:rFonts w:ascii="Cambria Math" w:hAnsi="Cambria Math"/>
          </w:rPr>
          <m:t>EP5K&gt;50%</m:t>
        </m:r>
      </m:oMath>
      <w:r w:rsidRPr="004F469F">
        <w:t xml:space="preserve"> within 10 km) with all of these occurring in the Southern Plains and Southeast (Fig</w:t>
      </w:r>
      <w:r w:rsidR="00494609" w:rsidRPr="004F469F">
        <w:t>ure 2.8</w:t>
      </w:r>
      <w:r w:rsidRPr="004F469F">
        <w:t>). There were no significant temporal trends in median annual observed (</w:t>
      </w:r>
      <m:oMath>
        <m:r>
          <w:rPr>
            <w:rFonts w:ascii="Cambria Math" w:hAnsi="Cambria Math"/>
          </w:rPr>
          <m:t>p=0.61</m:t>
        </m:r>
      </m:oMath>
      <w:r w:rsidRPr="004F469F">
        <w:t>), maximum (</w:t>
      </w:r>
      <m:oMath>
        <m:r>
          <w:rPr>
            <w:rFonts w:ascii="Cambria Math" w:hAnsi="Cambria Math"/>
          </w:rPr>
          <m:t>p=1.00</m:t>
        </m:r>
      </m:oMath>
      <w:r w:rsidRPr="004F469F">
        <w:t>) or median (</w:t>
      </w:r>
      <m:oMath>
        <m:r>
          <w:rPr>
            <w:rFonts w:ascii="Cambria Math" w:hAnsi="Cambria Math"/>
          </w:rPr>
          <m:t>p=1.00</m:t>
        </m:r>
      </m:oMath>
      <w:r w:rsidRPr="004F469F">
        <w:t xml:space="preserve">) potential exposure (within 10 km) nor in the median annual probability of impacting 5,000 persons or more (within 10 km; </w:t>
      </w:r>
      <m:oMath>
        <m:r>
          <w:rPr>
            <w:rFonts w:ascii="Cambria Math" w:hAnsi="Cambria Math"/>
          </w:rPr>
          <m:t>p=0.54</m:t>
        </m:r>
      </m:oMath>
      <w:r w:rsidRPr="004F469F">
        <w:t>) between 1995 and 2016</w:t>
      </w:r>
      <w:r w:rsidR="00494609" w:rsidRPr="004F469F">
        <w:t>.</w:t>
      </w:r>
    </w:p>
    <w:p w14:paraId="15E144B9" w14:textId="061B5CEA" w:rsidR="00494609" w:rsidRPr="004F469F" w:rsidRDefault="00494609" w:rsidP="00435B08">
      <w:pPr>
        <w:pStyle w:val="Heading3"/>
        <w:spacing w:before="0" w:after="120" w:line="480" w:lineRule="auto"/>
        <w:rPr>
          <w:rFonts w:ascii="Times New Roman" w:eastAsia="Times New Roman" w:hAnsi="Times New Roman" w:cs="Times New Roman"/>
          <w:i/>
          <w:iCs/>
          <w:color w:val="auto"/>
        </w:rPr>
      </w:pPr>
      <w:bookmarkStart w:id="25" w:name="_Toc21861297"/>
      <w:r w:rsidRPr="004F469F">
        <w:rPr>
          <w:rFonts w:ascii="Times New Roman" w:eastAsia="Times New Roman" w:hAnsi="Times New Roman" w:cs="Times New Roman"/>
          <w:i/>
          <w:iCs/>
          <w:color w:val="auto"/>
        </w:rPr>
        <w:t>Near-Misses and Far-Misses</w:t>
      </w:r>
      <w:bookmarkEnd w:id="25"/>
    </w:p>
    <w:p w14:paraId="5DE25E69" w14:textId="281329E9" w:rsidR="00494609" w:rsidRPr="004F469F" w:rsidRDefault="00494609" w:rsidP="00435B08">
      <w:pPr>
        <w:spacing w:after="120" w:line="480" w:lineRule="auto"/>
        <w:ind w:firstLine="720"/>
      </w:pPr>
      <w:r w:rsidRPr="004F469F">
        <w:t xml:space="preserve">Near-misses (far-misses) were defined as violent tornadoes where </w:t>
      </w:r>
      <m:oMath>
        <m:r>
          <w:rPr>
            <w:rFonts w:ascii="Cambria Math" w:hAnsi="Cambria Math"/>
          </w:rPr>
          <m:t>OBS</m:t>
        </m:r>
        <m:r>
          <m:rPr>
            <m:sty m:val="p"/>
          </m:rPr>
          <w:rPr>
            <w:rFonts w:ascii="Cambria Math" w:hAnsi="Cambria Math"/>
          </w:rPr>
          <m:t xml:space="preserve">&lt;5,000 </m:t>
        </m:r>
        <m:r>
          <w:rPr>
            <w:rFonts w:ascii="Cambria Math" w:hAnsi="Cambria Math"/>
          </w:rPr>
          <m:t>persons</m:t>
        </m:r>
      </m:oMath>
      <w:r w:rsidRPr="004F469F">
        <w:t xml:space="preserve"> and </w:t>
      </w:r>
      <m:oMath>
        <m:r>
          <w:rPr>
            <w:rFonts w:ascii="Cambria Math" w:hAnsi="Cambria Math"/>
          </w:rPr>
          <m:t>PPEMAX</m:t>
        </m:r>
        <m:r>
          <m:rPr>
            <m:sty m:val="p"/>
          </m:rPr>
          <w:rPr>
            <w:rFonts w:ascii="Cambria Math" w:hAnsi="Cambria Math"/>
          </w:rPr>
          <m:t xml:space="preserve">≥5,000 </m:t>
        </m:r>
        <m:r>
          <w:rPr>
            <w:rFonts w:ascii="Cambria Math" w:hAnsi="Cambria Math"/>
          </w:rPr>
          <m:t>persons</m:t>
        </m:r>
      </m:oMath>
      <w:r w:rsidRPr="004F469F">
        <w:t xml:space="preserve"> within 10 km (where </w:t>
      </w:r>
      <m:oMath>
        <m:r>
          <w:rPr>
            <w:rFonts w:ascii="Cambria Math" w:hAnsi="Cambria Math"/>
          </w:rPr>
          <m:t>OBS</m:t>
        </m:r>
        <m:r>
          <m:rPr>
            <m:sty m:val="p"/>
          </m:rPr>
          <w:rPr>
            <w:rFonts w:ascii="Cambria Math" w:hAnsi="Cambria Math"/>
          </w:rPr>
          <m:t xml:space="preserve">&lt;5,000 </m:t>
        </m:r>
        <m:r>
          <w:rPr>
            <w:rFonts w:ascii="Cambria Math" w:hAnsi="Cambria Math"/>
          </w:rPr>
          <m:t>persons</m:t>
        </m:r>
      </m:oMath>
      <w:r w:rsidRPr="004F469F">
        <w:t xml:space="preserve">, </w:t>
      </w:r>
      <m:oMath>
        <m:r>
          <w:rPr>
            <w:rFonts w:ascii="Cambria Math" w:hAnsi="Cambria Math"/>
          </w:rPr>
          <m:t>PPEMAX</m:t>
        </m:r>
        <m:r>
          <m:rPr>
            <m:sty m:val="p"/>
          </m:rPr>
          <w:rPr>
            <w:rFonts w:ascii="Cambria Math" w:hAnsi="Cambria Math"/>
          </w:rPr>
          <m:t xml:space="preserve">&lt;5,000 </m:t>
        </m:r>
        <m:r>
          <w:rPr>
            <w:rFonts w:ascii="Cambria Math" w:hAnsi="Cambria Math"/>
          </w:rPr>
          <m:t>persons</m:t>
        </m:r>
      </m:oMath>
      <w:r w:rsidRPr="004F469F">
        <w:t xml:space="preserve"> within 10 km and </w:t>
      </w:r>
      <m:oMath>
        <m:r>
          <w:rPr>
            <w:rFonts w:ascii="Cambria Math" w:hAnsi="Cambria Math"/>
          </w:rPr>
          <m:t>PPEMAX</m:t>
        </m:r>
        <m:r>
          <m:rPr>
            <m:sty m:val="p"/>
          </m:rPr>
          <w:rPr>
            <w:rFonts w:ascii="Cambria Math" w:hAnsi="Cambria Math"/>
          </w:rPr>
          <m:t xml:space="preserve">≥5,000 </m:t>
        </m:r>
        <m:r>
          <w:rPr>
            <w:rFonts w:ascii="Cambria Math" w:hAnsi="Cambria Math"/>
          </w:rPr>
          <m:t>persons</m:t>
        </m:r>
      </m:oMath>
      <w:r w:rsidRPr="004F469F">
        <w:t xml:space="preserve"> within 40 km). </w:t>
      </w:r>
      <w:r w:rsidR="008F1B78" w:rsidRPr="004F469F">
        <w:t xml:space="preserve">Figure </w:t>
      </w:r>
      <w:r w:rsidRPr="004F469F">
        <w:t>2.9</w:t>
      </w:r>
      <w:r w:rsidR="008F1B78" w:rsidRPr="004F469F">
        <w:t xml:space="preserve"> shows an example of a near-miss to the City of Norman, Oklahoma on 10 May 2010 (b) and a far-miss for the Cities of Canton and Pekin in Illinois on 13 May 1995 (c). Between 1995 and 2016 there were 30 near-misses and 38 far-misses. Near-misses and far-misses occurred in all regions with their distribution being similar to the distribution of violent tornadoes in general. Near-misses (far-misses) occurred most frequently in the Southern Plains (Southeast) but the regional differences were not significant (</w:t>
      </w:r>
      <m:oMath>
        <m:r>
          <w:rPr>
            <w:rFonts w:ascii="Cambria Math" w:hAnsi="Cambria Math"/>
          </w:rPr>
          <m:t>p</m:t>
        </m:r>
        <m:r>
          <m:rPr>
            <m:sty m:val="p"/>
          </m:rPr>
          <w:rPr>
            <w:rFonts w:ascii="Cambria Math" w:hAnsi="Cambria Math"/>
          </w:rPr>
          <m:t>=0.09</m:t>
        </m:r>
      </m:oMath>
      <w:r w:rsidR="008F1B78" w:rsidRPr="004F469F">
        <w:t xml:space="preserve"> and</w:t>
      </w:r>
      <w:r w:rsidRPr="004F469F">
        <w:t xml:space="preserve"> </w:t>
      </w:r>
      <m:oMath>
        <m:r>
          <m:rPr>
            <m:sty m:val="p"/>
          </m:rPr>
          <w:rPr>
            <w:rFonts w:ascii="Cambria Math" w:hAnsi="Cambria Math"/>
          </w:rPr>
          <m:t xml:space="preserve"> </m:t>
        </m:r>
        <m:r>
          <w:rPr>
            <w:rFonts w:ascii="Cambria Math" w:hAnsi="Cambria Math"/>
          </w:rPr>
          <m:t>p</m:t>
        </m:r>
        <m:r>
          <m:rPr>
            <m:sty m:val="p"/>
          </m:rPr>
          <w:rPr>
            <w:rFonts w:ascii="Cambria Math" w:hAnsi="Cambria Math"/>
          </w:rPr>
          <m:t>=0.13</m:t>
        </m:r>
      </m:oMath>
      <w:r w:rsidR="008F1B78" w:rsidRPr="004F469F">
        <w:t xml:space="preserve"> respectively; Fig</w:t>
      </w:r>
      <w:r w:rsidRPr="004F469F">
        <w:t>ure 2.6c-d</w:t>
      </w:r>
      <w:r w:rsidR="008F1B78" w:rsidRPr="004F469F">
        <w:t>). The median maximum potential exposure was similar between near-misses and far-misses (9,415 and 9,234 persons respectively) with the highest value for near-misses (far-misses) in the Southern Plains (Great Lakes; Table</w:t>
      </w:r>
      <w:r w:rsidRPr="004F469F">
        <w:t xml:space="preserve"> 2.5</w:t>
      </w:r>
      <w:r w:rsidR="008F1B78" w:rsidRPr="004F469F">
        <w:t xml:space="preserve">). The median probability of </w:t>
      </w:r>
      <w:r w:rsidR="008F1B78" w:rsidRPr="004F469F">
        <w:lastRenderedPageBreak/>
        <w:t xml:space="preserve">being a hit was 8.1% (1.9%) indicating that it is very unlikely that any near-misses or far-misses could have been hits. In fact, no near-miss was likely to very likely to have been a hit (Table </w:t>
      </w:r>
      <w:r w:rsidRPr="004F469F">
        <w:t>2.6</w:t>
      </w:r>
      <w:r w:rsidR="008F1B78" w:rsidRPr="004F469F">
        <w:t xml:space="preserve">). However, the median probability of impacting more persons than was observed was 47.8% indicating it was nearly likely that near-misses could have impacted more persons (Table </w:t>
      </w:r>
      <w:r w:rsidRPr="004F469F">
        <w:t>2.5</w:t>
      </w:r>
      <w:r w:rsidR="008F1B78" w:rsidRPr="004F469F">
        <w:t>). There was no significant temporal trend found for either near-misses (</w:t>
      </w:r>
      <m:oMath>
        <m:r>
          <w:rPr>
            <w:rFonts w:ascii="Cambria Math" w:hAnsi="Cambria Math"/>
          </w:rPr>
          <m:t>p</m:t>
        </m:r>
        <m:r>
          <m:rPr>
            <m:sty m:val="p"/>
          </m:rPr>
          <w:rPr>
            <w:rFonts w:ascii="Cambria Math" w:hAnsi="Cambria Math"/>
          </w:rPr>
          <m:t>=0.38</m:t>
        </m:r>
      </m:oMath>
      <w:r w:rsidR="008F1B78" w:rsidRPr="004F469F">
        <w:t>) or far-misses (</w:t>
      </w:r>
      <m:oMath>
        <m:r>
          <w:rPr>
            <w:rFonts w:ascii="Cambria Math" w:hAnsi="Cambria Math"/>
          </w:rPr>
          <m:t>p</m:t>
        </m:r>
        <m:r>
          <m:rPr>
            <m:sty m:val="p"/>
          </m:rPr>
          <w:rPr>
            <w:rFonts w:ascii="Cambria Math" w:hAnsi="Cambria Math"/>
          </w:rPr>
          <m:t>=0.60</m:t>
        </m:r>
      </m:oMath>
      <w:r w:rsidR="008F1B78" w:rsidRPr="004F469F">
        <w:t>) between 1995 and 2016 for the entire US or for any subregion.</w:t>
      </w:r>
    </w:p>
    <w:p w14:paraId="4DEB2B81" w14:textId="62C831E8" w:rsidR="00494609" w:rsidRPr="004F469F" w:rsidRDefault="00494609" w:rsidP="00435B08">
      <w:pPr>
        <w:pStyle w:val="Heading3"/>
        <w:spacing w:before="0" w:after="120" w:line="480" w:lineRule="auto"/>
        <w:rPr>
          <w:rFonts w:ascii="Times New Roman" w:eastAsia="Times New Roman" w:hAnsi="Times New Roman" w:cs="Times New Roman"/>
          <w:i/>
          <w:iCs/>
          <w:color w:val="auto"/>
        </w:rPr>
      </w:pPr>
      <w:bookmarkStart w:id="26" w:name="_Toc21861298"/>
      <w:r w:rsidRPr="004F469F">
        <w:rPr>
          <w:rFonts w:ascii="Times New Roman" w:eastAsia="Times New Roman" w:hAnsi="Times New Roman" w:cs="Times New Roman"/>
          <w:i/>
          <w:iCs/>
          <w:color w:val="auto"/>
        </w:rPr>
        <w:t>Hits</w:t>
      </w:r>
      <w:bookmarkEnd w:id="26"/>
    </w:p>
    <w:p w14:paraId="7494FF53" w14:textId="5BA8BAE9" w:rsidR="008F1B78" w:rsidRPr="004F469F" w:rsidRDefault="008F1B78" w:rsidP="00435B08">
      <w:pPr>
        <w:spacing w:after="120" w:line="480" w:lineRule="auto"/>
        <w:ind w:firstLine="720"/>
      </w:pPr>
      <w:r w:rsidRPr="004F469F">
        <w:t>Hits were defined as violent tornadoes where</w:t>
      </w:r>
      <w:r w:rsidR="00232076" w:rsidRPr="004F469F">
        <w:t xml:space="preserve"> </w:t>
      </w:r>
      <m:oMath>
        <m:r>
          <w:rPr>
            <w:rFonts w:ascii="Cambria Math" w:hAnsi="Cambria Math"/>
          </w:rPr>
          <m:t>OBS≥5,000 persons</m:t>
        </m:r>
      </m:oMath>
      <w:r w:rsidRPr="004F469F">
        <w:t xml:space="preserve">. There were 21 reported hits, between 1995 and 2016, occurring in all regions, except the Great Lakes. They were most common in the Southern Plains and Southeast and rare in the Northern Plains (regional differences were significant; </w:t>
      </w:r>
      <m:oMath>
        <m:r>
          <w:rPr>
            <w:rFonts w:ascii="Cambria Math" w:hAnsi="Cambria Math"/>
          </w:rPr>
          <m:t>p=0.008</m:t>
        </m:r>
      </m:oMath>
      <w:r w:rsidRPr="004F469F">
        <w:t>; Fig</w:t>
      </w:r>
      <w:r w:rsidR="00232076" w:rsidRPr="004F469F">
        <w:t>ure 2.6b</w:t>
      </w:r>
      <w:r w:rsidRPr="004F469F">
        <w:t xml:space="preserve">). These locations match the findings of </w:t>
      </w:r>
      <w:r w:rsidR="00232076" w:rsidRPr="004F469F">
        <w:t xml:space="preserve">Ashley and Strader </w:t>
      </w:r>
      <w:r w:rsidR="00232076"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00232076" w:rsidRPr="004F469F">
        <w:fldChar w:fldCharType="separate"/>
      </w:r>
      <w:r w:rsidR="00232076" w:rsidRPr="004F469F">
        <w:rPr>
          <w:noProof/>
        </w:rPr>
        <w:t>(2016)</w:t>
      </w:r>
      <w:r w:rsidR="00232076" w:rsidRPr="004F469F">
        <w:fldChar w:fldCharType="end"/>
      </w:r>
      <w:r w:rsidRPr="004F469F">
        <w:t xml:space="preserve"> who found the high rural population density in the Southeast combined with the high risk of tornadoes resulted in significant potential impacts. The Northern Plains have high tornado risk but low population density while the Great Lakes have high population density but low tornado risk </w:t>
      </w:r>
      <w:r w:rsidR="00232076" w:rsidRPr="004F469F">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232076" w:rsidRPr="004F469F">
        <w:fldChar w:fldCharType="separate"/>
      </w:r>
      <w:r w:rsidR="0010658B" w:rsidRPr="0010658B">
        <w:rPr>
          <w:noProof/>
        </w:rPr>
        <w:t>(Ashley and Strader, 2016)</w:t>
      </w:r>
      <w:r w:rsidR="00232076" w:rsidRPr="004F469F">
        <w:fldChar w:fldCharType="end"/>
      </w:r>
      <w:r w:rsidRPr="004F469F">
        <w:t xml:space="preserve">. Figure </w:t>
      </w:r>
      <w:r w:rsidR="00232076" w:rsidRPr="004F469F">
        <w:t>2.9d</w:t>
      </w:r>
      <w:r w:rsidRPr="004F469F">
        <w:t xml:space="preserve"> shows an example of a hit on the City of Cleveland, Tennessee on 27 April 2011. Hits had a median observed exposure of 8,848 persons with the highest value in the Southern Plains and lowest in the Northern Plains (Table </w:t>
      </w:r>
      <w:r w:rsidR="00232076" w:rsidRPr="004F469F">
        <w:t>2.5</w:t>
      </w:r>
      <w:r w:rsidRPr="004F469F">
        <w:t xml:space="preserve">). They had a median maximum potential exposure (within 10 km) of 19,534 persons with the greatest maximum potential exposure in the Southern Plains. Hits that occurred in the Northern Plains were unlikely to be hits while hits in the Southern Plains and Southeast were very likely to be hits. All but five of the hits were likely to very likely to be hits (Table </w:t>
      </w:r>
      <w:r w:rsidR="00232076" w:rsidRPr="004F469F">
        <w:t>2.7</w:t>
      </w:r>
      <w:r w:rsidRPr="004F469F">
        <w:t xml:space="preserve">). Hits in the Southeast were likely to have impacted more persons than they did while they were very unlikely to do so in the Northern Plains (Table  </w:t>
      </w:r>
      <w:r w:rsidR="00232076" w:rsidRPr="004F469F">
        <w:t>2.5</w:t>
      </w:r>
      <w:r w:rsidRPr="004F469F">
        <w:t xml:space="preserve">). Similarly to the near-misses </w:t>
      </w:r>
      <w:r w:rsidRPr="004F469F">
        <w:lastRenderedPageBreak/>
        <w:t>and far-misses, we found no significant temporal trend for hits (</w:t>
      </w:r>
      <m:oMath>
        <m:r>
          <w:rPr>
            <w:rFonts w:ascii="Cambria Math" w:hAnsi="Cambria Math"/>
          </w:rPr>
          <m:t>p=0.92</m:t>
        </m:r>
      </m:oMath>
      <w:r w:rsidRPr="004F469F">
        <w:t>) between 1995 and 2016 for the entire US or for any subregion.</w:t>
      </w:r>
    </w:p>
    <w:p w14:paraId="2829EE59" w14:textId="352F7443" w:rsidR="009F7739" w:rsidRPr="004F469F" w:rsidRDefault="009F7739" w:rsidP="00435B08">
      <w:pPr>
        <w:pStyle w:val="Heading3"/>
        <w:spacing w:before="0" w:after="120" w:line="480" w:lineRule="auto"/>
        <w:rPr>
          <w:rFonts w:ascii="Times New Roman" w:eastAsia="Times New Roman" w:hAnsi="Times New Roman" w:cs="Times New Roman"/>
          <w:i/>
          <w:iCs/>
          <w:color w:val="auto"/>
        </w:rPr>
      </w:pPr>
      <w:bookmarkStart w:id="27" w:name="_Toc21861299"/>
      <w:r w:rsidRPr="004F469F">
        <w:rPr>
          <w:rFonts w:ascii="Times New Roman" w:eastAsia="Times New Roman" w:hAnsi="Times New Roman" w:cs="Times New Roman"/>
          <w:i/>
          <w:iCs/>
          <w:color w:val="auto"/>
        </w:rPr>
        <w:t>Characteristics of Select Violent Tornadoes</w:t>
      </w:r>
      <w:bookmarkEnd w:id="27"/>
    </w:p>
    <w:p w14:paraId="047698F7" w14:textId="2C0F4434" w:rsidR="008F1B78" w:rsidRPr="004F469F" w:rsidRDefault="008F1B78" w:rsidP="00435B08">
      <w:pPr>
        <w:spacing w:after="120" w:line="480" w:lineRule="auto"/>
        <w:ind w:firstLine="720"/>
      </w:pPr>
      <w:r w:rsidRPr="004F469F">
        <w:t xml:space="preserve">A total of 13 violent tornadoes had a maximum potential exposure (within 10 km) exceeding 20,000 persons; of these ten were hits and three were near-misses. Three of these were likely to very likely to have had an exposure of at least 20,000 persons and another seven were very unlikely to have had such an exposure. Only five were likely to impact more people than was observed (Tables </w:t>
      </w:r>
      <w:r w:rsidR="009F7739" w:rsidRPr="004F469F">
        <w:t>2.6 and 2.7</w:t>
      </w:r>
      <w:r w:rsidRPr="004F469F">
        <w:t>).</w:t>
      </w:r>
    </w:p>
    <w:p w14:paraId="433D46DD" w14:textId="788C0627" w:rsidR="009F7739" w:rsidRPr="004F469F" w:rsidRDefault="009F7739" w:rsidP="00435B08">
      <w:pPr>
        <w:pStyle w:val="Heading3"/>
        <w:spacing w:before="0" w:after="120" w:line="480" w:lineRule="auto"/>
        <w:rPr>
          <w:rFonts w:ascii="Times New Roman" w:eastAsia="Times New Roman" w:hAnsi="Times New Roman" w:cs="Times New Roman"/>
          <w:i/>
          <w:iCs/>
          <w:color w:val="auto"/>
        </w:rPr>
      </w:pPr>
      <w:bookmarkStart w:id="28" w:name="_Toc21861300"/>
      <w:r w:rsidRPr="004F469F">
        <w:rPr>
          <w:rFonts w:ascii="Times New Roman" w:eastAsia="Times New Roman" w:hAnsi="Times New Roman" w:cs="Times New Roman"/>
          <w:i/>
          <w:iCs/>
          <w:color w:val="auto"/>
        </w:rPr>
        <w:t>Comparison of Synthetic and Observed Damage Paths</w:t>
      </w:r>
      <w:bookmarkEnd w:id="28"/>
    </w:p>
    <w:p w14:paraId="538702BA" w14:textId="0B59C3D4" w:rsidR="008F1B78" w:rsidRPr="004F469F" w:rsidRDefault="008F1B78" w:rsidP="00435B08">
      <w:pPr>
        <w:spacing w:after="120" w:line="480" w:lineRule="auto"/>
        <w:ind w:firstLine="720"/>
      </w:pPr>
      <w:r w:rsidRPr="004F469F">
        <w:t xml:space="preserve">Tornado footprints come in all shapes and sizes </w:t>
      </w:r>
      <w:r w:rsidR="009F7739"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Applications","id":"ITEM-3","issue":"3","issued":{"date-parts":[["2015"]]},"page":"513-524","publisher":"Wiley Online Library","title":"A climatology of tornado intensity assessments","type":"article-journal","volume":"22"},"uris":["http://www.mendeley.com/documents/?uuid=e4377686-df2f-4b6e-9560-9cec9e268521"]}],"mendeley":{"formattedCitation":"(Wurman et al., 2007; Ashley et al., 2014; Strader et al., 2015)","plainTextFormattedCitation":"(Wurman et al., 2007; Ashley et al., 2014; Strader et al., 2015)","previouslyFormattedCitation":"(Wurman et al., 2007; Ashley et al., 2014; Strader et al., 2015)"},"properties":{"noteIndex":0},"schema":"https://github.com/citation-style-language/schema/raw/master/csl-citation.json"}</w:instrText>
      </w:r>
      <w:r w:rsidR="009F7739"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xml:space="preserve">, 2014; Strader </w:t>
      </w:r>
      <w:r w:rsidR="0010658B" w:rsidRPr="00453357">
        <w:rPr>
          <w:i/>
          <w:iCs/>
          <w:noProof/>
        </w:rPr>
        <w:t>et al.</w:t>
      </w:r>
      <w:r w:rsidR="0010658B" w:rsidRPr="00123266">
        <w:rPr>
          <w:noProof/>
        </w:rPr>
        <w:t>, 2015)</w:t>
      </w:r>
      <w:r w:rsidR="009F7739" w:rsidRPr="004F469F">
        <w:fldChar w:fldCharType="end"/>
      </w:r>
      <w:r w:rsidRPr="004F469F">
        <w:t xml:space="preserve"> with some taking a relatively straight track </w:t>
      </w:r>
      <w:r w:rsidR="009F7739"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9F7739"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009F7739" w:rsidRPr="004F469F">
        <w:fldChar w:fldCharType="end"/>
      </w:r>
      <w:r w:rsidRPr="004F469F">
        <w:t xml:space="preserve">, others curving significantly </w:t>
      </w:r>
      <w:r w:rsidR="009F7739" w:rsidRPr="004F469F">
        <w:fldChar w:fldCharType="begin" w:fldLock="1"/>
      </w:r>
      <w:r w:rsidR="0010658B">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tornado","type":"article-journal","volume":"64"},"uris":["http://www.mendeley.com/documents/?uuid=20b4b09b-7791-4d88-b2dd-b2d4d2b6540d"]}],"mendeley":{"formattedCitation":"(Paul and Stimers, 2012)","plainTextFormattedCitation":"(Paul and Stimers, 2012)","previouslyFormattedCitation":"(Paul and Stimers, 2012)"},"properties":{"noteIndex":0},"schema":"https://github.com/citation-style-language/schema/raw/master/csl-citation.json"}</w:instrText>
      </w:r>
      <w:r w:rsidR="009F7739" w:rsidRPr="004F469F">
        <w:fldChar w:fldCharType="separate"/>
      </w:r>
      <w:r w:rsidR="0010658B" w:rsidRPr="0010658B">
        <w:rPr>
          <w:noProof/>
        </w:rPr>
        <w:t>(Paul and Stimers, 2012)</w:t>
      </w:r>
      <w:r w:rsidR="009F7739" w:rsidRPr="004F469F">
        <w:fldChar w:fldCharType="end"/>
      </w:r>
      <w:r w:rsidRPr="004F469F">
        <w:t xml:space="preserve">, some even moving in a loop </w:t>
      </w:r>
      <w:r w:rsidR="009F7739" w:rsidRPr="004F469F">
        <w:fldChar w:fldCharType="begin" w:fldLock="1"/>
      </w:r>
      <w:r w:rsidR="00123266">
        <w:instrText>ADDIN CSL_CITATION {"citationItems":[{"id":"ITEM-1","itemData":{"DOI":"10.1175/BAMS-D-13-00221.1","ISSN":"00030007","abstract":"An extremely large and powerful Doppler On Wheels–observed tornado, with several embedded intense multiple-vortices, moving rapidly in complex troichoid-like paths, killed and injured several storm chasers.","author":[{"dropping-particle":"","family":"Wurman","given":"Joshua","non-dropping-particle":"","parse-names":false,"suffix":""},{"dropping-particle":"","family":"Kosiba","given":"Karen","non-dropping-particle":"","parse-names":false,"suffix":""},{"dropping-particle":"","family":"Robinson","given":"Paul","non-dropping-particle":"","parse-names":false,"suffix":""},{"dropping-particle":"","family":"Marshall","given":"Tim","non-dropping-particle":"","parse-names":false,"suffix":""}],"container-title":"Bulletin of the American Meteorological Society","id":"ITEM-1","issue":"1","issued":{"date-parts":[["2014"]]},"page":"31-45","title":"The role of multiple-vortex tornado structure in causing storm researcher fatalities","type":"article-journal","volume":"95"},"uris":["http://www.mendeley.com/documents/?uuid=251276e3-a3a6-40dd-b121-c13d83f1ecbc"]}],"mendeley":{"formattedCitation":"(Wurman et al., 2014)","plainTextFormattedCitation":"(Wurman et al., 2014)","previouslyFormattedCitation":"(Wurman et al., 2014)"},"properties":{"noteIndex":0},"schema":"https://github.com/citation-style-language/schema/raw/master/csl-citation.json"}</w:instrText>
      </w:r>
      <w:r w:rsidR="009F7739" w:rsidRPr="004F469F">
        <w:fldChar w:fldCharType="separate"/>
      </w:r>
      <w:r w:rsidR="0010658B" w:rsidRPr="00123266">
        <w:rPr>
          <w:noProof/>
        </w:rPr>
        <w:t xml:space="preserve">(Wurman </w:t>
      </w:r>
      <w:r w:rsidR="0010658B" w:rsidRPr="00453357">
        <w:rPr>
          <w:i/>
          <w:iCs/>
          <w:noProof/>
        </w:rPr>
        <w:t>et al.</w:t>
      </w:r>
      <w:r w:rsidR="0010658B" w:rsidRPr="00123266">
        <w:rPr>
          <w:noProof/>
        </w:rPr>
        <w:t>, 2014)</w:t>
      </w:r>
      <w:r w:rsidR="009F7739" w:rsidRPr="004F469F">
        <w:fldChar w:fldCharType="end"/>
      </w:r>
      <w:r w:rsidRPr="004F469F">
        <w:t xml:space="preserve">. The width of the footprint can also change significantly throughout the life of the tornado as it weakens or strengthens </w:t>
      </w:r>
      <w:r w:rsidR="009F7739" w:rsidRPr="004F469F">
        <w:fldChar w:fldCharType="begin" w:fldLock="1"/>
      </w:r>
      <w:r w:rsidR="00123266">
        <w:instrText>ADDIN CSL_CITATION {"citationItems":[{"id":"ITEM-1","itemData":{"DOI":"10.1175/WAF-D-14-00039.1","ISBN":"0882-8156","ISSN":"0882-8156","abstract":"The tornado that affected Moore, Oklahoma, and the surrounding area on 20 May 2013 was an extreme event. It traveled 23 km and damage was up to 1.7 km wide. The tornado killed 24 people, injured over 200 others, and damaged many structures. A team of surveyors from the Norman, Oklahoma, National Weather Center and two private companies performed a detailed survey (all objects/structures) of the tornado to provide better documentation than is normally done, in part to aid future studies of the event. The team began surveying tornado damage on the morning of 21 May and continued the survey process for the next several weeks. Extensive ground surveys were performed. The surveys were aided by use of high-resolution aerial and satellite imagery. The survey process utilized the enhanced Fujita (EF) scale and was facilitated by use of a National Weather Service (NWS) software package: the Damage Assessment Toolkit (DAT). The survey team defined a “well built” house that qualified for an EF5 rating. Surve...","author":[{"dropping-particle":"","family":"Burgess","given":"Donald","non-dropping-particle":"","parse-names":false,"suffix":""},{"dropping-particle":"","family":"Ortega","given":"Kiel","non-dropping-particle":"","parse-names":false,"suffix":""},{"dropping-particle":"","family":"Stumpf","given":"Greg","non-dropping-particle":"","parse-names":false,"suffix":""},{"dropping-particle":"","family":"Garfield","given":"Gabe","non-dropping-particle":"","parse-names":false,"suffix":""},{"dropping-particle":"","family":"Karstens","given":"Chris","non-dropping-particle":"","parse-names":false,"suffix":""},{"dropping-particle":"","family":"Meyer","given":"Tiffany","non-dropping-particle":"","parse-names":false,"suffix":""},{"dropping-particle":"","family":"Smith","given":"Brandon","non-dropping-particle":"","parse-names":false,"suffix":""},{"dropping-particle":"","family":"Speheger","given":"Doug","non-dropping-particle":"","parse-names":false,"suffix":""},{"dropping-particle":"","family":"Ladue","given":"Jim","non-dropping-particle":"","parse-names":false,"suffix":""},{"dropping-particle":"","family":"Smith","given":"Rick","non-dropping-particle":"","parse-names":false,"suffix":""},{"dropping-particle":"","family":"Marshall","given":"Tim","non-dropping-particle":"","parse-names":false,"suffix":""}],"container-title":"Weather and Forecasting","id":"ITEM-1","issue":"5","issued":{"date-parts":[["2014"]]},"page":"1229-1237","title":"20 May 2013 Moore, Oklahoma, Tornado: Damage Survey and Analysis","type":"article-journal","volume":"29"},"uris":["http://www.mendeley.com/documents/?uuid=d351eb8d-9b3b-482b-b77c-70ee3c36a2c7"]}],"mendeley":{"formattedCitation":"(Burgess et al., 2014)","plainTextFormattedCitation":"(Burgess et al., 2014)","previouslyFormattedCitation":"(Burgess et al., 2014)"},"properties":{"noteIndex":0},"schema":"https://github.com/citation-style-language/schema/raw/master/csl-citation.json"}</w:instrText>
      </w:r>
      <w:r w:rsidR="009F7739" w:rsidRPr="004F469F">
        <w:fldChar w:fldCharType="separate"/>
      </w:r>
      <w:r w:rsidR="0010658B" w:rsidRPr="00123266">
        <w:rPr>
          <w:noProof/>
        </w:rPr>
        <w:t xml:space="preserve">(Burgess </w:t>
      </w:r>
      <w:r w:rsidR="0010658B" w:rsidRPr="00453357">
        <w:rPr>
          <w:i/>
          <w:iCs/>
          <w:noProof/>
        </w:rPr>
        <w:t>et al.</w:t>
      </w:r>
      <w:r w:rsidR="0010658B" w:rsidRPr="00123266">
        <w:rPr>
          <w:noProof/>
        </w:rPr>
        <w:t>, 2014)</w:t>
      </w:r>
      <w:r w:rsidR="009F7739" w:rsidRPr="004F469F">
        <w:fldChar w:fldCharType="end"/>
      </w:r>
      <w:r w:rsidRPr="004F469F">
        <w:t xml:space="preserve">. Wind speed also varies throughout the tornado footprint with only a small fraction of the total area experiencing EF4-5 wind speeds and damage </w:t>
      </w:r>
      <w:r w:rsidR="009F7739"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Applications","id":"ITEM-3","issue":"3","issued":{"date-parts":[["2015"]]},"page":"513-524","publisher":"Wiley Online Library","title":"A climatology of tornado intensity assessments","type":"article-journal","volume":"22"},"uris":["http://www.mendeley.com/documents/?uuid=e4377686-df2f-4b6e-9560-9cec9e268521"]}],"mendeley":{"formattedCitation":"(Wurman et al., 2007; Ashley et al., 2014; Strader et al., 2015)","plainTextFormattedCitation":"(Wurman et al., 2007; Ashley et al., 2014; Strader et al., 2015)","previouslyFormattedCitation":"(Wurman et al., 2007; Ashley et al., 2014; Strader et al., 2015)"},"properties":{"noteIndex":0},"schema":"https://github.com/citation-style-language/schema/raw/master/csl-citation.json"}</w:instrText>
      </w:r>
      <w:r w:rsidR="009F7739"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xml:space="preserve">, 2014; Strader </w:t>
      </w:r>
      <w:r w:rsidR="0010658B" w:rsidRPr="00453357">
        <w:rPr>
          <w:i/>
          <w:iCs/>
          <w:noProof/>
        </w:rPr>
        <w:t>et al.</w:t>
      </w:r>
      <w:r w:rsidR="0010658B" w:rsidRPr="00123266">
        <w:rPr>
          <w:noProof/>
        </w:rPr>
        <w:t>, 2015)</w:t>
      </w:r>
      <w:r w:rsidR="009F7739" w:rsidRPr="004F469F">
        <w:fldChar w:fldCharType="end"/>
      </w:r>
      <w:r w:rsidRPr="004F469F">
        <w:t xml:space="preserve">. These variations in footprint shape and area can result in large departures from the linear synthetic footprint produced by buffering the SPC tornado tracks </w:t>
      </w:r>
      <w:r w:rsidR="009F7739" w:rsidRPr="004F469F">
        <w:fldChar w:fldCharType="begin" w:fldLock="1"/>
      </w:r>
      <w:r w:rsidR="009F7739"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009F7739" w:rsidRPr="004F469F">
        <w:fldChar w:fldCharType="separate"/>
      </w:r>
      <w:r w:rsidR="009F7739" w:rsidRPr="004F469F">
        <w:rPr>
          <w:noProof/>
        </w:rPr>
        <w:t>(SPC, 2017)</w:t>
      </w:r>
      <w:r w:rsidR="009F7739" w:rsidRPr="004F469F">
        <w:fldChar w:fldCharType="end"/>
      </w:r>
      <w:r w:rsidRPr="004F469F">
        <w:t>. To test if these variations affected the classification of a violent tornado as a hit, near-miss or far-miss, we ran our replication analysis on the observed footprints of ten violent tornadoes and compared the exposures to those from the matching synthetic footprints. We found substantial differences between synthetic and observed tornado footprints in terms of both observed exposure and maximum potential exposure (within 10 km). The largest difference in observed exposure was 16,062 persons for Hackleburg-</w:t>
      </w:r>
      <w:r w:rsidRPr="004F469F">
        <w:lastRenderedPageBreak/>
        <w:t xml:space="preserve">Phil Campbell, AL while the smallest difference was 167 persons for Dover, OK. The largest difference in maximum potential exposure was 65,042 persons for Tuscaloosa-Birmingham while the smallest difference was 167 persons for Cimarron City-Mulhall, OK. These differences in exposure arose from both curvature in the observed footprints and differences in footprint area between observed and synthetic footprints. The latter finding was in agreement with a study by </w:t>
      </w:r>
      <w:r w:rsidR="009F7739" w:rsidRPr="004F469F">
        <w:t xml:space="preserve">Strader </w:t>
      </w:r>
      <w:r w:rsidR="009F7739" w:rsidRPr="00453357">
        <w:rPr>
          <w:i/>
          <w:iCs/>
        </w:rPr>
        <w:t>et al.</w:t>
      </w:r>
      <w:r w:rsidR="009F7739" w:rsidRPr="004F469F">
        <w:t xml:space="preserve"> </w:t>
      </w:r>
      <w:r w:rsidR="009F7739" w:rsidRPr="004F469F">
        <w:fldChar w:fldCharType="begin" w:fldLock="1"/>
      </w:r>
      <w:r w:rsidR="00C42BC1" w:rsidRPr="004F469F">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suppress-author":1,"uris":["http://www.mendeley.com/documents/?uuid=e4377686-df2f-4b6e-9560-9cec9e268521"]}],"mendeley":{"formattedCitation":"(2015)","plainTextFormattedCitation":"(2015)","previouslyFormattedCitation":"(2015)"},"properties":{"noteIndex":0},"schema":"https://github.com/citation-style-language/schema/raw/master/csl-citation.json"}</w:instrText>
      </w:r>
      <w:r w:rsidR="009F7739" w:rsidRPr="004F469F">
        <w:fldChar w:fldCharType="separate"/>
      </w:r>
      <w:r w:rsidR="009F7739" w:rsidRPr="004F469F">
        <w:rPr>
          <w:noProof/>
        </w:rPr>
        <w:t>(2015)</w:t>
      </w:r>
      <w:r w:rsidR="009F7739" w:rsidRPr="004F469F">
        <w:fldChar w:fldCharType="end"/>
      </w:r>
      <w:r w:rsidRPr="004F469F">
        <w:t xml:space="preserve"> that found a mean overestimation of significant tornado footprint area of 39% for synthetic footprints between 1995 and 2013. While most of the synthetic and observed tornado footprints were classified the same (</w:t>
      </w:r>
      <w:r w:rsidRPr="004F469F">
        <w:rPr>
          <w:i/>
          <w:iCs/>
        </w:rPr>
        <w:t>e.g.</w:t>
      </w:r>
      <w:r w:rsidRPr="004F469F">
        <w:t xml:space="preserve">, near-miss), three (Joplin, MO; Cordova, AL; and Shoal Creek-Ohatchee-Argo, AL) had large enough differences to result in different classifications. All three of the misclassifications were the result of tornado footprints with significant curvature. The Joplin tornado curved into a densely populated area resulting in a hit while the others curved away from densely populated areas resulting in near-misses (Table </w:t>
      </w:r>
      <w:r w:rsidR="009F7739" w:rsidRPr="004F469F">
        <w:t>2.1</w:t>
      </w:r>
      <w:r w:rsidRPr="004F469F">
        <w:t xml:space="preserve">). </w:t>
      </w:r>
    </w:p>
    <w:p w14:paraId="7D808B4F" w14:textId="2ED501E0" w:rsidR="008F1B78" w:rsidRPr="004F469F" w:rsidRDefault="009F7739" w:rsidP="00435B08">
      <w:pPr>
        <w:pStyle w:val="Heading3"/>
        <w:spacing w:before="0" w:after="120" w:line="480" w:lineRule="auto"/>
        <w:rPr>
          <w:rFonts w:ascii="Times New Roman" w:eastAsia="Times New Roman" w:hAnsi="Times New Roman" w:cs="Times New Roman"/>
          <w:i/>
          <w:iCs/>
          <w:color w:val="auto"/>
        </w:rPr>
      </w:pPr>
      <w:bookmarkStart w:id="29" w:name="_Toc21861301"/>
      <w:r w:rsidRPr="004F469F">
        <w:rPr>
          <w:rFonts w:ascii="Times New Roman" w:eastAsia="Times New Roman" w:hAnsi="Times New Roman" w:cs="Times New Roman"/>
          <w:i/>
          <w:iCs/>
          <w:color w:val="auto"/>
        </w:rPr>
        <w:t>Spatial Autocorrelation of Violent Tornadoes</w:t>
      </w:r>
      <w:bookmarkEnd w:id="29"/>
    </w:p>
    <w:p w14:paraId="476D4B90" w14:textId="762247E2" w:rsidR="008F1B78" w:rsidRPr="004F469F" w:rsidRDefault="008F1B78" w:rsidP="00435B08">
      <w:pPr>
        <w:spacing w:after="120" w:line="480" w:lineRule="auto"/>
        <w:ind w:firstLine="720"/>
      </w:pPr>
      <w:r w:rsidRPr="004F469F">
        <w:t xml:space="preserve">Violent tornadoes typically form as a result of the presence of key ingredients in the atmosphere: low-level moisture, increases in wind speed with height, rapid change in temperature with height and the presence of a thunderstorm. It is rare to get all of these ingredients together to produce violent tornadoes </w:t>
      </w:r>
      <w:r w:rsidR="009F7739" w:rsidRPr="004F469F">
        <w:fldChar w:fldCharType="begin" w:fldLock="1"/>
      </w:r>
      <w:r w:rsidR="00123266">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perspective","type":"article-journal","volume":"67"},"uris":["http://www.mendeley.com/documents/?uuid=42235697-4e43-4cf7-9772-fa9a876de81d"]}],"mendeley":{"formattedCitation":"(Doswell et al., 2012)","plainTextFormattedCitation":"(Doswell et al., 2012)","previouslyFormattedCitation":"(Doswell et al., 2012)"},"properties":{"noteIndex":0},"schema":"https://github.com/citation-style-language/schema/raw/master/csl-citation.json"}</w:instrText>
      </w:r>
      <w:r w:rsidR="009F7739" w:rsidRPr="004F469F">
        <w:fldChar w:fldCharType="separate"/>
      </w:r>
      <w:r w:rsidR="00123266" w:rsidRPr="00123266">
        <w:rPr>
          <w:noProof/>
        </w:rPr>
        <w:t xml:space="preserve">(Doswell </w:t>
      </w:r>
      <w:r w:rsidR="00123266" w:rsidRPr="00453357">
        <w:rPr>
          <w:i/>
          <w:iCs/>
          <w:noProof/>
        </w:rPr>
        <w:t>et al.</w:t>
      </w:r>
      <w:r w:rsidR="00123266" w:rsidRPr="00123266">
        <w:rPr>
          <w:noProof/>
        </w:rPr>
        <w:t>, 2012)</w:t>
      </w:r>
      <w:r w:rsidR="009F7739" w:rsidRPr="004F469F">
        <w:fldChar w:fldCharType="end"/>
      </w:r>
      <w:r w:rsidRPr="004F469F">
        <w:t>; however, there are certain regions where these ingredients are more common (</w:t>
      </w:r>
      <w:r w:rsidRPr="004F469F">
        <w:rPr>
          <w:i/>
          <w:iCs/>
        </w:rPr>
        <w:t>e.g.</w:t>
      </w:r>
      <w:r w:rsidRPr="004F469F">
        <w:t>, "Tornado Alley" and "Dixie Alley"</w:t>
      </w:r>
      <w:r w:rsidR="004018A9">
        <w:t>;</w:t>
      </w:r>
      <w:r w:rsidR="009F7739" w:rsidRPr="004F469F">
        <w:t xml:space="preserve"> </w:t>
      </w:r>
      <w:r w:rsidR="009F7739" w:rsidRPr="004F469F">
        <w:fldChar w:fldCharType="begin" w:fldLock="1"/>
      </w:r>
      <w:r w:rsidR="00123266">
        <w:instrText>ADDIN CSL_CITATION {"citationItems":[{"id":"ITEM-1","itemData":{"DOI":"10.1175/2010BAMS3102.1","ISBN":"0003-0007","ISSN":"0003-0007","author":[{"dropping-particle":"","family":"Dixon","given":"P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Society","id":"ITEM-1","issue":"4","issued":{"date-parts":[["2011"]]},"page":"433","title":"Tornado risk analysis: is Dixie Alley an extension of Tornado Alley?","type":"article-journal","volume":"92"},"uris":["http://www.mendeley.com/documents/?uuid=7a3e5f30-55c6-4dfa-a460-4f44599b65d8"]},{"id":"ITEM-2","itemData":{"ISBN":"1559-5404","author":[{"dropping-particle":"","family":"Gensini","given":"Victor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landscape","type":"article-journal","volume":"97"},"uris":["http://www.mendeley.com/documents/?uuid=f66d6182-0c44-4efe-84e8-83956e5e4d92"]}],"mendeley":{"formattedCitation":"(Dixon et al., 2011; Gensini and Ashley, 2011; Ashley and Strader, 2016)","plainTextFormattedCitation":"(Dixon et al., 2011; Gensini and Ashley, 2011; Ashley and Strader, 2016)","previouslyFormattedCitation":"(Dixon et al., 2011; Gensini and Ashley, 2011; Ashley and Strader, 2016)"},"properties":{"noteIndex":0},"schema":"https://github.com/citation-style-language/schema/raw/master/csl-citation.json"}</w:instrText>
      </w:r>
      <w:r w:rsidR="009F7739" w:rsidRPr="004F469F">
        <w:fldChar w:fldCharType="separate"/>
      </w:r>
      <w:r w:rsidR="0010658B" w:rsidRPr="00123266">
        <w:rPr>
          <w:noProof/>
        </w:rPr>
        <w:t xml:space="preserve">Dixon </w:t>
      </w:r>
      <w:r w:rsidR="0010658B" w:rsidRPr="00453357">
        <w:rPr>
          <w:i/>
          <w:iCs/>
          <w:noProof/>
        </w:rPr>
        <w:t>et al.</w:t>
      </w:r>
      <w:r w:rsidR="0010658B" w:rsidRPr="00123266">
        <w:rPr>
          <w:noProof/>
        </w:rPr>
        <w:t>, 2011; Gensini and Ashley, 2011; Ashley and Strader, 2016)</w:t>
      </w:r>
      <w:r w:rsidR="009F7739" w:rsidRPr="004F469F">
        <w:fldChar w:fldCharType="end"/>
      </w:r>
      <w:r w:rsidRPr="004F469F">
        <w:t xml:space="preserve">. Due to the spatial dependence of tornado-favorable environments, there is spatial clustering (spatial autocorrelation) in the tornado climatology. Spatial clustering also exists in population data with a significant proportions of the population living in clustered urban areas </w:t>
      </w:r>
      <w:r w:rsidR="009F7739"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009F7739"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009F7739" w:rsidRPr="004F469F">
        <w:fldChar w:fldCharType="end"/>
      </w:r>
      <w:r w:rsidRPr="004F469F">
        <w:t xml:space="preserve">. We tested for spatial autocorrelation in all tornadoes, near-misses, </w:t>
      </w:r>
      <w:r w:rsidRPr="004F469F">
        <w:lastRenderedPageBreak/>
        <w:t>far-misses, and hits using a global and local Moran's I test. For the global Moran's test we found positive spatial autocorrelation (clustering) in all cases (</w:t>
      </w:r>
      <m:oMath>
        <m:r>
          <w:rPr>
            <w:rFonts w:ascii="Cambria Math" w:hAnsi="Cambria Math"/>
          </w:rPr>
          <m:t>p≤0.05</m:t>
        </m:r>
      </m:oMath>
      <w:r w:rsidRPr="004F469F">
        <w:t xml:space="preserve">) as expected. At the local level, for all violent tornadoes, we found significant clustering scattered throughout the traditional "Tornado Alley" and "Dixie Alley" </w:t>
      </w:r>
      <w:r w:rsidR="009F7739" w:rsidRPr="004F469F">
        <w:fldChar w:fldCharType="begin" w:fldLock="1"/>
      </w:r>
      <w:r w:rsidR="00123266">
        <w:instrText>ADDIN CSL_CITATION {"citationItems":[{"id":"ITEM-1","itemData":{"DOI":"10.1175/2010BAMS3102.1","ISBN":"0003-0007","ISSN":"0003-0007","author":[{"dropping-particle":"","family":"Dixon","given":"P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Society","id":"ITEM-1","issue":"4","issued":{"date-parts":[["2011"]]},"page":"433","title":"Tornado risk analysis: is Dixie Alley an extension of Tornado Alley?","type":"article-journal","volume":"92"},"uris":["http://www.mendeley.com/documents/?uuid=7a3e5f30-55c6-4dfa-a460-4f44599b65d8"]},{"id":"ITEM-2","itemData":{"ISBN":"1559-5404","author":[{"dropping-particle":"","family":"Gensini","given":"Victor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Reanalysis","type":"article-journal","volume":"6"},"uris":["http://www.mendeley.com/documents/?uuid=c00b076a-fd2d-4516-ac75-69faf6495920"]}],"mendeley":{"formattedCitation":"(Dixon et al., 2011; Gensini and Ashley, 2011)","plainTextFormattedCitation":"(Dixon et al., 2011; Gensini and Ashley, 2011)","previouslyFormattedCitation":"(Dixon et al., 2011; Gensini and Ashley, 2011)"},"properties":{"noteIndex":0},"schema":"https://github.com/citation-style-language/schema/raw/master/csl-citation.json"}</w:instrText>
      </w:r>
      <w:r w:rsidR="009F7739" w:rsidRPr="004F469F">
        <w:fldChar w:fldCharType="separate"/>
      </w:r>
      <w:r w:rsidR="0010658B" w:rsidRPr="00123266">
        <w:rPr>
          <w:noProof/>
        </w:rPr>
        <w:t xml:space="preserve">(Dixon </w:t>
      </w:r>
      <w:r w:rsidR="0010658B" w:rsidRPr="00453357">
        <w:rPr>
          <w:i/>
          <w:iCs/>
          <w:noProof/>
        </w:rPr>
        <w:t>et al.</w:t>
      </w:r>
      <w:r w:rsidR="0010658B" w:rsidRPr="00123266">
        <w:rPr>
          <w:noProof/>
        </w:rPr>
        <w:t>, 2011; Gensini and Ashley, 2011)</w:t>
      </w:r>
      <w:r w:rsidR="009F7739" w:rsidRPr="004F469F">
        <w:fldChar w:fldCharType="end"/>
      </w:r>
      <w:r w:rsidRPr="004F469F">
        <w:t>. For near-misses, far-misses, and hits we found significant clustering in or near large metropolitan statistical areas (population of 500,000 persons or more; Fig</w:t>
      </w:r>
      <w:r w:rsidR="009F7739" w:rsidRPr="004F469F">
        <w:t>ure 2.10</w:t>
      </w:r>
      <w:r w:rsidRPr="004F469F">
        <w:t xml:space="preserve">). This was also expected as, by definition, near-misses, far-misses, and hits require significant populations living within the potential impact zone. </w:t>
      </w:r>
    </w:p>
    <w:p w14:paraId="61296A4B" w14:textId="3CB5C405" w:rsidR="009F7739" w:rsidRPr="004F469F" w:rsidRDefault="009F7739" w:rsidP="00435B08">
      <w:pPr>
        <w:pStyle w:val="Heading2"/>
        <w:spacing w:before="0" w:after="120" w:line="480" w:lineRule="auto"/>
        <w:rPr>
          <w:rFonts w:ascii="Times New Roman" w:eastAsia="Times New Roman" w:hAnsi="Times New Roman" w:cs="Times New Roman"/>
          <w:b/>
          <w:bCs/>
          <w:color w:val="auto"/>
          <w:sz w:val="28"/>
          <w:szCs w:val="28"/>
        </w:rPr>
      </w:pPr>
      <w:bookmarkStart w:id="30" w:name="_Toc21861302"/>
      <w:r w:rsidRPr="004F469F">
        <w:rPr>
          <w:rFonts w:ascii="Times New Roman" w:eastAsia="Times New Roman" w:hAnsi="Times New Roman" w:cs="Times New Roman"/>
          <w:b/>
          <w:bCs/>
          <w:color w:val="auto"/>
          <w:sz w:val="28"/>
          <w:szCs w:val="28"/>
        </w:rPr>
        <w:t>Discussion</w:t>
      </w:r>
      <w:bookmarkEnd w:id="30"/>
    </w:p>
    <w:p w14:paraId="4B7F5534" w14:textId="5B2E1D96" w:rsidR="008F1B78" w:rsidRPr="004F469F" w:rsidRDefault="008F1B78" w:rsidP="00435B08">
      <w:pPr>
        <w:spacing w:after="120" w:line="480" w:lineRule="auto"/>
        <w:ind w:firstLine="720"/>
      </w:pPr>
      <w:r w:rsidRPr="004F469F">
        <w:t xml:space="preserve">The risk of tornado exposure is typically measured as a function of the number of tornadoes hitting an area during a specified time period </w:t>
      </w:r>
      <w:r w:rsidR="009F7739" w:rsidRPr="004F469F">
        <w:fldChar w:fldCharType="begin" w:fldLock="1"/>
      </w:r>
      <w:r w:rsidR="00123266">
        <w:instrText>ADDIN CSL_CITATION {"citationItems":[{"id":"ITEM-1","itemData":{"ISBN":"0936-577X","abstract":"Losses from all natural hazards have increased steadily over the past 3 decades and a continuous cycle of Presidential disaster declarations was generated as communities rebuilt and recovered from these often devastating events. Using a 50 yr record, this paper examines the temporal variability and spatial distribution of tornado hazards in the United States. Tornado hazards are defined very specifically as any reported tornado that resulted in human injury, human fatality, or some amount of economic loss. The results suggest that, while the actual number of tornadoes (tornado segments) doubled over the entire time period, there was a smaller overall increase in the number of tornado hazards from 1950 to 2000. The ratio of tornado hazards to all tornadoes has remained relatively constant since the 1960s. There has been a steady decline in fatalities and reductions in injuries caused by tornado hazards. Losses are more variable over the past 50 yr, but the 1990s showed near record lows, in terms of both total dollar losses and mean losses per tornado hazard event. The statistical center of tornado hazard activity is in south-central Missouri, southeast of the statistical center of tornadoes identified by previous research. The density of tornado hazards has expanded outward from the historic 'Tornado Alley' region. The distribution of other high-density regions suggests additional tornado hazard regions in Florida, the lower Mississippi Valley, the Gulf Coast, and in the Carolinas.","author":[{"dropping-particle":"","family":"Boruff","given":"Bryan J.","non-dropping-particle":"","parse-names":false,"suffix":""},{"dropping-particle":"","family":"Easoz","given":"Jaime A.","non-dropping-particle":"","parse-names":false,"suffix":""},{"dropping-particle":"","family":"Jones","given":"Steve D.","non-dropping-particle":"","parse-names":false,"suffix":""},{"dropping-particle":"","family":"Landry","given":"Heather R.","non-dropping-particle":"","parse-names":false,"suffix":""},{"dropping-particle":"","family":"Mitchem","given":"Jamie D.","non-dropping-particle":"","parse-names":false,"suffix":""},{"dropping-particle":"","family":"Cutter","given":"Susan L.","non-dropping-particle":"","parse-names":false,"suffix":""}],"container-title":"Climate Research","id":"ITEM-1","issue":"2","issued":{"date-parts":[["2003"]]},"page":"103-117","title":"Tornado hazards in the United States","type":"article-journal","volume":"24"},"uris":["http://www.mendeley.com/documents/?uuid=4860ce72-871b-4425-aca5-79b3d85f9473"]},{"id":"ITEM-2","itemData":{"author":[{"dropping-particle":"","family":"Ashley","given":"Walker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Applications","id":"ITEM-3","issue":"2","issued":{"date-parts":[["2016"]]},"page":"269-281","title":"A Monte Carlo model for estimating tornado impacts","type":"article-journal","volume":"23"},"uris":["http://www.mendeley.com/documents/?uuid=35120d27-7369-4b8b-a188-dbf511d1ef98"]}],"mendeley":{"formattedCitation":"(Boruff et al., 2003; Ashley et al., 2014; Strader et al., 2016)","plainTextFormattedCitation":"(Boruff et al., 2003; Ashley et al., 2014; Strader et al., 2016)","previouslyFormattedCitation":"(Boruff et al., 2003; Ashley et al., 2014; Strader et al., 2016)"},"properties":{"noteIndex":0},"schema":"https://github.com/citation-style-language/schema/raw/master/csl-citation.json"}</w:instrText>
      </w:r>
      <w:r w:rsidR="009F7739" w:rsidRPr="004F469F">
        <w:fldChar w:fldCharType="separate"/>
      </w:r>
      <w:r w:rsidR="00123266" w:rsidRPr="00123266">
        <w:rPr>
          <w:noProof/>
        </w:rPr>
        <w:t xml:space="preserve">(Boruff </w:t>
      </w:r>
      <w:r w:rsidR="00123266" w:rsidRPr="00453357">
        <w:rPr>
          <w:i/>
          <w:iCs/>
          <w:noProof/>
        </w:rPr>
        <w:t>et al.</w:t>
      </w:r>
      <w:r w:rsidR="00123266" w:rsidRPr="00123266">
        <w:rPr>
          <w:noProof/>
        </w:rPr>
        <w:t xml:space="preserve">, 2003; Ashley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2016)</w:t>
      </w:r>
      <w:r w:rsidR="009F7739" w:rsidRPr="004F469F">
        <w:fldChar w:fldCharType="end"/>
      </w:r>
      <w:r w:rsidRPr="004F469F">
        <w:t xml:space="preserve">. These risk assessments rarely include tallies of tornadoes which narrowly missed a populated area, however, near-misses are equally likely events and thus are an important part of the true exposure risk </w:t>
      </w:r>
      <w:r w:rsidR="009F7739" w:rsidRPr="004F469F">
        <w:fldChar w:fldCharType="begin" w:fldLock="1"/>
      </w:r>
      <w:r w:rsidR="00123266">
        <w:instrText>ADDIN CSL_CITATION {"citationItems":[{"id":"ITEM-1","itemData":{"DOI":"10.1111/j.1539-6924.2010.01506.x","abstract":"Prior research shows that when people perceive the risk of some hazardous event to be low, they are unlikely to engage in mitigation activities for the potential hazard. We believe one factor that can lower inappropriately (from a normative perspective) people's perception of the risk of a hazard is information about prior near-miss events. A near-miss occurs when an event (such as a hurricane), which had some nontrivial probability of ending in disaster (loss of life, property damage), does not because good fortune intervenes. People appear to mistake such good fortune as an indicator of resiliency. In our first study, people with near-miss information were less likely to purchase flood insurance, and this was shown for both participants from the general population and individuals with specific interests in risk and natural disasters. In our second study, we consider a different mitigation decision, that is, to evacuate from a hurricane, and vary the level of statistical probability of hurricane damage. We still found a strong effect for near-miss information. Our research thus shows how people who have experienced a similar situation but escape damage because of chance will make decisions consistent with a perception that the situation is less risky than those without the past experience. We end by discussing the implications for risk communication.","author":[{"dropping-particle":"","family":"Dillon","given":"Robin L.","non-dropping-particle":"","parse-names":false,"suffix":""},{"dropping-particle":"","family":"Tinsley","given":"Catherine H.","non-dropping-particle":"","parse-names":false,"suffix":""},{"dropping-particle":"","family":"Cronin","given":"Matthew","non-dropping-particle":"","parse-names":false,"suffix":""}],"container-title":"Risk Analysis","id":"ITEM-1","issue":"3","issued":{"date-parts":[["2011"]]},"page":"440-449","title":"Why near-miss events can decrease an individual's protective response to hurricanes","type":"article-journal","volume":"31"},"uris":["http://www.mendeley.com/documents/?uuid=e2928bee-ca9f-4ba0-8e85-d90ec5a2c761"]},{"id":"ITEM-2","itemData":{"DOI":"10.1111/risa.12209","author":[{"dropping-particle":"","family":"Dillon","given":"Robin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Analysis","id":"ITEM-2","issue":"10","issued":{"date-parts":[["2014"]]},"page":"1907-1922","publisher":"Wiley Online Library","title":"Near-misses and future disaster preparedness","type":"article-journal","volume":"34"},"uris":["http://www.mendeley.com/documents/?uuid=d86a4e9b-c93c-4426-be37-751ddab6f780"]},{"id":"ITEM-3","itemData":{"DOI":"10.1287/mnsc.1120.1517","author":[{"dropping-particle":"","family":"Tinsley","given":"Catherine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Science","id":"ITEM-3","issue":"9","issued":{"date-parts":[["2012"]]},"page":"1596-1613","publisher":"INFORMS","title":"How near-miss events amplify or attenuate risky decision making","type":"article-journal","volume":"58"},"uris":["http://www.mendeley.com/documents/?uuid=01a0883f-6890-4f85-9119-a977e6a984f2"]}],"mendeley":{"formattedCitation":"(Dillon et al., 2011, 2014; Tinsley et al., 2012)","plainTextFormattedCitation":"(Dillon et al., 2011, 2014; Tinsley et al., 2012)","previouslyFormattedCitation":"(Dillon et al., 2011, 2014; Tinsley et al., 2012)"},"properties":{"noteIndex":0},"schema":"https://github.com/citation-style-language/schema/raw/master/csl-citation.json"}</w:instrText>
      </w:r>
      <w:r w:rsidR="009F7739" w:rsidRPr="004F469F">
        <w:fldChar w:fldCharType="separate"/>
      </w:r>
      <w:r w:rsidR="00123266" w:rsidRPr="00123266">
        <w:rPr>
          <w:noProof/>
        </w:rPr>
        <w:t xml:space="preserve">(Dillon </w:t>
      </w:r>
      <w:r w:rsidR="00123266" w:rsidRPr="00453357">
        <w:rPr>
          <w:i/>
          <w:iCs/>
          <w:noProof/>
        </w:rPr>
        <w:t>et al.</w:t>
      </w:r>
      <w:r w:rsidR="00123266" w:rsidRPr="00123266">
        <w:rPr>
          <w:noProof/>
        </w:rPr>
        <w:t xml:space="preserve">, 2011, 2014; Tinsley </w:t>
      </w:r>
      <w:r w:rsidR="00123266" w:rsidRPr="00453357">
        <w:rPr>
          <w:i/>
          <w:iCs/>
          <w:noProof/>
        </w:rPr>
        <w:t>et al.</w:t>
      </w:r>
      <w:r w:rsidR="00123266" w:rsidRPr="00123266">
        <w:rPr>
          <w:noProof/>
        </w:rPr>
        <w:t>, 2012)</w:t>
      </w:r>
      <w:r w:rsidR="009F7739" w:rsidRPr="004F469F">
        <w:fldChar w:fldCharType="end"/>
      </w:r>
      <w:r w:rsidRPr="004F469F">
        <w:t xml:space="preserve">. In addition to impacting exposure risk, near-misses can also influence vulnerability via their effect on risk perception and shelter-seeking behavior </w:t>
      </w:r>
      <w:r w:rsidR="00FB5909" w:rsidRPr="004F469F">
        <w:fldChar w:fldCharType="begin" w:fldLock="1"/>
      </w:r>
      <w:r w:rsidR="00123266">
        <w:instrText>ADDIN CSL_CITATION {"citationItems":[{"id":"ITEM-1","itemData":{"DOI":"10.1111/risa.12209","author":[{"dropping-particle":"","family":"Dillon","given":"Robin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Analysis","id":"ITEM-1","issue":"10","issued":{"date-parts":[["2014"]]},"page":"1907-1922","publisher":"Wiley Online Library","title":"Near-misses and future disaster preparedness","type":"article-journal","volume":"34"},"uris":["http://www.mendeley.com/documents/?uuid=d86a4e9b-c93c-4426-be37-751ddab6f780"]}],"mendeley":{"formattedCitation":"(Dillon et al., 2014)","plainTextFormattedCitation":"(Dillon et al., 2014)","previouslyFormattedCitation":"(Dillon et al., 2014)"},"properties":{"noteIndex":0},"schema":"https://github.com/citation-style-language/schema/raw/master/csl-citation.json"}</w:instrText>
      </w:r>
      <w:r w:rsidR="00FB5909" w:rsidRPr="004F469F">
        <w:fldChar w:fldCharType="separate"/>
      </w:r>
      <w:r w:rsidR="00123266" w:rsidRPr="00123266">
        <w:rPr>
          <w:noProof/>
        </w:rPr>
        <w:t xml:space="preserve">(Dillon </w:t>
      </w:r>
      <w:r w:rsidR="00123266" w:rsidRPr="00453357">
        <w:rPr>
          <w:i/>
          <w:iCs/>
          <w:noProof/>
        </w:rPr>
        <w:t>et al.</w:t>
      </w:r>
      <w:r w:rsidR="00123266" w:rsidRPr="00123266">
        <w:rPr>
          <w:noProof/>
        </w:rPr>
        <w:t>, 2014)</w:t>
      </w:r>
      <w:r w:rsidR="00FB5909" w:rsidRPr="004F469F">
        <w:fldChar w:fldCharType="end"/>
      </w:r>
      <w:r w:rsidRPr="004F469F">
        <w:t>. This study represents a first attempt to determine the frequency of near-misses for violent tornadoes by replicating and translating each original tornado footprint across the area surrounding the potential impact zone. This method allows us to consider scenarios where a tornado struck a more or less populated area nearby the original footprint. We chose this methodology since it enables us to test many possible exposure scenarios throughout the area surrounding the potential impact zone and also because it has the advantage of ease of use.</w:t>
      </w:r>
    </w:p>
    <w:p w14:paraId="6EF48F05" w14:textId="315B9867" w:rsidR="008F1B78" w:rsidRPr="004F469F" w:rsidRDefault="008F1B78" w:rsidP="00435B08">
      <w:pPr>
        <w:spacing w:after="120" w:line="480" w:lineRule="auto"/>
        <w:ind w:firstLine="720"/>
      </w:pPr>
      <w:r w:rsidRPr="004F469F">
        <w:lastRenderedPageBreak/>
        <w:t xml:space="preserve">We first updated the US violent tornado climatology of </w:t>
      </w:r>
      <w:r w:rsidR="00FB5909" w:rsidRPr="004F469F">
        <w:t xml:space="preserve">Concannon </w:t>
      </w:r>
      <w:r w:rsidR="00FB5909" w:rsidRPr="00453357">
        <w:rPr>
          <w:i/>
          <w:iCs/>
        </w:rPr>
        <w:t>et al.</w:t>
      </w:r>
      <w:r w:rsidR="00FB5909" w:rsidRPr="004F469F">
        <w:t xml:space="preserve"> </w:t>
      </w:r>
      <w:r w:rsidR="00FB5909"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00FB5909" w:rsidRPr="004F469F">
        <w:fldChar w:fldCharType="separate"/>
      </w:r>
      <w:r w:rsidR="00FB5909" w:rsidRPr="004F469F">
        <w:rPr>
          <w:noProof/>
        </w:rPr>
        <w:t>(2000)</w:t>
      </w:r>
      <w:r w:rsidR="00FB5909" w:rsidRPr="004F469F">
        <w:fldChar w:fldCharType="end"/>
      </w:r>
      <w:r w:rsidRPr="004F469F">
        <w:t xml:space="preserve"> to include the period of 1880 to 2016. We found that the general pattern over the 137 year period was the same (Fig</w:t>
      </w:r>
      <w:r w:rsidR="00FB5909" w:rsidRPr="004F469F">
        <w:t>ure 2.3</w:t>
      </w:r>
      <w:r w:rsidRPr="004F469F">
        <w:t xml:space="preserve">) as has been found by others </w:t>
      </w:r>
      <w:r w:rsidR="00FB5909"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1880–2005","type":"article-journal","volume":"22"},"uris":["http://www.mendeley.com/documents/?uuid=14fd8bf9-6b84-4fc3-bae5-6fa5f66b5ccf"]},{"id":"ITEM-3","itemData":{"ISBN":"1477-8696","author":[{"dropping-particle":"","family":"Doswell","given":"Charles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E.","non-dropping-particle":"","parse-names":false,"suffix":""}],"container-title":"Weather","id":"ITEM-3","issue":"4","issued":{"date-parts":[["2012"]]},"page":"88-94","title":"The tornadoes of spring 2011 in the USA: An historical perspective","type":"article-journal","volume":"67"},"uris":["http://www.mendeley.com/documents/?uuid=42235697-4e43-4cf7-9772-fa9a876de81d"]},{"id":"ITEM-4","itemData":{"author":[{"dropping-particle":"","family":"Ashley","given":"Walker S.","non-dropping-particle":"","parse-names":false,"suffix":""},{"dropping-particle":"","family":"Strader","given":"Stephen M.","non-dropping-particle":"","parse-names":false,"suffix":""}],"container-title":"Bulletin of the American Meteorological Society","id":"ITEM-4","issue":"5","issued":{"date-parts":[["2016"]]},"page":"767-786","title":"Recipe for disaster: how the dynamic ingredients of risk and exposure are changing the tornado disaster landscape","type":"article-journal","volume":"97"},"uris":["http://www.mendeley.com/documents/?uuid=f66d6182-0c44-4efe-84e8-83956e5e4d92"]}],"mendeley":{"formattedCitation":"(Concannon et al., 2000; Ashley, 2007; Doswell et al., 2012; Ashley and Strader, 2016)","plainTextFormattedCitation":"(Concannon et al., 2000; Ashley, 2007; Doswell et al., 2012; Ashley and Strader, 2016)","previouslyFormattedCitation":"(Concannon et al., 2000; Ashley, 2007; Doswell et al., 2012; Ashley and Strader, 2016)"},"properties":{"noteIndex":0},"schema":"https://github.com/citation-style-language/schema/raw/master/csl-citation.json"}</w:instrText>
      </w:r>
      <w:r w:rsidR="00FB5909"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Ashley, 2007; Doswell </w:t>
      </w:r>
      <w:r w:rsidR="00123266" w:rsidRPr="00453357">
        <w:rPr>
          <w:i/>
          <w:iCs/>
          <w:noProof/>
        </w:rPr>
        <w:t>et al.</w:t>
      </w:r>
      <w:r w:rsidR="00123266" w:rsidRPr="00123266">
        <w:rPr>
          <w:noProof/>
        </w:rPr>
        <w:t>, 2012; Ashley and Strader, 2016)</w:t>
      </w:r>
      <w:r w:rsidR="00FB5909" w:rsidRPr="004F469F">
        <w:fldChar w:fldCharType="end"/>
      </w:r>
      <w:r w:rsidRPr="004F469F">
        <w:t>. However, there was a small but statistically significant increase (decrease) in the number of violent tornadoes in the Southeast (Northern Plains; Fig</w:t>
      </w:r>
      <w:r w:rsidR="00FB5909" w:rsidRPr="004F469F">
        <w:t>ure 2.4</w:t>
      </w:r>
      <w:r w:rsidRPr="004F469F">
        <w:t xml:space="preserve">) over the period as found by </w:t>
      </w:r>
      <w:r w:rsidR="00FB5909" w:rsidRPr="004F469F">
        <w:t xml:space="preserve">Ashley and Strader </w:t>
      </w:r>
      <w:r w:rsidR="00FB5909" w:rsidRPr="004F469F">
        <w:fldChar w:fldCharType="begin" w:fldLock="1"/>
      </w:r>
      <w:r w:rsidR="00C42BC1" w:rsidRPr="004F469F">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suppress-author":1,"uris":["http://www.mendeley.com/documents/?uuid=f66d6182-0c44-4efe-84e8-83956e5e4d92"]}],"mendeley":{"formattedCitation":"(2016)","plainTextFormattedCitation":"(2016)","previouslyFormattedCitation":"(2016)"},"properties":{"noteIndex":0},"schema":"https://github.com/citation-style-language/schema/raw/master/csl-citation.json"}</w:instrText>
      </w:r>
      <w:r w:rsidR="00FB5909" w:rsidRPr="004F469F">
        <w:fldChar w:fldCharType="separate"/>
      </w:r>
      <w:r w:rsidR="00FB5909" w:rsidRPr="004F469F">
        <w:rPr>
          <w:noProof/>
        </w:rPr>
        <w:t>(2016)</w:t>
      </w:r>
      <w:r w:rsidR="00FB5909" w:rsidRPr="004F469F">
        <w:fldChar w:fldCharType="end"/>
      </w:r>
      <w:r w:rsidRPr="004F469F">
        <w:t xml:space="preserve">. The climatology shows that the general pattern has not changed (with regular peaks in the Southern Plains and Southeast), however, during some periods certain regions are more active than others </w:t>
      </w:r>
      <w:r w:rsidR="00FB5909"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landscape","type":"article-journal","volume":"97"},"uris":["http://www.mendeley.com/documents/?uuid=f66d6182-0c44-4efe-84e8-83956e5e4d92"]}],"mendeley":{"formattedCitation":"(Concannon et al., 2000; Doswell et al., 2012; Ashley and Strader, 2016)","plainTextFormattedCitation":"(Concannon et al., 2000; Doswell et al., 2012; Ashley and Strader, 2016)","previouslyFormattedCitation":"(Concannon et al., 2000; Doswell et al., 2012; Ashley and Strader, 2016)"},"properties":{"noteIndex":0},"schema":"https://github.com/citation-style-language/schema/raw/master/csl-citation.json"}</w:instrText>
      </w:r>
      <w:r w:rsidR="00FB5909"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 Ashley and Strader, 2016)</w:t>
      </w:r>
      <w:r w:rsidR="00FB5909" w:rsidRPr="004F469F">
        <w:fldChar w:fldCharType="end"/>
      </w:r>
      <w:r w:rsidRPr="004F469F">
        <w:t xml:space="preserve">. It is unclear if the increasing trend for violent tornadoes in the Southeast is due to nonmeteorological factors, such as small-sample bias </w:t>
      </w:r>
      <w:r w:rsidR="00FB5909" w:rsidRPr="004F469F">
        <w:fldChar w:fldCharType="begin" w:fldLock="1"/>
      </w:r>
      <w:r w:rsidR="0010658B">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landscape","type":"article-journal","volume":"97"},"uris":["http://www.mendeley.com/documents/?uuid=f66d6182-0c44-4efe-84e8-83956e5e4d92"]}],"mendeley":{"formattedCitation":"(Doswell, 2007; Ashley and Strader, 2016)","plainTextFormattedCitation":"(Doswell, 2007; Ashley and Strader, 2016)","previouslyFormattedCitation":"(Doswell, 2007; Ashley and Strader, 2016)"},"properties":{"noteIndex":0},"schema":"https://github.com/citation-style-language/schema/raw/master/csl-citation.json"}</w:instrText>
      </w:r>
      <w:r w:rsidR="00FB5909" w:rsidRPr="004F469F">
        <w:fldChar w:fldCharType="separate"/>
      </w:r>
      <w:r w:rsidR="0010658B" w:rsidRPr="0010658B">
        <w:rPr>
          <w:noProof/>
        </w:rPr>
        <w:t>(Doswell, 2007; Ashley and Strader, 2016)</w:t>
      </w:r>
      <w:r w:rsidR="00FB5909" w:rsidRPr="004F469F">
        <w:fldChar w:fldCharType="end"/>
      </w:r>
      <w:r w:rsidRPr="004F469F">
        <w:t xml:space="preserve"> or population bias </w:t>
      </w:r>
      <w:r w:rsidR="00FB5909"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tornadoes","type":"book"},"uris":["http://www.mendeley.com/documents/?uuid=679dd86e-3cb6-4bd9-aa65-841ad4dddd4a"]},{"id":"ITEM-3","itemData":{"author":[{"dropping-particle":"","family":"Elsner","given":"James B","non-dropping-particle":"","parse-names":false,"suffix":""},{"dropping-particle":"","family":"Michaels","given":"Laura E","non-dropping-particle":"","parse-names":false,"suffix":""},{"dropping-particle":"","family":"Scheitlin","given":"Kelsey N","non-dropping-particle":"","parse-names":false,"suffix":""},{"dropping-particle":"","family":"Elsner","given":"Ian J","non-dropping-particle":"","parse-names":false,"suffix":""}],"container-title":"Weather, Climate, and Society","id":"ITEM-3","issue":"3","issued":{"date-parts":[["2013"]]},"page":"221-232","title":"The decreasing population bias in tornado reports across the central Plains","type":"article-journal","volume":"5"},"uris":["http://www.mendeley.com/documents/?uuid=63bd47f7-5b60-46ae-a7cf-825d7ca9a593"]},{"id":"ITEM-4","itemData":{"DOI":"10.1002/met.1482","ISBN":"1350-4827","ISSN":"14698080","abstract":"An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Applications","id":"ITEM-4","issue":"3","issued":{"date-parts":[["2015"]]},"page":"513-524","publisher":"Wiley Online Library","title":"A climatology of tornado intensity assessments","type":"article-journal","volume":"22"},"uris":["http://www.mendeley.com/documents/?uuid=e4377686-df2f-4b6e-9560-9cec9e268521"]}],"mendeley":{"formattedCitation":"(Brooks et al., 2003a; Simmons and Sutter, 2011; Elsner et al., 2013a; Strader et al., 2015)","plainTextFormattedCitation":"(Brooks et al., 2003a; Simmons and Sutter, 2011; Elsner et al., 2013a; Strader et al., 2015)","previouslyFormattedCitation":"(Brooks et al., 2003a; Simmons and Sutter, 2011; Elsner et al., 2013a; Strader et al., 2015)"},"properties":{"noteIndex":0},"schema":"https://github.com/citation-style-language/schema/raw/master/csl-citation.json"}</w:instrText>
      </w:r>
      <w:r w:rsidR="00FB5909"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2003a; Simmons and Sutter, 2011; Elsner </w:t>
      </w:r>
      <w:r w:rsidR="00123266" w:rsidRPr="00453357">
        <w:rPr>
          <w:i/>
          <w:iCs/>
          <w:noProof/>
        </w:rPr>
        <w:t>et al.</w:t>
      </w:r>
      <w:r w:rsidR="00123266" w:rsidRPr="00123266">
        <w:rPr>
          <w:noProof/>
        </w:rPr>
        <w:t xml:space="preserve">, 2013a; Strader </w:t>
      </w:r>
      <w:r w:rsidR="00123266" w:rsidRPr="00453357">
        <w:rPr>
          <w:i/>
          <w:iCs/>
          <w:noProof/>
        </w:rPr>
        <w:t>et al.</w:t>
      </w:r>
      <w:r w:rsidR="00123266" w:rsidRPr="00123266">
        <w:rPr>
          <w:noProof/>
        </w:rPr>
        <w:t>, 2015)</w:t>
      </w:r>
      <w:r w:rsidR="00FB5909" w:rsidRPr="004F469F">
        <w:fldChar w:fldCharType="end"/>
      </w:r>
      <w:r w:rsidRPr="004F469F">
        <w:t xml:space="preserve"> or climate change </w:t>
      </w:r>
      <w:r w:rsidR="00FB5909"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Reanalysis","type":"article-journal","volume":"6"},"uris":["http://www.mendeley.com/documents/?uuid=c00b076a-fd2d-4516-ac75-69faf6495920"]},{"id":"ITEM-4","itemData":{"DOI":"10.1175/jamc-d-13-0263.1","ISBN":"1558-8424 1558-8432","author":[{"dropping-particle":"","family":"Gensini","given":"Victor A.","non-dropping-particle":"","parse-names":false,"suffix":""},{"dropping-particle":"","family":"Mote","given":"Thomas L.","non-dropping-particle":"","parse-names":false,"suffix":""},{"dropping-particle":"","family":"Brooks","given":"Harold E.","non-dropping-particle":"","parse-names":false,"suffix":""}],"container-title":"Journal of Applied Meteorology and Climatology","id":"ITEM-4","issue":"3","issued":{"date-parts":[["2014"]]},"page":"742-751","title":"Severe-Thunderstorm Reanalysis Environments and Collocated Radiosonde Observations","type":"article-journal","volume":"53"},"uris":["http://www.mendeley.com/documents/?uuid=ae489d68-78f3-45b4-b300-1c5569e8bb90"]},{"id":"ITEM-5","itemData":{"author":[{"dropping-particle":"","family":"Gensini","given":"Victor A.","non-dropping-particle":"","parse-names":false,"suffix":""},{"dropping-particle":"","family":"Mote","given":"Thomas L.","non-dropping-particle":"","parse-names":false,"suffix":""}],"container-title":"Climatic Change","id":"ITEM-5","issue":"1-2","issued":{"date-parts":[["2015"]]},"page":"307-321","publisher":"Springer","title":"Downscaled estimates of late 21st century severe weather from CCSM3","type":"article-journal","volume":"129"},"uris":["http://www.mendeley.com/documents/?uuid=18e2bc25-26e3-4cdd-b884-615f1f068201"]}],"mendeley":{"formattedCitation":"(Trapp et al., 2007; Diffenbaugh et al., 2008; Gensini and Ashley, 2011; Gensini et al., 2014a; Gensini and Mote, 2015)","plainTextFormattedCitation":"(Trapp et al., 2007; Diffenbaugh et al., 2008; Gensini and Ashley, 2011; Gensini et al., 2014a; Gensini and Mote, 2015)","previouslyFormattedCitation":"(Trapp et al., 2007; Diffenbaugh et al., 2008; Gensini and Ashley, 2011; Gensini et al., 2014a; Gensini and Mote, 2015)"},"properties":{"noteIndex":0},"schema":"https://github.com/citation-style-language/schema/raw/master/csl-citation.json"}</w:instrText>
      </w:r>
      <w:r w:rsidR="00FB5909"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2008; Gensini and Ashley, 2011; Gensini </w:t>
      </w:r>
      <w:r w:rsidR="00123266" w:rsidRPr="00453357">
        <w:rPr>
          <w:i/>
          <w:iCs/>
          <w:noProof/>
        </w:rPr>
        <w:t>et al.</w:t>
      </w:r>
      <w:r w:rsidR="00123266" w:rsidRPr="00123266">
        <w:rPr>
          <w:noProof/>
        </w:rPr>
        <w:t>, 2014a; Gensini and Mote, 2015)</w:t>
      </w:r>
      <w:r w:rsidR="00FB5909" w:rsidRPr="004F469F">
        <w:fldChar w:fldCharType="end"/>
      </w:r>
      <w:r w:rsidRPr="004F469F">
        <w:t xml:space="preserve">. If this increase in violent tornado activity in the Southeast is due to climate change it is a major concern given that the population growth in the Southeast has been rapid </w:t>
      </w:r>
      <w:r w:rsidR="00FB5909" w:rsidRPr="004F469F">
        <w:fldChar w:fldCharType="begin" w:fldLock="1"/>
      </w:r>
      <w:r w:rsidR="0010658B">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2007; Ashley and Strader, 2016)","plainTextFormattedCitation":"(Ashley, 2007; Ashley and Strader, 2016)","previouslyFormattedCitation":"(Ashley, 2007; Ashley and Strader, 2016)"},"properties":{"noteIndex":0},"schema":"https://github.com/citation-style-language/schema/raw/master/csl-citation.json"}</w:instrText>
      </w:r>
      <w:r w:rsidR="00FB5909" w:rsidRPr="004F469F">
        <w:fldChar w:fldCharType="separate"/>
      </w:r>
      <w:r w:rsidR="0010658B" w:rsidRPr="0010658B">
        <w:rPr>
          <w:noProof/>
        </w:rPr>
        <w:t>(Ashley, 2007; Ashley and Strader, 2016)</w:t>
      </w:r>
      <w:r w:rsidR="00FB5909" w:rsidRPr="004F469F">
        <w:fldChar w:fldCharType="end"/>
      </w:r>
      <w:r w:rsidRPr="004F469F">
        <w:t xml:space="preserve"> and the highly-vulnerable mobile/manufactured home market continues to grow there </w:t>
      </w:r>
      <w:r w:rsidR="00FB5909" w:rsidRPr="004F469F">
        <w:fldChar w:fldCharType="begin" w:fldLock="1"/>
      </w:r>
      <w:r w:rsidR="00123266">
        <w:instrText>ADDIN CSL_CITATION {"citationItems":[{"id":"ITEM-1","itemData":{"DOI":"10.1175/1520-0434(2002)017&lt;0619:TSETSB&gt;2.0.CO;2","ISSN":"0882-8156","abstract":"Over the past several decades, engineers have made significant progress in the design and construction of structures able to withstand tornadic winds and debris. The aftermath of the 3 May 1999 F5 tornado in Moore, Oklahoma, highlighted the modest market penetration of tornado shelters in metropolitan areas. The authors use historical data from Oklahoma to estimate the potential casualties that tornado shelters could prevent and calculate that the cost per fatality avoided in single-family homes is $29 million while the cost per fatality avoided for mobile homes is $2.6 million. The estimates are sensitive to the proportion of strong (F3 or stronger) tornadoes and the choice of an interest rate for present-value calculations. If the F-scale distribution of Oklahoma tornadoes resembled a reported national frequency distribution and fatalities per category storm are held constant, the permanent home cost per fatality avoided triples to $88 million.","author":[{"dropping-particle":"","family":"Merrell","given":"David;","non-dropping-particle":"","parse-names":false,"suffix":""},{"dropping-particle":"","family":"Simmons","given":"Kevin;","non-dropping-particle":"","parse-names":false,"suffix":""},{"dropping-particle":"","family":"Sutter","given":"Daniel","non-dropping-particle":"","parse-names":false,"suffix":""}],"container-title":"American Meteorological Society","id":"ITEM-1","issue":"3","issued":{"date-parts":[["2002"]]},"page":"619-625","title":"Taking Shelter : Estimating the Safety Benefits of Tornado Safe Rooms","type":"article-journal","volume":"17"},"uris":["http://www.mendeley.com/documents/?uuid=8266b7aa-68b2-45b0-9d2c-f78e7e11622b"]},{"id":"ITEM-2","itemData":{"DOI":"10.1175/2007WAF2007004.1","ISBN":"0882-8156","ISSN":"0882-8156","abstract":"A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1880–2005","type":"article-journal","volume":"22"},"uris":["http://www.mendeley.com/documents/?uuid=14fd8bf9-6b84-4fc3-bae5-6fa5f66b5ccf"]}],"mendeley":{"formattedCitation":"(Merrell et al., 2002; Ashley, 2007)","plainTextFormattedCitation":"(Merrell et al., 2002; Ashley, 2007)","previouslyFormattedCitation":"(Merrell et al., 2002; Ashley, 2007)"},"properties":{"noteIndex":0},"schema":"https://github.com/citation-style-language/schema/raw/master/csl-citation.json"}</w:instrText>
      </w:r>
      <w:r w:rsidR="00FB5909" w:rsidRPr="004F469F">
        <w:fldChar w:fldCharType="separate"/>
      </w:r>
      <w:r w:rsidR="00123266" w:rsidRPr="00123266">
        <w:rPr>
          <w:noProof/>
        </w:rPr>
        <w:t xml:space="preserve">(Merrell </w:t>
      </w:r>
      <w:r w:rsidR="00123266" w:rsidRPr="00453357">
        <w:rPr>
          <w:i/>
          <w:iCs/>
          <w:noProof/>
        </w:rPr>
        <w:t>et al.</w:t>
      </w:r>
      <w:r w:rsidR="00123266" w:rsidRPr="00123266">
        <w:rPr>
          <w:noProof/>
        </w:rPr>
        <w:t>, 2002; Ashley, 2007)</w:t>
      </w:r>
      <w:r w:rsidR="00FB5909" w:rsidRPr="004F469F">
        <w:fldChar w:fldCharType="end"/>
      </w:r>
      <w:r w:rsidR="00FB5909" w:rsidRPr="004F469F">
        <w:t>.</w:t>
      </w:r>
    </w:p>
    <w:p w14:paraId="371F9892" w14:textId="56AC43A7" w:rsidR="008F1B78" w:rsidRPr="004F469F" w:rsidRDefault="008F1B78" w:rsidP="00435B08">
      <w:pPr>
        <w:spacing w:after="120" w:line="480" w:lineRule="auto"/>
        <w:ind w:firstLine="720"/>
      </w:pPr>
      <w:r w:rsidRPr="004F469F">
        <w:t xml:space="preserve">We tested the sensitivity of the error in exposure estimates, between synthetic and observed tornado footprints, to the selection of census level. Most studies which estimate tornado exposure tend to ignore the error generated by using synthetic tornado footprints since the focus is on scenario work and exact historical exposure values are unnecessary </w:t>
      </w:r>
      <w:r w:rsidR="00FB5909" w:rsidRPr="004F469F">
        <w:fldChar w:fldCharType="begin" w:fldLock="1"/>
      </w:r>
      <w:r w:rsidR="00123266">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areas","type":"article-journal","volume":"88"},"uris":["http://www.mendeley.com/documents/?uuid=e0a647d9-97d9-4bb8-a0e8-d46f828d01fb"]},{"id":"ITEM-2","itemData":{"author":[{"dropping-particle":"","family":"Ashley","given":"Walker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landscape","type":"article-journal","volume":"97"},"uris":["http://www.mendeley.com/documents/?uuid=f66d6182-0c44-4efe-84e8-83956e5e4d92"]}],"mendeley":{"formattedCitation":"(Wurman et al., 2007; Ashley et al., 2014; Ashley and Strader, 2016)","plainTextFormattedCitation":"(Wurman et al., 2007; Ashley et al., 2014; Ashley and Strader, 2016)","previouslyFormattedCitation":"(Wurman et al., 2007; Ashley et al., 2014; Ashley and Strader, 2016)"},"properties":{"noteIndex":0},"schema":"https://github.com/citation-style-language/schema/raw/master/csl-citation.json"}</w:instrText>
      </w:r>
      <w:r w:rsidR="00FB5909"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2014; Ashley and Strader, 2016)</w:t>
      </w:r>
      <w:r w:rsidR="00FB5909" w:rsidRPr="004F469F">
        <w:fldChar w:fldCharType="end"/>
      </w:r>
      <w:r w:rsidRPr="004F469F">
        <w:t xml:space="preserve">. This error can become important for historical estimates of tornado exposure, however, since it is possible for exposure estimates to be highly </w:t>
      </w:r>
      <w:r w:rsidRPr="004F469F">
        <w:lastRenderedPageBreak/>
        <w:t>inaccurate if the observed footprint curves into or away from a densely populated area (</w:t>
      </w:r>
      <w:r w:rsidRPr="004F469F">
        <w:rPr>
          <w:i/>
          <w:iCs/>
        </w:rPr>
        <w:t>e.g.</w:t>
      </w:r>
      <w:r w:rsidRPr="004F469F">
        <w:t>, Joplin, Missouri 22 May 2011</w:t>
      </w:r>
      <w:r w:rsidR="004018A9">
        <w:t>;</w:t>
      </w:r>
      <w:r w:rsidR="00FB5909" w:rsidRPr="004F469F">
        <w:t xml:space="preserve"> </w:t>
      </w:r>
      <w:r w:rsidR="00FB5909" w:rsidRPr="004F469F">
        <w:fldChar w:fldCharType="begin" w:fldLock="1"/>
      </w:r>
      <w:r w:rsidR="004018A9">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tornado","type":"article-journal","volume":"64"},"uris":["http://www.mendeley.com/documents/?uuid=20b4b09b-7791-4d88-b2dd-b2d4d2b6540d"]}],"mendeley":{"formattedCitation":"(Paul and Stimers, 2012)","manualFormatting":"Paul and Stimers, 2012)","plainTextFormattedCitation":"(Paul and Stimers, 2012)","previouslyFormattedCitation":"(Paul and Stimers, 2012)"},"properties":{"noteIndex":0},"schema":"https://github.com/citation-style-language/schema/raw/master/csl-citation.json"}</w:instrText>
      </w:r>
      <w:r w:rsidR="00FB5909" w:rsidRPr="004F469F">
        <w:fldChar w:fldCharType="separate"/>
      </w:r>
      <w:r w:rsidR="0010658B" w:rsidRPr="0010658B">
        <w:rPr>
          <w:noProof/>
        </w:rPr>
        <w:t>Paul and Stimers, 2012)</w:t>
      </w:r>
      <w:r w:rsidR="00FB5909" w:rsidRPr="004F469F">
        <w:fldChar w:fldCharType="end"/>
      </w:r>
      <w:r w:rsidRPr="004F469F">
        <w:t xml:space="preserve">. Our findings that the error between synthetic and observed footprints is large, is not surprising as tornado widths change over the lifetime of the tornado and tracks frequently curve </w:t>
      </w:r>
      <w:r w:rsidR="00FB5909" w:rsidRPr="004F469F">
        <w:fldChar w:fldCharType="begin" w:fldLock="1"/>
      </w:r>
      <w:r w:rsidR="00123266">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assessments","type":"article-journal","volume":"22"},"uris":["http://www.mendeley.com/documents/?uuid=e4377686-df2f-4b6e-9560-9cec9e268521"]}],"mendeley":{"formattedCitation":"(Strader et al., 2015)","plainTextFormattedCitation":"(Strader et al., 2015)","previouslyFormattedCitation":"(Strader et al., 2015)"},"properties":{"noteIndex":0},"schema":"https://github.com/citation-style-language/schema/raw/master/csl-citation.json"}</w:instrText>
      </w:r>
      <w:r w:rsidR="00FB5909" w:rsidRPr="004F469F">
        <w:fldChar w:fldCharType="separate"/>
      </w:r>
      <w:r w:rsidR="0010658B" w:rsidRPr="00123266">
        <w:rPr>
          <w:noProof/>
        </w:rPr>
        <w:t xml:space="preserve">(Strader </w:t>
      </w:r>
      <w:r w:rsidR="0010658B" w:rsidRPr="00453357">
        <w:rPr>
          <w:i/>
          <w:iCs/>
          <w:noProof/>
        </w:rPr>
        <w:t>et al.</w:t>
      </w:r>
      <w:r w:rsidR="0010658B" w:rsidRPr="00123266">
        <w:rPr>
          <w:noProof/>
        </w:rPr>
        <w:t>, 2015)</w:t>
      </w:r>
      <w:r w:rsidR="00FB5909" w:rsidRPr="004F469F">
        <w:fldChar w:fldCharType="end"/>
      </w:r>
      <w:r w:rsidRPr="004F469F">
        <w:t>. It is noteworthy that the differences in error between the different census levels for each region, as well as for the whole study area, are relatively small indicating a lack of sensitivity to the selection. The finding that the block-level census data performs best at the replication level while the county-level performs best in aggregate is interesting as it shows that the error generated when a curved tornado footprint travels through a densely populated area is large enough to overcome the local inaccuracies in county-level data. It is also noteworthy that the error is sensitive to the regional population with more densely populated areas (</w:t>
      </w:r>
      <w:r w:rsidRPr="004F469F">
        <w:rPr>
          <w:i/>
          <w:iCs/>
        </w:rPr>
        <w:t>e.g.</w:t>
      </w:r>
      <w:r w:rsidRPr="004F469F">
        <w:t>, Great Lakes) having a much higher error than more sparsely populated areas (</w:t>
      </w:r>
      <w:r w:rsidRPr="004F469F">
        <w:rPr>
          <w:i/>
          <w:iCs/>
        </w:rPr>
        <w:t>e.g.</w:t>
      </w:r>
      <w:r w:rsidRPr="004F469F">
        <w:t xml:space="preserve">, Northern Plains). The overall findings of the sensitivity test indicate that the error in exposure (relative to a nonlinear, width-changing footprint) cannot be minimized through the selection of the census level. This implies that if a study doesn't require fine-resolution census data </w:t>
      </w:r>
      <w:r w:rsidR="00FB5909"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landscape","type":"article-journal","volume":"97"},"uris":["http://www.mendeley.com/documents/?uuid=f66d6182-0c44-4efe-84e8-83956e5e4d92"]},{"id":"ITEM-3","itemData":{"DOI":"10.1002/met.1552","abstract":"Determining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Applications","id":"ITEM-3","issue":"2","issued":{"date-parts":[["2016"]]},"page":"269-281","title":"A Monte Carlo model for estimating tornado impacts","type":"article-journal","volume":"23"},"uris":["http://www.mendeley.com/documents/?uuid=35120d27-7369-4b8b-a188-dbf511d1ef98"]},{"id":"ITEM-4","itemData":{"author":[{"dropping-particle":"","family":"Strader","given":"Stephen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society","id":"ITEM-4","issue":"2","issued":{"date-parts":[["2017"]]},"page":"109-123","title":"Observed and projected changes in United States tornado exposure","type":"article-journal","volume":"9"},"uris":["http://www.mendeley.com/documents/?uuid=b07828b3-19f9-42fd-82f4-7b463c849143"]}],"mendeley":{"formattedCitation":"(Ashley et al., 2014; Ashley and Strader, 2016; Strader et al., 2016, 2017b)","plainTextFormattedCitation":"(Ashley et al., 2014; Ashley and Strader, 2016; Strader et al., 2016, 2017b)","previouslyFormattedCitation":"(Ashley et al., 2014; Ashley and Strader, 2016; Strader et al., 2016, 2017b)"},"properties":{"noteIndex":0},"schema":"https://github.com/citation-style-language/schema/raw/master/csl-citation.json"}</w:instrText>
      </w:r>
      <w:r w:rsidR="00FB5909" w:rsidRPr="004F469F">
        <w:fldChar w:fldCharType="separate"/>
      </w:r>
      <w:r w:rsidR="00123266" w:rsidRPr="00123266">
        <w:rPr>
          <w:noProof/>
        </w:rPr>
        <w:t xml:space="preserve">(Ashley </w:t>
      </w:r>
      <w:r w:rsidR="00123266" w:rsidRPr="00453357">
        <w:rPr>
          <w:i/>
          <w:iCs/>
          <w:noProof/>
        </w:rPr>
        <w:t>et al.</w:t>
      </w:r>
      <w:r w:rsidR="00123266" w:rsidRPr="00123266">
        <w:rPr>
          <w:noProof/>
        </w:rPr>
        <w:t xml:space="preserve">, 2014; Ashley and Strader, 2016; Strader </w:t>
      </w:r>
      <w:r w:rsidR="00123266" w:rsidRPr="00453357">
        <w:rPr>
          <w:i/>
          <w:iCs/>
          <w:noProof/>
        </w:rPr>
        <w:t>et al.</w:t>
      </w:r>
      <w:r w:rsidR="00123266" w:rsidRPr="00123266">
        <w:rPr>
          <w:noProof/>
        </w:rPr>
        <w:t>, 2016, 2017b)</w:t>
      </w:r>
      <w:r w:rsidR="00FB5909" w:rsidRPr="004F469F">
        <w:fldChar w:fldCharType="end"/>
      </w:r>
      <w:r w:rsidRPr="004F469F">
        <w:t xml:space="preserve">, it is reasonable to use county-level data </w:t>
      </w:r>
      <w:r w:rsidR="00FB5909" w:rsidRPr="004F469F">
        <w:fldChar w:fldCharType="begin" w:fldLock="1"/>
      </w:r>
      <w:r w:rsidR="00123266">
        <w:instrText>ADDIN CSL_CITATION {"citationItems":[{"id":"ITEM-1","itemData":{"ISBN":"0936-577X","abstract":"Losses from all natural hazards have increased steadily over the past 3 decades and a continuous cycle of Presidential disaster declarations was generated as communities rebuilt and recovered from these often devastating events. Using a 50 yr record, this paper examines the temporal variability and spatial distribution of tornado hazards in the United States. Tornado hazards are defined very specifically as any reported tornado that resulted in human injury, human fatality, or some amount of economic loss. The results suggest that, while the actual number of tornadoes (tornado segments) doubled over the entire time period, there was a smaller overall increase in the number of tornado hazards from 1950 to 2000. The ratio of tornado hazards to all tornadoes has remained relatively constant since the 1960s. There has been a steady decline in fatalities and reductions in injuries caused by tornado hazards. Losses are more variable over the past 50 yr, but the 1990s showed near record lows, in terms of both total dollar losses and mean losses per tornado hazard event. The statistical center of tornado hazard activity is in south-central Missouri, southeast of the statistical center of tornadoes identified by previous research. The density of tornado hazards has expanded outward from the historic 'Tornado Alley' region. The distribution of other high-density regions suggests additional tornado hazard regions in Florida, the lower Mississippi Valley, the Gulf Coast, and in the Carolinas.","author":[{"dropping-particle":"","family":"Boruff","given":"Bryan J.","non-dropping-particle":"","parse-names":false,"suffix":""},{"dropping-particle":"","family":"Easoz","given":"Jaime A.","non-dropping-particle":"","parse-names":false,"suffix":""},{"dropping-particle":"","family":"Jones","given":"Steve D.","non-dropping-particle":"","parse-names":false,"suffix":""},{"dropping-particle":"","family":"Landry","given":"Heather R.","non-dropping-particle":"","parse-names":false,"suffix":""},{"dropping-particle":"","family":"Mitchem","given":"Jamie D.","non-dropping-particle":"","parse-names":false,"suffix":""},{"dropping-particle":"","family":"Cutter","given":"Susan L.","non-dropping-particle":"","parse-names":false,"suffix":""}],"container-title":"Climate Research","id":"ITEM-1","issue":"2","issued":{"date-parts":[["2003"]]},"page":"103-117","title":"Tornado hazards in the United States","type":"article-journal","volume":"24"},"uris":["http://www.mendeley.com/documents/?uuid=4860ce72-871b-4425-aca5-79b3d85f9473"]},{"id":"ITEM-2","itemData":{"author":[{"dropping-particle":"","family":"Merrell","given":"David","non-dropping-particle":"","parse-names":false,"suffix":""},{"dropping-particle":"","family":"Simmons","given":"Kevin M","non-dropping-particle":"","parse-names":false,"suffix":""},{"dropping-particle":"","family":"Sutter","given":"Daniel","non-dropping-particle":"","parse-names":false,"suffix":""}],"container-title":"Land Economics","id":"ITEM-2","issue":"1","issued":{"date-parts":[["2005"]]},"page":"87-99","publisher":"University of Wisconsin Press","title":"The determinants of tornado casualties and the benefits of tornado shelters","type":"article-journal","volume":"81"},"uris":["http://www.mendeley.com/documents/?uuid=c554c701-4850-4023-baa7-f2e5a333e1cc"]},{"id":"ITEM-3","itemData":{"ISBN":"9781878220998","author":[{"dropping-particle":"","family":"Simmons","given":"Kevin M.","non-dropping-particle":"","parse-names":false,"suffix":""},{"dropping-particle":"","family":"Sutter","given":"Daniel","non-dropping-particle":"","parse-names":false,"suffix":""}],"edition":"1","id":"ITEM-3","issued":{"date-parts":[["2011"]]},"number-of-pages":"282","publisher":"American Meteorological Society","publisher-place":"Boston, MA","title":"Economic and societal impacts of tornadoes","type":"book"},"uris":["http://www.mendeley.com/documents/?uuid=679dd86e-3cb6-4bd9-aa65-841ad4dddd4a"]},{"id":"ITEM-4","itemData":{"DOI":"10.1175/BAMS-D-11-00126.1","ISSN":"00030007","abstract":"The 27 April 2011 tornado outbreak across the southern United States set a record for the most tornadoes in a 24-h period and was the second deadliest in U.S. history. Less than a month later, the Joplin, Missouri, tornado added another record: the most fatalities from a single storm since official records began being kept. Numerous commentators have asked how such a death toll could occur today, given all of the available communications technologies and extensive knowledge of atmospheric conditions leading to the formation of tornadoes. Both the Joplin tornado and the 27 April outbreak were well anticipated and warned; the Storm Prediction Center's convective outlook for 27 April included an area of high risk centered over northern Alabama, where the deadliest tornadoes occurred, and all of the deaths occurred within tornado watches. Similarly, the Joplin tornado had watches covering the area and a tornado warning of more than 20 minutes...","author":[{"dropping-particle":"","family":"Simmons","given":"Kevin M.","non-dropping-particle":"","parse-names":false,"suffix":""},{"dropping-particle":"","family":"Sutter","given":"Daniel","non-dropping-particle":"","parse-names":false,"suffix":""}],"container-title":"Bulletin of the American Meteorological Society","id":"ITEM-4","issue":"7","issued":{"date-parts":[["2012"]]},"page":"959-961","publisher":"American Meteorological Society","title":"The 2011 tornadoes and the future of tornado research","type":"article-journal","volume":"93"},"uris":["http://www.mendeley.com/documents/?uuid=bcf9cd43-a6d4-44d2-a10b-3b563ecd84b5"]}],"mendeley":{"formattedCitation":"(Boruff et al., 2003; Merrell et al., 2005; Simmons and Sutter, 2011, 2012)","plainTextFormattedCitation":"(Boruff et al., 2003; Merrell et al., 2005; Simmons and Sutter, 2011, 2012)","previouslyFormattedCitation":"(Boruff et al., 2003; Merrell et al., 2005; Simmons and Sutter, 2011, 2012)"},"properties":{"noteIndex":0},"schema":"https://github.com/citation-style-language/schema/raw/master/csl-citation.json"}</w:instrText>
      </w:r>
      <w:r w:rsidR="00FB5909" w:rsidRPr="004F469F">
        <w:fldChar w:fldCharType="separate"/>
      </w:r>
      <w:r w:rsidR="00123266" w:rsidRPr="00123266">
        <w:rPr>
          <w:noProof/>
        </w:rPr>
        <w:t xml:space="preserve">(Boruff </w:t>
      </w:r>
      <w:r w:rsidR="00123266" w:rsidRPr="00453357">
        <w:rPr>
          <w:i/>
          <w:iCs/>
          <w:noProof/>
        </w:rPr>
        <w:t>et al.</w:t>
      </w:r>
      <w:r w:rsidR="00123266" w:rsidRPr="00123266">
        <w:rPr>
          <w:noProof/>
        </w:rPr>
        <w:t xml:space="preserve">, 2003; Merrell </w:t>
      </w:r>
      <w:r w:rsidR="00123266" w:rsidRPr="00453357">
        <w:rPr>
          <w:i/>
          <w:iCs/>
          <w:noProof/>
        </w:rPr>
        <w:t>et al.</w:t>
      </w:r>
      <w:r w:rsidR="00123266" w:rsidRPr="00123266">
        <w:rPr>
          <w:noProof/>
        </w:rPr>
        <w:t>, 2005; Simmons and Sutter, 2011, 2012)</w:t>
      </w:r>
      <w:r w:rsidR="00FB5909" w:rsidRPr="004F469F">
        <w:fldChar w:fldCharType="end"/>
      </w:r>
      <w:r w:rsidR="00FB5909" w:rsidRPr="004F469F">
        <w:t>.</w:t>
      </w:r>
      <w:r w:rsidRPr="004F469F">
        <w:t xml:space="preserve"> This is highly relevant since it allows the use of county-level census data to study historical tornado exposure going back to the beginning of the tornado record in the 1880s </w:t>
      </w:r>
      <w:r w:rsidR="00D164BF" w:rsidRPr="004F469F">
        <w:fldChar w:fldCharType="begin" w:fldLock="1"/>
      </w:r>
      <w:r w:rsidR="0010658B">
        <w:instrText>ADDIN CSL_CITATION {"citationItems":[{"id":"ITEM-1","itemData":{"ISBN":"1879362031","author":[{"dropping-particle":"","family":"Grazulis","given":"Thomas P.","non-dropping-particle":"","parse-names":false,"suffix":""}],"id":"ITEM-1","issued":{"date-parts":[["1993"]]},"number-of-pages":"1326","publisher":"Enviromental Films","title":"Significant Tornadoes: 1680-1991","type":"book"},"uris":["http://www.mendeley.com/documents/?uuid=38eac11f-29c5-48cb-8964-889060b73087"]},{"id":"ITEM-2","itemData":{"DOI":"10.1175/2007WAF2007004.1","ISBN":"0882-8156","ISSN":"0882-8156","abstract":"A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1880–2005","type":"article-journal","volume":"22"},"uris":["http://www.mendeley.com/documents/?uuid=14fd8bf9-6b84-4fc3-bae5-6fa5f66b5ccf"]}],"mendeley":{"formattedCitation":"(Grazulis, 1993; Ashley, 2007)","plainTextFormattedCitation":"(Grazulis, 1993; Ashley, 2007)","previouslyFormattedCitation":"(Grazulis, 1993; Ashley, 2007)"},"properties":{"noteIndex":0},"schema":"https://github.com/citation-style-language/schema/raw/master/csl-citation.json"}</w:instrText>
      </w:r>
      <w:r w:rsidR="00D164BF" w:rsidRPr="004F469F">
        <w:fldChar w:fldCharType="separate"/>
      </w:r>
      <w:r w:rsidR="0010658B" w:rsidRPr="0010658B">
        <w:rPr>
          <w:noProof/>
        </w:rPr>
        <w:t>(Grazulis, 1993; Ashley, 2007)</w:t>
      </w:r>
      <w:r w:rsidR="00D164BF" w:rsidRPr="004F469F">
        <w:fldChar w:fldCharType="end"/>
      </w:r>
      <w:r w:rsidR="00D164BF" w:rsidRPr="004F469F">
        <w:t>.</w:t>
      </w:r>
    </w:p>
    <w:p w14:paraId="522CE64A" w14:textId="62AFABE9" w:rsidR="008F1B78" w:rsidRPr="004F469F" w:rsidRDefault="008F1B78" w:rsidP="00435B08">
      <w:pPr>
        <w:spacing w:after="120" w:line="480" w:lineRule="auto"/>
        <w:ind w:firstLine="720"/>
      </w:pPr>
      <w:r w:rsidRPr="004F469F">
        <w:t xml:space="preserve">Many studies have shown that tornadoes rarely hit densely populated areas due to both the rarity of violent tornadoes and the small amount of developed area that exists in the US </w:t>
      </w:r>
      <w:r w:rsidR="00D164BF" w:rsidRPr="004F469F">
        <w:fldChar w:fldCharType="begin" w:fldLock="1"/>
      </w:r>
      <w:r w:rsidR="00123266">
        <w:instrText>ADDIN CSL_CITATION {"citationItems":[{"id":"ITEM-1","itemData":{"author":[{"dropping-particle":"","family":"Rae","given":"Scott","non-dropping-particle":"","parse-names":false,"suffix":""},{"dropping-particle":"","family":"Stefkovich","given":"Jim","non-dropping-particle":"","parse-names":false,"suffix":""}],"container-title":"Extended Abstracts, 20th Conf. on Severe Local Storms","id":"ITEM-1","issued":{"date-parts":[["2000"]]},"publisher":"Amer. Meteor. Soc","publisher-place":"Orlando, FL","title":"The tornado damage risk assessment predicting the impact of a big outbreak in Dallas-Fort Worth, Texas","type":"article-journal","volume":"9.6"},"uris":["http://www.mendeley.com/documents/?uuid=07ecb52e-9663-42ec-9c57-e744cff78446"]},{"id":"ITEM-2","itemData":{"DOI":"10.1175/BAMS-88-1-31","ISBN":"0003-0007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areas","type":"article-journal","volume":"88"},"uris":["http://www.mendeley.com/documents/?uuid=e0a647d9-97d9-4bb8-a0e8-d46f828d01fb"]},{"id":"ITEM-3","itemData":{"author":[{"dropping-particle":"","family":"Ashley","given":"Walker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landscape","type":"article-journal","volume":"97"},"uris":["http://www.mendeley.com/documents/?uuid=f66d6182-0c44-4efe-84e8-83956e5e4d92"]},{"id":"ITEM-4","itemData":{"DOI":"10.1002/met.1552","abstract":"Determining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Applications","id":"ITEM-4","issue":"2","issued":{"date-parts":[["2016"]]},"page":"269-281","title":"A Monte Carlo model for estimating tornado impacts","type":"article-journal","volume":"23"},"uris":["http://www.mendeley.com/documents/?uuid=35120d27-7369-4b8b-a188-dbf511d1ef98"]},{"id":"ITEM-5","itemData":{"author":[{"dropping-particle":"","family":"Strader","given":"Stephen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society","id":"ITEM-5","issue":"2","issued":{"date-parts":[["2017"]]},"page":"109-123","title":"Observed and projected changes in United States tornado exposure","type":"article-journal","volume":"9"},"uris":["http://www.mendeley.com/documents/?uuid=b07828b3-19f9-42fd-82f4-7b463c849143"]},{"id":"ITEM-6","itemData":{"DOI":"10.1016/j.apgeog.2018.03.005","ISSN":"01436228","abstract":"This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Geography","id":"ITEM-6","issue":"March 2017","issued":{"date-parts":[["2018"]]},"page":"18-29","publisher":"Elsevier Ltd","title":"How land use alters the tornado disaster landscape","type":"article-journal","volume":"94"},"uris":["http://www.mendeley.com/documents/?uuid=d9748686-b846-458c-a837-e1e5ffc60746"]}],"mendeley":{"formattedCitation":"(Rae and Stefkovich, 2000; Wurman et al., 2007; Ashley and Strader, 2016; Strader et al., 2016, 2017b, 2018)","plainTextFormattedCitation":"(Rae and Stefkovich, 2000; Wurman et al., 2007; Ashley and Strader, 2016; Strader et al., 2016, 2017b, 2018)","previouslyFormattedCitation":"(Rae and Stefkovich, 2000; Wurman et al., 2007; Ashley and Strader, 2016; Strader et al., 2016, 2017b, 2018)"},"properties":{"noteIndex":0},"schema":"https://github.com/citation-style-language/schema/raw/master/csl-citation.json"}</w:instrText>
      </w:r>
      <w:r w:rsidR="00D164BF" w:rsidRPr="004F469F">
        <w:fldChar w:fldCharType="separate"/>
      </w:r>
      <w:r w:rsidR="00123266" w:rsidRPr="00123266">
        <w:rPr>
          <w:noProof/>
        </w:rPr>
        <w:t xml:space="preserve">(Rae and Stefkovich, 2000; Wurman </w:t>
      </w:r>
      <w:r w:rsidR="00123266" w:rsidRPr="00453357">
        <w:rPr>
          <w:i/>
          <w:iCs/>
          <w:noProof/>
        </w:rPr>
        <w:t>et al.</w:t>
      </w:r>
      <w:r w:rsidR="00123266" w:rsidRPr="00123266">
        <w:rPr>
          <w:noProof/>
        </w:rPr>
        <w:t xml:space="preserve">, 2007; Ashley and Strader, 2016; Strader </w:t>
      </w:r>
      <w:r w:rsidR="00123266" w:rsidRPr="00453357">
        <w:rPr>
          <w:i/>
          <w:iCs/>
          <w:noProof/>
        </w:rPr>
        <w:t>et al.</w:t>
      </w:r>
      <w:r w:rsidR="00123266" w:rsidRPr="00123266">
        <w:rPr>
          <w:noProof/>
        </w:rPr>
        <w:t>, 2016, 2017b, 2018)</w:t>
      </w:r>
      <w:r w:rsidR="00D164BF" w:rsidRPr="004F469F">
        <w:fldChar w:fldCharType="end"/>
      </w:r>
      <w:r w:rsidR="00D164BF" w:rsidRPr="004F469F">
        <w:t>.</w:t>
      </w:r>
      <w:r w:rsidRPr="004F469F">
        <w:t xml:space="preserve"> Our findings that violent tornadoes typically hit sparsely populated areas with </w:t>
      </w:r>
      <w:r w:rsidRPr="004F469F">
        <w:lastRenderedPageBreak/>
        <w:t xml:space="preserve">median observed and potential exposures under 1,000 persons (in all regions except the Southeast; Table </w:t>
      </w:r>
      <w:r w:rsidR="00D164BF" w:rsidRPr="004F469F">
        <w:t>2.6</w:t>
      </w:r>
      <w:r w:rsidRPr="004F469F">
        <w:t xml:space="preserve">) were thus unsurprising. Most tornado-prone regions </w:t>
      </w:r>
      <w:r w:rsidR="00D164BF"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perspective","type":"article-journal","volume":"67"},"uris":["http://www.mendeley.com/documents/?uuid=42235697-4e43-4cf7-9772-fa9a876de81d"]}],"mendeley":{"formattedCitation":"(Concannon et al., 2000; Doswell et al., 2012)","plainTextFormattedCitation":"(Concannon et al., 2000; Doswell et al., 2012)","previouslyFormattedCitation":"(Concannon et al., 2000; Doswell et al., 2012)"},"properties":{"noteIndex":0},"schema":"https://github.com/citation-style-language/schema/raw/master/csl-citation.json"}</w:instrText>
      </w:r>
      <w:r w:rsidR="00D164BF"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w:t>
      </w:r>
      <w:r w:rsidR="00D164BF" w:rsidRPr="004F469F">
        <w:fldChar w:fldCharType="end"/>
      </w:r>
      <w:r w:rsidRPr="004F469F">
        <w:t xml:space="preserve"> have low population densities (Table </w:t>
      </w:r>
      <w:r w:rsidR="00D164BF" w:rsidRPr="004F469F">
        <w:t>2.2</w:t>
      </w:r>
      <w:r w:rsidRPr="004F469F">
        <w:t xml:space="preserve">),  and thus low exposure, while the Southeast is the exception with greater rural population densities, longer tornado tracks and more fatalities </w:t>
      </w:r>
      <w:r w:rsidR="00D164BF"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landscape","type":"article-journal","volume":"97"},"uris":["http://www.mendeley.com/documents/?uuid=f66d6182-0c44-4efe-84e8-83956e5e4d92"]}],"mendeley":{"formattedCitation":"(Ashley, 2007; Strader et al., 2015; Ashley and Strader, 2016)","plainTextFormattedCitation":"(Ashley, 2007; Strader et al., 2015; Ashley and Strader, 2016)","previouslyFormattedCitation":"(Ashley, 2007; Strader et al., 2015; Ashley and Strader, 2016)"},"properties":{"noteIndex":0},"schema":"https://github.com/citation-style-language/schema/raw/master/csl-citation.json"}</w:instrText>
      </w:r>
      <w:r w:rsidR="00D164BF" w:rsidRPr="004F469F">
        <w:fldChar w:fldCharType="separate"/>
      </w:r>
      <w:r w:rsidR="0010658B" w:rsidRPr="00123266">
        <w:rPr>
          <w:noProof/>
        </w:rPr>
        <w:t xml:space="preserve">(Ashley, 2007; Strader </w:t>
      </w:r>
      <w:r w:rsidR="0010658B" w:rsidRPr="00453357">
        <w:rPr>
          <w:i/>
          <w:iCs/>
          <w:noProof/>
        </w:rPr>
        <w:t>et al.</w:t>
      </w:r>
      <w:r w:rsidR="0010658B" w:rsidRPr="00123266">
        <w:rPr>
          <w:noProof/>
        </w:rPr>
        <w:t>, 2015; Ashley and Strader, 2016)</w:t>
      </w:r>
      <w:r w:rsidR="00D164BF" w:rsidRPr="004F469F">
        <w:fldChar w:fldCharType="end"/>
      </w:r>
      <w:r w:rsidRPr="004F469F">
        <w:t xml:space="preserve">. While densely populated areas are rarely hit, contrary to folklore, cities are no safer from tornadoes than rural areas </w:t>
      </w:r>
      <w:r w:rsidR="00D164BF" w:rsidRPr="004F469F">
        <w:fldChar w:fldCharType="begin" w:fldLock="1"/>
      </w:r>
      <w:r w:rsidR="00123266">
        <w:instrText>ADDIN CSL_CITATION {"citationItems":[{"id":"ITEM-1","itemData":{"DOI":"10.1175/2011WCAS1076.1","ISBN":"1948-8327","ISSN":"1948-8327","abstract":"Tornado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Society","id":"ITEM-1","issue":"2","issued":{"date-parts":[["2011"]]},"page":"128-140","title":"A Preliminary Look at the Social Perspective of Warn-on-Forecast: Preferred Tornado Warning Lead Time and the General Public’s Perceptions of Weather Risks","type":"article-journal","volume":"3"},"uris":["http://www.mendeley.com/documents/?uuid=781a5543-d038-4ec3-9825-6e94cd7bebcc"]},{"id":"ITEM-2","itemData":{"DOI":"10.1007/s10708-013-9518-6","author":[{"dropping-particle":"","family":"Klockow","given":"Kimberly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A.","non-dropping-particle":"","parse-names":false,"suffix":""}],"container-title":"GeoJournal","id":"ITEM-2","issue":"6","issued":{"date-parts":[["2014"]]},"page":"791-804","title":"Tornado folk science in Alabama and Mississippi in the 27 April 2011 tornado outbreak","type":"article-journal","volume":"79"},"uris":["http://www.mendeley.com/documents/?uuid=b2de5efd-e72d-4641-8d1d-ff4cb52012e2"]}],"mendeley":{"formattedCitation":"(Hoekstra et al., 2011; Klockow et al., 2014)","plainTextFormattedCitation":"(Hoekstra et al., 2011; Klockow et al., 2014)","previouslyFormattedCitation":"(Hoekstra et al., 2011; Klockow et al., 2014)"},"properties":{"noteIndex":0},"schema":"https://github.com/citation-style-language/schema/raw/master/csl-citation.json"}</w:instrText>
      </w:r>
      <w:r w:rsidR="00D164BF" w:rsidRPr="004F469F">
        <w:fldChar w:fldCharType="separate"/>
      </w:r>
      <w:r w:rsidR="00123266" w:rsidRPr="00123266">
        <w:rPr>
          <w:noProof/>
        </w:rPr>
        <w:t xml:space="preserve">(Hoekstra </w:t>
      </w:r>
      <w:r w:rsidR="00123266" w:rsidRPr="00453357">
        <w:rPr>
          <w:i/>
          <w:iCs/>
          <w:noProof/>
        </w:rPr>
        <w:t>et al.</w:t>
      </w:r>
      <w:r w:rsidR="00123266" w:rsidRPr="00123266">
        <w:rPr>
          <w:noProof/>
        </w:rPr>
        <w:t xml:space="preserve">, 2011; Klockow </w:t>
      </w:r>
      <w:r w:rsidR="00123266" w:rsidRPr="00453357">
        <w:rPr>
          <w:i/>
          <w:iCs/>
          <w:noProof/>
        </w:rPr>
        <w:t>et al.</w:t>
      </w:r>
      <w:r w:rsidR="00123266" w:rsidRPr="00123266">
        <w:rPr>
          <w:noProof/>
        </w:rPr>
        <w:t>, 2014)</w:t>
      </w:r>
      <w:r w:rsidR="00D164BF" w:rsidRPr="004F469F">
        <w:fldChar w:fldCharType="end"/>
      </w:r>
      <w:r w:rsidRPr="004F469F">
        <w:t xml:space="preserve">. In fact, there have been many tornadoes that have even hit the downtown areas (central business districts) of major cities </w:t>
      </w:r>
      <w:r w:rsidR="00D164BF" w:rsidRPr="004F469F">
        <w:fldChar w:fldCharType="begin" w:fldLock="1"/>
      </w:r>
      <w:r w:rsidR="0010658B">
        <w:instrText>ADDIN CSL_CITATION {"citationItems":[{"id":"ITEM-1","itemData":{"author":[{"dropping-particle":"","family":"Edwards","given":"R","non-dropping-particle":"","parse-names":false,"suffix":""},{"dropping-particle":"","family":"Schaefer","given":"J","non-dropping-particle":"","parse-names":false,"suffix":""}],"container-title":"Accessed through NOAA on","id":"ITEM-1","issued":{"date-parts":[["2012"]]},"title":"Downtown tornadoes","type":"article-journal","volume":"13"},"uris":["http://www.mendeley.com/documents/?uuid=093396a4-217c-406d-9f9e-0aba06adff39"]}],"mendeley":{"formattedCitation":"(Edwards and Schaefer, 2012)","plainTextFormattedCitation":"(Edwards and Schaefer, 2012)","previouslyFormattedCitation":"(Edwards and Schaefer, 2012)"},"properties":{"noteIndex":0},"schema":"https://github.com/citation-style-language/schema/raw/master/csl-citation.json"}</w:instrText>
      </w:r>
      <w:r w:rsidR="00D164BF" w:rsidRPr="004F469F">
        <w:fldChar w:fldCharType="separate"/>
      </w:r>
      <w:r w:rsidR="0010658B" w:rsidRPr="0010658B">
        <w:rPr>
          <w:noProof/>
        </w:rPr>
        <w:t>(Edwards and Schaefer, 2012)</w:t>
      </w:r>
      <w:r w:rsidR="00D164BF" w:rsidRPr="004F469F">
        <w:fldChar w:fldCharType="end"/>
      </w:r>
      <w:r w:rsidR="00D164BF" w:rsidRPr="004F469F">
        <w:t>.</w:t>
      </w:r>
    </w:p>
    <w:p w14:paraId="1F8B8924" w14:textId="1FBEEC79" w:rsidR="008F1B78" w:rsidRPr="004F469F" w:rsidRDefault="008F1B78" w:rsidP="00435B08">
      <w:pPr>
        <w:spacing w:after="120" w:line="480" w:lineRule="auto"/>
        <w:ind w:firstLine="720"/>
      </w:pPr>
      <w:r w:rsidRPr="004F469F">
        <w:t xml:space="preserve">We found that only 33.1% of all violent tornadoes had observed or potential exposures of at least 5,000 persons (within 10 km; were near-misses or hits) and the high-risk area for such tornadoes only covered 7.4% of the total high-risk area (area expected to have at least two violent tornado days per century). The high-risk area was primarily located in central Oklahoma and northern Alabama matching the areas of peak violent tornado activity </w:t>
      </w:r>
      <w:r w:rsidR="00D164BF"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perspective","type":"article-journal","volume":"67"},"uris":["http://www.mendeley.com/documents/?uuid=42235697-4e43-4cf7-9772-fa9a876de81d"]}],"mendeley":{"formattedCitation":"(Concannon et al., 2000; Doswell et al., 2012)","plainTextFormattedCitation":"(Concannon et al., 2000; Doswell et al., 2012)","previouslyFormattedCitation":"(Concannon et al., 2000; Doswell et al., 2012)"},"properties":{"noteIndex":0},"schema":"https://github.com/citation-style-language/schema/raw/master/csl-citation.json"}</w:instrText>
      </w:r>
      <w:r w:rsidR="00D164BF"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w:t>
      </w:r>
      <w:r w:rsidR="00D164BF" w:rsidRPr="004F469F">
        <w:fldChar w:fldCharType="end"/>
      </w:r>
      <w:r w:rsidRPr="004F469F">
        <w:t xml:space="preserve"> and killer tornado activity </w:t>
      </w:r>
      <w:r w:rsidR="00D164BF"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00D164BF" w:rsidRPr="004F469F">
        <w:fldChar w:fldCharType="separate"/>
      </w:r>
      <w:r w:rsidR="0076275F" w:rsidRPr="004F469F">
        <w:rPr>
          <w:noProof/>
        </w:rPr>
        <w:t>(Ashley, 2007)</w:t>
      </w:r>
      <w:r w:rsidR="00D164BF" w:rsidRPr="004F469F">
        <w:fldChar w:fldCharType="end"/>
      </w:r>
      <w:r w:rsidRPr="004F469F">
        <w:t xml:space="preserve">, respectively. It was interesting that no near-miss was likely to be a hit (Table </w:t>
      </w:r>
      <w:r w:rsidR="00D164BF" w:rsidRPr="004F469F">
        <w:t>2.6</w:t>
      </w:r>
      <w:r w:rsidRPr="004F469F">
        <w:t xml:space="preserve">) while several hits were very unlikely to have been hits (Table </w:t>
      </w:r>
      <w:r w:rsidR="00D164BF" w:rsidRPr="004F469F">
        <w:t>2.7</w:t>
      </w:r>
      <w:r w:rsidRPr="004F469F">
        <w:t>). This is likely because the near-miss definition only required the maximum potential exposure to be 5,000 persons. We chose to use a maximum potential exposure due to the small sample size of violent tornadoes, but future work looking at near-misses for all tornadoes could include a more stringent definition by, for example, using a median potential exposure of 5,000 persons. If we had used such a measure for our small sample we would have found no near-misses.</w:t>
      </w:r>
    </w:p>
    <w:p w14:paraId="4718DEE7" w14:textId="4D4F0964" w:rsidR="008F1B78" w:rsidRPr="004F469F" w:rsidRDefault="008F1B78" w:rsidP="00435B08">
      <w:pPr>
        <w:spacing w:after="120" w:line="480" w:lineRule="auto"/>
        <w:ind w:firstLine="720"/>
      </w:pPr>
      <w:r w:rsidRPr="004F469F">
        <w:lastRenderedPageBreak/>
        <w:t xml:space="preserve">The primary goal of this study was to understand the spatiotemporal patterns of near-miss violent tornadoes and their relation to population distributions in the area surrounding the potential impact zone. We found that the likelihood of hits, near-misses and far-misses were a function of the underlying population distribution (Table </w:t>
      </w:r>
      <w:r w:rsidR="00D164BF" w:rsidRPr="004F469F">
        <w:t>2.2</w:t>
      </w:r>
      <w:r w:rsidRPr="004F469F">
        <w:t>) as well as the climatology of violent tornadoes (Fig</w:t>
      </w:r>
      <w:r w:rsidR="00D164BF" w:rsidRPr="004F469F">
        <w:t>ure 2.6</w:t>
      </w:r>
      <w:r w:rsidRPr="004F469F">
        <w:t xml:space="preserve">). The spatial distribution of near-misses, far-misses and hits was similar to the general distribution of all violent tornadoes with peak occurrence in the Southern Plains and Southeast </w:t>
      </w:r>
      <w:r w:rsidR="00D164BF"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1880–2005","type":"article-journal","volume":"22"},"uris":["http://www.mendeley.com/documents/?uuid=14fd8bf9-6b84-4fc3-bae5-6fa5f66b5ccf"]},{"id":"ITEM-3","itemData":{"ISBN":"1477-8696","author":[{"dropping-particle":"","family":"Doswell","given":"Charles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E.","non-dropping-particle":"","parse-names":false,"suffix":""}],"container-title":"Weather","id":"ITEM-3","issue":"4","issued":{"date-parts":[["2012"]]},"page":"88-94","title":"The tornadoes of spring 2011 in the USA: An historical perspective","type":"article-journal","volume":"67"},"uris":["http://www.mendeley.com/documents/?uuid=42235697-4e43-4cf7-9772-fa9a876de81d"]},{"id":"ITEM-4","itemData":{"author":[{"dropping-particle":"","family":"Ashley","given":"Walker S.","non-dropping-particle":"","parse-names":false,"suffix":""},{"dropping-particle":"","family":"Strader","given":"Stephen M.","non-dropping-particle":"","parse-names":false,"suffix":""}],"container-title":"Bulletin of the American Meteorological Society","id":"ITEM-4","issue":"5","issued":{"date-parts":[["2016"]]},"page":"767-786","title":"Recipe for disaster: how the dynamic ingredients of risk and exposure are changing the tornado disaster landscape","type":"article-journal","volume":"97"},"uris":["http://www.mendeley.com/documents/?uuid=f66d6182-0c44-4efe-84e8-83956e5e4d92"]}],"mendeley":{"formattedCitation":"(Concannon et al., 2000; Ashley, 2007; Doswell et al., 2012; Ashley and Strader, 2016)","plainTextFormattedCitation":"(Concannon et al., 2000; Ashley, 2007; Doswell et al., 2012; Ashley and Strader, 2016)","previouslyFormattedCitation":"(Concannon et al., 2000; Ashley, 2007; Doswell et al., 2012; Ashley and Strader, 2016)"},"properties":{"noteIndex":0},"schema":"https://github.com/citation-style-language/schema/raw/master/csl-citation.json"}</w:instrText>
      </w:r>
      <w:r w:rsidR="00D164BF"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Ashley, 2007; Doswell </w:t>
      </w:r>
      <w:r w:rsidR="00123266" w:rsidRPr="00453357">
        <w:rPr>
          <w:i/>
          <w:iCs/>
          <w:noProof/>
        </w:rPr>
        <w:t>et al.</w:t>
      </w:r>
      <w:r w:rsidR="00123266" w:rsidRPr="00123266">
        <w:rPr>
          <w:noProof/>
        </w:rPr>
        <w:t>, 2012; Ashley and Strader, 2016)</w:t>
      </w:r>
      <w:r w:rsidR="00D164BF" w:rsidRPr="004F469F">
        <w:fldChar w:fldCharType="end"/>
      </w:r>
      <w:r w:rsidRPr="004F469F">
        <w:t>. The differences in the spatial patterns between the three types of violent tornadoes is primarily evident in the differences in population density. The results indicate that hits were relatively more common in the Southeast where the rural population density is higher and less common in the less populated areas (</w:t>
      </w:r>
      <w:r w:rsidRPr="004F469F">
        <w:rPr>
          <w:i/>
          <w:iCs/>
        </w:rPr>
        <w:t>e.g.</w:t>
      </w:r>
      <w:r w:rsidRPr="004F469F">
        <w:t xml:space="preserve">, Northern Plains; Table </w:t>
      </w:r>
      <w:r w:rsidR="00D164BF" w:rsidRPr="004F469F">
        <w:t>2.2</w:t>
      </w:r>
      <w:r w:rsidR="004018A9">
        <w:t>;</w:t>
      </w:r>
      <w:r w:rsidRPr="004F469F">
        <w:t xml:space="preserve"> </w:t>
      </w:r>
      <w:r w:rsidR="00D164BF" w:rsidRPr="004F469F">
        <w:fldChar w:fldCharType="begin" w:fldLock="1"/>
      </w:r>
      <w:r w:rsidR="004018A9">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2016)","manualFormatting":"Ashley and Strader, 2016)","plainTextFormattedCitation":"(Ashley and Strader, 2016)","previouslyFormattedCitation":"(Ashley and Strader, 2016)"},"properties":{"noteIndex":0},"schema":"https://github.com/citation-style-language/schema/raw/master/csl-citation.json"}</w:instrText>
      </w:r>
      <w:r w:rsidR="00D164BF" w:rsidRPr="004F469F">
        <w:fldChar w:fldCharType="separate"/>
      </w:r>
      <w:r w:rsidR="0010658B" w:rsidRPr="0010658B">
        <w:rPr>
          <w:noProof/>
        </w:rPr>
        <w:t>Ashley and Strader, 2016)</w:t>
      </w:r>
      <w:r w:rsidR="00D164BF" w:rsidRPr="004F469F">
        <w:fldChar w:fldCharType="end"/>
      </w:r>
      <w:r w:rsidRPr="004F469F">
        <w:t xml:space="preserve">. The results also indicate that near and far-misses were relatively highest in the Great Lakes, likely due to the expansion of the urban areas into the countryside as well as the rarity of violent tornadoes in this region </w:t>
      </w:r>
      <w:r w:rsidR="00D164BF" w:rsidRPr="004F469F">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D164BF" w:rsidRPr="004F469F">
        <w:fldChar w:fldCharType="separate"/>
      </w:r>
      <w:r w:rsidR="0010658B" w:rsidRPr="0010658B">
        <w:rPr>
          <w:noProof/>
        </w:rPr>
        <w:t>(Ashley and Strader, 2016)</w:t>
      </w:r>
      <w:r w:rsidR="00D164BF" w:rsidRPr="004F469F">
        <w:fldChar w:fldCharType="end"/>
      </w:r>
      <w:r w:rsidRPr="004F469F">
        <w:t>. We also found significant spatial autocorrelation (clustering) for counties with hits, near-misses and far-misses near large metropolitan areas (Fig</w:t>
      </w:r>
      <w:r w:rsidR="00D164BF" w:rsidRPr="004F469F">
        <w:t>ure 2.10</w:t>
      </w:r>
      <w:r w:rsidRPr="004F469F">
        <w:t xml:space="preserve">). The clustering implies that the risk for near-misses is low outside large urban areas. As urban expansion continues, the vulnerable areas will likely see an increase in population making it more likely that tornadoes will pass close by or hit densely populated areas </w:t>
      </w:r>
      <w:r w:rsidR="00D164BF"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landscape","type":"article-journal","volume":"97"},"uris":["http://www.mendeley.com/documents/?uuid=f66d6182-0c44-4efe-84e8-83956e5e4d92"]},{"id":"ITEM-3","itemData":{"author":[{"dropping-particle":"","family":"Strader","given":"Stephen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society","id":"ITEM-3","issue":"2","issued":{"date-parts":[["2017"]]},"page":"109-123","title":"Observed and projected changes in United States tornado exposure","type":"article-journal","volume":"9"},"uris":["http://www.mendeley.com/documents/?uuid=b07828b3-19f9-42fd-82f4-7b463c849143"]},{"id":"ITEM-4","itemData":{"DOI":"10.1007/s10584-017-1905-4","author":[{"dropping-particle":"","family":"Strader","given":"Stephen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Change","id":"ITEM-4","issue":"2","issued":{"date-parts":[["2017"]]},"page":"301-313","publisher":"Springer","title":"Projected 21st century changes in tornado exposure, risk, and disaster potential","type":"article-journal","volume":"141"},"uris":["http://www.mendeley.com/documents/?uuid=f875dd0e-da5d-4186-8536-d8e3921d37a0"]}],"mendeley":{"formattedCitation":"(Ashley et al., 2014; Ashley and Strader, 2016; Strader et al., 2017b, 2017a)","plainTextFormattedCitation":"(Ashley et al., 2014; Ashley and Strader, 2016; Strader et al., 2017b, 2017a)","previouslyFormattedCitation":"(Ashley et al., 2014; Ashley and Strader, 2016; Strader et al., 2017b, 2017a)"},"properties":{"noteIndex":0},"schema":"https://github.com/citation-style-language/schema/raw/master/csl-citation.json"}</w:instrText>
      </w:r>
      <w:r w:rsidR="00D164BF" w:rsidRPr="004F469F">
        <w:fldChar w:fldCharType="separate"/>
      </w:r>
      <w:r w:rsidR="00123266" w:rsidRPr="00123266">
        <w:rPr>
          <w:noProof/>
        </w:rPr>
        <w:t xml:space="preserve">(Ashley </w:t>
      </w:r>
      <w:r w:rsidR="00123266" w:rsidRPr="00453357">
        <w:rPr>
          <w:i/>
          <w:iCs/>
          <w:noProof/>
        </w:rPr>
        <w:t>et al.</w:t>
      </w:r>
      <w:r w:rsidR="00123266" w:rsidRPr="00123266">
        <w:rPr>
          <w:noProof/>
        </w:rPr>
        <w:t xml:space="preserve">, 2014; Ashley and Strader, 2016; Strader </w:t>
      </w:r>
      <w:r w:rsidR="00123266" w:rsidRPr="00453357">
        <w:rPr>
          <w:i/>
          <w:iCs/>
          <w:noProof/>
        </w:rPr>
        <w:t>et al.</w:t>
      </w:r>
      <w:r w:rsidR="00123266" w:rsidRPr="00123266">
        <w:rPr>
          <w:noProof/>
        </w:rPr>
        <w:t>, 2017b, 2017a)</w:t>
      </w:r>
      <w:r w:rsidR="00D164BF" w:rsidRPr="004F469F">
        <w:fldChar w:fldCharType="end"/>
      </w:r>
      <w:r w:rsidR="00D164BF" w:rsidRPr="004F469F">
        <w:t>.</w:t>
      </w:r>
    </w:p>
    <w:p w14:paraId="202C1FEF" w14:textId="0D5389D6" w:rsidR="008F1B78" w:rsidRPr="004F469F" w:rsidRDefault="008F1B78" w:rsidP="00435B08">
      <w:pPr>
        <w:spacing w:after="120" w:line="480" w:lineRule="auto"/>
        <w:ind w:firstLine="720"/>
      </w:pPr>
      <w:r w:rsidRPr="004F469F">
        <w:t xml:space="preserve">The methodology used in this study is a first attempt at determining the frequency of near-miss violent tornadoes and as such we employed a definition that made use of existing tornado footprint data. The definition appears reasonable as small shifts in environmental conditions have been known to shift the footprints of violent tornadoes </w:t>
      </w:r>
      <w:r w:rsidR="00D164BF" w:rsidRPr="004F469F">
        <w:fldChar w:fldCharType="begin" w:fldLock="1"/>
      </w:r>
      <w:r w:rsidR="00123266">
        <w:instrText>ADDIN CSL_CITATION {"citationItems":[{"id":"ITEM-1","itemData":{"DOI":"10.1175/WAF-D-14-00152.1","abstract":"On 31 May 2013 a broad, intense, cyclonic tornado and a narrower, weaker companion anticyclonic tornado formed in a supercell in central Oklahoma. This paper discusses the synoptic-and mesoscale environment in which the parent storm formed, based on data from the operational network of surface stations, rawinsondes, and WSR-88D radars, and from the Oklahoma Mesonet, a Doppler radar wind profiler, Rapid Refresh (RAP) analyses, and photographs. It also documents the overall behavior of the tornadoes and their re-lationships to features in their parent supercell based on data from a nearby, rapid-scan, polarimetric, mobile Doppler radar. The supercell formed near the intersection of a cold front and a dryline in an environment of moderately strong vertical shear and high CAPE, at the southern end of a line of multicell convective storms. The tornado damage path was as wide as 4.2 km according to the NWS damage assessment and ground-relative Doppler velocities of at least 135 m s 21 were found at the theoretical beam height of ,20 m AGL. The tornado debris signature in the copolar cross-correlation coefficient r hv was as wide as ;4–5 km. After the strong tornado formed, at least one additional cyclonic tornado formed and rotated cyclonically around the main tornado; it was then absorbed by it and the main tornado broadened. Smaller subvortices, which rotated cyclonically around a common axis of rotation, were subsequently observed. The tornado then weakened but remained broad, while the anticyclonic tornado formed to the southeast along the rear-flank gust front.","author":[{"dropping-particle":"","family":"Bluestein","given":"Howard B.","non-dropping-particle":"","parse-names":false,"suffix":""},{"dropping-particle":"","family":"Snyder","given":"Jeffrey C.","non-dropping-particle":"","parse-names":false,"suffix":""},{"dropping-particle":"","family":"Houser","given":"Jana B.","non-dropping-particle":"","parse-names":false,"suffix":""}],"container-title":"Weather and Forecasting","id":"ITEM-1","issue":"3","issued":{"date-parts":[["2015"]]},"page":"525-552","title":"A multiscale overview of the El Reno, Oklahoma, tornadic supercell of 31 May 2013","type":"article-journal","volume":"30"},"uris":["http://www.mendeley.com/documents/?uuid=519220d1-5f82-4377-8ad8-7ba0e4e85ceb"]}],"mendeley":{"formattedCitation":"(Bluestein et al., 2015)","plainTextFormattedCitation":"(Bluestein et al., 2015)","previouslyFormattedCitation":"(Bluestein et al., 2015)"},"properties":{"noteIndex":0},"schema":"https://github.com/citation-style-language/schema/raw/master/csl-citation.json"}</w:instrText>
      </w:r>
      <w:r w:rsidR="00D164BF" w:rsidRPr="004F469F">
        <w:fldChar w:fldCharType="separate"/>
      </w:r>
      <w:r w:rsidR="00123266" w:rsidRPr="00123266">
        <w:rPr>
          <w:noProof/>
        </w:rPr>
        <w:t xml:space="preserve">(Bluestein </w:t>
      </w:r>
      <w:r w:rsidR="00123266" w:rsidRPr="00453357">
        <w:rPr>
          <w:i/>
          <w:iCs/>
          <w:noProof/>
        </w:rPr>
        <w:t>et al.</w:t>
      </w:r>
      <w:r w:rsidR="00123266" w:rsidRPr="00123266">
        <w:rPr>
          <w:noProof/>
        </w:rPr>
        <w:t>, 2015)</w:t>
      </w:r>
      <w:r w:rsidR="00D164BF" w:rsidRPr="004F469F">
        <w:fldChar w:fldCharType="end"/>
      </w:r>
      <w:r w:rsidRPr="004F469F">
        <w:t xml:space="preserve">. </w:t>
      </w:r>
      <w:r w:rsidRPr="004F469F">
        <w:lastRenderedPageBreak/>
        <w:t xml:space="preserve">Our study was limited to a 22-year period due to a lack of block-level census data prior to 1990 and a change in tornado width reporting in 1994. This short period is likely subject to small-sample bias due to the extreme rarity of violent tornadoes </w:t>
      </w:r>
      <w:r w:rsidR="00D164BF" w:rsidRPr="004F469F">
        <w:fldChar w:fldCharType="begin" w:fldLock="1"/>
      </w:r>
      <w:r w:rsidR="0010658B">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landscape","type":"article-journal","volume":"97"},"uris":["http://www.mendeley.com/documents/?uuid=f66d6182-0c44-4efe-84e8-83956e5e4d92"]}],"mendeley":{"formattedCitation":"(Doswell, 2007; Ashley and Strader, 2016)","plainTextFormattedCitation":"(Doswell, 2007; Ashley and Strader, 2016)","previouslyFormattedCitation":"(Doswell, 2007; Ashley and Strader, 2016)"},"properties":{"noteIndex":0},"schema":"https://github.com/citation-style-language/schema/raw/master/csl-citation.json"}</w:instrText>
      </w:r>
      <w:r w:rsidR="00D164BF" w:rsidRPr="004F469F">
        <w:fldChar w:fldCharType="separate"/>
      </w:r>
      <w:r w:rsidR="0010658B" w:rsidRPr="0010658B">
        <w:rPr>
          <w:noProof/>
        </w:rPr>
        <w:t>(Doswell, 2007; Ashley and Strader, 2016)</w:t>
      </w:r>
      <w:r w:rsidR="00D164BF" w:rsidRPr="004F469F">
        <w:fldChar w:fldCharType="end"/>
      </w:r>
      <w:r w:rsidRPr="004F469F">
        <w:t>. However, the distribution of violent tornadoes was found to match the long-term climatology (Fig</w:t>
      </w:r>
      <w:r w:rsidR="00D164BF" w:rsidRPr="004F469F">
        <w:t>ure 2.3</w:t>
      </w:r>
      <w:r w:rsidR="004018A9">
        <w:t>;</w:t>
      </w:r>
      <w:r w:rsidR="00D164BF" w:rsidRPr="004F469F">
        <w:t xml:space="preserve"> </w:t>
      </w:r>
      <w:r w:rsidR="00D164BF" w:rsidRPr="004F469F">
        <w:fldChar w:fldCharType="begin" w:fldLock="1"/>
      </w:r>
      <w:r w:rsidR="004018A9">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perspective","type":"article-journal","volume":"67"},"uris":["http://www.mendeley.com/documents/?uuid=42235697-4e43-4cf7-9772-fa9a876de81d"]}],"mendeley":{"formattedCitation":"(Concannon et al., 2000; Doswell et al., 2012)","manualFormatting":"Concannon et al., 2000; Doswell et al., 2012)","plainTextFormattedCitation":"(Concannon et al., 2000; Doswell et al., 2012)","previouslyFormattedCitation":"(Concannon et al., 2000; Doswell et al., 2012)"},"properties":{"noteIndex":0},"schema":"https://github.com/citation-style-language/schema/raw/master/csl-citation.json"}</w:instrText>
      </w:r>
      <w:r w:rsidR="00D164BF"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Doswell </w:t>
      </w:r>
      <w:r w:rsidR="00123266" w:rsidRPr="00453357">
        <w:rPr>
          <w:i/>
          <w:iCs/>
          <w:noProof/>
        </w:rPr>
        <w:t>et al.</w:t>
      </w:r>
      <w:r w:rsidR="00123266" w:rsidRPr="00123266">
        <w:rPr>
          <w:noProof/>
        </w:rPr>
        <w:t>, 2012)</w:t>
      </w:r>
      <w:r w:rsidR="00D164BF" w:rsidRPr="004F469F">
        <w:fldChar w:fldCharType="end"/>
      </w:r>
      <w:r w:rsidR="00D164BF" w:rsidRPr="004F469F">
        <w:t xml:space="preserve"> </w:t>
      </w:r>
      <w:r w:rsidRPr="004F469F">
        <w:t>implying the distribution observed was reasonable. Likewise, the high-risk area for near-misses and hits (Fig</w:t>
      </w:r>
      <w:r w:rsidR="00D164BF" w:rsidRPr="004F469F">
        <w:t>ure 2.7</w:t>
      </w:r>
      <w:r w:rsidRPr="004F469F">
        <w:t xml:space="preserve">) was located where the highest risk for violent tornadoes met large metropolitan areas in central Oklahoma (Oklahoma City) and northern Alabama (Birmingham-Hoover). Given that hits and near-misses require large populations, by definition, this distribution also makes sense </w:t>
      </w:r>
      <w:r w:rsidR="00D164BF"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society","id":"ITEM-2","issue":"2","issued":{"date-parts":[["2017"]]},"page":"109-123","title":"Observed and projected changes in United States tornado exposure","type":"article-journal","volume":"9"},"uris":["http://www.mendeley.com/documents/?uuid=b07828b3-19f9-42fd-82f4-7b463c849143"]}],"mendeley":{"formattedCitation":"(Ashley and Strader, 2016; Strader et al., 2017b)","plainTextFormattedCitation":"(Ashley and Strader, 2016; Strader et al., 2017b)","previouslyFormattedCitation":"(Ashley and Strader, 2016; Strader et al., 2017b)"},"properties":{"noteIndex":0},"schema":"https://github.com/citation-style-language/schema/raw/master/csl-citation.json"}</w:instrText>
      </w:r>
      <w:r w:rsidR="00D164BF" w:rsidRPr="004F469F">
        <w:fldChar w:fldCharType="separate"/>
      </w:r>
      <w:r w:rsidR="00123266" w:rsidRPr="00123266">
        <w:rPr>
          <w:noProof/>
        </w:rPr>
        <w:t xml:space="preserve">(Ashley and Strader, 2016; Strader </w:t>
      </w:r>
      <w:r w:rsidR="00123266" w:rsidRPr="00453357">
        <w:rPr>
          <w:i/>
          <w:iCs/>
          <w:noProof/>
        </w:rPr>
        <w:t>et al.</w:t>
      </w:r>
      <w:r w:rsidR="00123266" w:rsidRPr="00123266">
        <w:rPr>
          <w:noProof/>
        </w:rPr>
        <w:t>, 2017b)</w:t>
      </w:r>
      <w:r w:rsidR="00D164BF" w:rsidRPr="004F469F">
        <w:fldChar w:fldCharType="end"/>
      </w:r>
      <w:r w:rsidR="00D164BF" w:rsidRPr="004F469F">
        <w:t>.</w:t>
      </w:r>
    </w:p>
    <w:p w14:paraId="57D1C966" w14:textId="1EC79B81" w:rsidR="008F1B78" w:rsidRPr="004F469F" w:rsidRDefault="008F1B78" w:rsidP="00435B08">
      <w:pPr>
        <w:spacing w:after="120" w:line="480" w:lineRule="auto"/>
        <w:ind w:firstLine="720"/>
      </w:pPr>
      <w:r w:rsidRPr="004F469F">
        <w:t>Near-misses do not only result from tornadoes which dissipated before, shifted away from or just narrowly missed a densely populated area. Some cyclic tornadic supercells pass over populated areas without producing a tornado (</w:t>
      </w:r>
      <w:r w:rsidRPr="004F469F">
        <w:rPr>
          <w:i/>
          <w:iCs/>
        </w:rPr>
        <w:t>e.g.</w:t>
      </w:r>
      <w:r w:rsidRPr="004F469F">
        <w:t>, Nashville, Tennessee on 5 February 2008</w:t>
      </w:r>
      <w:r w:rsidR="004018A9">
        <w:t>;</w:t>
      </w:r>
      <w:r w:rsidR="00D164BF" w:rsidRPr="004F469F">
        <w:t xml:space="preserve"> </w:t>
      </w:r>
      <w:r w:rsidR="00D164BF" w:rsidRPr="004F469F">
        <w:fldChar w:fldCharType="begin" w:fldLock="1"/>
      </w:r>
      <w:r w:rsidR="004018A9">
        <w:instrText>ADDIN CSL_CITATION {"citationItems":[{"id":"ITEM-1","itemData":{"DOI":"10.1175/MWR-D-12-00035.1","author":[{"dropping-particle":"","family":"Murphy","given":"Todd A.","non-dropping-particle":"","parse-names":false,"suffix":""},{"dropping-particle":"","family":"Knupp","given":"Kevin R.","non-dropping-particle":"","parse-names":false,"suffix":""}],"container-title":"Mon.\\ Wea.\\ Rev.","id":"ITEM-1","issue":"2","issued":{"date-parts":[["2013"]]},"page":"602-624","title":"An analysis of cold season supercell storms using the synthetic dual-Doppler technique","type":"article-journal","volume":"141"},"uris":["http://www.mendeley.com/documents/?uuid=7f94ed46-b320-4c5b-9de7-7564fd2d1d33"]}],"mendeley":{"formattedCitation":"(Murphy and Knupp, 2013)","manualFormatting":"Murphy and Knupp, 2013)","plainTextFormattedCitation":"(Murphy and Knupp, 2013)","previouslyFormattedCitation":"(Murphy and Knupp, 2013)"},"properties":{"noteIndex":0},"schema":"https://github.com/citation-style-language/schema/raw/master/csl-citation.json"}</w:instrText>
      </w:r>
      <w:r w:rsidR="00D164BF" w:rsidRPr="004F469F">
        <w:fldChar w:fldCharType="separate"/>
      </w:r>
      <w:r w:rsidR="0010658B" w:rsidRPr="0010658B">
        <w:rPr>
          <w:noProof/>
        </w:rPr>
        <w:t>Murphy and Knupp, 2013)</w:t>
      </w:r>
      <w:r w:rsidR="00D164BF" w:rsidRPr="004F469F">
        <w:fldChar w:fldCharType="end"/>
      </w:r>
      <w:r w:rsidRPr="004F469F">
        <w:t xml:space="preserve"> resulting in a near-miss. Future work on this topic could include creating synthetic tornado tracks and translating them along and about the track of tornadic supercells (identified via radar</w:t>
      </w:r>
      <w:r w:rsidR="004018A9">
        <w:t>;</w:t>
      </w:r>
      <w:r w:rsidR="00D164BF" w:rsidRPr="004F469F">
        <w:t xml:space="preserve"> </w:t>
      </w:r>
      <w:r w:rsidR="00D164BF" w:rsidRPr="004F469F">
        <w:fldChar w:fldCharType="begin" w:fldLock="1"/>
      </w:r>
      <w:r w:rsidR="004018A9">
        <w:instrText>ADDIN CSL_CITATION {"citationItems":[{"id":"ITEM-1","itemData":{"DOI":"10.1175/WAF-835.1","author":[{"dropping-particle":"","family":"Trapp","given":"Robert J.","non-dropping-particle":"","parse-names":false,"suffix":""},{"dropping-particle":"","family":"Tessendorf","given":"Sarah A.","non-dropping-particle":"","parse-names":false,"suffix":""},{"dropping-particle":"","family":"Godfrey","given":"Elaine Savageau","non-dropping-particle":"","parse-names":false,"suffix":""},{"dropping-particle":"","family":"Brooks","given":"Harold E.","non-dropping-particle":"","parse-names":false,"suffix":""}],"container-title":"Wea.\\ Forecasting","id":"ITEM-1","issue":"1","issued":{"date-parts":[["2005"]]},"page":"23-34","title":"Tornadoes from squall lines and bow echoes. Part I: Climatological distribution","type":"article-journal","volume":"20"},"uris":["http://www.mendeley.com/documents/?uuid=5154886b-a435-4bb0-b184-0fe6f1a38195"]}],"mendeley":{"formattedCitation":"(Trapp et al., 2005)","manualFormatting":"Trapp et al., 2005)","plainTextFormattedCitation":"(Trapp et al., 2005)","previouslyFormattedCitation":"(Trapp et al., 2005)"},"properties":{"noteIndex":0},"schema":"https://github.com/citation-style-language/schema/raw/master/csl-citation.json"}</w:instrText>
      </w:r>
      <w:r w:rsidR="00D164BF" w:rsidRPr="004F469F">
        <w:fldChar w:fldCharType="separate"/>
      </w:r>
      <w:r w:rsidR="0010658B" w:rsidRPr="00123266">
        <w:rPr>
          <w:noProof/>
        </w:rPr>
        <w:t xml:space="preserve">Trapp </w:t>
      </w:r>
      <w:r w:rsidR="0010658B" w:rsidRPr="00453357">
        <w:rPr>
          <w:i/>
          <w:iCs/>
          <w:noProof/>
        </w:rPr>
        <w:t>et al.</w:t>
      </w:r>
      <w:r w:rsidR="0010658B" w:rsidRPr="00123266">
        <w:rPr>
          <w:noProof/>
        </w:rPr>
        <w:t>, 2005)</w:t>
      </w:r>
      <w:r w:rsidR="00D164BF" w:rsidRPr="004F469F">
        <w:fldChar w:fldCharType="end"/>
      </w:r>
      <w:r w:rsidRPr="004F469F">
        <w:t xml:space="preserve"> to determine the likelihood of near-misses for tornadoes that did not happen.</w:t>
      </w:r>
    </w:p>
    <w:p w14:paraId="26282306" w14:textId="55508CF9" w:rsidR="008F1B78" w:rsidRPr="004F469F" w:rsidRDefault="008F1B78" w:rsidP="00435B08">
      <w:pPr>
        <w:spacing w:after="120" w:line="480" w:lineRule="auto"/>
        <w:ind w:firstLine="720"/>
      </w:pPr>
      <w:r w:rsidRPr="004F469F">
        <w:t xml:space="preserve">The use of synthetic tornado footprints to estimate exposure also creates a source of error for this analysis as true tornado footprints often curve and change strengths and widths over the life of the tornado </w:t>
      </w:r>
      <w:r w:rsidR="00D164BF" w:rsidRPr="004F469F">
        <w:fldChar w:fldCharType="begin" w:fldLock="1"/>
      </w:r>
      <w:r w:rsidR="00123266">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assessments","type":"article-journal","volume":"22"},"uris":["http://www.mendeley.com/documents/?uuid=e4377686-df2f-4b6e-9560-9cec9e268521"]}],"mendeley":{"formattedCitation":"(Paul and Stimers, 2012; Strader et al., 2015)","plainTextFormattedCitation":"(Paul and Stimers, 2012; Strader et al., 2015)","previouslyFormattedCitation":"(Paul and Stimers, 2012; Strader et al., 2015)"},"properties":{"noteIndex":0},"schema":"https://github.com/citation-style-language/schema/raw/master/csl-citation.json"}</w:instrText>
      </w:r>
      <w:r w:rsidR="00D164BF" w:rsidRPr="004F469F">
        <w:fldChar w:fldCharType="separate"/>
      </w:r>
      <w:r w:rsidR="0010658B" w:rsidRPr="00123266">
        <w:rPr>
          <w:noProof/>
        </w:rPr>
        <w:t xml:space="preserve">(Paul and Stimers, 2012; Strader </w:t>
      </w:r>
      <w:r w:rsidR="0010658B" w:rsidRPr="00453357">
        <w:rPr>
          <w:i/>
          <w:iCs/>
          <w:noProof/>
        </w:rPr>
        <w:t>et al.</w:t>
      </w:r>
      <w:r w:rsidR="0010658B" w:rsidRPr="00123266">
        <w:rPr>
          <w:noProof/>
        </w:rPr>
        <w:t>, 2015)</w:t>
      </w:r>
      <w:r w:rsidR="00D164BF" w:rsidRPr="004F469F">
        <w:fldChar w:fldCharType="end"/>
      </w:r>
      <w:r w:rsidRPr="004F469F">
        <w:t xml:space="preserve">. The error introduced by using synthetic footprints can be significant. As an example, the official footprint from the NWS for the EF5 tornado which hit Joplin, MO on 22 May 2011 had an exposure of 17,292 persons while the synthetic footprint from the SPC only had an exposure of 4,474 persons. The reason for the </w:t>
      </w:r>
      <w:r w:rsidRPr="004F469F">
        <w:lastRenderedPageBreak/>
        <w:t xml:space="preserve">difference is that the SPC used a linear footprint which passed south of the highest population areas in Joplin. Conversely the NWS footprint for the EF4 tornado which hit Tuscaloosa-Birmingham, AL on 27 April 2011 had an exposure of only 18,690 persons while the SPC footprint had an exposure of 39,231 persons. As a result of errors such as these three of the ten tornadoes tested (Joplin, MO; Cordova, AL; and Shoal Creek-Ohatchee-Argo, AL) were misclassified as near-miss, hit and hit respectively (Table </w:t>
      </w:r>
      <w:r w:rsidR="00D164BF" w:rsidRPr="004F469F">
        <w:t>2.3</w:t>
      </w:r>
      <w:r w:rsidRPr="004F469F">
        <w:t xml:space="preserve">). Since the sensitivity test showed that changing the census resolution used in the analysis had minimal effect on the accuracy of the exposures using the SPC footprints this represents a distinct limitation of this methodology. However, we believe our methodology justified given that 70% of the tested tornadoes were classified correctly (Table </w:t>
      </w:r>
      <w:r w:rsidR="00AF0B8C" w:rsidRPr="004F469F">
        <w:t>2.3</w:t>
      </w:r>
      <w:r w:rsidRPr="004F469F">
        <w:t>).</w:t>
      </w:r>
    </w:p>
    <w:p w14:paraId="20BAD497" w14:textId="447BC023" w:rsidR="00AF0B8C" w:rsidRPr="004F469F" w:rsidRDefault="008F1B78" w:rsidP="00435B08">
      <w:pPr>
        <w:spacing w:after="120" w:line="480" w:lineRule="auto"/>
        <w:ind w:firstLine="720"/>
      </w:pPr>
      <w:r w:rsidRPr="004F469F">
        <w:t xml:space="preserve">Since we found no temporal trend in near-misses, far-misses or hits, since 1995, it is unclear if either climate change or urban expansion have influenced their occurrence but it seems likely that urban expansion has had at least some effect since various scenario studies have showed exposures increasing over time </w:t>
      </w:r>
      <w:r w:rsidR="00AF0B8C"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00AF0B8C"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00AF0B8C" w:rsidRPr="004F469F">
        <w:fldChar w:fldCharType="end"/>
      </w:r>
      <w:r w:rsidRPr="004F469F">
        <w:t xml:space="preserve">. We limited our analysis to violent tornadoes because they cause the most fatalities </w:t>
      </w:r>
      <w:r w:rsidR="00AF0B8C"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00AF0B8C" w:rsidRPr="004F469F">
        <w:fldChar w:fldCharType="separate"/>
      </w:r>
      <w:r w:rsidR="0076275F" w:rsidRPr="004F469F">
        <w:rPr>
          <w:noProof/>
        </w:rPr>
        <w:t>(Ashley, 2007)</w:t>
      </w:r>
      <w:r w:rsidR="00AF0B8C" w:rsidRPr="004F469F">
        <w:fldChar w:fldCharType="end"/>
      </w:r>
      <w:r w:rsidRPr="004F469F">
        <w:t>, but it would be of interest to re-run this analysis on all historical US tornadoes since 1995 to see if a temporal trend could be found with a larger sample size. Additionally, by limiting our analysis to only those tornadoes that were classified as violent we could have missed many tornadoes that might have had winds on the level of a violent tornado but didn't hit any damage indicators capable of receiving [E]F4/5-level damage (</w:t>
      </w:r>
      <w:r w:rsidRPr="004F469F">
        <w:rPr>
          <w:i/>
          <w:iCs/>
        </w:rPr>
        <w:t>e.g.</w:t>
      </w:r>
      <w:r w:rsidRPr="004F469F">
        <w:t>, El Reno, OK on 31 May 2013</w:t>
      </w:r>
      <w:r w:rsidR="004018A9">
        <w:t>;</w:t>
      </w:r>
      <w:r w:rsidR="00AF0B8C" w:rsidRPr="004F469F">
        <w:t xml:space="preserve"> </w:t>
      </w:r>
      <w:r w:rsidR="00AF0B8C" w:rsidRPr="004F469F">
        <w:fldChar w:fldCharType="begin" w:fldLock="1"/>
      </w:r>
      <w:r w:rsidR="004018A9">
        <w:instrText>ADDIN CSL_CITATION {"citationItems":[{"id":"ITEM-1","itemData":{"author":[{"dropping-particle":"","family":"Snyder","given":"Jeffrey C","non-dropping-particle":"","parse-names":false,"suffix":""},{"dropping-particle":"","family":"Bluestein","given":"Howard B","non-dropping-particle":"","parse-names":false,"suffix":""}],"container-title":"Weather and Forecasting","id":"ITEM-1","issue":"4","issued":{"date-parts":[["2014"]]},"page":"799-827","title":"Some considerations for the use of high-resolution mobile radar data in tornado intensity determination","type":"article-journal","volume":"29"},"uris":["http://www.mendeley.com/documents/?uuid=9d018705-55e7-43d8-8065-c42c7b75a66f"]}],"mendeley":{"formattedCitation":"(Snyder and Bluestein, 2014)","manualFormatting":"Snyder and Bluestein, 2014)","plainTextFormattedCitation":"(Snyder and Bluestein, 2014)","previouslyFormattedCitation":"(Snyder and Bluestein, 2014)"},"properties":{"noteIndex":0},"schema":"https://github.com/citation-style-language/schema/raw/master/csl-citation.json"}</w:instrText>
      </w:r>
      <w:r w:rsidR="00AF0B8C" w:rsidRPr="004F469F">
        <w:fldChar w:fldCharType="separate"/>
      </w:r>
      <w:r w:rsidR="0010658B" w:rsidRPr="0010658B">
        <w:rPr>
          <w:noProof/>
        </w:rPr>
        <w:t>Snyder and Bluestein, 2014)</w:t>
      </w:r>
      <w:r w:rsidR="00AF0B8C" w:rsidRPr="004F469F">
        <w:fldChar w:fldCharType="end"/>
      </w:r>
      <w:r w:rsidRPr="004F469F">
        <w:t xml:space="preserve">. Our findings that the percentage of urban and populated areas were generally higher, in the potential impact zone than in the surrounding region, could be an indicator of an underrating problem for tornadoes in unpopulated areas (Table </w:t>
      </w:r>
      <w:r w:rsidR="00AF0B8C" w:rsidRPr="004F469F">
        <w:t>2.2</w:t>
      </w:r>
      <w:r w:rsidRPr="004F469F">
        <w:t xml:space="preserve">). While it is </w:t>
      </w:r>
      <w:r w:rsidRPr="004F469F">
        <w:lastRenderedPageBreak/>
        <w:t xml:space="preserve">not possible to know exactly how many violent tornadoes were underrated due to a lack of damage indicators </w:t>
      </w:r>
      <w:r w:rsidR="00AF0B8C" w:rsidRPr="004F469F">
        <w:fldChar w:fldCharType="begin" w:fldLock="1"/>
      </w:r>
      <w:r w:rsidR="00123266">
        <w:instrText>ADDIN CSL_CITATION {"citationItems":[{"id":"ITEM-1","itemData":{"DOI":"10.1175/1520-0493(1988)116&lt;0495:OSIOUS&gt;2.0.CO;2","author":[{"dropping-particle":"","family":"Doswell","given":"Charles A. III","non-dropping-particle":"","parse-names":false,"suffix":""},{"dropping-particle":"","family":"Burgess","given":"Donald W.","non-dropping-particle":"","parse-names":false,"suffix":""}],"container-title":"Monthly Weather Review","id":"ITEM-1","issue":"2","issued":{"date-parts":[["1988"]]},"page":"495-501","title":"On some issues of United States tornado climatology","type":"article-journal","volume":"116"},"uris":["http://www.mendeley.com/documents/?uuid=0a116520-4b4d-4cce-b548-6bf2b6e4dd32"]},{"id":"ITEM-2","itemData":{"DOI":"10.1016/j.atmosres.2008.11.003","ISBN":"0169-8095","ISSN":"01698095","abstract":"The history of tornado intensity rating in the United States of America (USA), pioneered by T. Fujita, is reviewed, showing that non-meteorological changes in the climatology of the tornado intensity ratings are likely, raising questions about the temporal (and spatial) consistency of the ratings. Although the Fujita scale (F-scale) originally was formulated as a peak wind speed scale for tornadoes, it necessarily has been implemented using damage to estimate the wind speed. Complexities of the damage-wind speed relationship are discussed. Recently, the Fujita scale has been replaced in the USA as the official system for rating tornado intensity by the so-called Enhanced Fujita scale (EF-scale). Several features of the new rating system are reviewed and discussed in the context of a proposed set of desirable features of a tornado intensity rating system. It is concluded that adoption of the EF-scale in the USA may have been premature, especially if it is to serve as a model for how to rate tornado intensity outside of the USA. This is in large part because its degree of damage measures used for estimating wind speeds are based on USA-specific construction practices. It is also concluded that the USA's tornado intensity rating system has been compromised by secular changes in how the F-scale has been applied, most recently by the adoption of the EF-scale. Several recommendations are offered as possible ways to help develop an improved rating system that will be applicable worldwide. © 2008.","author":[{"dropping-particle":"","family":"Doswell","given":"Charles A. III","non-dropping-particle":"","parse-names":false,"suffix":""},{"dropping-particle":"","family":"Brooks","given":"Harold E.","non-dropping-particle":"","parse-names":false,"suffix":""},{"dropping-particle":"","family":"Dotzek","given":"Nikolai","non-dropping-particle":"","parse-names":false,"suffix":""}],"container-title":"Atmospheric Research","id":"ITEM-2","issue":"1-3","issued":{"date-parts":[["2009"]]},"page":"554-563","publisher":"Elsevier B.V.","title":"On the implementation of the enhanced Fujita scale in the USA","type":"article-journal","volume":"93"},"uris":["http://www.mendeley.com/documents/?uuid=d4e73825-e2d6-46de-9790-d3e00308854f"]},{"id":"ITEM-3","itemData":{"DOI":"10.1175/BAMS-D-11-00006.1","ISBN":"1520-0477","ISSN":"00030007","abstract":"During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Society","id":"ITEM-3","issue":"5","issued":{"date-parts":[["2013"]]},"page":"641-653","publisher":"American Meteorological Society","title":"Tornado intensity estimation: Past, present, and future","type":"article-journal","volume":"94"},"uris":["http://www.mendeley.com/documents/?uuid=1e2ce021-f934-4efa-92c8-266e5f8914c2"]},{"id":"ITEM-4","itemData":{"DOI":"10.1002/met.1482","ISBN":"1350-4827","ISSN":"14698080","abstract":"An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Applications","id":"ITEM-4","issue":"3","issued":{"date-parts":[["2015"]]},"page":"513-524","publisher":"Wiley Online Library","title":"A climatology of tornado intensity assessments","type":"article-journal","volume":"22"},"uris":["http://www.mendeley.com/documents/?uuid=e4377686-df2f-4b6e-9560-9cec9e268521"]}],"mendeley":{"formattedCitation":"(Doswell and Burgess, 1988; Doswell et al., 2009; Edwards et al., 2013; Strader et al., 2015)","plainTextFormattedCitation":"(Doswell and Burgess, 1988; Doswell et al., 2009; Edwards et al., 2013; Strader et al., 2015)","previouslyFormattedCitation":"(Doswell and Burgess, 1988; Doswell et al., 2009; Edwards et al., 2013; Strader et al., 2015)"},"properties":{"noteIndex":0},"schema":"https://github.com/citation-style-language/schema/raw/master/csl-citation.json"}</w:instrText>
      </w:r>
      <w:r w:rsidR="00AF0B8C" w:rsidRPr="004F469F">
        <w:fldChar w:fldCharType="separate"/>
      </w:r>
      <w:r w:rsidR="00123266" w:rsidRPr="00123266">
        <w:rPr>
          <w:noProof/>
        </w:rPr>
        <w:t xml:space="preserve">(Doswell and Burgess, 1988; Doswell </w:t>
      </w:r>
      <w:r w:rsidR="00123266" w:rsidRPr="00453357">
        <w:rPr>
          <w:i/>
          <w:iCs/>
          <w:noProof/>
        </w:rPr>
        <w:t>et al.</w:t>
      </w:r>
      <w:r w:rsidR="00123266" w:rsidRPr="00123266">
        <w:rPr>
          <w:noProof/>
        </w:rPr>
        <w:t xml:space="preserve">, 2009; Edwards </w:t>
      </w:r>
      <w:r w:rsidR="00123266" w:rsidRPr="00453357">
        <w:rPr>
          <w:i/>
          <w:iCs/>
          <w:noProof/>
        </w:rPr>
        <w:t>et al.</w:t>
      </w:r>
      <w:r w:rsidR="00123266" w:rsidRPr="00123266">
        <w:rPr>
          <w:noProof/>
        </w:rPr>
        <w:t xml:space="preserve">, 2013; Strader </w:t>
      </w:r>
      <w:r w:rsidR="00123266" w:rsidRPr="00453357">
        <w:rPr>
          <w:i/>
          <w:iCs/>
          <w:noProof/>
        </w:rPr>
        <w:t>et al.</w:t>
      </w:r>
      <w:r w:rsidR="00123266" w:rsidRPr="00123266">
        <w:rPr>
          <w:noProof/>
        </w:rPr>
        <w:t>, 2015)</w:t>
      </w:r>
      <w:r w:rsidR="00AF0B8C" w:rsidRPr="004F469F">
        <w:fldChar w:fldCharType="end"/>
      </w:r>
      <w:r w:rsidRPr="004F469F">
        <w:t xml:space="preserve">, including all, or at least all significant ([E]F2+-level), tornadoes would allow for a much better picture of the risk strong tornadoes pose to populated areas </w:t>
      </w:r>
      <w:r w:rsidR="00AF0B8C"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landscape","type":"article-journal","volume":"97"},"uris":["http://www.mendeley.com/documents/?uuid=f66d6182-0c44-4efe-84e8-83956e5e4d92"]},{"id":"ITEM-3","itemData":{"author":[{"dropping-particle":"","family":"Strader","given":"Stephen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society","id":"ITEM-3","issue":"2","issued":{"date-parts":[["2017"]]},"page":"109-123","title":"Observed and projected changes in United States tornado exposure","type":"article-journal","volume":"9"},"uris":["http://www.mendeley.com/documents/?uuid=b07828b3-19f9-42fd-82f4-7b463c849143"]},{"id":"ITEM-4","itemData":{"DOI":"10.1016/j.apgeog.2018.03.005","ISSN":"01436228","abstract":"This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Geography","id":"ITEM-4","issue":"March 2017","issued":{"date-parts":[["2018"]]},"page":"18-29","publisher":"Elsevier Ltd","title":"How land use alters the tornado disaster landscape","type":"article-journal","volume":"94"},"uris":["http://www.mendeley.com/documents/?uuid=d9748686-b846-458c-a837-e1e5ffc60746"]}],"mendeley":{"formattedCitation":"(Ashley et al., 2014; Ashley and Strader, 2016; Strader et al., 2017b, 2018)","plainTextFormattedCitation":"(Ashley et al., 2014; Ashley and Strader, 2016; Strader et al., 2017b, 2018)","previouslyFormattedCitation":"(Ashley et al., 2014; Ashley and Strader, 2016; Strader et al., 2017b, 2018)"},"properties":{"noteIndex":0},"schema":"https://github.com/citation-style-language/schema/raw/master/csl-citation.json"}</w:instrText>
      </w:r>
      <w:r w:rsidR="00AF0B8C" w:rsidRPr="004F469F">
        <w:fldChar w:fldCharType="separate"/>
      </w:r>
      <w:r w:rsidR="00123266" w:rsidRPr="00123266">
        <w:rPr>
          <w:noProof/>
        </w:rPr>
        <w:t xml:space="preserve">(Ashley </w:t>
      </w:r>
      <w:r w:rsidR="00123266" w:rsidRPr="00453357">
        <w:rPr>
          <w:i/>
          <w:iCs/>
          <w:noProof/>
        </w:rPr>
        <w:t>et al.</w:t>
      </w:r>
      <w:r w:rsidR="00123266" w:rsidRPr="00123266">
        <w:rPr>
          <w:noProof/>
        </w:rPr>
        <w:t xml:space="preserve">, 2014; Ashley and Strader, 2016; Strader </w:t>
      </w:r>
      <w:r w:rsidR="00123266" w:rsidRPr="00453357">
        <w:rPr>
          <w:i/>
          <w:iCs/>
          <w:noProof/>
        </w:rPr>
        <w:t>et al.</w:t>
      </w:r>
      <w:r w:rsidR="00123266" w:rsidRPr="00123266">
        <w:rPr>
          <w:noProof/>
        </w:rPr>
        <w:t>, 2017b, 2018)</w:t>
      </w:r>
      <w:r w:rsidR="00AF0B8C" w:rsidRPr="004F469F">
        <w:fldChar w:fldCharType="end"/>
      </w:r>
      <w:r w:rsidRPr="004F469F">
        <w:t xml:space="preserve">. </w:t>
      </w:r>
    </w:p>
    <w:p w14:paraId="20DA4848" w14:textId="46B2113D" w:rsidR="00AF0B8C" w:rsidRPr="004F469F" w:rsidRDefault="00AF0B8C" w:rsidP="00435B08">
      <w:pPr>
        <w:pStyle w:val="Heading2"/>
        <w:spacing w:before="0" w:after="120" w:line="480" w:lineRule="auto"/>
        <w:rPr>
          <w:rFonts w:ascii="Times New Roman" w:eastAsia="Times New Roman" w:hAnsi="Times New Roman" w:cs="Times New Roman"/>
          <w:b/>
          <w:bCs/>
          <w:color w:val="auto"/>
          <w:sz w:val="28"/>
          <w:szCs w:val="28"/>
        </w:rPr>
      </w:pPr>
      <w:bookmarkStart w:id="31" w:name="_Toc21861303"/>
      <w:r w:rsidRPr="004F469F">
        <w:rPr>
          <w:rFonts w:ascii="Times New Roman" w:eastAsia="Times New Roman" w:hAnsi="Times New Roman" w:cs="Times New Roman"/>
          <w:b/>
          <w:bCs/>
          <w:color w:val="auto"/>
          <w:sz w:val="28"/>
          <w:szCs w:val="28"/>
        </w:rPr>
        <w:t>Conclusions</w:t>
      </w:r>
      <w:bookmarkEnd w:id="31"/>
    </w:p>
    <w:p w14:paraId="3B7F8DE5" w14:textId="7B972C9A" w:rsidR="008F1B78" w:rsidRPr="004F469F" w:rsidRDefault="008F1B78" w:rsidP="00435B08">
      <w:pPr>
        <w:spacing w:after="120" w:line="480" w:lineRule="auto"/>
        <w:ind w:firstLine="720"/>
      </w:pPr>
      <w:r w:rsidRPr="004F469F">
        <w:t>This study has represented a first large-scale attempt to determine the frequency of near-miss violent tornadoes by replicating and translating each original tornado footprint across the area surrounding the potential impact zone. Not surprisingly, we found that tornadoes tended to hit in less populated areas and that hits, near-misses, and far-misses had spatial distributions that matched the violent tornado climatology. The primary difference we noted in the distributions was related to rural population density with locations with higher rural population densities (</w:t>
      </w:r>
      <w:r w:rsidRPr="004F469F">
        <w:rPr>
          <w:i/>
          <w:iCs/>
        </w:rPr>
        <w:t>e.g.</w:t>
      </w:r>
      <w:r w:rsidRPr="004F469F">
        <w:t>, Southeast) favoring hits and areas with lower rural population densities (</w:t>
      </w:r>
      <w:r w:rsidRPr="004F469F">
        <w:rPr>
          <w:i/>
          <w:iCs/>
        </w:rPr>
        <w:t>e.g.</w:t>
      </w:r>
      <w:r w:rsidRPr="004F469F">
        <w:t xml:space="preserve">, Southern Plains) favoring near-misses. Our analysis also found that the error introduced by using synthetic tornado footprints is not sensitive to the selection of the level of census data used. This finding is important because (1) it allows a user to select the census level that best fits their tornado hazard assessment and (2) it enables analysis of tornadoes going back to the late 1800s </w:t>
      </w:r>
      <w:r w:rsidR="00AF0B8C" w:rsidRPr="004F469F">
        <w:fldChar w:fldCharType="begin" w:fldLock="1"/>
      </w:r>
      <w:r w:rsidR="00C31A1B" w:rsidRPr="004F469F">
        <w:instrText>ADDIN CSL_CITATION {"citationItems":[{"id":"ITEM-1","itemData":{"ISBN":"1879362031","author":[{"dropping-particle":"","family":"Grazulis","given":"Thomas P.","non-dropping-particle":"","parse-names":false,"suffix":""}],"id":"ITEM-1","issued":{"date-parts":[["1993"]]},"number-of-pages":"1326","publisher":"Enviromental Films","title":"Significant Tornadoes: 1680-1991","type":"book"},"uris":["http://www.mendeley.com/documents/?uuid=38eac11f-29c5-48cb-8964-889060b73087"]},{"id":"ITEM-2","itemData":{"ISBN":"187936204X","author":[{"dropping-particle":"","family":"Grazulis","given":"Thomas P.","non-dropping-particle":"","parse-names":false,"suffix":""}],"id":"ITEM-2","issued":{"date-parts":[["1997"]]},"number-of-pages":"118","publisher":"Environmental Films","title":"Significant Tornadoes (Update): 1992-1995","type":"book"},"uris":["http://www.mendeley.com/documents/?uuid=df4baf2d-949a-47b7-a427-d4d2d13ea34d"]}],"mendeley":{"formattedCitation":"(Grazulis, 1993, 1997)","plainTextFormattedCitation":"(Grazulis, 1993, 1997)","previouslyFormattedCitation":"(Grazulis, 1993, 1997)"},"properties":{"noteIndex":0},"schema":"https://github.com/citation-style-language/schema/raw/master/csl-citation.json"}</w:instrText>
      </w:r>
      <w:r w:rsidR="00AF0B8C" w:rsidRPr="004F469F">
        <w:fldChar w:fldCharType="separate"/>
      </w:r>
      <w:r w:rsidR="00C31A1B" w:rsidRPr="004F469F">
        <w:rPr>
          <w:noProof/>
        </w:rPr>
        <w:t>(Grazulis, 1993, 1997)</w:t>
      </w:r>
      <w:r w:rsidR="00AF0B8C" w:rsidRPr="004F469F">
        <w:fldChar w:fldCharType="end"/>
      </w:r>
      <w:r w:rsidRPr="004F469F">
        <w:t xml:space="preserve"> when county-level census data was the only census data available.</w:t>
      </w:r>
    </w:p>
    <w:p w14:paraId="31F73EA2" w14:textId="44898BB9" w:rsidR="00C72B7B" w:rsidRPr="004F469F" w:rsidRDefault="008F1B78" w:rsidP="00CA0FB7">
      <w:pPr>
        <w:spacing w:after="120" w:line="480" w:lineRule="auto"/>
        <w:ind w:firstLine="720"/>
      </w:pPr>
      <w:r w:rsidRPr="004F469F">
        <w:t xml:space="preserve">Emergency managers require an in-depth understanding of tornado hazard risk to help mitigate tornado disasters, but they often ignore near-miss tornadoes when assessing risk due to a lack of direct impacts. Near-misses are important because in addition to representing realistic outcomes they can also influence risk perception and sheltering behavior </w:t>
      </w:r>
      <w:r w:rsidR="00AF0B8C" w:rsidRPr="004F469F">
        <w:fldChar w:fldCharType="begin" w:fldLock="1"/>
      </w:r>
      <w:r w:rsidR="00123266">
        <w:instrText>ADDIN CSL_CITATION {"citationItems":[{"id":"ITEM-1","itemData":{"DOI":"10.1111/j.1539-6924.2010.01506.x","abstract":"Prior research shows that when people perceive the risk of some hazardous event to be low, they are unlikely to engage in mitigation activities for the potential hazard. We believe one factor that can lower inappropriately (from a normative perspective) people's perception of the risk of a hazard is information about prior near-miss events. A near-miss occurs when an event (such as a hurricane), which had some nontrivial probability of ending in disaster (loss of life, property damage), does not because good fortune intervenes. People appear to mistake such good fortune as an indicator of resiliency. In our first study, people with near-miss information were less likely to purchase flood insurance, and this was shown for both participants from the general population and individuals with specific interests in risk and natural disasters. In our second study, we consider a different mitigation decision, that is, to evacuate from a hurricane, and vary the level of statistical probability of hurricane damage. We still found a strong effect for near-miss information. Our research thus shows how people who have experienced a similar situation but escape damage because of chance will make decisions consistent with a perception that the situation is less risky than those without the past experience. We end by discussing the implications for risk communication.","author":[{"dropping-particle":"","family":"Dillon","given":"Robin L.","non-dropping-particle":"","parse-names":false,"suffix":""},{"dropping-particle":"","family":"Tinsley","given":"Catherine H.","non-dropping-particle":"","parse-names":false,"suffix":""},{"dropping-particle":"","family":"Cronin","given":"Matthew","non-dropping-particle":"","parse-names":false,"suffix":""}],"container-title":"Risk Analysis","id":"ITEM-1","issue":"3","issued":{"date-parts":[["2011"]]},"page":"440-449","title":"Why near-miss events can decrease an individual's protective response to hurricanes","type":"article-journal","volume":"31"},"uris":["http://www.mendeley.com/documents/?uuid=e2928bee-ca9f-4ba0-8e85-d90ec5a2c761"]},{"id":"ITEM-2","itemData":{"DOI":"10.1111/risa.12209","author":[{"dropping-particle":"","family":"Dillon","given":"Robin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Analysis","id":"ITEM-2","issue":"10","issued":{"date-parts":[["2014"]]},"page":"1907-1922","publisher":"Wiley Online Library","title":"Near-misses and future disaster preparedness","type":"article-journal","volume":"34"},"uris":["http://www.mendeley.com/documents/?uuid=d86a4e9b-c93c-4426-be37-751ddab6f780"]},{"id":"ITEM-3","itemData":{"DOI":"10.1287/mnsc.1120.1517","author":[{"dropping-particle":"","family":"Tinsley","given":"Catherine H.","non-dropping-particle":"","parse-names":false,"suffix":""},{"dropping-particle":"","family":"Dillon","given":"Robin L.","non-dropping-particle":"","parse-names":false,"suffix":""},{"dropping-particle":"","family":"Cronin","given":"Matthew A.","non-dropping-particle":"","parse-names":false,"suffix":""}],"container-title":"Management Science","id":"ITEM-3","issue":"9","issued":{"date-parts":[["2012"]]},"page":"1596-1613","publisher":"INFORMS","title":"How near-miss events amplify or attenuate risky decision making","type":"article-journal","volume":"58"},"uris":["http://www.mendeley.com/documents/?uuid=01a0883f-6890-4f85-9119-a977e6a984f2"]}],"mendeley":{"formattedCitation":"(Dillon et al., 2011, 2014; Tinsley et al., 2012)","plainTextFormattedCitation":"(Dillon et al., 2011, 2014; Tinsley et al., 2012)","previouslyFormattedCitation":"(Dillon et al., 2011, 2014; Tinsley et al., 2012)"},"properties":{"noteIndex":0},"schema":"https://github.com/citation-style-language/schema/raw/master/csl-citation.json"}</w:instrText>
      </w:r>
      <w:r w:rsidR="00AF0B8C" w:rsidRPr="004F469F">
        <w:fldChar w:fldCharType="separate"/>
      </w:r>
      <w:r w:rsidR="00123266" w:rsidRPr="00123266">
        <w:rPr>
          <w:noProof/>
        </w:rPr>
        <w:t xml:space="preserve">(Dillon </w:t>
      </w:r>
      <w:r w:rsidR="00123266" w:rsidRPr="00453357">
        <w:rPr>
          <w:i/>
          <w:iCs/>
          <w:noProof/>
        </w:rPr>
        <w:t>et al.</w:t>
      </w:r>
      <w:r w:rsidR="00123266" w:rsidRPr="00123266">
        <w:rPr>
          <w:noProof/>
        </w:rPr>
        <w:t xml:space="preserve">, 2011, 2014; Tinsley </w:t>
      </w:r>
      <w:r w:rsidR="00123266" w:rsidRPr="00453357">
        <w:rPr>
          <w:i/>
          <w:iCs/>
          <w:noProof/>
        </w:rPr>
        <w:t>et al.</w:t>
      </w:r>
      <w:r w:rsidR="00123266" w:rsidRPr="00123266">
        <w:rPr>
          <w:noProof/>
        </w:rPr>
        <w:t>, 2012)</w:t>
      </w:r>
      <w:r w:rsidR="00AF0B8C" w:rsidRPr="004F469F">
        <w:fldChar w:fldCharType="end"/>
      </w:r>
      <w:r w:rsidRPr="004F469F">
        <w:t xml:space="preserve">. Tornado warnings do not always reach the entire population at risk, </w:t>
      </w:r>
      <w:r w:rsidRPr="004F469F">
        <w:lastRenderedPageBreak/>
        <w:t xml:space="preserve">due to factors such as language barriers or lack of television/radio/tv/internet access </w:t>
      </w:r>
      <w:r w:rsidR="00AF0B8C" w:rsidRPr="004F469F">
        <w:fldChar w:fldCharType="begin" w:fldLock="1"/>
      </w:r>
      <w:r w:rsidR="0010658B">
        <w:instrText>ADDIN CSL_CITATION {"citationItems":[{"id":"ITEM-1","itemData":{"DOI":"10.1175/BAMS-D-12-00147.1","ISBN":"1520-0477","ISSN":"00030007","PMID":"17798761","abstract":"ne of the scientific community’s greatest achievements in meteorology during the twentieth century has been the development of a largely effective public tornado warning system. O Between 1912 and 1936, tornadoes killed an average 260 persons per year, about 1.8 deaths per million people when normalized by population (Brooks and Doswell 2001). Between 1975 and 2000, that number had declined to 54 deaths per year, or 0.12 deaths per million people in 2000 (Brooks and Doswell 2001), a reduction of 93% from 1925. In 1986 the tornado warning lead time was approximately five minutes, with only 25% of tornadoes warned; by 2004, the mean lead time was 13 min, with about 75% of tor- nadoes warned (Erickson and Brooks 2006). Far from simple, the tornado warning process is a complex chain of events, encompassing institu- tional action and individual responses, that utilizes sensing technologies, conceptual models, numerical AFFILIATIONS: BROTZGE—University of Oklahoma, Norman, Oklahoma; DONNER—Department of Sociology and Anthropology, The University of Texas–Pan American, Edinburg, Texas CORRESPONDING AUTHOR: Jerry Brotzge, Center for Analysis and Prediction of Storms, University of Oklahoma, 120 David L. Boren Blvd., Suite 2500, Norman, OK 73072-7309 E-mail: jbrotzge@ou.edu The abstract for this article can be found in this issue, following the table of contents. DOI:10.1175/BAMS-D-12-00147.1 In final form 16 April 2013 ©2013 American Meteorological Society weather prediction (NWP), forecaster and emergency management (EM) decision making, warning dis- semination technologies, and public experience and education (Fig. 1). The sequential steps of this process—forecast, detection, warning decision, dissemination, and public response—are known as the Integrated Warning System (IWS; Leik et al. 1981; Doswell et al. 1999). This article reviews the end-to-end tornado warning process and related research, considers the challenges to improving the current system, and explores possible next steps. While this article cannot provide a completely comprehensive review of all research in each specific area, the goal is to provide a broad overview of the tornado warning process and a brief summary of the many avenues of research that could contribute to improvements in the current system","author":[{"dropping-particle":"","family":"Brotzge","given":"J.","non-dropping-particle":"","parse-names":false,"suffix":""},{"dropping-particle":"","family":"Donner","given":"W.","non-dropping-particle":"","parse-names":false,"suffix":""}],"container-title":"Bulletin of the American Meteorological Society","id":"ITEM-1","issue":"11","issued":{"date-parts":[["2013"]]},"page":"1715-1733","title":"The tornado warning process: A review of current research, challenges, and opportunities","type":"article-journal","volume":"94"},"uris":["http://www.mendeley.com/documents/?uuid=e45c23bd-cce2-499e-81d3-4506ffe92500"]}],"mendeley":{"formattedCitation":"(Brotzge and Donner, 2013)","plainTextFormattedCitation":"(Brotzge and Donner, 2013)","previouslyFormattedCitation":"(Brotzge and Donner, 2013)"},"properties":{"noteIndex":0},"schema":"https://github.com/citation-style-language/schema/raw/master/csl-citation.json"}</w:instrText>
      </w:r>
      <w:r w:rsidR="00AF0B8C" w:rsidRPr="004F469F">
        <w:fldChar w:fldCharType="separate"/>
      </w:r>
      <w:r w:rsidR="0010658B" w:rsidRPr="0010658B">
        <w:rPr>
          <w:noProof/>
        </w:rPr>
        <w:t>(Brotzge and Donner, 2013)</w:t>
      </w:r>
      <w:r w:rsidR="00AF0B8C" w:rsidRPr="004F469F">
        <w:fldChar w:fldCharType="end"/>
      </w:r>
      <w:r w:rsidRPr="004F469F">
        <w:t xml:space="preserve">. However, often the warning is received and not heeded </w:t>
      </w:r>
      <w:r w:rsidR="00AF0B8C" w:rsidRPr="004F469F">
        <w:fldChar w:fldCharType="begin" w:fldLock="1"/>
      </w:r>
      <w:r w:rsidR="0010658B">
        <w:instrText>ADDIN CSL_CITATION {"citationItems":[{"id":"ITEM-1","itemData":{"DOI":"10.1007/s11069-009-9405-0","author":[{"dropping-particle":"","family":"Sherman-Morris","given":"Kathleen","non-dropping-particle":"","parse-names":false,"suffix":""}],"container-title":"Natural Hazards","id":"ITEM-1","issue":"3","issued":{"date-parts":[["2010"]]},"page":"623-638","publisher":"Springer","title":"Tornado warning dissemination and response at a university campus","type":"article-journal","volume":"52"},"uris":["http://www.mendeley.com/documents/?uuid=6eb01b2d-1d5f-4507-a439-4482c098070b"]},{"id":"ITEM-2","itemData":{"DOI":"10.1007/s11069-012-0313-3","abstract":"On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Hazards","id":"ITEM-2","issue":"2","issued":{"date-parts":[["2012"]]},"page":"1511-1526","title":"Exploring probable reasons for record fatalities: the case of 2011 Joplin, Missouri, tornado","type":"article-journal","volume":"64"},"uris":["http://www.mendeley.com/documents/?uuid=20b4b09b-7791-4d88-b2dd-b2d4d2b6540d"]}],"mendeley":{"formattedCitation":"(Sherman-Morris, 2010; Paul and Stimers, 2012)","plainTextFormattedCitation":"(Sherman-Morris, 2010; Paul and Stimers, 2012)","previouslyFormattedCitation":"(Sherman-Morris, 2010; Paul and Stimers, 2012)"},"properties":{"noteIndex":0},"schema":"https://github.com/citation-style-language/schema/raw/master/csl-citation.json"}</w:instrText>
      </w:r>
      <w:r w:rsidR="00AF0B8C" w:rsidRPr="004F469F">
        <w:fldChar w:fldCharType="separate"/>
      </w:r>
      <w:r w:rsidR="0010658B" w:rsidRPr="0010658B">
        <w:rPr>
          <w:noProof/>
        </w:rPr>
        <w:t>(Sherman-Morris, 2010; Paul and Stimers, 2012)</w:t>
      </w:r>
      <w:r w:rsidR="00AF0B8C" w:rsidRPr="004F469F">
        <w:fldChar w:fldCharType="end"/>
      </w:r>
      <w:r w:rsidRPr="004F469F">
        <w:t xml:space="preserve"> due to a lack of personalization of the risk. Studies have shown that frequent false alarms, due to near-misses, can desensitize the public to tornado risk and reduce the likelihood of response to a warning </w:t>
      </w:r>
      <w:r w:rsidR="00AF0B8C" w:rsidRPr="004F469F">
        <w:fldChar w:fldCharType="begin" w:fldLock="1"/>
      </w:r>
      <w:r w:rsidR="00123266">
        <w:instrText>ADDIN CSL_CITATION {"citationItems":[{"id":"ITEM-1","itemData":{"author":[{"dropping-particle":"","family":"Barnes","given":"Lindsey R","non-dropping-particle":"","parse-names":false,"suffix":""},{"dropping-particle":"","family":"Gruntfest","given":"Eve C","non-dropping-particle":"","parse-names":false,"suffix":""},{"dropping-particle":"","family":"Hayden","given":"Mary H","non-dropping-particle":"","parse-names":false,"suffix":""},{"dropping-particle":"","family":"Schultz","given":"David M","non-dropping-particle":"","parse-names":false,"suffix":""},{"dropping-particle":"","family":"Benight","given":"Charles","non-dropping-particle":"","parse-names":false,"suffix":""}],"container-title":"Weather and Forecasting","id":"ITEM-1","issue":"5","issued":{"date-parts":[["2007"]]},"page":"1140-1147","title":"False alarms and close calls: A conceptual model of warning accuracy","type":"article-journal","volume":"22"},"uris":["http://www.mendeley.com/documents/?uuid=e3151d52-3f26-4156-83a0-1af9b6e09f61"]},{"id":"ITEM-2","itemData":{"DOI":"10.1175/2009WCAS1005.1","ISBN":"1948-8335","abstract":"This paper extends prior research on the societal value of tornado warnings to the impact of false alarms. Intuition and theory suggest that false alarms will reduce the response to warnings, yet little evidence of a “false alarm effect” has been unearthed. This paper exploits differences in the false-alarm ratio across the United States to test for a false-alarm effect in a regression model of tornado casualties from 1986 to 2004. A statistically significant and large false-alarm effect is found: tornadoes that occur in an area with a higher false-alarm ratio kill and injure more people, everything else being constant. The effect is consistent across false-alarm ratios defined over different geographies and time intervals. A one-standard-deviation increase in the false-alarm ratio increases expected fatalities by between 12% and 29% and increases expected injuries by between 14% and 32%. The reduction in the national tornado false-alarm ratio over the period reduced fatalities by 4%–11% and injuries by 4%–13%. The casualty effects of false alarms and warning lead times are approximately equal in magnitude, suggesting that the National Weather Service could not reduce casualties by trading off a higher probability of detection for a higher false-alarm ratio, or vice versa.","author":[{"dropping-particle":"","family":"Simmons","given":"Kevin M","non-dropping-particle":"","parse-names":false,"suffix":""},{"dropping-particle":"","family":"Sutter","given":"Daniel","non-dropping-particle":"","parse-names":false,"suffix":""}],"container-title":"Weather, Climate, and Society","id":"ITEM-2","issue":"1","issued":{"date-parts":[["2009"]]},"page":"38-53","title":"False alarms, tornado warnings, and tornado casualties","type":"article-journal","volume":"1"},"uris":["http://www.mendeley.com/documents/?uuid=f849a444-f729-4454-80ab-d7f24d5e368b"]},{"id":"ITEM-3","itemData":{"DOI":"10.1175/WAF-D-10-05004.1","ISBN":"0882-8156","ISSN":"0882-8156","abstract":"During 2008 approximately 75%% of tornado warnings issued by the National Weather Service (NWS) were false alarms. This study investigates some of the climatological trends in the issuance of false alarms and highlights several factors that impact false-alarm ratio (FAR) statistics. All tornadoes and tornado warnings issued across the continental United States between 2000 and 2004 were analyzed, and the data were sorted by hour of the day, month of the year, geographical region and weather forecast office (WFO), the number of tornadoes observed on a day in which a false alarm was issued, distance of the warned area from the nearest NWS radar, county population density, and county area. Analysis of the tornado false-alarm data identified six specific trends. First, the FAR was highest during nonpeak storm periods, such as during the night and during the winter and late summer. Second, the FAR was strongly tied to the number of tornadoes warned per day. Nearly one-third of all false alarms were issued on days when no tornadoes were confirmed within the WFO's county warning area. Third, the FAR varied with distance from radar, with significantly lower estimates found beyond 150 km from radar. Fourth, the FAR varied with population density. For warnings within 50 km of an NWS radar, FAR increased with population density; however, for warnings beyond 150 km from radar, FAR decreased regardless of population density. Fifth, the FAR also varied as a function of county size. The FAR was generally highest for the smallest counties; the FAR was ~80%% for all counties less than 1000 km2 regardless of distance from radar. Finally, the combined effects of distance from radar, population density, and county size led to significant variability across geographic regions.","author":[{"dropping-particle":"","family":"Brotzge","given":"J.","non-dropping-particle":"","parse-names":false,"suffix":""},{"dropping-particle":"","family":"Erickson","given":"S.","non-dropping-particle":"","parse-names":false,"suffix":""},{"dropping-particle":"","family":"Brooks","given":"H.","non-dropping-particle":"","parse-names":false,"suffix":""}],"container-title":"Weather and Forecasting","id":"ITEM-3","issue":"4","issued":{"date-parts":[["2011"]]},"page":"534-544","title":"A 5-yr climatology of tornado false alarms","type":"article-journal","volume":"26"},"uris":["http://www.mendeley.com/documents/?uuid=e7563fb0-67b4-4eaa-aa36-3ebe52976207"]},{"id":"ITEM-4","itemData":{"ISBN":"9781878220998","author":[{"dropping-particle":"","family":"Simmons","given":"Kevin M.","non-dropping-particle":"","parse-names":false,"suffix":""},{"dropping-particle":"","family":"Sutter","given":"Daniel","non-dropping-particle":"","parse-names":false,"suffix":""}],"edition":"1","id":"ITEM-4","issued":{"date-parts":[["2011"]]},"number-of-pages":"282","publisher":"American Meteorological Society","publisher-place":"Boston, MA","title":"Economic and societal impacts of tornadoes","type":"book"},"uris":["http://www.mendeley.com/documents/?uuid=679dd86e-3cb6-4bd9-aa65-841ad4dddd4a"]},{"id":"ITEM-5","itemData":{"DOI":"10.1007/s11069-012-0313-3","abstract":"On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Hazards","id":"ITEM-5","issue":"2","issued":{"date-parts":[["2012"]]},"page":"1511-1526","title":"Exploring probable reasons for record fatalities: the case of 2011 Joplin, Missouri, tornado","type":"article-journal","volume":"64"},"uris":["http://www.mendeley.com/documents/?uuid=20b4b09b-7791-4d88-b2dd-b2d4d2b6540d"]}],"mendeley":{"formattedCitation":"(Barnes et al., 2007; Simmons and Sutter, 2009, 2011; Brotzge et al., 2011; Paul and Stimers, 2012)","plainTextFormattedCitation":"(Barnes et al., 2007; Simmons and Sutter, 2009, 2011; Brotzge et al., 2011; Paul and Stimers, 2012)","previouslyFormattedCitation":"(Barnes et al., 2007; Simmons and Sutter, 2009, 2011; Brotzge et al., 2011; Paul and Stimers, 2012)"},"properties":{"noteIndex":0},"schema":"https://github.com/citation-style-language/schema/raw/master/csl-citation.json"}</w:instrText>
      </w:r>
      <w:r w:rsidR="00AF0B8C" w:rsidRPr="004F469F">
        <w:fldChar w:fldCharType="separate"/>
      </w:r>
      <w:r w:rsidR="00123266" w:rsidRPr="00123266">
        <w:rPr>
          <w:noProof/>
        </w:rPr>
        <w:t xml:space="preserve">(Barnes </w:t>
      </w:r>
      <w:r w:rsidR="00123266" w:rsidRPr="00453357">
        <w:rPr>
          <w:i/>
          <w:iCs/>
          <w:noProof/>
        </w:rPr>
        <w:t>et al.</w:t>
      </w:r>
      <w:r w:rsidR="00123266" w:rsidRPr="00123266">
        <w:rPr>
          <w:noProof/>
        </w:rPr>
        <w:t xml:space="preserve">, 2007; Simmons and Sutter, 2009, 2011; Brotzge </w:t>
      </w:r>
      <w:r w:rsidR="00123266" w:rsidRPr="00453357">
        <w:rPr>
          <w:i/>
          <w:iCs/>
          <w:noProof/>
        </w:rPr>
        <w:t>et al.</w:t>
      </w:r>
      <w:r w:rsidR="00123266" w:rsidRPr="00123266">
        <w:rPr>
          <w:noProof/>
        </w:rPr>
        <w:t>, 2011; Paul and Stimers, 2012)</w:t>
      </w:r>
      <w:r w:rsidR="00AF0B8C" w:rsidRPr="004F469F">
        <w:fldChar w:fldCharType="end"/>
      </w:r>
      <w:r w:rsidR="00AF0B8C" w:rsidRPr="004F469F">
        <w:t>.</w:t>
      </w:r>
      <w:r w:rsidRPr="004F469F">
        <w:t xml:space="preserve"> Frequent near-misses can also prompt the development of tornado folklore that can lead people to assume they are safe and thus not seek shelter or seek shelter in the wrong location </w:t>
      </w:r>
      <w:r w:rsidR="00AF0B8C" w:rsidRPr="004F469F">
        <w:fldChar w:fldCharType="begin" w:fldLock="1"/>
      </w:r>
      <w:r w:rsidR="00123266">
        <w:instrText>ADDIN CSL_CITATION {"citationItems":[{"id":"ITEM-1","itemData":{"DOI":"10.1175/2011WCAS1076.1","ISBN":"1948-8327","ISSN":"1948-8327","abstract":"Tornado warnings are currently issued an average of 13 min in advance of a tornado and are based on a warn-on-detection paradigm. However, computer model improvements may allow for a new warning paradigm, warn-on-forecast, to be established in the future. This would mean that tornado warnings could be issued one to two hours in advance, prior to storm initiation. In anticipation of the technological innovation, this study inquires whether the warn-on-forecast paradigm for tornado warnings may be preferred by the public (i.e., individuals and households). The authors sample is drawn from visitors to the National Weather Center in Norman, Oklahoma. During the summer and fall of 2009, surveys were distributed to 320 participants to assess their understanding and perception of weather risks and preferred tornado warning lead time. Responses were analyzed according to several different parameters including age, region of residency, educational level, number of children, and prior tornado experience. A majority of the respondents answered many of the weather risk questions correctly. They seemed to be familiar with tornado seasons; however, they were unaware of the relative number of fatalities caused by tornadoes and several additional weather phenomena each year in the United States. The preferred lead time was 34.3 min according to average survey responses. This suggests that while the general public may currently prefer a longer average lead time than the present system offers, the preference does not extend to the 1–2-h time frame theoretically offered by the warn-on-forecast system. When asked what they would do if given a 1-h lead time, respondents reported that taking shelter was a lesser priority than when given a 15-min lead time, and fleeing the area became a slightly more popular alternative. A majority of respondents also reported the situation would feel less life threatening if given a 1-h lead time. These results suggest that how the public responds to longer lead times may be complex and situationally dependent, and further study must be conducted to ascertain the users for whom the longer lead times would carry the most value. These results form the basis of an informative stated-preference approach to predicting public response to long (&gt;1 h) warning lead times, using public understanding of the risks posed by severe weather events to contextualize lead-time demand.","author":[{"dropping-particle":"","family":"Hoekstra","given":"S.","non-dropping-particle":"","parse-names":false,"suffix":""},{"dropping-particle":"","family":"Klockow","given":"K.","non-dropping-particle":"","parse-names":false,"suffix":""},{"dropping-particle":"","family":"Riley","given":"R.","non-dropping-particle":"","parse-names":false,"suffix":""},{"dropping-particle":"","family":"Brotzge","given":"J.","non-dropping-particle":"","parse-names":false,"suffix":""},{"dropping-particle":"","family":"Brooks","given":"H.","non-dropping-particle":"","parse-names":false,"suffix":""},{"dropping-particle":"","family":"Erickson","given":"S.","non-dropping-particle":"","parse-names":false,"suffix":""}],"container-title":"Weather, Climate, and Society","id":"ITEM-1","issue":"2","issued":{"date-parts":[["2011"]]},"page":"128-140","title":"A Preliminary Look at the Social Perspective of Warn-on-Forecast: Preferred Tornado Warning Lead Time and the General Public’s Perceptions of Weather Risks","type":"article-journal","volume":"3"},"uris":["http://www.mendeley.com/documents/?uuid=781a5543-d038-4ec3-9825-6e94cd7bebcc"]},{"id":"ITEM-2","itemData":{"DOI":"10.1007/s10708-013-9518-6","author":[{"dropping-particle":"","family":"Klockow","given":"Kimberly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A.","non-dropping-particle":"","parse-names":false,"suffix":""}],"container-title":"GeoJournal","id":"ITEM-2","issue":"6","issued":{"date-parts":[["2014"]]},"page":"791-804","title":"Tornado folk science in Alabama and Mississippi in the 27 April 2011 tornado outbreak","type":"article-journal","volume":"79"},"uris":["http://www.mendeley.com/documents/?uuid=b2de5efd-e72d-4641-8d1d-ff4cb52012e2"]}],"mendeley":{"formattedCitation":"(Hoekstra et al., 2011; Klockow et al., 2014)","plainTextFormattedCitation":"(Hoekstra et al., 2011; Klockow et al., 2014)","previouslyFormattedCitation":"(Hoekstra et al., 2011; Klockow et al., 2014)"},"properties":{"noteIndex":0},"schema":"https://github.com/citation-style-language/schema/raw/master/csl-citation.json"}</w:instrText>
      </w:r>
      <w:r w:rsidR="00AF0B8C" w:rsidRPr="004F469F">
        <w:fldChar w:fldCharType="separate"/>
      </w:r>
      <w:r w:rsidR="00123266" w:rsidRPr="00123266">
        <w:rPr>
          <w:noProof/>
        </w:rPr>
        <w:t xml:space="preserve">(Hoekstra </w:t>
      </w:r>
      <w:r w:rsidR="00123266" w:rsidRPr="00453357">
        <w:rPr>
          <w:i/>
          <w:iCs/>
          <w:noProof/>
        </w:rPr>
        <w:t>et al.</w:t>
      </w:r>
      <w:r w:rsidR="00123266" w:rsidRPr="00123266">
        <w:rPr>
          <w:noProof/>
        </w:rPr>
        <w:t xml:space="preserve">, 2011; Klockow </w:t>
      </w:r>
      <w:r w:rsidR="00123266" w:rsidRPr="00453357">
        <w:rPr>
          <w:i/>
          <w:iCs/>
          <w:noProof/>
        </w:rPr>
        <w:t>et al.</w:t>
      </w:r>
      <w:r w:rsidR="00123266" w:rsidRPr="00123266">
        <w:rPr>
          <w:noProof/>
        </w:rPr>
        <w:t>, 2014)</w:t>
      </w:r>
      <w:r w:rsidR="00AF0B8C" w:rsidRPr="004F469F">
        <w:fldChar w:fldCharType="end"/>
      </w:r>
      <w:r w:rsidRPr="004F469F">
        <w:t xml:space="preserve">. Knowledge about the location of frequent near-misses can help emergency managers and risk communicators target communities that might be more vulnerable, due to an underestimation of tornado risk, for educational campaigns </w:t>
      </w:r>
      <w:r w:rsidR="00AF0B8C" w:rsidRPr="004F469F">
        <w:fldChar w:fldCharType="begin" w:fldLock="1"/>
      </w:r>
      <w:r w:rsidR="0010658B">
        <w:instrText>ADDIN CSL_CITATION {"citationItems":[{"id":"ITEM-1","itemData":{"DOI":"10.1175/BAMS-D-12-00147.1","ISBN":"1520-0477","ISSN":"00030007","PMID":"17798761","abstract":"ne of the scientific community’s greatest achievements in meteorology during the twentieth century has been the development of a largely effective public tornado warning system. O Between 1912 and 1936, tornadoes killed an average 260 persons per year, about 1.8 deaths per million people when normalized by population (Brooks and Doswell 2001). Between 1975 and 2000, that number had declined to 54 deaths per year, or 0.12 deaths per million people in 2000 (Brooks and Doswell 2001), a reduction of 93% from 1925. In 1986 the tornado warning lead time was approximately five minutes, with only 25% of tornadoes warned; by 2004, the mean lead time was 13 min, with about 75% of tor- nadoes warned (Erickson and Brooks 2006). Far from simple, the tornado warning process is a complex chain of events, encompassing institu- tional action and individual responses, that utilizes sensing technologies, conceptual models, numerical AFFILIATIONS: BROTZGE—University of Oklahoma, Norman, Oklahoma; DONNER—Department of Sociology and Anthropology, The University of Texas–Pan American, Edinburg, Texas CORRESPONDING AUTHOR: Jerry Brotzge, Center for Analysis and Prediction of Storms, University of Oklahoma, 120 David L. Boren Blvd., Suite 2500, Norman, OK 73072-7309 E-mail: jbrotzge@ou.edu The abstract for this article can be found in this issue, following the table of contents. DOI:10.1175/BAMS-D-12-00147.1 In final form 16 April 2013 ©2013 American Meteorological Society weather prediction (NWP), forecaster and emergency management (EM) decision making, warning dis- semination technologies, and public experience and education (Fig. 1). The sequential steps of this process—forecast, detection, warning decision, dissemination, and public response—are known as the Integrated Warning System (IWS; Leik et al. 1981; Doswell et al. 1999). This article reviews the end-to-end tornado warning process and related research, considers the challenges to improving the current system, and explores possible next steps. While this article cannot provide a completely comprehensive review of all research in each specific area, the goal is to provide a broad overview of the tornado warning process and a brief summary of the many avenues of research that could contribute to improvements in the current system","author":[{"dropping-particle":"","family":"Brotzge","given":"J.","non-dropping-particle":"","parse-names":false,"suffix":""},{"dropping-particle":"","family":"Donner","given":"W.","non-dropping-particle":"","parse-names":false,"suffix":""}],"container-title":"Bulletin of the American Meteorological Society","id":"ITEM-1","issue":"11","issued":{"date-parts":[["2013"]]},"page":"1715-1733","title":"The tornado warning process: A review of current research, challenges, and opportunities","type":"article-journal","volume":"94"},"uris":["http://www.mendeley.com/documents/?uuid=e45c23bd-cce2-499e-81d3-4506ffe92500"]}],"mendeley":{"formattedCitation":"(Brotzge and Donner, 2013)","plainTextFormattedCitation":"(Brotzge and Donner, 2013)","previouslyFormattedCitation":"(Brotzge and Donner, 2013)"},"properties":{"noteIndex":0},"schema":"https://github.com/citation-style-language/schema/raw/master/csl-citation.json"}</w:instrText>
      </w:r>
      <w:r w:rsidR="00AF0B8C" w:rsidRPr="004F469F">
        <w:fldChar w:fldCharType="separate"/>
      </w:r>
      <w:r w:rsidR="0010658B" w:rsidRPr="0010658B">
        <w:rPr>
          <w:noProof/>
        </w:rPr>
        <w:t>(Brotzge and Donner, 2013)</w:t>
      </w:r>
      <w:r w:rsidR="00AF0B8C" w:rsidRPr="004F469F">
        <w:fldChar w:fldCharType="end"/>
      </w:r>
      <w:r w:rsidRPr="004F469F">
        <w:t xml:space="preserve">. Expert-led town halls could be conducted to combat tornado myths and better explain the true nature of local tornado risk </w:t>
      </w:r>
      <w:r w:rsidR="00AF0B8C" w:rsidRPr="004F469F">
        <w:fldChar w:fldCharType="begin" w:fldLock="1"/>
      </w:r>
      <w:r w:rsidR="00123266">
        <w:instrText>ADDIN CSL_CITATION {"citationItems":[{"id":"ITEM-1","itemData":{"author":[{"dropping-particle":"","family":"Stewart","given":"Alan E","non-dropping-particle":"","parse-names":false,"suffix":""},{"dropping-particle":"","family":"Knox","given":"John A","non-dropping-particle":"","parse-names":false,"suffix":""},{"dropping-particle":"","family":"Schneider","given":"Pat","non-dropping-particle":"","parse-names":false,"suffix":""}],"container-title":"Bulletin of the American Meteorological Society","id":"ITEM-1","issue":"8","issued":{"date-parts":[["2018"]]},"page":"1545-1555","title":"Reaching students and parents through weather science and safety workshops for teachers","type":"article-journal","volume":"99"},"uris":["http://www.mendeley.com/documents/?uuid=9ebb62b4-aed2-4e60-8a64-cd6bd05bebf7"]}],"mendeley":{"formattedCitation":"(Stewart et al., 2018)","plainTextFormattedCitation":"(Stewart et al., 2018)","previouslyFormattedCitation":"(Stewart et al., 2018)"},"properties":{"noteIndex":0},"schema":"https://github.com/citation-style-language/schema/raw/master/csl-citation.json"}</w:instrText>
      </w:r>
      <w:r w:rsidR="00AF0B8C" w:rsidRPr="004F469F">
        <w:fldChar w:fldCharType="separate"/>
      </w:r>
      <w:r w:rsidR="00123266" w:rsidRPr="00123266">
        <w:rPr>
          <w:noProof/>
        </w:rPr>
        <w:t xml:space="preserve">(Stewart </w:t>
      </w:r>
      <w:r w:rsidR="00123266" w:rsidRPr="00453357">
        <w:rPr>
          <w:i/>
          <w:iCs/>
          <w:noProof/>
        </w:rPr>
        <w:t>et al.</w:t>
      </w:r>
      <w:r w:rsidR="00123266" w:rsidRPr="00123266">
        <w:rPr>
          <w:noProof/>
        </w:rPr>
        <w:t>, 2018)</w:t>
      </w:r>
      <w:r w:rsidR="00AF0B8C" w:rsidRPr="004F469F">
        <w:fldChar w:fldCharType="end"/>
      </w:r>
      <w:r w:rsidRPr="004F469F">
        <w:t>. By increasing educational efforts in these high-risk areas, it might be possible to improve local knowledge and reduce casualties when violent tornadoes do hit.</w:t>
      </w:r>
    </w:p>
    <w:p w14:paraId="0074C409" w14:textId="4D2AEC80" w:rsidR="00C72B7B" w:rsidRPr="004F469F" w:rsidRDefault="00C72B7B" w:rsidP="005C4E5F">
      <w:pPr>
        <w:spacing w:after="120" w:line="480" w:lineRule="auto"/>
      </w:pPr>
    </w:p>
    <w:p w14:paraId="02BFD13B" w14:textId="13CA7909" w:rsidR="009D7121" w:rsidRPr="004F469F" w:rsidRDefault="009D7121" w:rsidP="005C4E5F">
      <w:pPr>
        <w:spacing w:after="120" w:line="480" w:lineRule="auto"/>
      </w:pPr>
    </w:p>
    <w:p w14:paraId="59921561" w14:textId="544B032D" w:rsidR="009D7121" w:rsidRPr="004F469F" w:rsidRDefault="009D7121" w:rsidP="005C4E5F">
      <w:pPr>
        <w:spacing w:after="120" w:line="480" w:lineRule="auto"/>
      </w:pPr>
    </w:p>
    <w:p w14:paraId="12C9508C" w14:textId="77777777" w:rsidR="00537523" w:rsidRPr="004F469F" w:rsidRDefault="00537523" w:rsidP="005C4E5F">
      <w:pPr>
        <w:spacing w:after="120" w:line="480" w:lineRule="auto"/>
        <w:sectPr w:rsidR="00537523" w:rsidRPr="004F469F" w:rsidSect="005F58DF">
          <w:footerReference w:type="default" r:id="rId11"/>
          <w:pgSz w:w="12240" w:h="15840"/>
          <w:pgMar w:top="1440" w:right="1440" w:bottom="1440" w:left="1440" w:header="720" w:footer="720" w:gutter="0"/>
          <w:pgNumType w:start="1"/>
          <w:cols w:space="720"/>
          <w:docGrid w:linePitch="360"/>
        </w:sectPr>
      </w:pPr>
    </w:p>
    <w:p w14:paraId="28BD3AE6" w14:textId="77777777" w:rsidR="00537523" w:rsidRPr="004F469F" w:rsidRDefault="00537523" w:rsidP="005C4E5F">
      <w:pPr>
        <w:spacing w:after="120" w:line="480" w:lineRule="auto"/>
        <w:sectPr w:rsidR="00537523" w:rsidRPr="004F469F" w:rsidSect="00A967F3">
          <w:type w:val="continuous"/>
          <w:pgSz w:w="12240" w:h="15840"/>
          <w:pgMar w:top="1440" w:right="1440" w:bottom="1440" w:left="1440" w:header="720" w:footer="720" w:gutter="0"/>
          <w:cols w:space="720"/>
          <w:docGrid w:linePitch="360"/>
        </w:sectPr>
      </w:pPr>
    </w:p>
    <w:p w14:paraId="6B8FE359" w14:textId="77777777" w:rsidR="00537523" w:rsidRPr="004F469F" w:rsidRDefault="00537523" w:rsidP="005C4E5F">
      <w:pPr>
        <w:spacing w:after="120" w:line="480" w:lineRule="auto"/>
        <w:sectPr w:rsidR="00537523" w:rsidRPr="004F469F" w:rsidSect="00A967F3">
          <w:type w:val="continuous"/>
          <w:pgSz w:w="12240" w:h="15840"/>
          <w:pgMar w:top="1440" w:right="1440" w:bottom="1440" w:left="1440" w:header="720" w:footer="720" w:gutter="0"/>
          <w:cols w:space="720"/>
          <w:docGrid w:linePitch="360"/>
        </w:sectPr>
      </w:pPr>
    </w:p>
    <w:p w14:paraId="2801E5F3" w14:textId="092A31F9" w:rsidR="00537523" w:rsidRPr="004F469F" w:rsidRDefault="00537523" w:rsidP="00537523">
      <w:pPr>
        <w:pStyle w:val="Caption"/>
        <w:keepNext/>
        <w:rPr>
          <w:rFonts w:ascii="Times New Roman" w:hAnsi="Times New Roman" w:cs="Times New Roman"/>
          <w:i w:val="0"/>
          <w:iCs w:val="0"/>
          <w:color w:val="auto"/>
          <w:sz w:val="24"/>
          <w:szCs w:val="24"/>
        </w:rPr>
      </w:pPr>
      <w:bookmarkStart w:id="32" w:name="_Toc22034989"/>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Comparison of exposure, potential exposure, and type between synthetic and observed tornado footprints for select violent tornadoes between 1995 and 2016. Variables include the date (DATE) and location (LOCATION) of the tornado, its exposure (OBS), and maximum potential exposure within the specified radius (PPEMAX) and whether the tornado is a near-miss, far-miss, or hit (TYPE).</w:t>
      </w:r>
      <w:bookmarkEnd w:id="32"/>
    </w:p>
    <w:tbl>
      <w:tblPr>
        <w:tblW w:w="0" w:type="auto"/>
        <w:tblLook w:val="04A0" w:firstRow="1" w:lastRow="0" w:firstColumn="1" w:lastColumn="0" w:noHBand="0" w:noVBand="1"/>
      </w:tblPr>
      <w:tblGrid>
        <w:gridCol w:w="1283"/>
        <w:gridCol w:w="2638"/>
        <w:gridCol w:w="766"/>
        <w:gridCol w:w="1028"/>
        <w:gridCol w:w="1028"/>
        <w:gridCol w:w="994"/>
        <w:gridCol w:w="766"/>
        <w:gridCol w:w="1028"/>
        <w:gridCol w:w="1028"/>
        <w:gridCol w:w="994"/>
      </w:tblGrid>
      <w:tr w:rsidR="00494669" w:rsidRPr="004F469F" w14:paraId="7B3E71FA" w14:textId="77777777" w:rsidTr="00537523">
        <w:trPr>
          <w:trHeight w:val="3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D8A1F" w14:textId="4244429B" w:rsidR="00537523" w:rsidRPr="004F469F" w:rsidRDefault="00537523" w:rsidP="00537523">
            <w:pPr>
              <w:jc w:val="center"/>
              <w:rPr>
                <w:sz w:val="20"/>
                <w:szCs w:val="20"/>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73386E99" w14:textId="77777777" w:rsidR="00537523" w:rsidRPr="004F469F" w:rsidRDefault="00537523" w:rsidP="00537523">
            <w:pPr>
              <w:jc w:val="center"/>
              <w:rPr>
                <w:b/>
                <w:bCs/>
                <w:sz w:val="20"/>
                <w:szCs w:val="20"/>
              </w:rPr>
            </w:pPr>
            <w:r w:rsidRPr="004F469F">
              <w:rPr>
                <w:b/>
                <w:bCs/>
                <w:sz w:val="20"/>
                <w:szCs w:val="20"/>
              </w:rPr>
              <w:t>Synthetic Footprint</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56F7CB48" w14:textId="77777777" w:rsidR="00537523" w:rsidRPr="004F469F" w:rsidRDefault="00537523" w:rsidP="00537523">
            <w:pPr>
              <w:jc w:val="center"/>
              <w:rPr>
                <w:b/>
                <w:bCs/>
                <w:sz w:val="20"/>
                <w:szCs w:val="20"/>
              </w:rPr>
            </w:pPr>
            <w:r w:rsidRPr="004F469F">
              <w:rPr>
                <w:b/>
                <w:bCs/>
                <w:sz w:val="20"/>
                <w:szCs w:val="20"/>
              </w:rPr>
              <w:t>Observed Footprint</w:t>
            </w:r>
          </w:p>
        </w:tc>
      </w:tr>
      <w:tr w:rsidR="00494669" w:rsidRPr="004F469F" w14:paraId="02714741" w14:textId="77777777" w:rsidTr="00537523">
        <w:trPr>
          <w:trHeight w:val="3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78872" w14:textId="4FBC1856" w:rsidR="00537523" w:rsidRPr="004F469F" w:rsidRDefault="00537523" w:rsidP="00537523">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72A445F" w14:textId="7DFE87E2" w:rsidR="00537523" w:rsidRPr="004F469F" w:rsidRDefault="00537523" w:rsidP="00537523">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B8DCAE1" w14:textId="77777777" w:rsidR="00537523" w:rsidRPr="004F469F" w:rsidRDefault="00537523" w:rsidP="00537523">
            <w:pPr>
              <w:jc w:val="center"/>
              <w:rPr>
                <w:i/>
                <w:iCs/>
                <w:sz w:val="20"/>
                <w:szCs w:val="20"/>
              </w:rPr>
            </w:pPr>
            <w:r w:rsidRPr="004F469F">
              <w:rPr>
                <w:i/>
                <w:iCs/>
                <w:sz w:val="20"/>
                <w:szCs w:val="20"/>
              </w:rPr>
              <w:t>r=10 km</w:t>
            </w:r>
          </w:p>
        </w:tc>
        <w:tc>
          <w:tcPr>
            <w:tcW w:w="0" w:type="auto"/>
            <w:tcBorders>
              <w:top w:val="nil"/>
              <w:left w:val="nil"/>
              <w:bottom w:val="single" w:sz="4" w:space="0" w:color="auto"/>
              <w:right w:val="single" w:sz="4" w:space="0" w:color="auto"/>
            </w:tcBorders>
            <w:shd w:val="clear" w:color="auto" w:fill="auto"/>
            <w:noWrap/>
            <w:vAlign w:val="center"/>
            <w:hideMark/>
          </w:tcPr>
          <w:p w14:paraId="29ACCF77" w14:textId="28AFF7D7" w:rsidR="00537523" w:rsidRPr="004F469F" w:rsidRDefault="00537523" w:rsidP="00537523">
            <w:pPr>
              <w:jc w:val="center"/>
              <w:rPr>
                <w:i/>
                <w:iCs/>
                <w:sz w:val="20"/>
                <w:szCs w:val="20"/>
              </w:rPr>
            </w:pPr>
            <w:r w:rsidRPr="004F469F">
              <w:rPr>
                <w:i/>
                <w:iCs/>
                <w:sz w:val="20"/>
                <w:szCs w:val="20"/>
              </w:rPr>
              <w:t>r=40 km</w:t>
            </w:r>
          </w:p>
        </w:tc>
        <w:tc>
          <w:tcPr>
            <w:tcW w:w="0" w:type="auto"/>
            <w:tcBorders>
              <w:top w:val="nil"/>
              <w:left w:val="nil"/>
              <w:bottom w:val="single" w:sz="4" w:space="0" w:color="auto"/>
              <w:right w:val="single" w:sz="4" w:space="0" w:color="auto"/>
            </w:tcBorders>
            <w:shd w:val="clear" w:color="auto" w:fill="auto"/>
            <w:noWrap/>
            <w:vAlign w:val="center"/>
            <w:hideMark/>
          </w:tcPr>
          <w:p w14:paraId="659FC4C5" w14:textId="01C3CDFF" w:rsidR="00537523" w:rsidRPr="004F469F" w:rsidRDefault="00537523" w:rsidP="00537523">
            <w:pPr>
              <w:jc w:val="center"/>
              <w:rPr>
                <w:i/>
                <w:iCs/>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D4CB0C7" w14:textId="4FC26FC6" w:rsidR="00537523" w:rsidRPr="004F469F" w:rsidRDefault="00537523" w:rsidP="00537523">
            <w:pPr>
              <w:jc w:val="center"/>
              <w:rPr>
                <w:i/>
                <w:iCs/>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2269BC2" w14:textId="77777777" w:rsidR="00537523" w:rsidRPr="004F469F" w:rsidRDefault="00537523" w:rsidP="00537523">
            <w:pPr>
              <w:jc w:val="center"/>
              <w:rPr>
                <w:i/>
                <w:iCs/>
                <w:sz w:val="20"/>
                <w:szCs w:val="20"/>
              </w:rPr>
            </w:pPr>
            <w:r w:rsidRPr="004F469F">
              <w:rPr>
                <w:i/>
                <w:iCs/>
                <w:sz w:val="20"/>
                <w:szCs w:val="20"/>
              </w:rPr>
              <w:t>r=10 km</w:t>
            </w:r>
          </w:p>
        </w:tc>
        <w:tc>
          <w:tcPr>
            <w:tcW w:w="0" w:type="auto"/>
            <w:tcBorders>
              <w:top w:val="nil"/>
              <w:left w:val="nil"/>
              <w:bottom w:val="single" w:sz="4" w:space="0" w:color="auto"/>
              <w:right w:val="single" w:sz="4" w:space="0" w:color="auto"/>
            </w:tcBorders>
            <w:shd w:val="clear" w:color="auto" w:fill="auto"/>
            <w:noWrap/>
            <w:vAlign w:val="center"/>
            <w:hideMark/>
          </w:tcPr>
          <w:p w14:paraId="5E3236AB" w14:textId="7146EB5A" w:rsidR="00537523" w:rsidRPr="004F469F" w:rsidRDefault="00537523" w:rsidP="00537523">
            <w:pPr>
              <w:jc w:val="center"/>
              <w:rPr>
                <w:i/>
                <w:iCs/>
                <w:sz w:val="20"/>
                <w:szCs w:val="20"/>
              </w:rPr>
            </w:pPr>
            <w:r w:rsidRPr="004F469F">
              <w:rPr>
                <w:i/>
                <w:iCs/>
                <w:sz w:val="20"/>
                <w:szCs w:val="20"/>
              </w:rPr>
              <w:t>r=40 km</w:t>
            </w:r>
          </w:p>
        </w:tc>
        <w:tc>
          <w:tcPr>
            <w:tcW w:w="0" w:type="auto"/>
            <w:tcBorders>
              <w:top w:val="nil"/>
              <w:left w:val="nil"/>
              <w:bottom w:val="single" w:sz="4" w:space="0" w:color="auto"/>
              <w:right w:val="single" w:sz="4" w:space="0" w:color="auto"/>
            </w:tcBorders>
            <w:shd w:val="clear" w:color="auto" w:fill="auto"/>
            <w:noWrap/>
            <w:vAlign w:val="center"/>
            <w:hideMark/>
          </w:tcPr>
          <w:p w14:paraId="47682C1E" w14:textId="48BFC62B" w:rsidR="00537523" w:rsidRPr="004F469F" w:rsidRDefault="00537523" w:rsidP="00537523">
            <w:pPr>
              <w:jc w:val="center"/>
              <w:rPr>
                <w:sz w:val="20"/>
                <w:szCs w:val="20"/>
              </w:rPr>
            </w:pPr>
          </w:p>
        </w:tc>
      </w:tr>
      <w:tr w:rsidR="00494669" w:rsidRPr="004F469F" w14:paraId="52E1B07E"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73F9C" w14:textId="77777777" w:rsidR="00537523" w:rsidRPr="004F469F" w:rsidRDefault="00537523" w:rsidP="00537523">
            <w:pPr>
              <w:jc w:val="center"/>
              <w:rPr>
                <w:sz w:val="20"/>
                <w:szCs w:val="20"/>
              </w:rPr>
            </w:pPr>
            <w:r w:rsidRPr="004F469F">
              <w:rPr>
                <w:sz w:val="20"/>
                <w:szCs w:val="20"/>
              </w:rPr>
              <w:t>DATE</w:t>
            </w:r>
          </w:p>
        </w:tc>
        <w:tc>
          <w:tcPr>
            <w:tcW w:w="0" w:type="auto"/>
            <w:tcBorders>
              <w:top w:val="nil"/>
              <w:left w:val="nil"/>
              <w:bottom w:val="single" w:sz="4" w:space="0" w:color="auto"/>
              <w:right w:val="single" w:sz="4" w:space="0" w:color="auto"/>
            </w:tcBorders>
            <w:shd w:val="clear" w:color="auto" w:fill="auto"/>
            <w:noWrap/>
            <w:vAlign w:val="center"/>
            <w:hideMark/>
          </w:tcPr>
          <w:p w14:paraId="4CE029F3" w14:textId="77777777" w:rsidR="00537523" w:rsidRPr="004F469F" w:rsidRDefault="00537523" w:rsidP="00537523">
            <w:pPr>
              <w:jc w:val="center"/>
              <w:rPr>
                <w:sz w:val="20"/>
                <w:szCs w:val="20"/>
              </w:rPr>
            </w:pPr>
            <w:r w:rsidRPr="004F469F">
              <w:rPr>
                <w:sz w:val="20"/>
                <w:szCs w:val="20"/>
              </w:rPr>
              <w:t>LOCATION</w:t>
            </w:r>
          </w:p>
        </w:tc>
        <w:tc>
          <w:tcPr>
            <w:tcW w:w="0" w:type="auto"/>
            <w:tcBorders>
              <w:top w:val="nil"/>
              <w:left w:val="nil"/>
              <w:bottom w:val="single" w:sz="4" w:space="0" w:color="auto"/>
              <w:right w:val="single" w:sz="4" w:space="0" w:color="auto"/>
            </w:tcBorders>
            <w:shd w:val="clear" w:color="auto" w:fill="auto"/>
            <w:noWrap/>
            <w:vAlign w:val="center"/>
            <w:hideMark/>
          </w:tcPr>
          <w:p w14:paraId="4EB63DCC" w14:textId="77777777" w:rsidR="00537523" w:rsidRPr="004F469F" w:rsidRDefault="00537523" w:rsidP="00537523">
            <w:pPr>
              <w:jc w:val="center"/>
              <w:rPr>
                <w:sz w:val="20"/>
                <w:szCs w:val="20"/>
              </w:rPr>
            </w:pPr>
            <w:r w:rsidRPr="004F469F">
              <w:rPr>
                <w:sz w:val="20"/>
                <w:szCs w:val="20"/>
              </w:rPr>
              <w:t>OBS</w:t>
            </w:r>
          </w:p>
        </w:tc>
        <w:tc>
          <w:tcPr>
            <w:tcW w:w="0" w:type="auto"/>
            <w:tcBorders>
              <w:top w:val="nil"/>
              <w:left w:val="nil"/>
              <w:bottom w:val="single" w:sz="4" w:space="0" w:color="auto"/>
              <w:right w:val="single" w:sz="4" w:space="0" w:color="auto"/>
            </w:tcBorders>
            <w:shd w:val="clear" w:color="auto" w:fill="auto"/>
            <w:noWrap/>
            <w:vAlign w:val="center"/>
            <w:hideMark/>
          </w:tcPr>
          <w:p w14:paraId="406D91E0" w14:textId="77777777" w:rsidR="00537523" w:rsidRPr="004F469F" w:rsidRDefault="00537523" w:rsidP="00537523">
            <w:pPr>
              <w:jc w:val="center"/>
              <w:rPr>
                <w:sz w:val="20"/>
                <w:szCs w:val="20"/>
              </w:rPr>
            </w:pPr>
            <w:r w:rsidRPr="004F469F">
              <w:rPr>
                <w:sz w:val="20"/>
                <w:szCs w:val="20"/>
              </w:rPr>
              <w:t>PPEMAX</w:t>
            </w:r>
          </w:p>
        </w:tc>
        <w:tc>
          <w:tcPr>
            <w:tcW w:w="0" w:type="auto"/>
            <w:tcBorders>
              <w:top w:val="nil"/>
              <w:left w:val="nil"/>
              <w:bottom w:val="single" w:sz="4" w:space="0" w:color="auto"/>
              <w:right w:val="single" w:sz="4" w:space="0" w:color="auto"/>
            </w:tcBorders>
            <w:shd w:val="clear" w:color="auto" w:fill="auto"/>
            <w:noWrap/>
            <w:vAlign w:val="center"/>
            <w:hideMark/>
          </w:tcPr>
          <w:p w14:paraId="46822540" w14:textId="77777777" w:rsidR="00537523" w:rsidRPr="004F469F" w:rsidRDefault="00537523" w:rsidP="00537523">
            <w:pPr>
              <w:jc w:val="center"/>
              <w:rPr>
                <w:sz w:val="20"/>
                <w:szCs w:val="20"/>
              </w:rPr>
            </w:pPr>
            <w:r w:rsidRPr="004F469F">
              <w:rPr>
                <w:sz w:val="20"/>
                <w:szCs w:val="20"/>
              </w:rPr>
              <w:t>PPEMAX</w:t>
            </w:r>
          </w:p>
        </w:tc>
        <w:tc>
          <w:tcPr>
            <w:tcW w:w="0" w:type="auto"/>
            <w:tcBorders>
              <w:top w:val="nil"/>
              <w:left w:val="nil"/>
              <w:bottom w:val="single" w:sz="4" w:space="0" w:color="auto"/>
              <w:right w:val="single" w:sz="4" w:space="0" w:color="auto"/>
            </w:tcBorders>
            <w:shd w:val="clear" w:color="auto" w:fill="auto"/>
            <w:noWrap/>
            <w:vAlign w:val="center"/>
            <w:hideMark/>
          </w:tcPr>
          <w:p w14:paraId="09DBF127" w14:textId="77777777" w:rsidR="00537523" w:rsidRPr="004F469F" w:rsidRDefault="00537523" w:rsidP="00537523">
            <w:pPr>
              <w:jc w:val="center"/>
              <w:rPr>
                <w:sz w:val="20"/>
                <w:szCs w:val="20"/>
              </w:rPr>
            </w:pPr>
            <w:r w:rsidRPr="004F469F">
              <w:rPr>
                <w:sz w:val="20"/>
                <w:szCs w:val="20"/>
              </w:rPr>
              <w:t>TYPE</w:t>
            </w:r>
          </w:p>
        </w:tc>
        <w:tc>
          <w:tcPr>
            <w:tcW w:w="0" w:type="auto"/>
            <w:tcBorders>
              <w:top w:val="nil"/>
              <w:left w:val="nil"/>
              <w:bottom w:val="single" w:sz="4" w:space="0" w:color="auto"/>
              <w:right w:val="single" w:sz="4" w:space="0" w:color="auto"/>
            </w:tcBorders>
            <w:shd w:val="clear" w:color="auto" w:fill="auto"/>
            <w:noWrap/>
            <w:vAlign w:val="center"/>
            <w:hideMark/>
          </w:tcPr>
          <w:p w14:paraId="55BF2408" w14:textId="77777777" w:rsidR="00537523" w:rsidRPr="004F469F" w:rsidRDefault="00537523" w:rsidP="00537523">
            <w:pPr>
              <w:jc w:val="center"/>
              <w:rPr>
                <w:sz w:val="20"/>
                <w:szCs w:val="20"/>
              </w:rPr>
            </w:pPr>
            <w:r w:rsidRPr="004F469F">
              <w:rPr>
                <w:sz w:val="20"/>
                <w:szCs w:val="20"/>
              </w:rPr>
              <w:t>OBS</w:t>
            </w:r>
          </w:p>
        </w:tc>
        <w:tc>
          <w:tcPr>
            <w:tcW w:w="0" w:type="auto"/>
            <w:tcBorders>
              <w:top w:val="nil"/>
              <w:left w:val="nil"/>
              <w:bottom w:val="single" w:sz="4" w:space="0" w:color="auto"/>
              <w:right w:val="single" w:sz="4" w:space="0" w:color="auto"/>
            </w:tcBorders>
            <w:shd w:val="clear" w:color="auto" w:fill="auto"/>
            <w:noWrap/>
            <w:vAlign w:val="center"/>
            <w:hideMark/>
          </w:tcPr>
          <w:p w14:paraId="20D62FF5" w14:textId="77777777" w:rsidR="00537523" w:rsidRPr="004F469F" w:rsidRDefault="00537523" w:rsidP="00537523">
            <w:pPr>
              <w:jc w:val="center"/>
              <w:rPr>
                <w:sz w:val="20"/>
                <w:szCs w:val="20"/>
              </w:rPr>
            </w:pPr>
            <w:r w:rsidRPr="004F469F">
              <w:rPr>
                <w:sz w:val="20"/>
                <w:szCs w:val="20"/>
              </w:rPr>
              <w:t>PPEMAX</w:t>
            </w:r>
          </w:p>
        </w:tc>
        <w:tc>
          <w:tcPr>
            <w:tcW w:w="0" w:type="auto"/>
            <w:tcBorders>
              <w:top w:val="nil"/>
              <w:left w:val="nil"/>
              <w:bottom w:val="single" w:sz="4" w:space="0" w:color="auto"/>
              <w:right w:val="single" w:sz="4" w:space="0" w:color="auto"/>
            </w:tcBorders>
            <w:shd w:val="clear" w:color="auto" w:fill="auto"/>
            <w:noWrap/>
            <w:vAlign w:val="center"/>
            <w:hideMark/>
          </w:tcPr>
          <w:p w14:paraId="53FA96CE" w14:textId="77777777" w:rsidR="00537523" w:rsidRPr="004F469F" w:rsidRDefault="00537523" w:rsidP="00537523">
            <w:pPr>
              <w:jc w:val="center"/>
              <w:rPr>
                <w:sz w:val="20"/>
                <w:szCs w:val="20"/>
              </w:rPr>
            </w:pPr>
            <w:r w:rsidRPr="004F469F">
              <w:rPr>
                <w:sz w:val="20"/>
                <w:szCs w:val="20"/>
              </w:rPr>
              <w:t>PPEMAX</w:t>
            </w:r>
          </w:p>
        </w:tc>
        <w:tc>
          <w:tcPr>
            <w:tcW w:w="0" w:type="auto"/>
            <w:tcBorders>
              <w:top w:val="nil"/>
              <w:left w:val="nil"/>
              <w:bottom w:val="single" w:sz="4" w:space="0" w:color="auto"/>
              <w:right w:val="single" w:sz="4" w:space="0" w:color="auto"/>
            </w:tcBorders>
            <w:shd w:val="clear" w:color="auto" w:fill="auto"/>
            <w:noWrap/>
            <w:vAlign w:val="center"/>
            <w:hideMark/>
          </w:tcPr>
          <w:p w14:paraId="4F783DA5" w14:textId="77777777" w:rsidR="00537523" w:rsidRPr="004F469F" w:rsidRDefault="00537523" w:rsidP="00537523">
            <w:pPr>
              <w:jc w:val="center"/>
              <w:rPr>
                <w:sz w:val="20"/>
                <w:szCs w:val="20"/>
              </w:rPr>
            </w:pPr>
            <w:r w:rsidRPr="004F469F">
              <w:rPr>
                <w:sz w:val="20"/>
                <w:szCs w:val="20"/>
              </w:rPr>
              <w:t>TYPE</w:t>
            </w:r>
          </w:p>
        </w:tc>
      </w:tr>
      <w:tr w:rsidR="00494669" w:rsidRPr="004F469F" w14:paraId="14705C4E"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3CAB8A" w14:textId="00223DCF" w:rsidR="00537523" w:rsidRPr="004F469F" w:rsidRDefault="00537523" w:rsidP="00537523">
            <w:pPr>
              <w:jc w:val="center"/>
              <w:rPr>
                <w:sz w:val="20"/>
                <w:szCs w:val="20"/>
              </w:rPr>
            </w:pPr>
            <w:r w:rsidRPr="004F469F">
              <w:rPr>
                <w:sz w:val="20"/>
                <w:szCs w:val="20"/>
              </w:rPr>
              <w:t>3 May 1999</w:t>
            </w:r>
          </w:p>
        </w:tc>
        <w:tc>
          <w:tcPr>
            <w:tcW w:w="0" w:type="auto"/>
            <w:tcBorders>
              <w:top w:val="nil"/>
              <w:left w:val="nil"/>
              <w:bottom w:val="single" w:sz="4" w:space="0" w:color="auto"/>
              <w:right w:val="single" w:sz="4" w:space="0" w:color="auto"/>
            </w:tcBorders>
            <w:shd w:val="clear" w:color="auto" w:fill="auto"/>
            <w:noWrap/>
            <w:vAlign w:val="center"/>
            <w:hideMark/>
          </w:tcPr>
          <w:p w14:paraId="2D8D97D6" w14:textId="5E1DC62E" w:rsidR="00537523" w:rsidRPr="004F469F" w:rsidRDefault="00537523" w:rsidP="00537523">
            <w:pPr>
              <w:jc w:val="center"/>
              <w:rPr>
                <w:sz w:val="20"/>
                <w:szCs w:val="20"/>
              </w:rPr>
            </w:pPr>
            <w:r w:rsidRPr="004F469F">
              <w:rPr>
                <w:sz w:val="20"/>
                <w:szCs w:val="20"/>
              </w:rPr>
              <w:t>Bridge Creek-Moore, OK</w:t>
            </w:r>
          </w:p>
        </w:tc>
        <w:tc>
          <w:tcPr>
            <w:tcW w:w="0" w:type="auto"/>
            <w:tcBorders>
              <w:top w:val="nil"/>
              <w:left w:val="nil"/>
              <w:bottom w:val="single" w:sz="4" w:space="0" w:color="auto"/>
              <w:right w:val="single" w:sz="4" w:space="0" w:color="auto"/>
            </w:tcBorders>
            <w:shd w:val="clear" w:color="auto" w:fill="auto"/>
            <w:noWrap/>
            <w:vAlign w:val="center"/>
            <w:hideMark/>
          </w:tcPr>
          <w:p w14:paraId="2C06CA41" w14:textId="77777777" w:rsidR="00537523" w:rsidRPr="004F469F" w:rsidRDefault="00537523" w:rsidP="00537523">
            <w:pPr>
              <w:jc w:val="center"/>
              <w:rPr>
                <w:sz w:val="20"/>
                <w:szCs w:val="20"/>
              </w:rPr>
            </w:pPr>
            <w:r w:rsidRPr="004F469F">
              <w:rPr>
                <w:sz w:val="20"/>
                <w:szCs w:val="20"/>
              </w:rPr>
              <w:t>23,649</w:t>
            </w:r>
          </w:p>
        </w:tc>
        <w:tc>
          <w:tcPr>
            <w:tcW w:w="0" w:type="auto"/>
            <w:tcBorders>
              <w:top w:val="nil"/>
              <w:left w:val="nil"/>
              <w:bottom w:val="single" w:sz="4" w:space="0" w:color="auto"/>
              <w:right w:val="single" w:sz="4" w:space="0" w:color="auto"/>
            </w:tcBorders>
            <w:shd w:val="clear" w:color="auto" w:fill="auto"/>
            <w:noWrap/>
            <w:vAlign w:val="center"/>
            <w:hideMark/>
          </w:tcPr>
          <w:p w14:paraId="1B89ED77" w14:textId="77777777" w:rsidR="00537523" w:rsidRPr="004F469F" w:rsidRDefault="00537523" w:rsidP="00537523">
            <w:pPr>
              <w:jc w:val="center"/>
              <w:rPr>
                <w:sz w:val="20"/>
                <w:szCs w:val="20"/>
              </w:rPr>
            </w:pPr>
            <w:r w:rsidRPr="004F469F">
              <w:rPr>
                <w:sz w:val="20"/>
                <w:szCs w:val="20"/>
              </w:rPr>
              <w:t>37,617</w:t>
            </w:r>
          </w:p>
        </w:tc>
        <w:tc>
          <w:tcPr>
            <w:tcW w:w="0" w:type="auto"/>
            <w:tcBorders>
              <w:top w:val="nil"/>
              <w:left w:val="nil"/>
              <w:bottom w:val="single" w:sz="4" w:space="0" w:color="auto"/>
              <w:right w:val="single" w:sz="4" w:space="0" w:color="auto"/>
            </w:tcBorders>
            <w:shd w:val="clear" w:color="auto" w:fill="auto"/>
            <w:noWrap/>
            <w:vAlign w:val="center"/>
            <w:hideMark/>
          </w:tcPr>
          <w:p w14:paraId="1567BD82" w14:textId="77777777" w:rsidR="00537523" w:rsidRPr="004F469F" w:rsidRDefault="00537523" w:rsidP="00537523">
            <w:pPr>
              <w:jc w:val="center"/>
              <w:rPr>
                <w:sz w:val="20"/>
                <w:szCs w:val="20"/>
              </w:rPr>
            </w:pPr>
            <w:r w:rsidRPr="004F469F">
              <w:rPr>
                <w:sz w:val="20"/>
                <w:szCs w:val="20"/>
              </w:rPr>
              <w:t>47,503</w:t>
            </w:r>
          </w:p>
        </w:tc>
        <w:tc>
          <w:tcPr>
            <w:tcW w:w="0" w:type="auto"/>
            <w:tcBorders>
              <w:top w:val="nil"/>
              <w:left w:val="nil"/>
              <w:bottom w:val="single" w:sz="4" w:space="0" w:color="auto"/>
              <w:right w:val="single" w:sz="4" w:space="0" w:color="auto"/>
            </w:tcBorders>
            <w:shd w:val="clear" w:color="auto" w:fill="auto"/>
            <w:noWrap/>
            <w:vAlign w:val="center"/>
            <w:hideMark/>
          </w:tcPr>
          <w:p w14:paraId="47DDDE72" w14:textId="7DBC649A" w:rsidR="00537523" w:rsidRPr="004F469F" w:rsidRDefault="00537523" w:rsidP="00537523">
            <w:pPr>
              <w:jc w:val="center"/>
              <w:rPr>
                <w:sz w:val="20"/>
                <w:szCs w:val="20"/>
              </w:rPr>
            </w:pPr>
            <w:r w:rsidRPr="004F469F">
              <w:rPr>
                <w:sz w:val="20"/>
                <w:szCs w:val="20"/>
              </w:rPr>
              <w:t>hit</w:t>
            </w:r>
          </w:p>
        </w:tc>
        <w:tc>
          <w:tcPr>
            <w:tcW w:w="0" w:type="auto"/>
            <w:tcBorders>
              <w:top w:val="nil"/>
              <w:left w:val="nil"/>
              <w:bottom w:val="single" w:sz="4" w:space="0" w:color="auto"/>
              <w:right w:val="single" w:sz="4" w:space="0" w:color="auto"/>
            </w:tcBorders>
            <w:shd w:val="clear" w:color="auto" w:fill="auto"/>
            <w:noWrap/>
            <w:vAlign w:val="center"/>
            <w:hideMark/>
          </w:tcPr>
          <w:p w14:paraId="25AB9A6D" w14:textId="77777777" w:rsidR="00537523" w:rsidRPr="004F469F" w:rsidRDefault="00537523" w:rsidP="00537523">
            <w:pPr>
              <w:jc w:val="center"/>
              <w:rPr>
                <w:sz w:val="20"/>
                <w:szCs w:val="20"/>
              </w:rPr>
            </w:pPr>
            <w:r w:rsidRPr="004F469F">
              <w:rPr>
                <w:sz w:val="20"/>
                <w:szCs w:val="20"/>
              </w:rPr>
              <w:t>10,057</w:t>
            </w:r>
          </w:p>
        </w:tc>
        <w:tc>
          <w:tcPr>
            <w:tcW w:w="0" w:type="auto"/>
            <w:tcBorders>
              <w:top w:val="nil"/>
              <w:left w:val="nil"/>
              <w:bottom w:val="single" w:sz="4" w:space="0" w:color="auto"/>
              <w:right w:val="single" w:sz="4" w:space="0" w:color="auto"/>
            </w:tcBorders>
            <w:shd w:val="clear" w:color="auto" w:fill="auto"/>
            <w:noWrap/>
            <w:vAlign w:val="center"/>
            <w:hideMark/>
          </w:tcPr>
          <w:p w14:paraId="4350075D" w14:textId="77777777" w:rsidR="00537523" w:rsidRPr="004F469F" w:rsidRDefault="00537523" w:rsidP="00537523">
            <w:pPr>
              <w:jc w:val="center"/>
              <w:rPr>
                <w:sz w:val="20"/>
                <w:szCs w:val="20"/>
              </w:rPr>
            </w:pPr>
            <w:r w:rsidRPr="004F469F">
              <w:rPr>
                <w:sz w:val="20"/>
                <w:szCs w:val="20"/>
              </w:rPr>
              <w:t>16,810</w:t>
            </w:r>
          </w:p>
        </w:tc>
        <w:tc>
          <w:tcPr>
            <w:tcW w:w="0" w:type="auto"/>
            <w:tcBorders>
              <w:top w:val="nil"/>
              <w:left w:val="nil"/>
              <w:bottom w:val="single" w:sz="4" w:space="0" w:color="auto"/>
              <w:right w:val="single" w:sz="4" w:space="0" w:color="auto"/>
            </w:tcBorders>
            <w:shd w:val="clear" w:color="auto" w:fill="auto"/>
            <w:noWrap/>
            <w:vAlign w:val="center"/>
            <w:hideMark/>
          </w:tcPr>
          <w:p w14:paraId="7037445D" w14:textId="77777777" w:rsidR="00537523" w:rsidRPr="004F469F" w:rsidRDefault="00537523" w:rsidP="00537523">
            <w:pPr>
              <w:jc w:val="center"/>
              <w:rPr>
                <w:sz w:val="20"/>
                <w:szCs w:val="20"/>
              </w:rPr>
            </w:pPr>
            <w:r w:rsidRPr="004F469F">
              <w:rPr>
                <w:sz w:val="20"/>
                <w:szCs w:val="20"/>
              </w:rPr>
              <w:t>42,282</w:t>
            </w:r>
          </w:p>
        </w:tc>
        <w:tc>
          <w:tcPr>
            <w:tcW w:w="0" w:type="auto"/>
            <w:tcBorders>
              <w:top w:val="nil"/>
              <w:left w:val="nil"/>
              <w:bottom w:val="single" w:sz="4" w:space="0" w:color="auto"/>
              <w:right w:val="single" w:sz="4" w:space="0" w:color="auto"/>
            </w:tcBorders>
            <w:shd w:val="clear" w:color="auto" w:fill="auto"/>
            <w:noWrap/>
            <w:vAlign w:val="center"/>
            <w:hideMark/>
          </w:tcPr>
          <w:p w14:paraId="13468BDD" w14:textId="77777777" w:rsidR="00537523" w:rsidRPr="004F469F" w:rsidRDefault="00537523" w:rsidP="00537523">
            <w:pPr>
              <w:jc w:val="center"/>
              <w:rPr>
                <w:sz w:val="20"/>
                <w:szCs w:val="20"/>
              </w:rPr>
            </w:pPr>
            <w:r w:rsidRPr="004F469F">
              <w:rPr>
                <w:sz w:val="20"/>
                <w:szCs w:val="20"/>
              </w:rPr>
              <w:t>hit</w:t>
            </w:r>
          </w:p>
        </w:tc>
      </w:tr>
      <w:tr w:rsidR="00494669" w:rsidRPr="004F469F" w14:paraId="69CE9D48"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91C699" w14:textId="3F6C62D4" w:rsidR="00537523" w:rsidRPr="004F469F" w:rsidRDefault="00537523" w:rsidP="00537523">
            <w:pPr>
              <w:jc w:val="center"/>
              <w:rPr>
                <w:sz w:val="20"/>
                <w:szCs w:val="20"/>
              </w:rPr>
            </w:pPr>
            <w:r w:rsidRPr="004F469F">
              <w:rPr>
                <w:sz w:val="20"/>
                <w:szCs w:val="20"/>
              </w:rPr>
              <w:t>3 May 1999</w:t>
            </w:r>
          </w:p>
        </w:tc>
        <w:tc>
          <w:tcPr>
            <w:tcW w:w="0" w:type="auto"/>
            <w:tcBorders>
              <w:top w:val="nil"/>
              <w:left w:val="nil"/>
              <w:bottom w:val="single" w:sz="4" w:space="0" w:color="auto"/>
              <w:right w:val="single" w:sz="4" w:space="0" w:color="auto"/>
            </w:tcBorders>
            <w:shd w:val="clear" w:color="auto" w:fill="auto"/>
            <w:noWrap/>
            <w:vAlign w:val="center"/>
            <w:hideMark/>
          </w:tcPr>
          <w:p w14:paraId="347CA024" w14:textId="07A9027A" w:rsidR="00537523" w:rsidRPr="004F469F" w:rsidRDefault="00537523" w:rsidP="00537523">
            <w:pPr>
              <w:jc w:val="center"/>
              <w:rPr>
                <w:sz w:val="20"/>
                <w:szCs w:val="20"/>
              </w:rPr>
            </w:pPr>
            <w:r w:rsidRPr="004F469F">
              <w:rPr>
                <w:sz w:val="20"/>
                <w:szCs w:val="20"/>
              </w:rPr>
              <w:t>Cimarron City-Mulhall, OK</w:t>
            </w:r>
          </w:p>
        </w:tc>
        <w:tc>
          <w:tcPr>
            <w:tcW w:w="0" w:type="auto"/>
            <w:tcBorders>
              <w:top w:val="nil"/>
              <w:left w:val="nil"/>
              <w:bottom w:val="single" w:sz="4" w:space="0" w:color="auto"/>
              <w:right w:val="single" w:sz="4" w:space="0" w:color="auto"/>
            </w:tcBorders>
            <w:shd w:val="clear" w:color="auto" w:fill="auto"/>
            <w:noWrap/>
            <w:vAlign w:val="center"/>
            <w:hideMark/>
          </w:tcPr>
          <w:p w14:paraId="2C1866A3" w14:textId="77777777" w:rsidR="00537523" w:rsidRPr="004F469F" w:rsidRDefault="00537523" w:rsidP="00537523">
            <w:pPr>
              <w:jc w:val="center"/>
              <w:rPr>
                <w:sz w:val="20"/>
                <w:szCs w:val="20"/>
              </w:rPr>
            </w:pPr>
            <w:r w:rsidRPr="004F469F">
              <w:rPr>
                <w:sz w:val="20"/>
                <w:szCs w:val="20"/>
              </w:rPr>
              <w:t>1,209</w:t>
            </w:r>
          </w:p>
        </w:tc>
        <w:tc>
          <w:tcPr>
            <w:tcW w:w="0" w:type="auto"/>
            <w:tcBorders>
              <w:top w:val="nil"/>
              <w:left w:val="nil"/>
              <w:bottom w:val="single" w:sz="4" w:space="0" w:color="auto"/>
              <w:right w:val="single" w:sz="4" w:space="0" w:color="auto"/>
            </w:tcBorders>
            <w:shd w:val="clear" w:color="auto" w:fill="auto"/>
            <w:noWrap/>
            <w:vAlign w:val="center"/>
            <w:hideMark/>
          </w:tcPr>
          <w:p w14:paraId="3F2641B9" w14:textId="77777777" w:rsidR="00537523" w:rsidRPr="004F469F" w:rsidRDefault="00537523" w:rsidP="00537523">
            <w:pPr>
              <w:jc w:val="center"/>
              <w:rPr>
                <w:sz w:val="20"/>
                <w:szCs w:val="20"/>
              </w:rPr>
            </w:pPr>
            <w:r w:rsidRPr="004F469F">
              <w:rPr>
                <w:sz w:val="20"/>
                <w:szCs w:val="20"/>
              </w:rPr>
              <w:t>3,749</w:t>
            </w:r>
          </w:p>
        </w:tc>
        <w:tc>
          <w:tcPr>
            <w:tcW w:w="0" w:type="auto"/>
            <w:tcBorders>
              <w:top w:val="nil"/>
              <w:left w:val="nil"/>
              <w:bottom w:val="single" w:sz="4" w:space="0" w:color="auto"/>
              <w:right w:val="single" w:sz="4" w:space="0" w:color="auto"/>
            </w:tcBorders>
            <w:shd w:val="clear" w:color="auto" w:fill="auto"/>
            <w:noWrap/>
            <w:vAlign w:val="center"/>
            <w:hideMark/>
          </w:tcPr>
          <w:p w14:paraId="39B42D20" w14:textId="77777777" w:rsidR="00537523" w:rsidRPr="004F469F" w:rsidRDefault="00537523" w:rsidP="00537523">
            <w:pPr>
              <w:jc w:val="center"/>
              <w:rPr>
                <w:sz w:val="20"/>
                <w:szCs w:val="20"/>
              </w:rPr>
            </w:pPr>
            <w:r w:rsidRPr="004F469F">
              <w:rPr>
                <w:sz w:val="20"/>
                <w:szCs w:val="20"/>
              </w:rPr>
              <w:t>38,478</w:t>
            </w:r>
          </w:p>
        </w:tc>
        <w:tc>
          <w:tcPr>
            <w:tcW w:w="0" w:type="auto"/>
            <w:tcBorders>
              <w:top w:val="nil"/>
              <w:left w:val="nil"/>
              <w:bottom w:val="single" w:sz="4" w:space="0" w:color="auto"/>
              <w:right w:val="single" w:sz="4" w:space="0" w:color="auto"/>
            </w:tcBorders>
            <w:shd w:val="clear" w:color="auto" w:fill="auto"/>
            <w:noWrap/>
            <w:vAlign w:val="center"/>
            <w:hideMark/>
          </w:tcPr>
          <w:p w14:paraId="5033F313" w14:textId="56E0E486" w:rsidR="00537523" w:rsidRPr="004F469F" w:rsidRDefault="00537523" w:rsidP="00537523">
            <w:pPr>
              <w:jc w:val="center"/>
              <w:rPr>
                <w:sz w:val="20"/>
                <w:szCs w:val="20"/>
              </w:rPr>
            </w:pPr>
            <w:r w:rsidRPr="004F469F">
              <w:rPr>
                <w:sz w:val="20"/>
                <w:szCs w:val="20"/>
              </w:rPr>
              <w:t>far-miss</w:t>
            </w:r>
          </w:p>
        </w:tc>
        <w:tc>
          <w:tcPr>
            <w:tcW w:w="0" w:type="auto"/>
            <w:tcBorders>
              <w:top w:val="nil"/>
              <w:left w:val="nil"/>
              <w:bottom w:val="single" w:sz="4" w:space="0" w:color="auto"/>
              <w:right w:val="single" w:sz="4" w:space="0" w:color="auto"/>
            </w:tcBorders>
            <w:shd w:val="clear" w:color="auto" w:fill="auto"/>
            <w:noWrap/>
            <w:vAlign w:val="center"/>
            <w:hideMark/>
          </w:tcPr>
          <w:p w14:paraId="7401008F" w14:textId="77777777" w:rsidR="00537523" w:rsidRPr="004F469F" w:rsidRDefault="00537523" w:rsidP="00537523">
            <w:pPr>
              <w:jc w:val="center"/>
              <w:rPr>
                <w:sz w:val="20"/>
                <w:szCs w:val="20"/>
              </w:rPr>
            </w:pPr>
            <w:r w:rsidRPr="004F469F">
              <w:rPr>
                <w:sz w:val="20"/>
                <w:szCs w:val="20"/>
              </w:rPr>
              <w:t>440</w:t>
            </w:r>
          </w:p>
        </w:tc>
        <w:tc>
          <w:tcPr>
            <w:tcW w:w="0" w:type="auto"/>
            <w:tcBorders>
              <w:top w:val="nil"/>
              <w:left w:val="nil"/>
              <w:bottom w:val="single" w:sz="4" w:space="0" w:color="auto"/>
              <w:right w:val="single" w:sz="4" w:space="0" w:color="auto"/>
            </w:tcBorders>
            <w:shd w:val="clear" w:color="auto" w:fill="auto"/>
            <w:noWrap/>
            <w:vAlign w:val="center"/>
            <w:hideMark/>
          </w:tcPr>
          <w:p w14:paraId="657F53ED" w14:textId="77777777" w:rsidR="00537523" w:rsidRPr="004F469F" w:rsidRDefault="00537523" w:rsidP="00537523">
            <w:pPr>
              <w:jc w:val="center"/>
              <w:rPr>
                <w:sz w:val="20"/>
                <w:szCs w:val="20"/>
              </w:rPr>
            </w:pPr>
            <w:r w:rsidRPr="004F469F">
              <w:rPr>
                <w:sz w:val="20"/>
                <w:szCs w:val="20"/>
              </w:rPr>
              <w:t>3,582</w:t>
            </w:r>
          </w:p>
        </w:tc>
        <w:tc>
          <w:tcPr>
            <w:tcW w:w="0" w:type="auto"/>
            <w:tcBorders>
              <w:top w:val="nil"/>
              <w:left w:val="nil"/>
              <w:bottom w:val="single" w:sz="4" w:space="0" w:color="auto"/>
              <w:right w:val="single" w:sz="4" w:space="0" w:color="auto"/>
            </w:tcBorders>
            <w:shd w:val="clear" w:color="auto" w:fill="auto"/>
            <w:noWrap/>
            <w:vAlign w:val="center"/>
            <w:hideMark/>
          </w:tcPr>
          <w:p w14:paraId="60C38D2D" w14:textId="77777777" w:rsidR="00537523" w:rsidRPr="004F469F" w:rsidRDefault="00537523" w:rsidP="00537523">
            <w:pPr>
              <w:jc w:val="center"/>
              <w:rPr>
                <w:sz w:val="20"/>
                <w:szCs w:val="20"/>
              </w:rPr>
            </w:pPr>
            <w:r w:rsidRPr="004F469F">
              <w:rPr>
                <w:sz w:val="20"/>
                <w:szCs w:val="20"/>
              </w:rPr>
              <w:t>39,048</w:t>
            </w:r>
          </w:p>
        </w:tc>
        <w:tc>
          <w:tcPr>
            <w:tcW w:w="0" w:type="auto"/>
            <w:tcBorders>
              <w:top w:val="nil"/>
              <w:left w:val="nil"/>
              <w:bottom w:val="single" w:sz="4" w:space="0" w:color="auto"/>
              <w:right w:val="single" w:sz="4" w:space="0" w:color="auto"/>
            </w:tcBorders>
            <w:shd w:val="clear" w:color="auto" w:fill="auto"/>
            <w:noWrap/>
            <w:vAlign w:val="center"/>
            <w:hideMark/>
          </w:tcPr>
          <w:p w14:paraId="490BEEA2" w14:textId="77777777" w:rsidR="00537523" w:rsidRPr="004F469F" w:rsidRDefault="00537523" w:rsidP="00537523">
            <w:pPr>
              <w:jc w:val="center"/>
              <w:rPr>
                <w:sz w:val="20"/>
                <w:szCs w:val="20"/>
              </w:rPr>
            </w:pPr>
            <w:r w:rsidRPr="004F469F">
              <w:rPr>
                <w:sz w:val="20"/>
                <w:szCs w:val="20"/>
              </w:rPr>
              <w:t>far-miss</w:t>
            </w:r>
          </w:p>
        </w:tc>
      </w:tr>
      <w:tr w:rsidR="00494669" w:rsidRPr="004F469F" w14:paraId="5280AB47"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74CA98" w14:textId="0CABB9D5" w:rsidR="00537523" w:rsidRPr="004F469F" w:rsidRDefault="00537523" w:rsidP="00537523">
            <w:pPr>
              <w:jc w:val="center"/>
              <w:rPr>
                <w:sz w:val="20"/>
                <w:szCs w:val="20"/>
              </w:rPr>
            </w:pPr>
            <w:r w:rsidRPr="004F469F">
              <w:rPr>
                <w:sz w:val="20"/>
                <w:szCs w:val="20"/>
              </w:rPr>
              <w:t>3 May 1999</w:t>
            </w:r>
          </w:p>
        </w:tc>
        <w:tc>
          <w:tcPr>
            <w:tcW w:w="0" w:type="auto"/>
            <w:tcBorders>
              <w:top w:val="nil"/>
              <w:left w:val="nil"/>
              <w:bottom w:val="single" w:sz="4" w:space="0" w:color="auto"/>
              <w:right w:val="single" w:sz="4" w:space="0" w:color="auto"/>
            </w:tcBorders>
            <w:shd w:val="clear" w:color="auto" w:fill="auto"/>
            <w:noWrap/>
            <w:vAlign w:val="center"/>
            <w:hideMark/>
          </w:tcPr>
          <w:p w14:paraId="398CF13A" w14:textId="599F7CFB" w:rsidR="00537523" w:rsidRPr="004F469F" w:rsidRDefault="00537523" w:rsidP="00537523">
            <w:pPr>
              <w:jc w:val="center"/>
              <w:rPr>
                <w:sz w:val="20"/>
                <w:szCs w:val="20"/>
              </w:rPr>
            </w:pPr>
            <w:r w:rsidRPr="004F469F">
              <w:rPr>
                <w:sz w:val="20"/>
                <w:szCs w:val="20"/>
              </w:rPr>
              <w:t>Dover, OK</w:t>
            </w:r>
          </w:p>
        </w:tc>
        <w:tc>
          <w:tcPr>
            <w:tcW w:w="0" w:type="auto"/>
            <w:tcBorders>
              <w:top w:val="nil"/>
              <w:left w:val="nil"/>
              <w:bottom w:val="single" w:sz="4" w:space="0" w:color="auto"/>
              <w:right w:val="single" w:sz="4" w:space="0" w:color="auto"/>
            </w:tcBorders>
            <w:shd w:val="clear" w:color="auto" w:fill="auto"/>
            <w:noWrap/>
            <w:vAlign w:val="center"/>
            <w:hideMark/>
          </w:tcPr>
          <w:p w14:paraId="6F0F06E6" w14:textId="77777777" w:rsidR="00537523" w:rsidRPr="004F469F" w:rsidRDefault="00537523" w:rsidP="00537523">
            <w:pPr>
              <w:jc w:val="center"/>
              <w:rPr>
                <w:sz w:val="20"/>
                <w:szCs w:val="20"/>
              </w:rPr>
            </w:pPr>
            <w:r w:rsidRPr="004F469F">
              <w:rPr>
                <w:sz w:val="20"/>
                <w:szCs w:val="20"/>
              </w:rPr>
              <w:t>62</w:t>
            </w:r>
          </w:p>
        </w:tc>
        <w:tc>
          <w:tcPr>
            <w:tcW w:w="0" w:type="auto"/>
            <w:tcBorders>
              <w:top w:val="nil"/>
              <w:left w:val="nil"/>
              <w:bottom w:val="single" w:sz="4" w:space="0" w:color="auto"/>
              <w:right w:val="single" w:sz="4" w:space="0" w:color="auto"/>
            </w:tcBorders>
            <w:shd w:val="clear" w:color="auto" w:fill="auto"/>
            <w:noWrap/>
            <w:vAlign w:val="center"/>
            <w:hideMark/>
          </w:tcPr>
          <w:p w14:paraId="2E8894AD" w14:textId="77777777" w:rsidR="00537523" w:rsidRPr="004F469F" w:rsidRDefault="00537523" w:rsidP="00537523">
            <w:pPr>
              <w:jc w:val="center"/>
              <w:rPr>
                <w:sz w:val="20"/>
                <w:szCs w:val="20"/>
              </w:rPr>
            </w:pPr>
            <w:r w:rsidRPr="004F469F">
              <w:rPr>
                <w:sz w:val="20"/>
                <w:szCs w:val="20"/>
              </w:rPr>
              <w:t>1,783</w:t>
            </w:r>
          </w:p>
        </w:tc>
        <w:tc>
          <w:tcPr>
            <w:tcW w:w="0" w:type="auto"/>
            <w:tcBorders>
              <w:top w:val="nil"/>
              <w:left w:val="nil"/>
              <w:bottom w:val="single" w:sz="4" w:space="0" w:color="auto"/>
              <w:right w:val="single" w:sz="4" w:space="0" w:color="auto"/>
            </w:tcBorders>
            <w:shd w:val="clear" w:color="auto" w:fill="auto"/>
            <w:noWrap/>
            <w:vAlign w:val="center"/>
            <w:hideMark/>
          </w:tcPr>
          <w:p w14:paraId="48BC72B6" w14:textId="77777777" w:rsidR="00537523" w:rsidRPr="004F469F" w:rsidRDefault="00537523" w:rsidP="00537523">
            <w:pPr>
              <w:jc w:val="center"/>
              <w:rPr>
                <w:sz w:val="20"/>
                <w:szCs w:val="20"/>
              </w:rPr>
            </w:pPr>
            <w:r w:rsidRPr="004F469F">
              <w:rPr>
                <w:sz w:val="20"/>
                <w:szCs w:val="20"/>
              </w:rPr>
              <w:t>6,112</w:t>
            </w:r>
          </w:p>
        </w:tc>
        <w:tc>
          <w:tcPr>
            <w:tcW w:w="0" w:type="auto"/>
            <w:tcBorders>
              <w:top w:val="nil"/>
              <w:left w:val="nil"/>
              <w:bottom w:val="single" w:sz="4" w:space="0" w:color="auto"/>
              <w:right w:val="single" w:sz="4" w:space="0" w:color="auto"/>
            </w:tcBorders>
            <w:shd w:val="clear" w:color="auto" w:fill="auto"/>
            <w:noWrap/>
            <w:vAlign w:val="center"/>
            <w:hideMark/>
          </w:tcPr>
          <w:p w14:paraId="00897CFF" w14:textId="1E10097B" w:rsidR="00537523" w:rsidRPr="004F469F" w:rsidRDefault="00537523" w:rsidP="00537523">
            <w:pPr>
              <w:jc w:val="center"/>
              <w:rPr>
                <w:sz w:val="20"/>
                <w:szCs w:val="20"/>
              </w:rPr>
            </w:pPr>
            <w:r w:rsidRPr="004F469F">
              <w:rPr>
                <w:sz w:val="20"/>
                <w:szCs w:val="20"/>
              </w:rPr>
              <w:t>far-miss</w:t>
            </w:r>
          </w:p>
        </w:tc>
        <w:tc>
          <w:tcPr>
            <w:tcW w:w="0" w:type="auto"/>
            <w:tcBorders>
              <w:top w:val="nil"/>
              <w:left w:val="nil"/>
              <w:bottom w:val="single" w:sz="4" w:space="0" w:color="auto"/>
              <w:right w:val="single" w:sz="4" w:space="0" w:color="auto"/>
            </w:tcBorders>
            <w:shd w:val="clear" w:color="auto" w:fill="auto"/>
            <w:noWrap/>
            <w:vAlign w:val="center"/>
            <w:hideMark/>
          </w:tcPr>
          <w:p w14:paraId="358D040D" w14:textId="77777777" w:rsidR="00537523" w:rsidRPr="004F469F" w:rsidRDefault="00537523" w:rsidP="00537523">
            <w:pPr>
              <w:jc w:val="center"/>
              <w:rPr>
                <w:sz w:val="20"/>
                <w:szCs w:val="20"/>
              </w:rPr>
            </w:pPr>
            <w:r w:rsidRPr="004F469F">
              <w:rPr>
                <w:sz w:val="20"/>
                <w:szCs w:val="20"/>
              </w:rPr>
              <w:t>229</w:t>
            </w:r>
          </w:p>
        </w:tc>
        <w:tc>
          <w:tcPr>
            <w:tcW w:w="0" w:type="auto"/>
            <w:tcBorders>
              <w:top w:val="nil"/>
              <w:left w:val="nil"/>
              <w:bottom w:val="single" w:sz="4" w:space="0" w:color="auto"/>
              <w:right w:val="single" w:sz="4" w:space="0" w:color="auto"/>
            </w:tcBorders>
            <w:shd w:val="clear" w:color="auto" w:fill="auto"/>
            <w:noWrap/>
            <w:vAlign w:val="center"/>
            <w:hideMark/>
          </w:tcPr>
          <w:p w14:paraId="7DE13026" w14:textId="77777777" w:rsidR="00537523" w:rsidRPr="004F469F" w:rsidRDefault="00537523" w:rsidP="00537523">
            <w:pPr>
              <w:jc w:val="center"/>
              <w:rPr>
                <w:sz w:val="20"/>
                <w:szCs w:val="20"/>
              </w:rPr>
            </w:pPr>
            <w:r w:rsidRPr="004F469F">
              <w:rPr>
                <w:sz w:val="20"/>
                <w:szCs w:val="20"/>
              </w:rPr>
              <w:t>1,026</w:t>
            </w:r>
          </w:p>
        </w:tc>
        <w:tc>
          <w:tcPr>
            <w:tcW w:w="0" w:type="auto"/>
            <w:tcBorders>
              <w:top w:val="nil"/>
              <w:left w:val="nil"/>
              <w:bottom w:val="single" w:sz="4" w:space="0" w:color="auto"/>
              <w:right w:val="single" w:sz="4" w:space="0" w:color="auto"/>
            </w:tcBorders>
            <w:shd w:val="clear" w:color="auto" w:fill="auto"/>
            <w:noWrap/>
            <w:vAlign w:val="center"/>
            <w:hideMark/>
          </w:tcPr>
          <w:p w14:paraId="43012DC5" w14:textId="77777777" w:rsidR="00537523" w:rsidRPr="004F469F" w:rsidRDefault="00537523" w:rsidP="00537523">
            <w:pPr>
              <w:jc w:val="center"/>
              <w:rPr>
                <w:sz w:val="20"/>
                <w:szCs w:val="20"/>
              </w:rPr>
            </w:pPr>
            <w:r w:rsidRPr="004F469F">
              <w:rPr>
                <w:sz w:val="20"/>
                <w:szCs w:val="20"/>
              </w:rPr>
              <w:t>5,832</w:t>
            </w:r>
          </w:p>
        </w:tc>
        <w:tc>
          <w:tcPr>
            <w:tcW w:w="0" w:type="auto"/>
            <w:tcBorders>
              <w:top w:val="nil"/>
              <w:left w:val="nil"/>
              <w:bottom w:val="single" w:sz="4" w:space="0" w:color="auto"/>
              <w:right w:val="single" w:sz="4" w:space="0" w:color="auto"/>
            </w:tcBorders>
            <w:shd w:val="clear" w:color="auto" w:fill="auto"/>
            <w:noWrap/>
            <w:vAlign w:val="center"/>
            <w:hideMark/>
          </w:tcPr>
          <w:p w14:paraId="1F45C419" w14:textId="77777777" w:rsidR="00537523" w:rsidRPr="004F469F" w:rsidRDefault="00537523" w:rsidP="00537523">
            <w:pPr>
              <w:jc w:val="center"/>
              <w:rPr>
                <w:sz w:val="20"/>
                <w:szCs w:val="20"/>
              </w:rPr>
            </w:pPr>
            <w:r w:rsidRPr="004F469F">
              <w:rPr>
                <w:sz w:val="20"/>
                <w:szCs w:val="20"/>
              </w:rPr>
              <w:t>far-miss</w:t>
            </w:r>
          </w:p>
        </w:tc>
      </w:tr>
      <w:tr w:rsidR="00494669" w:rsidRPr="004F469F" w14:paraId="6E8829C9"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37A57A" w14:textId="684864FC"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4AD3F543" w14:textId="7173D23C" w:rsidR="00537523" w:rsidRPr="004F469F" w:rsidRDefault="00537523" w:rsidP="00537523">
            <w:pPr>
              <w:jc w:val="center"/>
              <w:rPr>
                <w:sz w:val="20"/>
                <w:szCs w:val="20"/>
              </w:rPr>
            </w:pPr>
            <w:r w:rsidRPr="004F469F">
              <w:rPr>
                <w:sz w:val="20"/>
                <w:szCs w:val="20"/>
              </w:rPr>
              <w:t>Cullman, AL</w:t>
            </w:r>
          </w:p>
        </w:tc>
        <w:tc>
          <w:tcPr>
            <w:tcW w:w="0" w:type="auto"/>
            <w:tcBorders>
              <w:top w:val="nil"/>
              <w:left w:val="nil"/>
              <w:bottom w:val="single" w:sz="4" w:space="0" w:color="auto"/>
              <w:right w:val="single" w:sz="4" w:space="0" w:color="auto"/>
            </w:tcBorders>
            <w:shd w:val="clear" w:color="auto" w:fill="auto"/>
            <w:noWrap/>
            <w:vAlign w:val="center"/>
            <w:hideMark/>
          </w:tcPr>
          <w:p w14:paraId="4074F12B" w14:textId="77777777" w:rsidR="00537523" w:rsidRPr="004F469F" w:rsidRDefault="00537523" w:rsidP="00537523">
            <w:pPr>
              <w:jc w:val="center"/>
              <w:rPr>
                <w:sz w:val="20"/>
                <w:szCs w:val="20"/>
              </w:rPr>
            </w:pPr>
            <w:r w:rsidRPr="004F469F">
              <w:rPr>
                <w:sz w:val="20"/>
                <w:szCs w:val="20"/>
              </w:rPr>
              <w:t>4,162</w:t>
            </w:r>
          </w:p>
        </w:tc>
        <w:tc>
          <w:tcPr>
            <w:tcW w:w="0" w:type="auto"/>
            <w:tcBorders>
              <w:top w:val="nil"/>
              <w:left w:val="nil"/>
              <w:bottom w:val="single" w:sz="4" w:space="0" w:color="auto"/>
              <w:right w:val="single" w:sz="4" w:space="0" w:color="auto"/>
            </w:tcBorders>
            <w:shd w:val="clear" w:color="auto" w:fill="auto"/>
            <w:noWrap/>
            <w:vAlign w:val="center"/>
            <w:hideMark/>
          </w:tcPr>
          <w:p w14:paraId="6154D2B0" w14:textId="77777777" w:rsidR="00537523" w:rsidRPr="004F469F" w:rsidRDefault="00537523" w:rsidP="00537523">
            <w:pPr>
              <w:jc w:val="center"/>
              <w:rPr>
                <w:sz w:val="20"/>
                <w:szCs w:val="20"/>
              </w:rPr>
            </w:pPr>
            <w:r w:rsidRPr="004F469F">
              <w:rPr>
                <w:sz w:val="20"/>
                <w:szCs w:val="20"/>
              </w:rPr>
              <w:t>4,825</w:t>
            </w:r>
          </w:p>
        </w:tc>
        <w:tc>
          <w:tcPr>
            <w:tcW w:w="0" w:type="auto"/>
            <w:tcBorders>
              <w:top w:val="nil"/>
              <w:left w:val="nil"/>
              <w:bottom w:val="single" w:sz="4" w:space="0" w:color="auto"/>
              <w:right w:val="single" w:sz="4" w:space="0" w:color="auto"/>
            </w:tcBorders>
            <w:shd w:val="clear" w:color="auto" w:fill="auto"/>
            <w:noWrap/>
            <w:vAlign w:val="center"/>
            <w:hideMark/>
          </w:tcPr>
          <w:p w14:paraId="0E23A280" w14:textId="77777777" w:rsidR="00537523" w:rsidRPr="004F469F" w:rsidRDefault="00537523" w:rsidP="00537523">
            <w:pPr>
              <w:jc w:val="center"/>
              <w:rPr>
                <w:sz w:val="20"/>
                <w:szCs w:val="20"/>
              </w:rPr>
            </w:pPr>
            <w:r w:rsidRPr="004F469F">
              <w:rPr>
                <w:sz w:val="20"/>
                <w:szCs w:val="20"/>
              </w:rPr>
              <w:t>16,255</w:t>
            </w:r>
          </w:p>
        </w:tc>
        <w:tc>
          <w:tcPr>
            <w:tcW w:w="0" w:type="auto"/>
            <w:tcBorders>
              <w:top w:val="nil"/>
              <w:left w:val="nil"/>
              <w:bottom w:val="single" w:sz="4" w:space="0" w:color="auto"/>
              <w:right w:val="single" w:sz="4" w:space="0" w:color="auto"/>
            </w:tcBorders>
            <w:shd w:val="clear" w:color="auto" w:fill="auto"/>
            <w:noWrap/>
            <w:vAlign w:val="center"/>
            <w:hideMark/>
          </w:tcPr>
          <w:p w14:paraId="081DC5F2" w14:textId="7659A08B" w:rsidR="00537523" w:rsidRPr="004F469F" w:rsidRDefault="00537523" w:rsidP="00537523">
            <w:pPr>
              <w:jc w:val="center"/>
              <w:rPr>
                <w:sz w:val="20"/>
                <w:szCs w:val="20"/>
              </w:rPr>
            </w:pPr>
            <w:r w:rsidRPr="004F469F">
              <w:rPr>
                <w:sz w:val="20"/>
                <w:szCs w:val="20"/>
              </w:rPr>
              <w:t>far-miss</w:t>
            </w:r>
          </w:p>
        </w:tc>
        <w:tc>
          <w:tcPr>
            <w:tcW w:w="0" w:type="auto"/>
            <w:tcBorders>
              <w:top w:val="nil"/>
              <w:left w:val="nil"/>
              <w:bottom w:val="single" w:sz="4" w:space="0" w:color="auto"/>
              <w:right w:val="single" w:sz="4" w:space="0" w:color="auto"/>
            </w:tcBorders>
            <w:shd w:val="clear" w:color="auto" w:fill="auto"/>
            <w:noWrap/>
            <w:vAlign w:val="center"/>
            <w:hideMark/>
          </w:tcPr>
          <w:p w14:paraId="793F864A" w14:textId="77777777" w:rsidR="00537523" w:rsidRPr="004F469F" w:rsidRDefault="00537523" w:rsidP="00537523">
            <w:pPr>
              <w:jc w:val="center"/>
              <w:rPr>
                <w:sz w:val="20"/>
                <w:szCs w:val="20"/>
              </w:rPr>
            </w:pPr>
            <w:r w:rsidRPr="004F469F">
              <w:rPr>
                <w:sz w:val="20"/>
                <w:szCs w:val="20"/>
              </w:rPr>
              <w:t>2,662</w:t>
            </w:r>
          </w:p>
        </w:tc>
        <w:tc>
          <w:tcPr>
            <w:tcW w:w="0" w:type="auto"/>
            <w:tcBorders>
              <w:top w:val="nil"/>
              <w:left w:val="nil"/>
              <w:bottom w:val="single" w:sz="4" w:space="0" w:color="auto"/>
              <w:right w:val="single" w:sz="4" w:space="0" w:color="auto"/>
            </w:tcBorders>
            <w:shd w:val="clear" w:color="auto" w:fill="auto"/>
            <w:noWrap/>
            <w:vAlign w:val="center"/>
            <w:hideMark/>
          </w:tcPr>
          <w:p w14:paraId="150FB9A0" w14:textId="77777777" w:rsidR="00537523" w:rsidRPr="004F469F" w:rsidRDefault="00537523" w:rsidP="00537523">
            <w:pPr>
              <w:jc w:val="center"/>
              <w:rPr>
                <w:sz w:val="20"/>
                <w:szCs w:val="20"/>
              </w:rPr>
            </w:pPr>
            <w:r w:rsidRPr="004F469F">
              <w:rPr>
                <w:sz w:val="20"/>
                <w:szCs w:val="20"/>
              </w:rPr>
              <w:t>3,666</w:t>
            </w:r>
          </w:p>
        </w:tc>
        <w:tc>
          <w:tcPr>
            <w:tcW w:w="0" w:type="auto"/>
            <w:tcBorders>
              <w:top w:val="nil"/>
              <w:left w:val="nil"/>
              <w:bottom w:val="single" w:sz="4" w:space="0" w:color="auto"/>
              <w:right w:val="single" w:sz="4" w:space="0" w:color="auto"/>
            </w:tcBorders>
            <w:shd w:val="clear" w:color="auto" w:fill="auto"/>
            <w:noWrap/>
            <w:vAlign w:val="center"/>
            <w:hideMark/>
          </w:tcPr>
          <w:p w14:paraId="1750E29B" w14:textId="77777777" w:rsidR="00537523" w:rsidRPr="004F469F" w:rsidRDefault="00537523" w:rsidP="00537523">
            <w:pPr>
              <w:jc w:val="center"/>
              <w:rPr>
                <w:sz w:val="20"/>
                <w:szCs w:val="20"/>
              </w:rPr>
            </w:pPr>
            <w:r w:rsidRPr="004F469F">
              <w:rPr>
                <w:sz w:val="20"/>
                <w:szCs w:val="20"/>
              </w:rPr>
              <w:t>11,313</w:t>
            </w:r>
          </w:p>
        </w:tc>
        <w:tc>
          <w:tcPr>
            <w:tcW w:w="0" w:type="auto"/>
            <w:tcBorders>
              <w:top w:val="nil"/>
              <w:left w:val="nil"/>
              <w:bottom w:val="single" w:sz="4" w:space="0" w:color="auto"/>
              <w:right w:val="single" w:sz="4" w:space="0" w:color="auto"/>
            </w:tcBorders>
            <w:shd w:val="clear" w:color="auto" w:fill="auto"/>
            <w:noWrap/>
            <w:vAlign w:val="center"/>
            <w:hideMark/>
          </w:tcPr>
          <w:p w14:paraId="1511FF9F" w14:textId="77777777" w:rsidR="00537523" w:rsidRPr="004F469F" w:rsidRDefault="00537523" w:rsidP="00537523">
            <w:pPr>
              <w:jc w:val="center"/>
              <w:rPr>
                <w:sz w:val="20"/>
                <w:szCs w:val="20"/>
              </w:rPr>
            </w:pPr>
            <w:r w:rsidRPr="004F469F">
              <w:rPr>
                <w:sz w:val="20"/>
                <w:szCs w:val="20"/>
              </w:rPr>
              <w:t>far-miss</w:t>
            </w:r>
          </w:p>
        </w:tc>
      </w:tr>
      <w:tr w:rsidR="00494669" w:rsidRPr="004F469F" w14:paraId="1F66A35F"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B7F89B" w14:textId="6770DD8C"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44C9446D" w14:textId="6B315C5E" w:rsidR="00537523" w:rsidRPr="004F469F" w:rsidRDefault="00537523" w:rsidP="00537523">
            <w:pPr>
              <w:jc w:val="center"/>
              <w:rPr>
                <w:sz w:val="20"/>
                <w:szCs w:val="20"/>
              </w:rPr>
            </w:pPr>
            <w:r w:rsidRPr="004F469F">
              <w:rPr>
                <w:sz w:val="20"/>
                <w:szCs w:val="20"/>
              </w:rPr>
              <w:t>Hackleburg-Phil Camp., AL</w:t>
            </w:r>
          </w:p>
        </w:tc>
        <w:tc>
          <w:tcPr>
            <w:tcW w:w="0" w:type="auto"/>
            <w:tcBorders>
              <w:top w:val="nil"/>
              <w:left w:val="nil"/>
              <w:bottom w:val="single" w:sz="4" w:space="0" w:color="auto"/>
              <w:right w:val="single" w:sz="4" w:space="0" w:color="auto"/>
            </w:tcBorders>
            <w:shd w:val="clear" w:color="auto" w:fill="auto"/>
            <w:noWrap/>
            <w:vAlign w:val="center"/>
            <w:hideMark/>
          </w:tcPr>
          <w:p w14:paraId="7852D5A6" w14:textId="77777777" w:rsidR="00537523" w:rsidRPr="004F469F" w:rsidRDefault="00537523" w:rsidP="00537523">
            <w:pPr>
              <w:jc w:val="center"/>
              <w:rPr>
                <w:sz w:val="20"/>
                <w:szCs w:val="20"/>
              </w:rPr>
            </w:pPr>
            <w:r w:rsidRPr="004F469F">
              <w:rPr>
                <w:sz w:val="20"/>
                <w:szCs w:val="20"/>
              </w:rPr>
              <w:t>22,784</w:t>
            </w:r>
          </w:p>
        </w:tc>
        <w:tc>
          <w:tcPr>
            <w:tcW w:w="0" w:type="auto"/>
            <w:tcBorders>
              <w:top w:val="nil"/>
              <w:left w:val="nil"/>
              <w:bottom w:val="single" w:sz="4" w:space="0" w:color="auto"/>
              <w:right w:val="single" w:sz="4" w:space="0" w:color="auto"/>
            </w:tcBorders>
            <w:shd w:val="clear" w:color="auto" w:fill="auto"/>
            <w:noWrap/>
            <w:vAlign w:val="center"/>
            <w:hideMark/>
          </w:tcPr>
          <w:p w14:paraId="1CDB2928" w14:textId="77777777" w:rsidR="00537523" w:rsidRPr="004F469F" w:rsidRDefault="00537523" w:rsidP="00537523">
            <w:pPr>
              <w:jc w:val="center"/>
              <w:rPr>
                <w:sz w:val="20"/>
                <w:szCs w:val="20"/>
              </w:rPr>
            </w:pPr>
            <w:r w:rsidRPr="004F469F">
              <w:rPr>
                <w:sz w:val="20"/>
                <w:szCs w:val="20"/>
              </w:rPr>
              <w:t>63,522</w:t>
            </w:r>
          </w:p>
        </w:tc>
        <w:tc>
          <w:tcPr>
            <w:tcW w:w="0" w:type="auto"/>
            <w:tcBorders>
              <w:top w:val="nil"/>
              <w:left w:val="nil"/>
              <w:bottom w:val="single" w:sz="4" w:space="0" w:color="auto"/>
              <w:right w:val="single" w:sz="4" w:space="0" w:color="auto"/>
            </w:tcBorders>
            <w:shd w:val="clear" w:color="auto" w:fill="auto"/>
            <w:noWrap/>
            <w:vAlign w:val="center"/>
            <w:hideMark/>
          </w:tcPr>
          <w:p w14:paraId="1EC6B415" w14:textId="77777777" w:rsidR="00537523" w:rsidRPr="004F469F" w:rsidRDefault="00537523" w:rsidP="00537523">
            <w:pPr>
              <w:jc w:val="center"/>
              <w:rPr>
                <w:sz w:val="20"/>
                <w:szCs w:val="20"/>
              </w:rPr>
            </w:pPr>
            <w:r w:rsidRPr="004F469F">
              <w:rPr>
                <w:sz w:val="20"/>
                <w:szCs w:val="20"/>
              </w:rPr>
              <w:t>63,645</w:t>
            </w:r>
          </w:p>
        </w:tc>
        <w:tc>
          <w:tcPr>
            <w:tcW w:w="0" w:type="auto"/>
            <w:tcBorders>
              <w:top w:val="nil"/>
              <w:left w:val="nil"/>
              <w:bottom w:val="single" w:sz="4" w:space="0" w:color="auto"/>
              <w:right w:val="single" w:sz="4" w:space="0" w:color="auto"/>
            </w:tcBorders>
            <w:shd w:val="clear" w:color="auto" w:fill="auto"/>
            <w:noWrap/>
            <w:vAlign w:val="center"/>
            <w:hideMark/>
          </w:tcPr>
          <w:p w14:paraId="47F74738" w14:textId="358CA358" w:rsidR="00537523" w:rsidRPr="004F469F" w:rsidRDefault="00537523" w:rsidP="00537523">
            <w:pPr>
              <w:jc w:val="center"/>
              <w:rPr>
                <w:sz w:val="20"/>
                <w:szCs w:val="20"/>
              </w:rPr>
            </w:pPr>
            <w:r w:rsidRPr="004F469F">
              <w:rPr>
                <w:sz w:val="20"/>
                <w:szCs w:val="20"/>
              </w:rPr>
              <w:t>hit</w:t>
            </w:r>
          </w:p>
        </w:tc>
        <w:tc>
          <w:tcPr>
            <w:tcW w:w="0" w:type="auto"/>
            <w:tcBorders>
              <w:top w:val="nil"/>
              <w:left w:val="nil"/>
              <w:bottom w:val="single" w:sz="4" w:space="0" w:color="auto"/>
              <w:right w:val="single" w:sz="4" w:space="0" w:color="auto"/>
            </w:tcBorders>
            <w:shd w:val="clear" w:color="auto" w:fill="auto"/>
            <w:noWrap/>
            <w:vAlign w:val="center"/>
            <w:hideMark/>
          </w:tcPr>
          <w:p w14:paraId="74741505" w14:textId="77777777" w:rsidR="00537523" w:rsidRPr="004F469F" w:rsidRDefault="00537523" w:rsidP="00537523">
            <w:pPr>
              <w:jc w:val="center"/>
              <w:rPr>
                <w:sz w:val="20"/>
                <w:szCs w:val="20"/>
              </w:rPr>
            </w:pPr>
            <w:r w:rsidRPr="004F469F">
              <w:rPr>
                <w:sz w:val="20"/>
                <w:szCs w:val="20"/>
              </w:rPr>
              <w:t>6,722</w:t>
            </w:r>
          </w:p>
        </w:tc>
        <w:tc>
          <w:tcPr>
            <w:tcW w:w="0" w:type="auto"/>
            <w:tcBorders>
              <w:top w:val="nil"/>
              <w:left w:val="nil"/>
              <w:bottom w:val="single" w:sz="4" w:space="0" w:color="auto"/>
              <w:right w:val="single" w:sz="4" w:space="0" w:color="auto"/>
            </w:tcBorders>
            <w:shd w:val="clear" w:color="auto" w:fill="auto"/>
            <w:noWrap/>
            <w:vAlign w:val="center"/>
            <w:hideMark/>
          </w:tcPr>
          <w:p w14:paraId="24574D51" w14:textId="77777777" w:rsidR="00537523" w:rsidRPr="004F469F" w:rsidRDefault="00537523" w:rsidP="00537523">
            <w:pPr>
              <w:jc w:val="center"/>
              <w:rPr>
                <w:sz w:val="20"/>
                <w:szCs w:val="20"/>
              </w:rPr>
            </w:pPr>
            <w:r w:rsidRPr="004F469F">
              <w:rPr>
                <w:sz w:val="20"/>
                <w:szCs w:val="20"/>
              </w:rPr>
              <w:t>20,303</w:t>
            </w:r>
          </w:p>
        </w:tc>
        <w:tc>
          <w:tcPr>
            <w:tcW w:w="0" w:type="auto"/>
            <w:tcBorders>
              <w:top w:val="nil"/>
              <w:left w:val="nil"/>
              <w:bottom w:val="single" w:sz="4" w:space="0" w:color="auto"/>
              <w:right w:val="single" w:sz="4" w:space="0" w:color="auto"/>
            </w:tcBorders>
            <w:shd w:val="clear" w:color="auto" w:fill="auto"/>
            <w:noWrap/>
            <w:vAlign w:val="center"/>
            <w:hideMark/>
          </w:tcPr>
          <w:p w14:paraId="443DD080" w14:textId="77777777" w:rsidR="00537523" w:rsidRPr="004F469F" w:rsidRDefault="00537523" w:rsidP="00537523">
            <w:pPr>
              <w:jc w:val="center"/>
              <w:rPr>
                <w:sz w:val="20"/>
                <w:szCs w:val="20"/>
              </w:rPr>
            </w:pPr>
            <w:r w:rsidRPr="004F469F">
              <w:rPr>
                <w:sz w:val="20"/>
                <w:szCs w:val="20"/>
              </w:rPr>
              <w:t>33,835</w:t>
            </w:r>
          </w:p>
        </w:tc>
        <w:tc>
          <w:tcPr>
            <w:tcW w:w="0" w:type="auto"/>
            <w:tcBorders>
              <w:top w:val="nil"/>
              <w:left w:val="nil"/>
              <w:bottom w:val="single" w:sz="4" w:space="0" w:color="auto"/>
              <w:right w:val="single" w:sz="4" w:space="0" w:color="auto"/>
            </w:tcBorders>
            <w:shd w:val="clear" w:color="auto" w:fill="auto"/>
            <w:noWrap/>
            <w:vAlign w:val="center"/>
            <w:hideMark/>
          </w:tcPr>
          <w:p w14:paraId="1274A18F" w14:textId="77777777" w:rsidR="00537523" w:rsidRPr="004F469F" w:rsidRDefault="00537523" w:rsidP="00537523">
            <w:pPr>
              <w:jc w:val="center"/>
              <w:rPr>
                <w:sz w:val="20"/>
                <w:szCs w:val="20"/>
              </w:rPr>
            </w:pPr>
            <w:r w:rsidRPr="004F469F">
              <w:rPr>
                <w:sz w:val="20"/>
                <w:szCs w:val="20"/>
              </w:rPr>
              <w:t>hit</w:t>
            </w:r>
          </w:p>
        </w:tc>
      </w:tr>
      <w:tr w:rsidR="00494669" w:rsidRPr="004F469F" w14:paraId="265D295F"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9644BC" w14:textId="6F632E26"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02D7B63E" w14:textId="348F43B4" w:rsidR="00537523" w:rsidRPr="004F469F" w:rsidRDefault="00537523" w:rsidP="00537523">
            <w:pPr>
              <w:jc w:val="center"/>
              <w:rPr>
                <w:sz w:val="20"/>
                <w:szCs w:val="20"/>
              </w:rPr>
            </w:pPr>
            <w:r w:rsidRPr="004F469F">
              <w:rPr>
                <w:sz w:val="20"/>
                <w:szCs w:val="20"/>
              </w:rPr>
              <w:t>Cordova, AL</w:t>
            </w:r>
          </w:p>
        </w:tc>
        <w:tc>
          <w:tcPr>
            <w:tcW w:w="0" w:type="auto"/>
            <w:tcBorders>
              <w:top w:val="nil"/>
              <w:left w:val="nil"/>
              <w:bottom w:val="single" w:sz="4" w:space="0" w:color="auto"/>
              <w:right w:val="single" w:sz="4" w:space="0" w:color="auto"/>
            </w:tcBorders>
            <w:shd w:val="clear" w:color="auto" w:fill="auto"/>
            <w:noWrap/>
            <w:vAlign w:val="center"/>
            <w:hideMark/>
          </w:tcPr>
          <w:p w14:paraId="2877291D" w14:textId="77777777" w:rsidR="00537523" w:rsidRPr="004F469F" w:rsidRDefault="00537523" w:rsidP="00537523">
            <w:pPr>
              <w:jc w:val="center"/>
              <w:rPr>
                <w:sz w:val="20"/>
                <w:szCs w:val="20"/>
              </w:rPr>
            </w:pPr>
            <w:r w:rsidRPr="004F469F">
              <w:rPr>
                <w:sz w:val="20"/>
                <w:szCs w:val="20"/>
              </w:rPr>
              <w:t>5,712</w:t>
            </w:r>
          </w:p>
        </w:tc>
        <w:tc>
          <w:tcPr>
            <w:tcW w:w="0" w:type="auto"/>
            <w:tcBorders>
              <w:top w:val="nil"/>
              <w:left w:val="nil"/>
              <w:bottom w:val="single" w:sz="4" w:space="0" w:color="auto"/>
              <w:right w:val="single" w:sz="4" w:space="0" w:color="auto"/>
            </w:tcBorders>
            <w:shd w:val="clear" w:color="auto" w:fill="auto"/>
            <w:noWrap/>
            <w:vAlign w:val="center"/>
            <w:hideMark/>
          </w:tcPr>
          <w:p w14:paraId="7E71070A" w14:textId="77777777" w:rsidR="00537523" w:rsidRPr="004F469F" w:rsidRDefault="00537523" w:rsidP="00537523">
            <w:pPr>
              <w:jc w:val="center"/>
              <w:rPr>
                <w:sz w:val="20"/>
                <w:szCs w:val="20"/>
              </w:rPr>
            </w:pPr>
            <w:r w:rsidRPr="004F469F">
              <w:rPr>
                <w:sz w:val="20"/>
                <w:szCs w:val="20"/>
              </w:rPr>
              <w:t>10,413</w:t>
            </w:r>
          </w:p>
        </w:tc>
        <w:tc>
          <w:tcPr>
            <w:tcW w:w="0" w:type="auto"/>
            <w:tcBorders>
              <w:top w:val="nil"/>
              <w:left w:val="nil"/>
              <w:bottom w:val="single" w:sz="4" w:space="0" w:color="auto"/>
              <w:right w:val="single" w:sz="4" w:space="0" w:color="auto"/>
            </w:tcBorders>
            <w:shd w:val="clear" w:color="auto" w:fill="auto"/>
            <w:noWrap/>
            <w:vAlign w:val="center"/>
            <w:hideMark/>
          </w:tcPr>
          <w:p w14:paraId="512802BE" w14:textId="77777777" w:rsidR="00537523" w:rsidRPr="004F469F" w:rsidRDefault="00537523" w:rsidP="00537523">
            <w:pPr>
              <w:jc w:val="center"/>
              <w:rPr>
                <w:sz w:val="20"/>
                <w:szCs w:val="20"/>
              </w:rPr>
            </w:pPr>
            <w:r w:rsidRPr="004F469F">
              <w:rPr>
                <w:sz w:val="20"/>
                <w:szCs w:val="20"/>
              </w:rPr>
              <w:t>40,943</w:t>
            </w:r>
          </w:p>
        </w:tc>
        <w:tc>
          <w:tcPr>
            <w:tcW w:w="0" w:type="auto"/>
            <w:tcBorders>
              <w:top w:val="nil"/>
              <w:left w:val="nil"/>
              <w:bottom w:val="single" w:sz="4" w:space="0" w:color="auto"/>
              <w:right w:val="single" w:sz="4" w:space="0" w:color="auto"/>
            </w:tcBorders>
            <w:shd w:val="clear" w:color="auto" w:fill="auto"/>
            <w:noWrap/>
            <w:vAlign w:val="center"/>
            <w:hideMark/>
          </w:tcPr>
          <w:p w14:paraId="06FE1376" w14:textId="64A46FB4" w:rsidR="00537523" w:rsidRPr="004F469F" w:rsidRDefault="00537523" w:rsidP="00537523">
            <w:pPr>
              <w:jc w:val="center"/>
              <w:rPr>
                <w:sz w:val="20"/>
                <w:szCs w:val="20"/>
              </w:rPr>
            </w:pPr>
            <w:r w:rsidRPr="004F469F">
              <w:rPr>
                <w:sz w:val="20"/>
                <w:szCs w:val="20"/>
              </w:rPr>
              <w:t>hit</w:t>
            </w:r>
          </w:p>
        </w:tc>
        <w:tc>
          <w:tcPr>
            <w:tcW w:w="0" w:type="auto"/>
            <w:tcBorders>
              <w:top w:val="nil"/>
              <w:left w:val="nil"/>
              <w:bottom w:val="single" w:sz="4" w:space="0" w:color="auto"/>
              <w:right w:val="single" w:sz="4" w:space="0" w:color="auto"/>
            </w:tcBorders>
            <w:shd w:val="clear" w:color="auto" w:fill="auto"/>
            <w:noWrap/>
            <w:vAlign w:val="center"/>
            <w:hideMark/>
          </w:tcPr>
          <w:p w14:paraId="5C3D4093" w14:textId="77777777" w:rsidR="00537523" w:rsidRPr="004F469F" w:rsidRDefault="00537523" w:rsidP="00537523">
            <w:pPr>
              <w:jc w:val="center"/>
              <w:rPr>
                <w:sz w:val="20"/>
                <w:szCs w:val="20"/>
              </w:rPr>
            </w:pPr>
            <w:r w:rsidRPr="004F469F">
              <w:rPr>
                <w:sz w:val="20"/>
                <w:szCs w:val="20"/>
              </w:rPr>
              <w:t>2,445</w:t>
            </w:r>
          </w:p>
        </w:tc>
        <w:tc>
          <w:tcPr>
            <w:tcW w:w="0" w:type="auto"/>
            <w:tcBorders>
              <w:top w:val="nil"/>
              <w:left w:val="nil"/>
              <w:bottom w:val="single" w:sz="4" w:space="0" w:color="auto"/>
              <w:right w:val="single" w:sz="4" w:space="0" w:color="auto"/>
            </w:tcBorders>
            <w:shd w:val="clear" w:color="auto" w:fill="auto"/>
            <w:noWrap/>
            <w:vAlign w:val="center"/>
            <w:hideMark/>
          </w:tcPr>
          <w:p w14:paraId="34E335C6" w14:textId="77777777" w:rsidR="00537523" w:rsidRPr="004F469F" w:rsidRDefault="00537523" w:rsidP="00537523">
            <w:pPr>
              <w:jc w:val="center"/>
              <w:rPr>
                <w:sz w:val="20"/>
                <w:szCs w:val="20"/>
              </w:rPr>
            </w:pPr>
            <w:r w:rsidRPr="004F469F">
              <w:rPr>
                <w:sz w:val="20"/>
                <w:szCs w:val="20"/>
              </w:rPr>
              <w:t>5,032</w:t>
            </w:r>
          </w:p>
        </w:tc>
        <w:tc>
          <w:tcPr>
            <w:tcW w:w="0" w:type="auto"/>
            <w:tcBorders>
              <w:top w:val="nil"/>
              <w:left w:val="nil"/>
              <w:bottom w:val="single" w:sz="4" w:space="0" w:color="auto"/>
              <w:right w:val="single" w:sz="4" w:space="0" w:color="auto"/>
            </w:tcBorders>
            <w:shd w:val="clear" w:color="auto" w:fill="auto"/>
            <w:noWrap/>
            <w:vAlign w:val="center"/>
            <w:hideMark/>
          </w:tcPr>
          <w:p w14:paraId="0B92B5C3" w14:textId="77777777" w:rsidR="00537523" w:rsidRPr="004F469F" w:rsidRDefault="00537523" w:rsidP="00537523">
            <w:pPr>
              <w:jc w:val="center"/>
              <w:rPr>
                <w:sz w:val="20"/>
                <w:szCs w:val="20"/>
              </w:rPr>
            </w:pPr>
            <w:r w:rsidRPr="004F469F">
              <w:rPr>
                <w:sz w:val="20"/>
                <w:szCs w:val="20"/>
              </w:rPr>
              <w:t>46,434</w:t>
            </w:r>
          </w:p>
        </w:tc>
        <w:tc>
          <w:tcPr>
            <w:tcW w:w="0" w:type="auto"/>
            <w:tcBorders>
              <w:top w:val="nil"/>
              <w:left w:val="nil"/>
              <w:bottom w:val="single" w:sz="4" w:space="0" w:color="auto"/>
              <w:right w:val="single" w:sz="4" w:space="0" w:color="auto"/>
            </w:tcBorders>
            <w:shd w:val="clear" w:color="auto" w:fill="auto"/>
            <w:noWrap/>
            <w:vAlign w:val="center"/>
            <w:hideMark/>
          </w:tcPr>
          <w:p w14:paraId="1653C299" w14:textId="77777777" w:rsidR="00537523" w:rsidRPr="004F469F" w:rsidRDefault="00537523" w:rsidP="00537523">
            <w:pPr>
              <w:jc w:val="center"/>
              <w:rPr>
                <w:sz w:val="20"/>
                <w:szCs w:val="20"/>
              </w:rPr>
            </w:pPr>
            <w:r w:rsidRPr="004F469F">
              <w:rPr>
                <w:sz w:val="20"/>
                <w:szCs w:val="20"/>
              </w:rPr>
              <w:t>near-miss</w:t>
            </w:r>
          </w:p>
        </w:tc>
      </w:tr>
      <w:tr w:rsidR="00494669" w:rsidRPr="004F469F" w14:paraId="07AED990"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08E76B" w14:textId="135E3538"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73A2DFC4" w14:textId="6101DA54" w:rsidR="00537523" w:rsidRPr="004F469F" w:rsidRDefault="00537523" w:rsidP="00537523">
            <w:pPr>
              <w:jc w:val="center"/>
              <w:rPr>
                <w:sz w:val="20"/>
                <w:szCs w:val="20"/>
              </w:rPr>
            </w:pPr>
            <w:r w:rsidRPr="004F469F">
              <w:rPr>
                <w:sz w:val="20"/>
                <w:szCs w:val="20"/>
              </w:rPr>
              <w:t>Tuscaloosa-Birmingham, AL</w:t>
            </w:r>
          </w:p>
        </w:tc>
        <w:tc>
          <w:tcPr>
            <w:tcW w:w="0" w:type="auto"/>
            <w:tcBorders>
              <w:top w:val="nil"/>
              <w:left w:val="nil"/>
              <w:bottom w:val="single" w:sz="4" w:space="0" w:color="auto"/>
              <w:right w:val="single" w:sz="4" w:space="0" w:color="auto"/>
            </w:tcBorders>
            <w:shd w:val="clear" w:color="auto" w:fill="auto"/>
            <w:noWrap/>
            <w:vAlign w:val="center"/>
            <w:hideMark/>
          </w:tcPr>
          <w:p w14:paraId="4A6F519F" w14:textId="77777777" w:rsidR="00537523" w:rsidRPr="004F469F" w:rsidRDefault="00537523" w:rsidP="00537523">
            <w:pPr>
              <w:jc w:val="center"/>
              <w:rPr>
                <w:sz w:val="20"/>
                <w:szCs w:val="20"/>
              </w:rPr>
            </w:pPr>
            <w:r w:rsidRPr="004F469F">
              <w:rPr>
                <w:sz w:val="20"/>
                <w:szCs w:val="20"/>
              </w:rPr>
              <w:t>39,231</w:t>
            </w:r>
          </w:p>
        </w:tc>
        <w:tc>
          <w:tcPr>
            <w:tcW w:w="0" w:type="auto"/>
            <w:tcBorders>
              <w:top w:val="nil"/>
              <w:left w:val="nil"/>
              <w:bottom w:val="single" w:sz="4" w:space="0" w:color="auto"/>
              <w:right w:val="single" w:sz="4" w:space="0" w:color="auto"/>
            </w:tcBorders>
            <w:shd w:val="clear" w:color="auto" w:fill="auto"/>
            <w:noWrap/>
            <w:vAlign w:val="center"/>
            <w:hideMark/>
          </w:tcPr>
          <w:p w14:paraId="2B9B1E80" w14:textId="77777777" w:rsidR="00537523" w:rsidRPr="004F469F" w:rsidRDefault="00537523" w:rsidP="00537523">
            <w:pPr>
              <w:jc w:val="center"/>
              <w:rPr>
                <w:sz w:val="20"/>
                <w:szCs w:val="20"/>
              </w:rPr>
            </w:pPr>
            <w:r w:rsidRPr="004F469F">
              <w:rPr>
                <w:sz w:val="20"/>
                <w:szCs w:val="20"/>
              </w:rPr>
              <w:t>102,942</w:t>
            </w:r>
          </w:p>
        </w:tc>
        <w:tc>
          <w:tcPr>
            <w:tcW w:w="0" w:type="auto"/>
            <w:tcBorders>
              <w:top w:val="nil"/>
              <w:left w:val="nil"/>
              <w:bottom w:val="single" w:sz="4" w:space="0" w:color="auto"/>
              <w:right w:val="single" w:sz="4" w:space="0" w:color="auto"/>
            </w:tcBorders>
            <w:shd w:val="clear" w:color="auto" w:fill="auto"/>
            <w:noWrap/>
            <w:vAlign w:val="center"/>
            <w:hideMark/>
          </w:tcPr>
          <w:p w14:paraId="78EDD0E4" w14:textId="77777777" w:rsidR="00537523" w:rsidRPr="004F469F" w:rsidRDefault="00537523" w:rsidP="00537523">
            <w:pPr>
              <w:jc w:val="center"/>
              <w:rPr>
                <w:sz w:val="20"/>
                <w:szCs w:val="20"/>
              </w:rPr>
            </w:pPr>
            <w:r w:rsidRPr="004F469F">
              <w:rPr>
                <w:sz w:val="20"/>
                <w:szCs w:val="20"/>
              </w:rPr>
              <w:t>114,368</w:t>
            </w:r>
          </w:p>
        </w:tc>
        <w:tc>
          <w:tcPr>
            <w:tcW w:w="0" w:type="auto"/>
            <w:tcBorders>
              <w:top w:val="nil"/>
              <w:left w:val="nil"/>
              <w:bottom w:val="single" w:sz="4" w:space="0" w:color="auto"/>
              <w:right w:val="single" w:sz="4" w:space="0" w:color="auto"/>
            </w:tcBorders>
            <w:shd w:val="clear" w:color="auto" w:fill="auto"/>
            <w:noWrap/>
            <w:vAlign w:val="center"/>
            <w:hideMark/>
          </w:tcPr>
          <w:p w14:paraId="5673A41A" w14:textId="6C1B83AA" w:rsidR="00537523" w:rsidRPr="004F469F" w:rsidRDefault="00537523" w:rsidP="00537523">
            <w:pPr>
              <w:jc w:val="center"/>
              <w:rPr>
                <w:sz w:val="20"/>
                <w:szCs w:val="20"/>
              </w:rPr>
            </w:pPr>
            <w:r w:rsidRPr="004F469F">
              <w:rPr>
                <w:sz w:val="20"/>
                <w:szCs w:val="20"/>
              </w:rPr>
              <w:t>hit</w:t>
            </w:r>
          </w:p>
        </w:tc>
        <w:tc>
          <w:tcPr>
            <w:tcW w:w="0" w:type="auto"/>
            <w:tcBorders>
              <w:top w:val="nil"/>
              <w:left w:val="nil"/>
              <w:bottom w:val="single" w:sz="4" w:space="0" w:color="auto"/>
              <w:right w:val="single" w:sz="4" w:space="0" w:color="auto"/>
            </w:tcBorders>
            <w:shd w:val="clear" w:color="auto" w:fill="auto"/>
            <w:noWrap/>
            <w:vAlign w:val="center"/>
            <w:hideMark/>
          </w:tcPr>
          <w:p w14:paraId="2D6B5B3A" w14:textId="77777777" w:rsidR="00537523" w:rsidRPr="004F469F" w:rsidRDefault="00537523" w:rsidP="00537523">
            <w:pPr>
              <w:jc w:val="center"/>
              <w:rPr>
                <w:sz w:val="20"/>
                <w:szCs w:val="20"/>
              </w:rPr>
            </w:pPr>
            <w:r w:rsidRPr="004F469F">
              <w:rPr>
                <w:sz w:val="20"/>
                <w:szCs w:val="20"/>
              </w:rPr>
              <w:t>18,690</w:t>
            </w:r>
          </w:p>
        </w:tc>
        <w:tc>
          <w:tcPr>
            <w:tcW w:w="0" w:type="auto"/>
            <w:tcBorders>
              <w:top w:val="nil"/>
              <w:left w:val="nil"/>
              <w:bottom w:val="single" w:sz="4" w:space="0" w:color="auto"/>
              <w:right w:val="single" w:sz="4" w:space="0" w:color="auto"/>
            </w:tcBorders>
            <w:shd w:val="clear" w:color="auto" w:fill="auto"/>
            <w:noWrap/>
            <w:vAlign w:val="center"/>
            <w:hideMark/>
          </w:tcPr>
          <w:p w14:paraId="0A979B7D" w14:textId="77777777" w:rsidR="00537523" w:rsidRPr="004F469F" w:rsidRDefault="00537523" w:rsidP="00537523">
            <w:pPr>
              <w:jc w:val="center"/>
              <w:rPr>
                <w:sz w:val="20"/>
                <w:szCs w:val="20"/>
              </w:rPr>
            </w:pPr>
            <w:r w:rsidRPr="004F469F">
              <w:rPr>
                <w:sz w:val="20"/>
                <w:szCs w:val="20"/>
              </w:rPr>
              <w:t>37,900</w:t>
            </w:r>
          </w:p>
        </w:tc>
        <w:tc>
          <w:tcPr>
            <w:tcW w:w="0" w:type="auto"/>
            <w:tcBorders>
              <w:top w:val="nil"/>
              <w:left w:val="nil"/>
              <w:bottom w:val="single" w:sz="4" w:space="0" w:color="auto"/>
              <w:right w:val="single" w:sz="4" w:space="0" w:color="auto"/>
            </w:tcBorders>
            <w:shd w:val="clear" w:color="auto" w:fill="auto"/>
            <w:noWrap/>
            <w:vAlign w:val="center"/>
            <w:hideMark/>
          </w:tcPr>
          <w:p w14:paraId="7534AE99" w14:textId="77777777" w:rsidR="00537523" w:rsidRPr="004F469F" w:rsidRDefault="00537523" w:rsidP="00537523">
            <w:pPr>
              <w:jc w:val="center"/>
              <w:rPr>
                <w:sz w:val="20"/>
                <w:szCs w:val="20"/>
              </w:rPr>
            </w:pPr>
            <w:r w:rsidRPr="004F469F">
              <w:rPr>
                <w:sz w:val="20"/>
                <w:szCs w:val="20"/>
              </w:rPr>
              <w:t>46,454</w:t>
            </w:r>
          </w:p>
        </w:tc>
        <w:tc>
          <w:tcPr>
            <w:tcW w:w="0" w:type="auto"/>
            <w:tcBorders>
              <w:top w:val="nil"/>
              <w:left w:val="nil"/>
              <w:bottom w:val="single" w:sz="4" w:space="0" w:color="auto"/>
              <w:right w:val="single" w:sz="4" w:space="0" w:color="auto"/>
            </w:tcBorders>
            <w:shd w:val="clear" w:color="auto" w:fill="auto"/>
            <w:noWrap/>
            <w:vAlign w:val="center"/>
            <w:hideMark/>
          </w:tcPr>
          <w:p w14:paraId="011B1986" w14:textId="77777777" w:rsidR="00537523" w:rsidRPr="004F469F" w:rsidRDefault="00537523" w:rsidP="00537523">
            <w:pPr>
              <w:jc w:val="center"/>
              <w:rPr>
                <w:sz w:val="20"/>
                <w:szCs w:val="20"/>
              </w:rPr>
            </w:pPr>
            <w:r w:rsidRPr="004F469F">
              <w:rPr>
                <w:sz w:val="20"/>
                <w:szCs w:val="20"/>
              </w:rPr>
              <w:t>hit</w:t>
            </w:r>
          </w:p>
        </w:tc>
      </w:tr>
      <w:tr w:rsidR="00494669" w:rsidRPr="004F469F" w14:paraId="411690C7"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DD1F69" w14:textId="7696F2E9"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130AEA08" w14:textId="333A5DAF" w:rsidR="00537523" w:rsidRPr="004F469F" w:rsidRDefault="00537523" w:rsidP="00537523">
            <w:pPr>
              <w:jc w:val="center"/>
              <w:rPr>
                <w:sz w:val="20"/>
                <w:szCs w:val="20"/>
              </w:rPr>
            </w:pPr>
            <w:r w:rsidRPr="004F469F">
              <w:rPr>
                <w:sz w:val="20"/>
                <w:szCs w:val="20"/>
              </w:rPr>
              <w:t>Shoal Cr.-Ohatchee-Argo, AL</w:t>
            </w:r>
          </w:p>
        </w:tc>
        <w:tc>
          <w:tcPr>
            <w:tcW w:w="0" w:type="auto"/>
            <w:tcBorders>
              <w:top w:val="nil"/>
              <w:left w:val="nil"/>
              <w:bottom w:val="single" w:sz="4" w:space="0" w:color="auto"/>
              <w:right w:val="single" w:sz="4" w:space="0" w:color="auto"/>
            </w:tcBorders>
            <w:shd w:val="clear" w:color="auto" w:fill="auto"/>
            <w:noWrap/>
            <w:vAlign w:val="center"/>
            <w:hideMark/>
          </w:tcPr>
          <w:p w14:paraId="24C0FFD6" w14:textId="77777777" w:rsidR="00537523" w:rsidRPr="004F469F" w:rsidRDefault="00537523" w:rsidP="00537523">
            <w:pPr>
              <w:jc w:val="center"/>
              <w:rPr>
                <w:sz w:val="20"/>
                <w:szCs w:val="20"/>
              </w:rPr>
            </w:pPr>
            <w:r w:rsidRPr="004F469F">
              <w:rPr>
                <w:sz w:val="20"/>
                <w:szCs w:val="20"/>
              </w:rPr>
              <w:t>7,887</w:t>
            </w:r>
          </w:p>
        </w:tc>
        <w:tc>
          <w:tcPr>
            <w:tcW w:w="0" w:type="auto"/>
            <w:tcBorders>
              <w:top w:val="nil"/>
              <w:left w:val="nil"/>
              <w:bottom w:val="single" w:sz="4" w:space="0" w:color="auto"/>
              <w:right w:val="single" w:sz="4" w:space="0" w:color="auto"/>
            </w:tcBorders>
            <w:shd w:val="clear" w:color="auto" w:fill="auto"/>
            <w:noWrap/>
            <w:vAlign w:val="center"/>
            <w:hideMark/>
          </w:tcPr>
          <w:p w14:paraId="1B2380CC" w14:textId="77777777" w:rsidR="00537523" w:rsidRPr="004F469F" w:rsidRDefault="00537523" w:rsidP="00537523">
            <w:pPr>
              <w:jc w:val="center"/>
              <w:rPr>
                <w:sz w:val="20"/>
                <w:szCs w:val="20"/>
              </w:rPr>
            </w:pPr>
            <w:r w:rsidRPr="004F469F">
              <w:rPr>
                <w:sz w:val="20"/>
                <w:szCs w:val="20"/>
              </w:rPr>
              <w:t>17,661</w:t>
            </w:r>
          </w:p>
        </w:tc>
        <w:tc>
          <w:tcPr>
            <w:tcW w:w="0" w:type="auto"/>
            <w:tcBorders>
              <w:top w:val="nil"/>
              <w:left w:val="nil"/>
              <w:bottom w:val="single" w:sz="4" w:space="0" w:color="auto"/>
              <w:right w:val="single" w:sz="4" w:space="0" w:color="auto"/>
            </w:tcBorders>
            <w:shd w:val="clear" w:color="auto" w:fill="auto"/>
            <w:noWrap/>
            <w:vAlign w:val="center"/>
            <w:hideMark/>
          </w:tcPr>
          <w:p w14:paraId="3C10D399" w14:textId="77777777" w:rsidR="00537523" w:rsidRPr="004F469F" w:rsidRDefault="00537523" w:rsidP="00537523">
            <w:pPr>
              <w:jc w:val="center"/>
              <w:rPr>
                <w:sz w:val="20"/>
                <w:szCs w:val="20"/>
              </w:rPr>
            </w:pPr>
            <w:r w:rsidRPr="004F469F">
              <w:rPr>
                <w:sz w:val="20"/>
                <w:szCs w:val="20"/>
              </w:rPr>
              <w:t>57,974</w:t>
            </w:r>
          </w:p>
        </w:tc>
        <w:tc>
          <w:tcPr>
            <w:tcW w:w="0" w:type="auto"/>
            <w:tcBorders>
              <w:top w:val="nil"/>
              <w:left w:val="nil"/>
              <w:bottom w:val="single" w:sz="4" w:space="0" w:color="auto"/>
              <w:right w:val="single" w:sz="4" w:space="0" w:color="auto"/>
            </w:tcBorders>
            <w:shd w:val="clear" w:color="auto" w:fill="auto"/>
            <w:noWrap/>
            <w:vAlign w:val="center"/>
            <w:hideMark/>
          </w:tcPr>
          <w:p w14:paraId="6C9264FA" w14:textId="7629D0DC" w:rsidR="00537523" w:rsidRPr="004F469F" w:rsidRDefault="00537523" w:rsidP="00537523">
            <w:pPr>
              <w:jc w:val="center"/>
              <w:rPr>
                <w:sz w:val="20"/>
                <w:szCs w:val="20"/>
              </w:rPr>
            </w:pPr>
            <w:r w:rsidRPr="004F469F">
              <w:rPr>
                <w:sz w:val="20"/>
                <w:szCs w:val="20"/>
              </w:rPr>
              <w:t>hit</w:t>
            </w:r>
          </w:p>
        </w:tc>
        <w:tc>
          <w:tcPr>
            <w:tcW w:w="0" w:type="auto"/>
            <w:tcBorders>
              <w:top w:val="nil"/>
              <w:left w:val="nil"/>
              <w:bottom w:val="single" w:sz="4" w:space="0" w:color="auto"/>
              <w:right w:val="single" w:sz="4" w:space="0" w:color="auto"/>
            </w:tcBorders>
            <w:shd w:val="clear" w:color="auto" w:fill="auto"/>
            <w:noWrap/>
            <w:vAlign w:val="center"/>
            <w:hideMark/>
          </w:tcPr>
          <w:p w14:paraId="4738C733" w14:textId="77777777" w:rsidR="00537523" w:rsidRPr="004F469F" w:rsidRDefault="00537523" w:rsidP="00537523">
            <w:pPr>
              <w:jc w:val="center"/>
              <w:rPr>
                <w:sz w:val="20"/>
                <w:szCs w:val="20"/>
              </w:rPr>
            </w:pPr>
            <w:r w:rsidRPr="004F469F">
              <w:rPr>
                <w:sz w:val="20"/>
                <w:szCs w:val="20"/>
              </w:rPr>
              <w:t>2,278</w:t>
            </w:r>
          </w:p>
        </w:tc>
        <w:tc>
          <w:tcPr>
            <w:tcW w:w="0" w:type="auto"/>
            <w:tcBorders>
              <w:top w:val="nil"/>
              <w:left w:val="nil"/>
              <w:bottom w:val="single" w:sz="4" w:space="0" w:color="auto"/>
              <w:right w:val="single" w:sz="4" w:space="0" w:color="auto"/>
            </w:tcBorders>
            <w:shd w:val="clear" w:color="auto" w:fill="auto"/>
            <w:noWrap/>
            <w:vAlign w:val="center"/>
            <w:hideMark/>
          </w:tcPr>
          <w:p w14:paraId="683EDD72" w14:textId="77777777" w:rsidR="00537523" w:rsidRPr="004F469F" w:rsidRDefault="00537523" w:rsidP="00537523">
            <w:pPr>
              <w:jc w:val="center"/>
              <w:rPr>
                <w:sz w:val="20"/>
                <w:szCs w:val="20"/>
              </w:rPr>
            </w:pPr>
            <w:r w:rsidRPr="004F469F">
              <w:rPr>
                <w:sz w:val="20"/>
                <w:szCs w:val="20"/>
              </w:rPr>
              <w:t>7,766</w:t>
            </w:r>
          </w:p>
        </w:tc>
        <w:tc>
          <w:tcPr>
            <w:tcW w:w="0" w:type="auto"/>
            <w:tcBorders>
              <w:top w:val="nil"/>
              <w:left w:val="nil"/>
              <w:bottom w:val="single" w:sz="4" w:space="0" w:color="auto"/>
              <w:right w:val="single" w:sz="4" w:space="0" w:color="auto"/>
            </w:tcBorders>
            <w:shd w:val="clear" w:color="auto" w:fill="auto"/>
            <w:noWrap/>
            <w:vAlign w:val="center"/>
            <w:hideMark/>
          </w:tcPr>
          <w:p w14:paraId="4EC24A29" w14:textId="77777777" w:rsidR="00537523" w:rsidRPr="004F469F" w:rsidRDefault="00537523" w:rsidP="00537523">
            <w:pPr>
              <w:jc w:val="center"/>
              <w:rPr>
                <w:sz w:val="20"/>
                <w:szCs w:val="20"/>
              </w:rPr>
            </w:pPr>
            <w:r w:rsidRPr="004F469F">
              <w:rPr>
                <w:sz w:val="20"/>
                <w:szCs w:val="20"/>
              </w:rPr>
              <w:t>12,546</w:t>
            </w:r>
          </w:p>
        </w:tc>
        <w:tc>
          <w:tcPr>
            <w:tcW w:w="0" w:type="auto"/>
            <w:tcBorders>
              <w:top w:val="nil"/>
              <w:left w:val="nil"/>
              <w:bottom w:val="single" w:sz="4" w:space="0" w:color="auto"/>
              <w:right w:val="single" w:sz="4" w:space="0" w:color="auto"/>
            </w:tcBorders>
            <w:shd w:val="clear" w:color="auto" w:fill="auto"/>
            <w:noWrap/>
            <w:vAlign w:val="center"/>
            <w:hideMark/>
          </w:tcPr>
          <w:p w14:paraId="0EA3E861" w14:textId="77777777" w:rsidR="00537523" w:rsidRPr="004F469F" w:rsidRDefault="00537523" w:rsidP="00537523">
            <w:pPr>
              <w:jc w:val="center"/>
              <w:rPr>
                <w:sz w:val="20"/>
                <w:szCs w:val="20"/>
              </w:rPr>
            </w:pPr>
            <w:r w:rsidRPr="004F469F">
              <w:rPr>
                <w:sz w:val="20"/>
                <w:szCs w:val="20"/>
              </w:rPr>
              <w:t>near-miss</w:t>
            </w:r>
          </w:p>
        </w:tc>
      </w:tr>
      <w:tr w:rsidR="00494669" w:rsidRPr="004F469F" w14:paraId="5DC8BA0A"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BCFD55" w14:textId="3D3E8235" w:rsidR="00537523" w:rsidRPr="004F469F" w:rsidRDefault="00537523" w:rsidP="00537523">
            <w:pPr>
              <w:jc w:val="center"/>
              <w:rPr>
                <w:sz w:val="20"/>
                <w:szCs w:val="20"/>
              </w:rPr>
            </w:pPr>
            <w:r w:rsidRPr="004F469F">
              <w:rPr>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024F73F5" w14:textId="3E9260A3" w:rsidR="00537523" w:rsidRPr="004F469F" w:rsidRDefault="00537523" w:rsidP="00537523">
            <w:pPr>
              <w:jc w:val="center"/>
              <w:rPr>
                <w:sz w:val="20"/>
                <w:szCs w:val="20"/>
              </w:rPr>
            </w:pPr>
            <w:r w:rsidRPr="004F469F">
              <w:rPr>
                <w:sz w:val="20"/>
                <w:szCs w:val="20"/>
              </w:rPr>
              <w:t>Lake Martin, AL</w:t>
            </w:r>
          </w:p>
        </w:tc>
        <w:tc>
          <w:tcPr>
            <w:tcW w:w="0" w:type="auto"/>
            <w:tcBorders>
              <w:top w:val="nil"/>
              <w:left w:val="nil"/>
              <w:bottom w:val="single" w:sz="4" w:space="0" w:color="auto"/>
              <w:right w:val="single" w:sz="4" w:space="0" w:color="auto"/>
            </w:tcBorders>
            <w:shd w:val="clear" w:color="auto" w:fill="auto"/>
            <w:noWrap/>
            <w:vAlign w:val="center"/>
            <w:hideMark/>
          </w:tcPr>
          <w:p w14:paraId="3D203BD2" w14:textId="77777777" w:rsidR="00537523" w:rsidRPr="004F469F" w:rsidRDefault="00537523" w:rsidP="00537523">
            <w:pPr>
              <w:jc w:val="center"/>
              <w:rPr>
                <w:sz w:val="20"/>
                <w:szCs w:val="20"/>
              </w:rPr>
            </w:pPr>
            <w:r w:rsidRPr="004F469F">
              <w:rPr>
                <w:sz w:val="20"/>
                <w:szCs w:val="20"/>
              </w:rPr>
              <w:t>1,199</w:t>
            </w:r>
          </w:p>
        </w:tc>
        <w:tc>
          <w:tcPr>
            <w:tcW w:w="0" w:type="auto"/>
            <w:tcBorders>
              <w:top w:val="nil"/>
              <w:left w:val="nil"/>
              <w:bottom w:val="single" w:sz="4" w:space="0" w:color="auto"/>
              <w:right w:val="single" w:sz="4" w:space="0" w:color="auto"/>
            </w:tcBorders>
            <w:shd w:val="clear" w:color="auto" w:fill="auto"/>
            <w:noWrap/>
            <w:vAlign w:val="center"/>
            <w:hideMark/>
          </w:tcPr>
          <w:p w14:paraId="18A3BB83" w14:textId="77777777" w:rsidR="00537523" w:rsidRPr="004F469F" w:rsidRDefault="00537523" w:rsidP="00537523">
            <w:pPr>
              <w:jc w:val="center"/>
              <w:rPr>
                <w:sz w:val="20"/>
                <w:szCs w:val="20"/>
              </w:rPr>
            </w:pPr>
            <w:r w:rsidRPr="004F469F">
              <w:rPr>
                <w:sz w:val="20"/>
                <w:szCs w:val="20"/>
              </w:rPr>
              <w:t>3,205</w:t>
            </w:r>
          </w:p>
        </w:tc>
        <w:tc>
          <w:tcPr>
            <w:tcW w:w="0" w:type="auto"/>
            <w:tcBorders>
              <w:top w:val="nil"/>
              <w:left w:val="nil"/>
              <w:bottom w:val="single" w:sz="4" w:space="0" w:color="auto"/>
              <w:right w:val="single" w:sz="4" w:space="0" w:color="auto"/>
            </w:tcBorders>
            <w:shd w:val="clear" w:color="auto" w:fill="auto"/>
            <w:noWrap/>
            <w:vAlign w:val="center"/>
            <w:hideMark/>
          </w:tcPr>
          <w:p w14:paraId="5C5D615C" w14:textId="77777777" w:rsidR="00537523" w:rsidRPr="004F469F" w:rsidRDefault="00537523" w:rsidP="00537523">
            <w:pPr>
              <w:jc w:val="center"/>
              <w:rPr>
                <w:sz w:val="20"/>
                <w:szCs w:val="20"/>
              </w:rPr>
            </w:pPr>
            <w:r w:rsidRPr="004F469F">
              <w:rPr>
                <w:sz w:val="20"/>
                <w:szCs w:val="20"/>
              </w:rPr>
              <w:t>17,455</w:t>
            </w:r>
          </w:p>
        </w:tc>
        <w:tc>
          <w:tcPr>
            <w:tcW w:w="0" w:type="auto"/>
            <w:tcBorders>
              <w:top w:val="nil"/>
              <w:left w:val="nil"/>
              <w:bottom w:val="single" w:sz="4" w:space="0" w:color="auto"/>
              <w:right w:val="single" w:sz="4" w:space="0" w:color="auto"/>
            </w:tcBorders>
            <w:shd w:val="clear" w:color="auto" w:fill="auto"/>
            <w:noWrap/>
            <w:vAlign w:val="center"/>
            <w:hideMark/>
          </w:tcPr>
          <w:p w14:paraId="056CFF49" w14:textId="5183DAAC" w:rsidR="00537523" w:rsidRPr="004F469F" w:rsidRDefault="00537523" w:rsidP="00537523">
            <w:pPr>
              <w:jc w:val="center"/>
              <w:rPr>
                <w:sz w:val="20"/>
                <w:szCs w:val="20"/>
              </w:rPr>
            </w:pPr>
            <w:r w:rsidRPr="004F469F">
              <w:rPr>
                <w:sz w:val="20"/>
                <w:szCs w:val="20"/>
              </w:rPr>
              <w:t>far-miss</w:t>
            </w:r>
          </w:p>
        </w:tc>
        <w:tc>
          <w:tcPr>
            <w:tcW w:w="0" w:type="auto"/>
            <w:tcBorders>
              <w:top w:val="nil"/>
              <w:left w:val="nil"/>
              <w:bottom w:val="single" w:sz="4" w:space="0" w:color="auto"/>
              <w:right w:val="single" w:sz="4" w:space="0" w:color="auto"/>
            </w:tcBorders>
            <w:shd w:val="clear" w:color="auto" w:fill="auto"/>
            <w:noWrap/>
            <w:vAlign w:val="center"/>
            <w:hideMark/>
          </w:tcPr>
          <w:p w14:paraId="418A4679" w14:textId="77777777" w:rsidR="00537523" w:rsidRPr="004F469F" w:rsidRDefault="00537523" w:rsidP="00537523">
            <w:pPr>
              <w:jc w:val="center"/>
              <w:rPr>
                <w:sz w:val="20"/>
                <w:szCs w:val="20"/>
              </w:rPr>
            </w:pPr>
            <w:r w:rsidRPr="004F469F">
              <w:rPr>
                <w:sz w:val="20"/>
                <w:szCs w:val="20"/>
              </w:rPr>
              <w:t>500</w:t>
            </w:r>
          </w:p>
        </w:tc>
        <w:tc>
          <w:tcPr>
            <w:tcW w:w="0" w:type="auto"/>
            <w:tcBorders>
              <w:top w:val="nil"/>
              <w:left w:val="nil"/>
              <w:bottom w:val="single" w:sz="4" w:space="0" w:color="auto"/>
              <w:right w:val="single" w:sz="4" w:space="0" w:color="auto"/>
            </w:tcBorders>
            <w:shd w:val="clear" w:color="auto" w:fill="auto"/>
            <w:noWrap/>
            <w:vAlign w:val="center"/>
            <w:hideMark/>
          </w:tcPr>
          <w:p w14:paraId="70BE5736" w14:textId="77777777" w:rsidR="00537523" w:rsidRPr="004F469F" w:rsidRDefault="00537523" w:rsidP="00537523">
            <w:pPr>
              <w:jc w:val="center"/>
              <w:rPr>
                <w:sz w:val="20"/>
                <w:szCs w:val="20"/>
              </w:rPr>
            </w:pPr>
            <w:r w:rsidRPr="004F469F">
              <w:rPr>
                <w:sz w:val="20"/>
                <w:szCs w:val="20"/>
              </w:rPr>
              <w:t>1,392</w:t>
            </w:r>
          </w:p>
        </w:tc>
        <w:tc>
          <w:tcPr>
            <w:tcW w:w="0" w:type="auto"/>
            <w:tcBorders>
              <w:top w:val="nil"/>
              <w:left w:val="nil"/>
              <w:bottom w:val="single" w:sz="4" w:space="0" w:color="auto"/>
              <w:right w:val="single" w:sz="4" w:space="0" w:color="auto"/>
            </w:tcBorders>
            <w:shd w:val="clear" w:color="auto" w:fill="auto"/>
            <w:noWrap/>
            <w:vAlign w:val="center"/>
            <w:hideMark/>
          </w:tcPr>
          <w:p w14:paraId="5124A8DA" w14:textId="77777777" w:rsidR="00537523" w:rsidRPr="004F469F" w:rsidRDefault="00537523" w:rsidP="00537523">
            <w:pPr>
              <w:jc w:val="center"/>
              <w:rPr>
                <w:sz w:val="20"/>
                <w:szCs w:val="20"/>
              </w:rPr>
            </w:pPr>
            <w:r w:rsidRPr="004F469F">
              <w:rPr>
                <w:sz w:val="20"/>
                <w:szCs w:val="20"/>
              </w:rPr>
              <w:t>9,662</w:t>
            </w:r>
          </w:p>
        </w:tc>
        <w:tc>
          <w:tcPr>
            <w:tcW w:w="0" w:type="auto"/>
            <w:tcBorders>
              <w:top w:val="nil"/>
              <w:left w:val="nil"/>
              <w:bottom w:val="single" w:sz="4" w:space="0" w:color="auto"/>
              <w:right w:val="single" w:sz="4" w:space="0" w:color="auto"/>
            </w:tcBorders>
            <w:shd w:val="clear" w:color="auto" w:fill="auto"/>
            <w:noWrap/>
            <w:vAlign w:val="center"/>
            <w:hideMark/>
          </w:tcPr>
          <w:p w14:paraId="066EA551" w14:textId="77777777" w:rsidR="00537523" w:rsidRPr="004F469F" w:rsidRDefault="00537523" w:rsidP="00537523">
            <w:pPr>
              <w:jc w:val="center"/>
              <w:rPr>
                <w:sz w:val="20"/>
                <w:szCs w:val="20"/>
              </w:rPr>
            </w:pPr>
            <w:r w:rsidRPr="004F469F">
              <w:rPr>
                <w:sz w:val="20"/>
                <w:szCs w:val="20"/>
              </w:rPr>
              <w:t>far-miss</w:t>
            </w:r>
          </w:p>
        </w:tc>
      </w:tr>
      <w:tr w:rsidR="00494669" w:rsidRPr="004F469F" w14:paraId="57A3B93F" w14:textId="77777777" w:rsidTr="0053752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95F283" w14:textId="4A68D505" w:rsidR="00537523" w:rsidRPr="004F469F" w:rsidRDefault="00537523" w:rsidP="00537523">
            <w:pPr>
              <w:jc w:val="center"/>
              <w:rPr>
                <w:sz w:val="20"/>
                <w:szCs w:val="20"/>
              </w:rPr>
            </w:pPr>
            <w:r w:rsidRPr="004F469F">
              <w:rPr>
                <w:sz w:val="20"/>
                <w:szCs w:val="20"/>
              </w:rPr>
              <w:t>22 May 2011</w:t>
            </w:r>
          </w:p>
        </w:tc>
        <w:tc>
          <w:tcPr>
            <w:tcW w:w="0" w:type="auto"/>
            <w:tcBorders>
              <w:top w:val="nil"/>
              <w:left w:val="nil"/>
              <w:bottom w:val="single" w:sz="4" w:space="0" w:color="auto"/>
              <w:right w:val="single" w:sz="4" w:space="0" w:color="auto"/>
            </w:tcBorders>
            <w:shd w:val="clear" w:color="auto" w:fill="auto"/>
            <w:noWrap/>
            <w:vAlign w:val="center"/>
            <w:hideMark/>
          </w:tcPr>
          <w:p w14:paraId="2B858679" w14:textId="323CDB1B" w:rsidR="00537523" w:rsidRPr="004F469F" w:rsidRDefault="00537523" w:rsidP="00537523">
            <w:pPr>
              <w:jc w:val="center"/>
              <w:rPr>
                <w:sz w:val="20"/>
                <w:szCs w:val="20"/>
              </w:rPr>
            </w:pPr>
            <w:r w:rsidRPr="004F469F">
              <w:rPr>
                <w:sz w:val="20"/>
                <w:szCs w:val="20"/>
              </w:rPr>
              <w:t>Joplin, MO</w:t>
            </w:r>
          </w:p>
        </w:tc>
        <w:tc>
          <w:tcPr>
            <w:tcW w:w="0" w:type="auto"/>
            <w:tcBorders>
              <w:top w:val="nil"/>
              <w:left w:val="nil"/>
              <w:bottom w:val="single" w:sz="4" w:space="0" w:color="auto"/>
              <w:right w:val="single" w:sz="4" w:space="0" w:color="auto"/>
            </w:tcBorders>
            <w:shd w:val="clear" w:color="auto" w:fill="auto"/>
            <w:noWrap/>
            <w:vAlign w:val="center"/>
            <w:hideMark/>
          </w:tcPr>
          <w:p w14:paraId="3C84A59A" w14:textId="77777777" w:rsidR="00537523" w:rsidRPr="004F469F" w:rsidRDefault="00537523" w:rsidP="00537523">
            <w:pPr>
              <w:jc w:val="center"/>
              <w:rPr>
                <w:sz w:val="20"/>
                <w:szCs w:val="20"/>
              </w:rPr>
            </w:pPr>
            <w:r w:rsidRPr="004F469F">
              <w:rPr>
                <w:sz w:val="20"/>
                <w:szCs w:val="20"/>
              </w:rPr>
              <w:t>4,474</w:t>
            </w:r>
          </w:p>
        </w:tc>
        <w:tc>
          <w:tcPr>
            <w:tcW w:w="0" w:type="auto"/>
            <w:tcBorders>
              <w:top w:val="nil"/>
              <w:left w:val="nil"/>
              <w:bottom w:val="single" w:sz="4" w:space="0" w:color="auto"/>
              <w:right w:val="single" w:sz="4" w:space="0" w:color="auto"/>
            </w:tcBorders>
            <w:shd w:val="clear" w:color="auto" w:fill="auto"/>
            <w:noWrap/>
            <w:vAlign w:val="center"/>
            <w:hideMark/>
          </w:tcPr>
          <w:p w14:paraId="47D1D006" w14:textId="77777777" w:rsidR="00537523" w:rsidRPr="004F469F" w:rsidRDefault="00537523" w:rsidP="00537523">
            <w:pPr>
              <w:jc w:val="center"/>
              <w:rPr>
                <w:sz w:val="20"/>
                <w:szCs w:val="20"/>
              </w:rPr>
            </w:pPr>
            <w:r w:rsidRPr="004F469F">
              <w:rPr>
                <w:sz w:val="20"/>
                <w:szCs w:val="20"/>
              </w:rPr>
              <w:t>14,449</w:t>
            </w:r>
          </w:p>
        </w:tc>
        <w:tc>
          <w:tcPr>
            <w:tcW w:w="0" w:type="auto"/>
            <w:tcBorders>
              <w:top w:val="nil"/>
              <w:left w:val="nil"/>
              <w:bottom w:val="single" w:sz="4" w:space="0" w:color="auto"/>
              <w:right w:val="single" w:sz="4" w:space="0" w:color="auto"/>
            </w:tcBorders>
            <w:shd w:val="clear" w:color="auto" w:fill="auto"/>
            <w:noWrap/>
            <w:vAlign w:val="center"/>
            <w:hideMark/>
          </w:tcPr>
          <w:p w14:paraId="5726502B" w14:textId="77777777" w:rsidR="00537523" w:rsidRPr="004F469F" w:rsidRDefault="00537523" w:rsidP="00537523">
            <w:pPr>
              <w:jc w:val="center"/>
              <w:rPr>
                <w:sz w:val="20"/>
                <w:szCs w:val="20"/>
              </w:rPr>
            </w:pPr>
            <w:r w:rsidRPr="004F469F">
              <w:rPr>
                <w:sz w:val="20"/>
                <w:szCs w:val="20"/>
              </w:rPr>
              <w:t>14,579</w:t>
            </w:r>
          </w:p>
        </w:tc>
        <w:tc>
          <w:tcPr>
            <w:tcW w:w="0" w:type="auto"/>
            <w:tcBorders>
              <w:top w:val="nil"/>
              <w:left w:val="nil"/>
              <w:bottom w:val="single" w:sz="4" w:space="0" w:color="auto"/>
              <w:right w:val="single" w:sz="4" w:space="0" w:color="auto"/>
            </w:tcBorders>
            <w:shd w:val="clear" w:color="auto" w:fill="auto"/>
            <w:noWrap/>
            <w:vAlign w:val="center"/>
            <w:hideMark/>
          </w:tcPr>
          <w:p w14:paraId="73DE613A" w14:textId="3705B2BF" w:rsidR="00537523" w:rsidRPr="004F469F" w:rsidRDefault="00537523" w:rsidP="00537523">
            <w:pPr>
              <w:jc w:val="center"/>
              <w:rPr>
                <w:sz w:val="20"/>
                <w:szCs w:val="20"/>
              </w:rPr>
            </w:pPr>
            <w:r w:rsidRPr="004F469F">
              <w:rPr>
                <w:sz w:val="20"/>
                <w:szCs w:val="20"/>
              </w:rPr>
              <w:t>near-miss</w:t>
            </w:r>
          </w:p>
        </w:tc>
        <w:tc>
          <w:tcPr>
            <w:tcW w:w="0" w:type="auto"/>
            <w:tcBorders>
              <w:top w:val="nil"/>
              <w:left w:val="nil"/>
              <w:bottom w:val="single" w:sz="4" w:space="0" w:color="auto"/>
              <w:right w:val="single" w:sz="4" w:space="0" w:color="auto"/>
            </w:tcBorders>
            <w:shd w:val="clear" w:color="auto" w:fill="auto"/>
            <w:noWrap/>
            <w:vAlign w:val="center"/>
            <w:hideMark/>
          </w:tcPr>
          <w:p w14:paraId="3544E595" w14:textId="77777777" w:rsidR="00537523" w:rsidRPr="004F469F" w:rsidRDefault="00537523" w:rsidP="00537523">
            <w:pPr>
              <w:jc w:val="center"/>
              <w:rPr>
                <w:sz w:val="20"/>
                <w:szCs w:val="20"/>
              </w:rPr>
            </w:pPr>
            <w:r w:rsidRPr="004F469F">
              <w:rPr>
                <w:sz w:val="20"/>
                <w:szCs w:val="20"/>
              </w:rPr>
              <w:t>17,292</w:t>
            </w:r>
          </w:p>
        </w:tc>
        <w:tc>
          <w:tcPr>
            <w:tcW w:w="0" w:type="auto"/>
            <w:tcBorders>
              <w:top w:val="nil"/>
              <w:left w:val="nil"/>
              <w:bottom w:val="single" w:sz="4" w:space="0" w:color="auto"/>
              <w:right w:val="single" w:sz="4" w:space="0" w:color="auto"/>
            </w:tcBorders>
            <w:shd w:val="clear" w:color="auto" w:fill="auto"/>
            <w:noWrap/>
            <w:vAlign w:val="center"/>
            <w:hideMark/>
          </w:tcPr>
          <w:p w14:paraId="2F28542E" w14:textId="77777777" w:rsidR="00537523" w:rsidRPr="004F469F" w:rsidRDefault="00537523" w:rsidP="00537523">
            <w:pPr>
              <w:jc w:val="center"/>
              <w:rPr>
                <w:sz w:val="20"/>
                <w:szCs w:val="20"/>
              </w:rPr>
            </w:pPr>
            <w:r w:rsidRPr="004F469F">
              <w:rPr>
                <w:sz w:val="20"/>
                <w:szCs w:val="20"/>
              </w:rPr>
              <w:t>18,119</w:t>
            </w:r>
          </w:p>
        </w:tc>
        <w:tc>
          <w:tcPr>
            <w:tcW w:w="0" w:type="auto"/>
            <w:tcBorders>
              <w:top w:val="nil"/>
              <w:left w:val="nil"/>
              <w:bottom w:val="single" w:sz="4" w:space="0" w:color="auto"/>
              <w:right w:val="single" w:sz="4" w:space="0" w:color="auto"/>
            </w:tcBorders>
            <w:shd w:val="clear" w:color="auto" w:fill="auto"/>
            <w:noWrap/>
            <w:vAlign w:val="center"/>
            <w:hideMark/>
          </w:tcPr>
          <w:p w14:paraId="39323464" w14:textId="77777777" w:rsidR="00537523" w:rsidRPr="004F469F" w:rsidRDefault="00537523" w:rsidP="00537523">
            <w:pPr>
              <w:jc w:val="center"/>
              <w:rPr>
                <w:sz w:val="20"/>
                <w:szCs w:val="20"/>
              </w:rPr>
            </w:pPr>
            <w:r w:rsidRPr="004F469F">
              <w:rPr>
                <w:sz w:val="20"/>
                <w:szCs w:val="20"/>
              </w:rPr>
              <w:t>18,119</w:t>
            </w:r>
          </w:p>
        </w:tc>
        <w:tc>
          <w:tcPr>
            <w:tcW w:w="0" w:type="auto"/>
            <w:tcBorders>
              <w:top w:val="nil"/>
              <w:left w:val="nil"/>
              <w:bottom w:val="single" w:sz="4" w:space="0" w:color="auto"/>
              <w:right w:val="single" w:sz="4" w:space="0" w:color="auto"/>
            </w:tcBorders>
            <w:shd w:val="clear" w:color="auto" w:fill="auto"/>
            <w:noWrap/>
            <w:vAlign w:val="center"/>
            <w:hideMark/>
          </w:tcPr>
          <w:p w14:paraId="5610A556" w14:textId="77777777" w:rsidR="00537523" w:rsidRPr="004F469F" w:rsidRDefault="00537523" w:rsidP="00537523">
            <w:pPr>
              <w:jc w:val="center"/>
              <w:rPr>
                <w:sz w:val="20"/>
                <w:szCs w:val="20"/>
              </w:rPr>
            </w:pPr>
            <w:r w:rsidRPr="004F469F">
              <w:rPr>
                <w:sz w:val="20"/>
                <w:szCs w:val="20"/>
              </w:rPr>
              <w:t>hit</w:t>
            </w:r>
          </w:p>
        </w:tc>
      </w:tr>
    </w:tbl>
    <w:p w14:paraId="52C67A22" w14:textId="77777777" w:rsidR="00537523" w:rsidRPr="004F469F" w:rsidRDefault="00537523" w:rsidP="005C4E5F">
      <w:pPr>
        <w:spacing w:after="120" w:line="480" w:lineRule="auto"/>
        <w:rPr>
          <w:sz w:val="20"/>
          <w:szCs w:val="20"/>
        </w:rPr>
        <w:sectPr w:rsidR="00537523" w:rsidRPr="004F469F" w:rsidSect="00A967F3">
          <w:pgSz w:w="15840" w:h="12240" w:orient="landscape"/>
          <w:pgMar w:top="1440" w:right="1440" w:bottom="1440" w:left="1440" w:header="720" w:footer="720" w:gutter="0"/>
          <w:cols w:space="720"/>
          <w:docGrid w:linePitch="360"/>
        </w:sectPr>
      </w:pPr>
    </w:p>
    <w:p w14:paraId="62D03118" w14:textId="1F59F5B5" w:rsidR="001F01A2" w:rsidRPr="004F469F" w:rsidRDefault="001F01A2" w:rsidP="001F01A2">
      <w:pPr>
        <w:pStyle w:val="Caption"/>
        <w:keepNext/>
        <w:rPr>
          <w:rFonts w:ascii="Times New Roman" w:hAnsi="Times New Roman" w:cs="Times New Roman"/>
          <w:i w:val="0"/>
          <w:iCs w:val="0"/>
          <w:color w:val="auto"/>
          <w:sz w:val="24"/>
          <w:szCs w:val="24"/>
        </w:rPr>
      </w:pPr>
      <w:bookmarkStart w:id="33" w:name="_Toc22034990"/>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Population distributions and violent tornado recurrence intervals for each region in the study area. For the potential impact zones the data was interpolated to a grid with a resolution equivalent to the mean census block size in each impact zone while for the other tables the data is in the original census blocks for each decennial census (1990 - 2010). Variables include: region name (REGION), area of impact zone or total land area for census blocks (km</w:t>
      </w:r>
      <w:r w:rsidRPr="004F469F">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AREA), percent of blocks or grid cells with a population density exceeding 386 persons km</w:t>
      </w:r>
      <w:r w:rsidRPr="004F469F">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xml:space="preserve"> (PCTURB; one definition of an urban area</w:t>
      </w:r>
      <w:r w:rsidR="003642A7">
        <w:rPr>
          <w:rFonts w:ascii="Times New Roman" w:eastAsiaTheme="minorHAnsi" w:hAnsi="Times New Roman" w:cs="Times New Roman"/>
          <w:i w:val="0"/>
          <w:iCs w:val="0"/>
          <w:color w:val="auto"/>
          <w:sz w:val="24"/>
          <w:szCs w:val="24"/>
        </w:rPr>
        <w:t>;</w:t>
      </w:r>
      <w:r w:rsidRPr="004F469F">
        <w:rPr>
          <w:rFonts w:ascii="Times New Roman" w:eastAsiaTheme="minorHAnsi" w:hAnsi="Times New Roman" w:cs="Times New Roman"/>
          <w:i w:val="0"/>
          <w:iCs w:val="0"/>
          <w:color w:val="auto"/>
          <w:sz w:val="24"/>
          <w:szCs w:val="24"/>
        </w:rPr>
        <w:t xml:space="preserve"> Ratcliffe </w:t>
      </w:r>
      <w:r w:rsidRPr="00453357">
        <w:rPr>
          <w:rFonts w:ascii="Times New Roman" w:eastAsiaTheme="minorHAnsi" w:hAnsi="Times New Roman" w:cs="Times New Roman"/>
          <w:color w:val="auto"/>
          <w:sz w:val="24"/>
          <w:szCs w:val="24"/>
        </w:rPr>
        <w:t>et al.</w:t>
      </w:r>
      <w:r w:rsidRPr="004F469F">
        <w:rPr>
          <w:rFonts w:ascii="Times New Roman" w:eastAsiaTheme="minorHAnsi" w:hAnsi="Times New Roman" w:cs="Times New Roman"/>
          <w:i w:val="0"/>
          <w:iCs w:val="0"/>
          <w:color w:val="auto"/>
          <w:sz w:val="24"/>
          <w:szCs w:val="24"/>
        </w:rPr>
        <w:t>, 2016), percent of blocks or grid cells which are populated (PCTPOP), mean grid cell or census block population density (persons km</w:t>
      </w:r>
      <w:r w:rsidRPr="004F469F">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POPDEN), and number of violent tornadoes (NTOR) and recurrence interval for the period 1995 to 2016 (months; RECUR).</w:t>
      </w:r>
      <w:bookmarkEnd w:id="33"/>
    </w:p>
    <w:tbl>
      <w:tblPr>
        <w:tblW w:w="0" w:type="auto"/>
        <w:tblLook w:val="04A0" w:firstRow="1" w:lastRow="0" w:firstColumn="1" w:lastColumn="0" w:noHBand="0" w:noVBand="1"/>
      </w:tblPr>
      <w:tblGrid>
        <w:gridCol w:w="1028"/>
        <w:gridCol w:w="1266"/>
        <w:gridCol w:w="1039"/>
        <w:gridCol w:w="1016"/>
        <w:gridCol w:w="1039"/>
        <w:gridCol w:w="794"/>
        <w:gridCol w:w="928"/>
      </w:tblGrid>
      <w:tr w:rsidR="00494669" w:rsidRPr="004F469F" w14:paraId="03B45C7D" w14:textId="77777777" w:rsidTr="001F01A2">
        <w:trPr>
          <w:trHeight w:val="32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2BB466" w14:textId="77777777" w:rsidR="001F01A2" w:rsidRPr="004F469F" w:rsidRDefault="001F01A2" w:rsidP="001F01A2">
            <w:pPr>
              <w:rPr>
                <w:rFonts w:eastAsia="Arial Unicode MS"/>
                <w:i/>
                <w:iCs/>
                <w:sz w:val="20"/>
                <w:szCs w:val="20"/>
              </w:rPr>
            </w:pPr>
            <w:r w:rsidRPr="004F469F">
              <w:rPr>
                <w:rFonts w:eastAsia="Arial Unicode MS"/>
                <w:i/>
                <w:iCs/>
                <w:sz w:val="20"/>
                <w:szCs w:val="20"/>
              </w:rPr>
              <w:t>Potential Impact Zones</w:t>
            </w:r>
          </w:p>
        </w:tc>
      </w:tr>
      <w:tr w:rsidR="00494669" w:rsidRPr="004F469F" w14:paraId="579DC0DF"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4CDA10"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5456698F" w14:textId="77777777" w:rsidR="001F01A2" w:rsidRPr="004F469F" w:rsidRDefault="001F01A2" w:rsidP="001F01A2">
            <w:pPr>
              <w:jc w:val="center"/>
              <w:rPr>
                <w:b/>
                <w:bCs/>
                <w:sz w:val="20"/>
                <w:szCs w:val="20"/>
              </w:rPr>
            </w:pPr>
            <w:r w:rsidRPr="004F469F">
              <w:rPr>
                <w:b/>
                <w:bCs/>
                <w:sz w:val="20"/>
                <w:szCs w:val="20"/>
              </w:rPr>
              <w:t>AREA</w:t>
            </w:r>
          </w:p>
        </w:tc>
        <w:tc>
          <w:tcPr>
            <w:tcW w:w="0" w:type="auto"/>
            <w:tcBorders>
              <w:top w:val="nil"/>
              <w:left w:val="nil"/>
              <w:bottom w:val="single" w:sz="4" w:space="0" w:color="auto"/>
              <w:right w:val="single" w:sz="4" w:space="0" w:color="auto"/>
            </w:tcBorders>
            <w:shd w:val="clear" w:color="auto" w:fill="auto"/>
            <w:noWrap/>
            <w:vAlign w:val="center"/>
            <w:hideMark/>
          </w:tcPr>
          <w:p w14:paraId="121C734F" w14:textId="77777777" w:rsidR="001F01A2" w:rsidRPr="004F469F" w:rsidRDefault="001F01A2" w:rsidP="001F01A2">
            <w:pPr>
              <w:jc w:val="center"/>
              <w:rPr>
                <w:b/>
                <w:bCs/>
                <w:sz w:val="20"/>
                <w:szCs w:val="20"/>
              </w:rPr>
            </w:pPr>
            <w:r w:rsidRPr="004F469F">
              <w:rPr>
                <w:b/>
                <w:bCs/>
                <w:sz w:val="20"/>
                <w:szCs w:val="20"/>
              </w:rPr>
              <w:t>PCTURB</w:t>
            </w:r>
          </w:p>
        </w:tc>
        <w:tc>
          <w:tcPr>
            <w:tcW w:w="0" w:type="auto"/>
            <w:tcBorders>
              <w:top w:val="nil"/>
              <w:left w:val="nil"/>
              <w:bottom w:val="single" w:sz="4" w:space="0" w:color="auto"/>
              <w:right w:val="single" w:sz="4" w:space="0" w:color="auto"/>
            </w:tcBorders>
            <w:shd w:val="clear" w:color="auto" w:fill="auto"/>
            <w:noWrap/>
            <w:vAlign w:val="center"/>
            <w:hideMark/>
          </w:tcPr>
          <w:p w14:paraId="688067CD" w14:textId="77777777" w:rsidR="001F01A2" w:rsidRPr="004F469F" w:rsidRDefault="001F01A2" w:rsidP="001F01A2">
            <w:pPr>
              <w:jc w:val="center"/>
              <w:rPr>
                <w:b/>
                <w:bCs/>
                <w:sz w:val="20"/>
                <w:szCs w:val="20"/>
              </w:rPr>
            </w:pPr>
            <w:r w:rsidRPr="004F469F">
              <w:rPr>
                <w:b/>
                <w:bCs/>
                <w:sz w:val="20"/>
                <w:szCs w:val="20"/>
              </w:rPr>
              <w:t>PCTPOP</w:t>
            </w:r>
          </w:p>
        </w:tc>
        <w:tc>
          <w:tcPr>
            <w:tcW w:w="0" w:type="auto"/>
            <w:tcBorders>
              <w:top w:val="nil"/>
              <w:left w:val="nil"/>
              <w:bottom w:val="single" w:sz="4" w:space="0" w:color="auto"/>
              <w:right w:val="single" w:sz="4" w:space="0" w:color="auto"/>
            </w:tcBorders>
            <w:shd w:val="clear" w:color="auto" w:fill="auto"/>
            <w:noWrap/>
            <w:vAlign w:val="center"/>
            <w:hideMark/>
          </w:tcPr>
          <w:p w14:paraId="211B15F7" w14:textId="77777777" w:rsidR="001F01A2" w:rsidRPr="004F469F" w:rsidRDefault="001F01A2" w:rsidP="001F01A2">
            <w:pPr>
              <w:jc w:val="center"/>
              <w:rPr>
                <w:b/>
                <w:bCs/>
                <w:sz w:val="20"/>
                <w:szCs w:val="20"/>
              </w:rPr>
            </w:pPr>
            <w:r w:rsidRPr="004F469F">
              <w:rPr>
                <w:b/>
                <w:bCs/>
                <w:sz w:val="20"/>
                <w:szCs w:val="20"/>
              </w:rPr>
              <w:t>POPDEN</w:t>
            </w:r>
          </w:p>
        </w:tc>
        <w:tc>
          <w:tcPr>
            <w:tcW w:w="0" w:type="auto"/>
            <w:tcBorders>
              <w:top w:val="nil"/>
              <w:left w:val="nil"/>
              <w:bottom w:val="single" w:sz="4" w:space="0" w:color="auto"/>
              <w:right w:val="single" w:sz="4" w:space="0" w:color="auto"/>
            </w:tcBorders>
            <w:shd w:val="clear" w:color="auto" w:fill="auto"/>
            <w:noWrap/>
            <w:vAlign w:val="center"/>
            <w:hideMark/>
          </w:tcPr>
          <w:p w14:paraId="27266D30" w14:textId="77777777" w:rsidR="001F01A2" w:rsidRPr="004F469F" w:rsidRDefault="001F01A2" w:rsidP="001F01A2">
            <w:pPr>
              <w:jc w:val="center"/>
              <w:rPr>
                <w:b/>
                <w:bCs/>
                <w:sz w:val="20"/>
                <w:szCs w:val="20"/>
              </w:rPr>
            </w:pPr>
            <w:r w:rsidRPr="004F469F">
              <w:rPr>
                <w:b/>
                <w:bCs/>
                <w:sz w:val="20"/>
                <w:szCs w:val="20"/>
              </w:rPr>
              <w:t>NTOR</w:t>
            </w:r>
          </w:p>
        </w:tc>
        <w:tc>
          <w:tcPr>
            <w:tcW w:w="0" w:type="auto"/>
            <w:tcBorders>
              <w:top w:val="nil"/>
              <w:left w:val="nil"/>
              <w:bottom w:val="single" w:sz="4" w:space="0" w:color="auto"/>
              <w:right w:val="single" w:sz="4" w:space="0" w:color="auto"/>
            </w:tcBorders>
            <w:shd w:val="clear" w:color="auto" w:fill="auto"/>
            <w:noWrap/>
            <w:vAlign w:val="center"/>
            <w:hideMark/>
          </w:tcPr>
          <w:p w14:paraId="083796B8" w14:textId="77777777" w:rsidR="001F01A2" w:rsidRPr="004F469F" w:rsidRDefault="001F01A2" w:rsidP="001F01A2">
            <w:pPr>
              <w:jc w:val="center"/>
              <w:rPr>
                <w:b/>
                <w:bCs/>
                <w:sz w:val="20"/>
                <w:szCs w:val="20"/>
              </w:rPr>
            </w:pPr>
            <w:r w:rsidRPr="004F469F">
              <w:rPr>
                <w:b/>
                <w:bCs/>
                <w:sz w:val="20"/>
                <w:szCs w:val="20"/>
              </w:rPr>
              <w:t>RECUR</w:t>
            </w:r>
          </w:p>
        </w:tc>
      </w:tr>
      <w:tr w:rsidR="00494669" w:rsidRPr="004F469F" w14:paraId="73B9214B"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FD1569" w14:textId="13E1F241"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5D2B3449" w14:textId="77777777" w:rsidR="001F01A2" w:rsidRPr="004F469F" w:rsidRDefault="001F01A2" w:rsidP="001F01A2">
            <w:pPr>
              <w:jc w:val="center"/>
              <w:rPr>
                <w:sz w:val="20"/>
                <w:szCs w:val="20"/>
              </w:rPr>
            </w:pPr>
            <w:r w:rsidRPr="004F469F">
              <w:rPr>
                <w:sz w:val="20"/>
                <w:szCs w:val="20"/>
              </w:rPr>
              <w:t>14,697.30</w:t>
            </w:r>
          </w:p>
        </w:tc>
        <w:tc>
          <w:tcPr>
            <w:tcW w:w="0" w:type="auto"/>
            <w:tcBorders>
              <w:top w:val="nil"/>
              <w:left w:val="nil"/>
              <w:bottom w:val="single" w:sz="4" w:space="0" w:color="auto"/>
              <w:right w:val="single" w:sz="4" w:space="0" w:color="auto"/>
            </w:tcBorders>
            <w:shd w:val="clear" w:color="auto" w:fill="auto"/>
            <w:noWrap/>
            <w:vAlign w:val="center"/>
            <w:hideMark/>
          </w:tcPr>
          <w:p w14:paraId="5D81B7DF" w14:textId="77777777" w:rsidR="001F01A2" w:rsidRPr="004F469F" w:rsidRDefault="001F01A2" w:rsidP="001F01A2">
            <w:pPr>
              <w:jc w:val="center"/>
              <w:rPr>
                <w:sz w:val="20"/>
                <w:szCs w:val="20"/>
              </w:rPr>
            </w:pPr>
            <w:r w:rsidRPr="004F469F">
              <w:rPr>
                <w:sz w:val="20"/>
                <w:szCs w:val="20"/>
              </w:rPr>
              <w:t>7.5</w:t>
            </w:r>
          </w:p>
        </w:tc>
        <w:tc>
          <w:tcPr>
            <w:tcW w:w="0" w:type="auto"/>
            <w:tcBorders>
              <w:top w:val="nil"/>
              <w:left w:val="nil"/>
              <w:bottom w:val="single" w:sz="4" w:space="0" w:color="auto"/>
              <w:right w:val="single" w:sz="4" w:space="0" w:color="auto"/>
            </w:tcBorders>
            <w:shd w:val="clear" w:color="auto" w:fill="auto"/>
            <w:noWrap/>
            <w:vAlign w:val="center"/>
            <w:hideMark/>
          </w:tcPr>
          <w:p w14:paraId="5477E0AB" w14:textId="77777777" w:rsidR="001F01A2" w:rsidRPr="004F469F" w:rsidRDefault="001F01A2" w:rsidP="001F01A2">
            <w:pPr>
              <w:jc w:val="center"/>
              <w:rPr>
                <w:sz w:val="20"/>
                <w:szCs w:val="20"/>
              </w:rPr>
            </w:pPr>
            <w:r w:rsidRPr="004F469F">
              <w:rPr>
                <w:sz w:val="20"/>
                <w:szCs w:val="20"/>
              </w:rPr>
              <w:t>96.6</w:t>
            </w:r>
          </w:p>
        </w:tc>
        <w:tc>
          <w:tcPr>
            <w:tcW w:w="0" w:type="auto"/>
            <w:tcBorders>
              <w:top w:val="nil"/>
              <w:left w:val="nil"/>
              <w:bottom w:val="single" w:sz="4" w:space="0" w:color="auto"/>
              <w:right w:val="single" w:sz="4" w:space="0" w:color="auto"/>
            </w:tcBorders>
            <w:shd w:val="clear" w:color="auto" w:fill="auto"/>
            <w:noWrap/>
            <w:vAlign w:val="center"/>
            <w:hideMark/>
          </w:tcPr>
          <w:p w14:paraId="15F2E73A" w14:textId="77777777" w:rsidR="001F01A2" w:rsidRPr="004F469F" w:rsidRDefault="001F01A2" w:rsidP="001F01A2">
            <w:pPr>
              <w:jc w:val="center"/>
              <w:rPr>
                <w:sz w:val="20"/>
                <w:szCs w:val="20"/>
              </w:rPr>
            </w:pPr>
            <w:r w:rsidRPr="004F469F">
              <w:rPr>
                <w:sz w:val="20"/>
                <w:szCs w:val="20"/>
              </w:rPr>
              <w:t>125.3</w:t>
            </w:r>
          </w:p>
        </w:tc>
        <w:tc>
          <w:tcPr>
            <w:tcW w:w="0" w:type="auto"/>
            <w:tcBorders>
              <w:top w:val="nil"/>
              <w:left w:val="nil"/>
              <w:bottom w:val="single" w:sz="4" w:space="0" w:color="auto"/>
              <w:right w:val="single" w:sz="4" w:space="0" w:color="auto"/>
            </w:tcBorders>
            <w:shd w:val="clear" w:color="auto" w:fill="auto"/>
            <w:noWrap/>
            <w:vAlign w:val="center"/>
            <w:hideMark/>
          </w:tcPr>
          <w:p w14:paraId="229D4D27" w14:textId="77777777" w:rsidR="001F01A2" w:rsidRPr="004F469F" w:rsidRDefault="001F01A2" w:rsidP="001F01A2">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07A583AC" w14:textId="77777777" w:rsidR="001F01A2" w:rsidRPr="004F469F" w:rsidRDefault="001F01A2" w:rsidP="001F01A2">
            <w:pPr>
              <w:jc w:val="center"/>
              <w:rPr>
                <w:sz w:val="20"/>
                <w:szCs w:val="20"/>
              </w:rPr>
            </w:pPr>
            <w:r w:rsidRPr="004F469F">
              <w:rPr>
                <w:sz w:val="20"/>
                <w:szCs w:val="20"/>
              </w:rPr>
              <w:t>24</w:t>
            </w:r>
          </w:p>
        </w:tc>
      </w:tr>
      <w:tr w:rsidR="00494669" w:rsidRPr="004F469F" w14:paraId="4DABFF57"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3F22D9" w14:textId="5E1768CD"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3128A830" w14:textId="77777777" w:rsidR="001F01A2" w:rsidRPr="004F469F" w:rsidRDefault="001F01A2" w:rsidP="001F01A2">
            <w:pPr>
              <w:jc w:val="center"/>
              <w:rPr>
                <w:sz w:val="20"/>
                <w:szCs w:val="20"/>
              </w:rPr>
            </w:pPr>
            <w:r w:rsidRPr="004F469F">
              <w:rPr>
                <w:sz w:val="20"/>
                <w:szCs w:val="20"/>
              </w:rPr>
              <w:t>15,743.40</w:t>
            </w:r>
          </w:p>
        </w:tc>
        <w:tc>
          <w:tcPr>
            <w:tcW w:w="0" w:type="auto"/>
            <w:tcBorders>
              <w:top w:val="nil"/>
              <w:left w:val="nil"/>
              <w:bottom w:val="single" w:sz="4" w:space="0" w:color="auto"/>
              <w:right w:val="single" w:sz="4" w:space="0" w:color="auto"/>
            </w:tcBorders>
            <w:shd w:val="clear" w:color="auto" w:fill="auto"/>
            <w:noWrap/>
            <w:vAlign w:val="center"/>
            <w:hideMark/>
          </w:tcPr>
          <w:p w14:paraId="7FC90C9B" w14:textId="77777777" w:rsidR="001F01A2" w:rsidRPr="004F469F" w:rsidRDefault="001F01A2" w:rsidP="001F01A2">
            <w:pPr>
              <w:jc w:val="center"/>
              <w:rPr>
                <w:sz w:val="20"/>
                <w:szCs w:val="20"/>
              </w:rPr>
            </w:pPr>
            <w:r w:rsidRPr="004F469F">
              <w:rPr>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5EF587F9" w14:textId="77777777" w:rsidR="001F01A2" w:rsidRPr="004F469F" w:rsidRDefault="001F01A2" w:rsidP="001F01A2">
            <w:pPr>
              <w:jc w:val="center"/>
              <w:rPr>
                <w:sz w:val="20"/>
                <w:szCs w:val="20"/>
              </w:rPr>
            </w:pPr>
            <w:r w:rsidRPr="004F469F">
              <w:rPr>
                <w:sz w:val="20"/>
                <w:szCs w:val="20"/>
              </w:rPr>
              <w:t>96.5</w:t>
            </w:r>
          </w:p>
        </w:tc>
        <w:tc>
          <w:tcPr>
            <w:tcW w:w="0" w:type="auto"/>
            <w:tcBorders>
              <w:top w:val="nil"/>
              <w:left w:val="nil"/>
              <w:bottom w:val="single" w:sz="4" w:space="0" w:color="auto"/>
              <w:right w:val="single" w:sz="4" w:space="0" w:color="auto"/>
            </w:tcBorders>
            <w:shd w:val="clear" w:color="auto" w:fill="auto"/>
            <w:noWrap/>
            <w:vAlign w:val="center"/>
            <w:hideMark/>
          </w:tcPr>
          <w:p w14:paraId="0C6E4A6E" w14:textId="77777777" w:rsidR="001F01A2" w:rsidRPr="004F469F" w:rsidRDefault="001F01A2" w:rsidP="001F01A2">
            <w:pPr>
              <w:jc w:val="center"/>
              <w:rPr>
                <w:sz w:val="20"/>
                <w:szCs w:val="20"/>
              </w:rPr>
            </w:pPr>
            <w:r w:rsidRPr="004F469F">
              <w:rPr>
                <w:sz w:val="20"/>
                <w:szCs w:val="20"/>
              </w:rPr>
              <w:t>19.3</w:t>
            </w:r>
          </w:p>
        </w:tc>
        <w:tc>
          <w:tcPr>
            <w:tcW w:w="0" w:type="auto"/>
            <w:tcBorders>
              <w:top w:val="nil"/>
              <w:left w:val="nil"/>
              <w:bottom w:val="single" w:sz="4" w:space="0" w:color="auto"/>
              <w:right w:val="single" w:sz="4" w:space="0" w:color="auto"/>
            </w:tcBorders>
            <w:shd w:val="clear" w:color="auto" w:fill="auto"/>
            <w:noWrap/>
            <w:vAlign w:val="center"/>
            <w:hideMark/>
          </w:tcPr>
          <w:p w14:paraId="7E2A11CF" w14:textId="77777777" w:rsidR="001F01A2" w:rsidRPr="004F469F" w:rsidRDefault="001F01A2" w:rsidP="001F01A2">
            <w:pPr>
              <w:jc w:val="center"/>
              <w:rPr>
                <w:sz w:val="20"/>
                <w:szCs w:val="20"/>
              </w:rPr>
            </w:pPr>
            <w:r w:rsidRPr="004F469F">
              <w:rPr>
                <w:sz w:val="20"/>
                <w:szCs w:val="20"/>
              </w:rPr>
              <w:t>41</w:t>
            </w:r>
          </w:p>
        </w:tc>
        <w:tc>
          <w:tcPr>
            <w:tcW w:w="0" w:type="auto"/>
            <w:tcBorders>
              <w:top w:val="nil"/>
              <w:left w:val="nil"/>
              <w:bottom w:val="single" w:sz="4" w:space="0" w:color="auto"/>
              <w:right w:val="single" w:sz="4" w:space="0" w:color="auto"/>
            </w:tcBorders>
            <w:shd w:val="clear" w:color="auto" w:fill="auto"/>
            <w:noWrap/>
            <w:vAlign w:val="center"/>
            <w:hideMark/>
          </w:tcPr>
          <w:p w14:paraId="2EFA26B7" w14:textId="77777777" w:rsidR="001F01A2" w:rsidRPr="004F469F" w:rsidRDefault="001F01A2" w:rsidP="001F01A2">
            <w:pPr>
              <w:jc w:val="center"/>
              <w:rPr>
                <w:sz w:val="20"/>
                <w:szCs w:val="20"/>
              </w:rPr>
            </w:pPr>
            <w:r w:rsidRPr="004F469F">
              <w:rPr>
                <w:sz w:val="20"/>
                <w:szCs w:val="20"/>
              </w:rPr>
              <w:t>6.4</w:t>
            </w:r>
          </w:p>
        </w:tc>
      </w:tr>
      <w:tr w:rsidR="00494669" w:rsidRPr="004F469F" w14:paraId="45D392DA"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6F83AC" w14:textId="431C5B5C"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031B39E0" w14:textId="77777777" w:rsidR="001F01A2" w:rsidRPr="004F469F" w:rsidRDefault="001F01A2" w:rsidP="001F01A2">
            <w:pPr>
              <w:jc w:val="center"/>
              <w:rPr>
                <w:sz w:val="20"/>
                <w:szCs w:val="20"/>
              </w:rPr>
            </w:pPr>
            <w:r w:rsidRPr="004F469F">
              <w:rPr>
                <w:sz w:val="20"/>
                <w:szCs w:val="20"/>
              </w:rPr>
              <w:t>20,750.90</w:t>
            </w:r>
          </w:p>
        </w:tc>
        <w:tc>
          <w:tcPr>
            <w:tcW w:w="0" w:type="auto"/>
            <w:tcBorders>
              <w:top w:val="nil"/>
              <w:left w:val="nil"/>
              <w:bottom w:val="single" w:sz="4" w:space="0" w:color="auto"/>
              <w:right w:val="single" w:sz="4" w:space="0" w:color="auto"/>
            </w:tcBorders>
            <w:shd w:val="clear" w:color="auto" w:fill="auto"/>
            <w:noWrap/>
            <w:vAlign w:val="center"/>
            <w:hideMark/>
          </w:tcPr>
          <w:p w14:paraId="4687F86D" w14:textId="77777777" w:rsidR="001F01A2" w:rsidRPr="004F469F" w:rsidRDefault="001F01A2" w:rsidP="001F01A2">
            <w:pPr>
              <w:jc w:val="center"/>
              <w:rPr>
                <w:sz w:val="20"/>
                <w:szCs w:val="20"/>
              </w:rPr>
            </w:pPr>
            <w:r w:rsidRPr="004F469F">
              <w:rPr>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69525453" w14:textId="77777777" w:rsidR="001F01A2" w:rsidRPr="004F469F" w:rsidRDefault="001F01A2" w:rsidP="001F01A2">
            <w:pPr>
              <w:jc w:val="center"/>
              <w:rPr>
                <w:sz w:val="20"/>
                <w:szCs w:val="20"/>
              </w:rPr>
            </w:pPr>
            <w:r w:rsidRPr="004F469F">
              <w:rPr>
                <w:sz w:val="20"/>
                <w:szCs w:val="20"/>
              </w:rPr>
              <w:t>96.3</w:t>
            </w:r>
          </w:p>
        </w:tc>
        <w:tc>
          <w:tcPr>
            <w:tcW w:w="0" w:type="auto"/>
            <w:tcBorders>
              <w:top w:val="nil"/>
              <w:left w:val="nil"/>
              <w:bottom w:val="single" w:sz="4" w:space="0" w:color="auto"/>
              <w:right w:val="single" w:sz="4" w:space="0" w:color="auto"/>
            </w:tcBorders>
            <w:shd w:val="clear" w:color="auto" w:fill="auto"/>
            <w:noWrap/>
            <w:vAlign w:val="center"/>
            <w:hideMark/>
          </w:tcPr>
          <w:p w14:paraId="1679E61F" w14:textId="77777777" w:rsidR="001F01A2" w:rsidRPr="004F469F" w:rsidRDefault="001F01A2" w:rsidP="001F01A2">
            <w:pPr>
              <w:jc w:val="center"/>
              <w:rPr>
                <w:sz w:val="20"/>
                <w:szCs w:val="20"/>
              </w:rPr>
            </w:pPr>
            <w:r w:rsidRPr="004F469F">
              <w:rPr>
                <w:sz w:val="20"/>
                <w:szCs w:val="20"/>
              </w:rPr>
              <w:t>41.2</w:t>
            </w:r>
          </w:p>
        </w:tc>
        <w:tc>
          <w:tcPr>
            <w:tcW w:w="0" w:type="auto"/>
            <w:tcBorders>
              <w:top w:val="nil"/>
              <w:left w:val="nil"/>
              <w:bottom w:val="single" w:sz="4" w:space="0" w:color="auto"/>
              <w:right w:val="single" w:sz="4" w:space="0" w:color="auto"/>
            </w:tcBorders>
            <w:shd w:val="clear" w:color="auto" w:fill="auto"/>
            <w:noWrap/>
            <w:vAlign w:val="center"/>
            <w:hideMark/>
          </w:tcPr>
          <w:p w14:paraId="5D7DF14D" w14:textId="77777777" w:rsidR="001F01A2" w:rsidRPr="004F469F" w:rsidRDefault="001F01A2" w:rsidP="001F01A2">
            <w:pPr>
              <w:jc w:val="center"/>
              <w:rPr>
                <w:sz w:val="20"/>
                <w:szCs w:val="20"/>
              </w:rPr>
            </w:pPr>
            <w:r w:rsidRPr="004F469F">
              <w:rPr>
                <w:sz w:val="20"/>
                <w:szCs w:val="20"/>
              </w:rPr>
              <w:t>44</w:t>
            </w:r>
          </w:p>
        </w:tc>
        <w:tc>
          <w:tcPr>
            <w:tcW w:w="0" w:type="auto"/>
            <w:tcBorders>
              <w:top w:val="nil"/>
              <w:left w:val="nil"/>
              <w:bottom w:val="single" w:sz="4" w:space="0" w:color="auto"/>
              <w:right w:val="single" w:sz="4" w:space="0" w:color="auto"/>
            </w:tcBorders>
            <w:shd w:val="clear" w:color="auto" w:fill="auto"/>
            <w:noWrap/>
            <w:vAlign w:val="center"/>
            <w:hideMark/>
          </w:tcPr>
          <w:p w14:paraId="439F0019" w14:textId="77777777" w:rsidR="001F01A2" w:rsidRPr="004F469F" w:rsidRDefault="001F01A2" w:rsidP="001F01A2">
            <w:pPr>
              <w:jc w:val="center"/>
              <w:rPr>
                <w:sz w:val="20"/>
                <w:szCs w:val="20"/>
              </w:rPr>
            </w:pPr>
            <w:r w:rsidRPr="004F469F">
              <w:rPr>
                <w:sz w:val="20"/>
                <w:szCs w:val="20"/>
              </w:rPr>
              <w:t>6</w:t>
            </w:r>
          </w:p>
        </w:tc>
      </w:tr>
      <w:tr w:rsidR="00494669" w:rsidRPr="004F469F" w14:paraId="69CC5B4B"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B591E1" w14:textId="31E9BEED"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4" w:space="0" w:color="auto"/>
              <w:right w:val="single" w:sz="4" w:space="0" w:color="auto"/>
            </w:tcBorders>
            <w:shd w:val="clear" w:color="auto" w:fill="auto"/>
            <w:noWrap/>
            <w:vAlign w:val="center"/>
            <w:hideMark/>
          </w:tcPr>
          <w:p w14:paraId="30AA5907" w14:textId="77777777" w:rsidR="001F01A2" w:rsidRPr="004F469F" w:rsidRDefault="001F01A2" w:rsidP="001F01A2">
            <w:pPr>
              <w:jc w:val="center"/>
              <w:rPr>
                <w:sz w:val="20"/>
                <w:szCs w:val="20"/>
              </w:rPr>
            </w:pPr>
            <w:r w:rsidRPr="004F469F">
              <w:rPr>
                <w:sz w:val="20"/>
                <w:szCs w:val="20"/>
              </w:rPr>
              <w:t>18,046.80</w:t>
            </w:r>
          </w:p>
        </w:tc>
        <w:tc>
          <w:tcPr>
            <w:tcW w:w="0" w:type="auto"/>
            <w:tcBorders>
              <w:top w:val="nil"/>
              <w:left w:val="nil"/>
              <w:bottom w:val="single" w:sz="4" w:space="0" w:color="auto"/>
              <w:right w:val="single" w:sz="4" w:space="0" w:color="auto"/>
            </w:tcBorders>
            <w:shd w:val="clear" w:color="auto" w:fill="auto"/>
            <w:noWrap/>
            <w:vAlign w:val="center"/>
            <w:hideMark/>
          </w:tcPr>
          <w:p w14:paraId="122637CA" w14:textId="77777777" w:rsidR="001F01A2" w:rsidRPr="004F469F" w:rsidRDefault="001F01A2" w:rsidP="001F01A2">
            <w:pPr>
              <w:jc w:val="center"/>
              <w:rPr>
                <w:sz w:val="20"/>
                <w:szCs w:val="20"/>
              </w:rPr>
            </w:pPr>
            <w:r w:rsidRPr="004F469F">
              <w:rPr>
                <w:sz w:val="20"/>
                <w:szCs w:val="20"/>
              </w:rPr>
              <w:t>2.6</w:t>
            </w:r>
          </w:p>
        </w:tc>
        <w:tc>
          <w:tcPr>
            <w:tcW w:w="0" w:type="auto"/>
            <w:tcBorders>
              <w:top w:val="nil"/>
              <w:left w:val="nil"/>
              <w:bottom w:val="single" w:sz="4" w:space="0" w:color="auto"/>
              <w:right w:val="single" w:sz="4" w:space="0" w:color="auto"/>
            </w:tcBorders>
            <w:shd w:val="clear" w:color="auto" w:fill="auto"/>
            <w:noWrap/>
            <w:vAlign w:val="center"/>
            <w:hideMark/>
          </w:tcPr>
          <w:p w14:paraId="5F36F67B" w14:textId="77777777" w:rsidR="001F01A2" w:rsidRPr="004F469F" w:rsidRDefault="001F01A2" w:rsidP="001F01A2">
            <w:pPr>
              <w:jc w:val="center"/>
              <w:rPr>
                <w:sz w:val="20"/>
                <w:szCs w:val="20"/>
              </w:rPr>
            </w:pPr>
            <w:r w:rsidRPr="004F469F">
              <w:rPr>
                <w:sz w:val="20"/>
                <w:szCs w:val="20"/>
              </w:rPr>
              <w:t>94.9</w:t>
            </w:r>
          </w:p>
        </w:tc>
        <w:tc>
          <w:tcPr>
            <w:tcW w:w="0" w:type="auto"/>
            <w:tcBorders>
              <w:top w:val="nil"/>
              <w:left w:val="nil"/>
              <w:bottom w:val="single" w:sz="4" w:space="0" w:color="auto"/>
              <w:right w:val="single" w:sz="4" w:space="0" w:color="auto"/>
            </w:tcBorders>
            <w:shd w:val="clear" w:color="auto" w:fill="auto"/>
            <w:noWrap/>
            <w:vAlign w:val="center"/>
            <w:hideMark/>
          </w:tcPr>
          <w:p w14:paraId="5A9AAC11" w14:textId="77777777" w:rsidR="001F01A2" w:rsidRPr="004F469F" w:rsidRDefault="001F01A2" w:rsidP="001F01A2">
            <w:pPr>
              <w:jc w:val="center"/>
              <w:rPr>
                <w:sz w:val="20"/>
                <w:szCs w:val="20"/>
              </w:rPr>
            </w:pPr>
            <w:r w:rsidRPr="004F469F">
              <w:rPr>
                <w:sz w:val="20"/>
                <w:szCs w:val="20"/>
              </w:rPr>
              <w:t>43.8</w:t>
            </w:r>
          </w:p>
        </w:tc>
        <w:tc>
          <w:tcPr>
            <w:tcW w:w="0" w:type="auto"/>
            <w:tcBorders>
              <w:top w:val="nil"/>
              <w:left w:val="nil"/>
              <w:bottom w:val="single" w:sz="4" w:space="0" w:color="auto"/>
              <w:right w:val="single" w:sz="4" w:space="0" w:color="auto"/>
            </w:tcBorders>
            <w:shd w:val="clear" w:color="auto" w:fill="auto"/>
            <w:noWrap/>
            <w:vAlign w:val="center"/>
            <w:hideMark/>
          </w:tcPr>
          <w:p w14:paraId="7AC7EAC7" w14:textId="77777777" w:rsidR="001F01A2" w:rsidRPr="004F469F" w:rsidRDefault="001F01A2" w:rsidP="001F01A2">
            <w:pPr>
              <w:jc w:val="center"/>
              <w:rPr>
                <w:sz w:val="20"/>
                <w:szCs w:val="20"/>
              </w:rPr>
            </w:pPr>
            <w:r w:rsidRPr="004F469F">
              <w:rPr>
                <w:sz w:val="20"/>
                <w:szCs w:val="20"/>
              </w:rPr>
              <w:t>58</w:t>
            </w:r>
          </w:p>
        </w:tc>
        <w:tc>
          <w:tcPr>
            <w:tcW w:w="0" w:type="auto"/>
            <w:tcBorders>
              <w:top w:val="nil"/>
              <w:left w:val="nil"/>
              <w:bottom w:val="single" w:sz="4" w:space="0" w:color="auto"/>
              <w:right w:val="single" w:sz="4" w:space="0" w:color="auto"/>
            </w:tcBorders>
            <w:shd w:val="clear" w:color="auto" w:fill="auto"/>
            <w:noWrap/>
            <w:vAlign w:val="center"/>
            <w:hideMark/>
          </w:tcPr>
          <w:p w14:paraId="6286D5FE" w14:textId="77777777" w:rsidR="001F01A2" w:rsidRPr="004F469F" w:rsidRDefault="001F01A2" w:rsidP="001F01A2">
            <w:pPr>
              <w:jc w:val="center"/>
              <w:rPr>
                <w:sz w:val="20"/>
                <w:szCs w:val="20"/>
              </w:rPr>
            </w:pPr>
            <w:r w:rsidRPr="004F469F">
              <w:rPr>
                <w:sz w:val="20"/>
                <w:szCs w:val="20"/>
              </w:rPr>
              <w:t>4.6</w:t>
            </w:r>
          </w:p>
        </w:tc>
      </w:tr>
      <w:tr w:rsidR="00494669" w:rsidRPr="004F469F" w14:paraId="61EA31EC" w14:textId="77777777" w:rsidTr="001F01A2">
        <w:trPr>
          <w:trHeight w:val="320"/>
        </w:trPr>
        <w:tc>
          <w:tcPr>
            <w:tcW w:w="0" w:type="auto"/>
            <w:tcBorders>
              <w:top w:val="nil"/>
              <w:left w:val="single" w:sz="4" w:space="0" w:color="auto"/>
              <w:bottom w:val="single" w:sz="4" w:space="0" w:color="auto"/>
              <w:right w:val="nil"/>
            </w:tcBorders>
            <w:shd w:val="clear" w:color="auto" w:fill="auto"/>
            <w:noWrap/>
            <w:vAlign w:val="center"/>
            <w:hideMark/>
          </w:tcPr>
          <w:p w14:paraId="5FD74D45" w14:textId="6F4E5027" w:rsidR="001F01A2" w:rsidRPr="004F469F" w:rsidRDefault="001F01A2" w:rsidP="001F01A2">
            <w:pPr>
              <w:jc w:val="center"/>
              <w:rPr>
                <w:rFonts w:eastAsia="Arial Unicode MS"/>
                <w:sz w:val="20"/>
                <w:szCs w:val="20"/>
              </w:rPr>
            </w:pPr>
          </w:p>
        </w:tc>
        <w:tc>
          <w:tcPr>
            <w:tcW w:w="0" w:type="auto"/>
            <w:tcBorders>
              <w:top w:val="nil"/>
              <w:left w:val="nil"/>
              <w:bottom w:val="single" w:sz="4" w:space="0" w:color="auto"/>
              <w:right w:val="nil"/>
            </w:tcBorders>
            <w:shd w:val="clear" w:color="auto" w:fill="auto"/>
            <w:noWrap/>
            <w:vAlign w:val="center"/>
            <w:hideMark/>
          </w:tcPr>
          <w:p w14:paraId="61BC4806" w14:textId="2A65E201"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0F2406F8" w14:textId="219C0154"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742C0413" w14:textId="78EBB97F"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57A53EA4" w14:textId="06383001"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79610F96" w14:textId="34965B60"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B9FF0EB" w14:textId="073C3085" w:rsidR="001F01A2" w:rsidRPr="004F469F" w:rsidRDefault="001F01A2" w:rsidP="001F01A2">
            <w:pPr>
              <w:jc w:val="center"/>
              <w:rPr>
                <w:sz w:val="20"/>
                <w:szCs w:val="20"/>
              </w:rPr>
            </w:pPr>
          </w:p>
        </w:tc>
      </w:tr>
      <w:tr w:rsidR="00494669" w:rsidRPr="004F469F" w14:paraId="7E143C93" w14:textId="77777777" w:rsidTr="001F01A2">
        <w:trPr>
          <w:trHeight w:val="32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8A20AB" w14:textId="77777777" w:rsidR="001F01A2" w:rsidRPr="004F469F" w:rsidRDefault="001F01A2" w:rsidP="001F01A2">
            <w:pPr>
              <w:rPr>
                <w:rFonts w:eastAsia="Arial Unicode MS"/>
                <w:i/>
                <w:iCs/>
                <w:sz w:val="20"/>
                <w:szCs w:val="20"/>
              </w:rPr>
            </w:pPr>
            <w:r w:rsidRPr="004F469F">
              <w:rPr>
                <w:rFonts w:eastAsia="Arial Unicode MS"/>
                <w:i/>
                <w:iCs/>
                <w:sz w:val="20"/>
                <w:szCs w:val="20"/>
              </w:rPr>
              <w:t>1990 Census Blocks</w:t>
            </w:r>
          </w:p>
        </w:tc>
      </w:tr>
      <w:tr w:rsidR="00494669" w:rsidRPr="004F469F" w14:paraId="3CE7CBCF"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64C85D"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5A678674" w14:textId="77777777" w:rsidR="001F01A2" w:rsidRPr="004F469F" w:rsidRDefault="001F01A2" w:rsidP="001F01A2">
            <w:pPr>
              <w:jc w:val="center"/>
              <w:rPr>
                <w:b/>
                <w:bCs/>
                <w:sz w:val="20"/>
                <w:szCs w:val="20"/>
              </w:rPr>
            </w:pPr>
            <w:r w:rsidRPr="004F469F">
              <w:rPr>
                <w:b/>
                <w:bCs/>
                <w:sz w:val="20"/>
                <w:szCs w:val="20"/>
              </w:rPr>
              <w:t>AREA</w:t>
            </w:r>
          </w:p>
        </w:tc>
        <w:tc>
          <w:tcPr>
            <w:tcW w:w="0" w:type="auto"/>
            <w:tcBorders>
              <w:top w:val="nil"/>
              <w:left w:val="nil"/>
              <w:bottom w:val="single" w:sz="4" w:space="0" w:color="auto"/>
              <w:right w:val="single" w:sz="4" w:space="0" w:color="auto"/>
            </w:tcBorders>
            <w:shd w:val="clear" w:color="auto" w:fill="auto"/>
            <w:noWrap/>
            <w:vAlign w:val="center"/>
            <w:hideMark/>
          </w:tcPr>
          <w:p w14:paraId="509DF4D8" w14:textId="77777777" w:rsidR="001F01A2" w:rsidRPr="004F469F" w:rsidRDefault="001F01A2" w:rsidP="001F01A2">
            <w:pPr>
              <w:jc w:val="center"/>
              <w:rPr>
                <w:b/>
                <w:bCs/>
                <w:sz w:val="20"/>
                <w:szCs w:val="20"/>
              </w:rPr>
            </w:pPr>
            <w:r w:rsidRPr="004F469F">
              <w:rPr>
                <w:b/>
                <w:bCs/>
                <w:sz w:val="20"/>
                <w:szCs w:val="20"/>
              </w:rPr>
              <w:t>PCTURB</w:t>
            </w:r>
          </w:p>
        </w:tc>
        <w:tc>
          <w:tcPr>
            <w:tcW w:w="0" w:type="auto"/>
            <w:tcBorders>
              <w:top w:val="nil"/>
              <w:left w:val="nil"/>
              <w:bottom w:val="single" w:sz="4" w:space="0" w:color="auto"/>
              <w:right w:val="single" w:sz="4" w:space="0" w:color="auto"/>
            </w:tcBorders>
            <w:shd w:val="clear" w:color="auto" w:fill="auto"/>
            <w:noWrap/>
            <w:vAlign w:val="center"/>
            <w:hideMark/>
          </w:tcPr>
          <w:p w14:paraId="56C6E11A" w14:textId="77777777" w:rsidR="001F01A2" w:rsidRPr="004F469F" w:rsidRDefault="001F01A2" w:rsidP="001F01A2">
            <w:pPr>
              <w:jc w:val="center"/>
              <w:rPr>
                <w:b/>
                <w:bCs/>
                <w:sz w:val="20"/>
                <w:szCs w:val="20"/>
              </w:rPr>
            </w:pPr>
            <w:r w:rsidRPr="004F469F">
              <w:rPr>
                <w:b/>
                <w:bCs/>
                <w:sz w:val="20"/>
                <w:szCs w:val="20"/>
              </w:rPr>
              <w:t>PCTPOP</w:t>
            </w:r>
          </w:p>
        </w:tc>
        <w:tc>
          <w:tcPr>
            <w:tcW w:w="0" w:type="auto"/>
            <w:tcBorders>
              <w:top w:val="nil"/>
              <w:left w:val="nil"/>
              <w:bottom w:val="single" w:sz="4" w:space="0" w:color="auto"/>
              <w:right w:val="single" w:sz="4" w:space="0" w:color="auto"/>
            </w:tcBorders>
            <w:shd w:val="clear" w:color="auto" w:fill="auto"/>
            <w:noWrap/>
            <w:vAlign w:val="center"/>
            <w:hideMark/>
          </w:tcPr>
          <w:p w14:paraId="26B68C19" w14:textId="77777777" w:rsidR="001F01A2" w:rsidRPr="004F469F" w:rsidRDefault="001F01A2" w:rsidP="001F01A2">
            <w:pPr>
              <w:jc w:val="center"/>
              <w:rPr>
                <w:b/>
                <w:bCs/>
                <w:sz w:val="20"/>
                <w:szCs w:val="20"/>
              </w:rPr>
            </w:pPr>
            <w:r w:rsidRPr="004F469F">
              <w:rPr>
                <w:b/>
                <w:bCs/>
                <w:sz w:val="20"/>
                <w:szCs w:val="20"/>
              </w:rPr>
              <w:t>POPDEN</w:t>
            </w:r>
          </w:p>
        </w:tc>
        <w:tc>
          <w:tcPr>
            <w:tcW w:w="0" w:type="auto"/>
            <w:tcBorders>
              <w:top w:val="nil"/>
              <w:left w:val="nil"/>
              <w:bottom w:val="single" w:sz="4" w:space="0" w:color="auto"/>
              <w:right w:val="nil"/>
            </w:tcBorders>
            <w:shd w:val="clear" w:color="auto" w:fill="auto"/>
            <w:noWrap/>
            <w:vAlign w:val="center"/>
            <w:hideMark/>
          </w:tcPr>
          <w:p w14:paraId="442952E7" w14:textId="2B1E0C19"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05E4E20" w14:textId="3AC2F43F" w:rsidR="001F01A2" w:rsidRPr="004F469F" w:rsidRDefault="001F01A2" w:rsidP="001F01A2">
            <w:pPr>
              <w:jc w:val="center"/>
              <w:rPr>
                <w:sz w:val="20"/>
                <w:szCs w:val="20"/>
              </w:rPr>
            </w:pPr>
          </w:p>
        </w:tc>
      </w:tr>
      <w:tr w:rsidR="00494669" w:rsidRPr="004F469F" w14:paraId="198CD8B5"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82A828" w14:textId="6420F491"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6679D43B" w14:textId="77777777" w:rsidR="001F01A2" w:rsidRPr="004F469F" w:rsidRDefault="001F01A2" w:rsidP="001F01A2">
            <w:pPr>
              <w:jc w:val="center"/>
              <w:rPr>
                <w:sz w:val="20"/>
                <w:szCs w:val="20"/>
              </w:rPr>
            </w:pPr>
            <w:r w:rsidRPr="004F469F">
              <w:rPr>
                <w:sz w:val="20"/>
                <w:szCs w:val="20"/>
              </w:rPr>
              <w:t>774,146.90</w:t>
            </w:r>
          </w:p>
        </w:tc>
        <w:tc>
          <w:tcPr>
            <w:tcW w:w="0" w:type="auto"/>
            <w:tcBorders>
              <w:top w:val="nil"/>
              <w:left w:val="nil"/>
              <w:bottom w:val="single" w:sz="4" w:space="0" w:color="auto"/>
              <w:right w:val="single" w:sz="4" w:space="0" w:color="auto"/>
            </w:tcBorders>
            <w:shd w:val="clear" w:color="auto" w:fill="auto"/>
            <w:noWrap/>
            <w:vAlign w:val="center"/>
            <w:hideMark/>
          </w:tcPr>
          <w:p w14:paraId="6ACFC322" w14:textId="77777777" w:rsidR="001F01A2" w:rsidRPr="004F469F" w:rsidRDefault="001F01A2" w:rsidP="001F01A2">
            <w:pPr>
              <w:jc w:val="center"/>
              <w:rPr>
                <w:sz w:val="20"/>
                <w:szCs w:val="20"/>
              </w:rPr>
            </w:pPr>
            <w:r w:rsidRPr="004F469F">
              <w:rPr>
                <w:sz w:val="20"/>
                <w:szCs w:val="20"/>
              </w:rPr>
              <w:t>4.1</w:t>
            </w:r>
          </w:p>
        </w:tc>
        <w:tc>
          <w:tcPr>
            <w:tcW w:w="0" w:type="auto"/>
            <w:tcBorders>
              <w:top w:val="nil"/>
              <w:left w:val="nil"/>
              <w:bottom w:val="single" w:sz="4" w:space="0" w:color="auto"/>
              <w:right w:val="single" w:sz="4" w:space="0" w:color="auto"/>
            </w:tcBorders>
            <w:shd w:val="clear" w:color="auto" w:fill="auto"/>
            <w:noWrap/>
            <w:vAlign w:val="center"/>
            <w:hideMark/>
          </w:tcPr>
          <w:p w14:paraId="3F7DD82D" w14:textId="77777777" w:rsidR="001F01A2" w:rsidRPr="004F469F" w:rsidRDefault="001F01A2" w:rsidP="001F01A2">
            <w:pPr>
              <w:jc w:val="center"/>
              <w:rPr>
                <w:sz w:val="20"/>
                <w:szCs w:val="20"/>
              </w:rPr>
            </w:pPr>
            <w:r w:rsidRPr="004F469F">
              <w:rPr>
                <w:sz w:val="20"/>
                <w:szCs w:val="20"/>
              </w:rPr>
              <w:t>87</w:t>
            </w:r>
          </w:p>
        </w:tc>
        <w:tc>
          <w:tcPr>
            <w:tcW w:w="0" w:type="auto"/>
            <w:tcBorders>
              <w:top w:val="nil"/>
              <w:left w:val="nil"/>
              <w:bottom w:val="single" w:sz="4" w:space="0" w:color="auto"/>
              <w:right w:val="single" w:sz="4" w:space="0" w:color="auto"/>
            </w:tcBorders>
            <w:shd w:val="clear" w:color="auto" w:fill="auto"/>
            <w:noWrap/>
            <w:vAlign w:val="center"/>
            <w:hideMark/>
          </w:tcPr>
          <w:p w14:paraId="59DB14AE" w14:textId="77777777" w:rsidR="001F01A2" w:rsidRPr="004F469F" w:rsidRDefault="001F01A2" w:rsidP="001F01A2">
            <w:pPr>
              <w:jc w:val="center"/>
              <w:rPr>
                <w:sz w:val="20"/>
                <w:szCs w:val="20"/>
              </w:rPr>
            </w:pPr>
            <w:r w:rsidRPr="004F469F">
              <w:rPr>
                <w:sz w:val="20"/>
                <w:szCs w:val="20"/>
              </w:rPr>
              <w:t>2,014.00</w:t>
            </w:r>
          </w:p>
        </w:tc>
        <w:tc>
          <w:tcPr>
            <w:tcW w:w="0" w:type="auto"/>
            <w:tcBorders>
              <w:top w:val="nil"/>
              <w:left w:val="nil"/>
              <w:bottom w:val="single" w:sz="4" w:space="0" w:color="auto"/>
              <w:right w:val="nil"/>
            </w:tcBorders>
            <w:shd w:val="clear" w:color="auto" w:fill="auto"/>
            <w:noWrap/>
            <w:vAlign w:val="center"/>
            <w:hideMark/>
          </w:tcPr>
          <w:p w14:paraId="44B54B5A" w14:textId="5F535D27"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7A1883FF" w14:textId="1C299263" w:rsidR="001F01A2" w:rsidRPr="004F469F" w:rsidRDefault="001F01A2" w:rsidP="001F01A2">
            <w:pPr>
              <w:jc w:val="center"/>
              <w:rPr>
                <w:sz w:val="20"/>
                <w:szCs w:val="20"/>
              </w:rPr>
            </w:pPr>
          </w:p>
        </w:tc>
      </w:tr>
      <w:tr w:rsidR="00494669" w:rsidRPr="004F469F" w14:paraId="32A88911"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625006" w14:textId="01E1A50E"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15A4DFD5" w14:textId="77777777" w:rsidR="001F01A2" w:rsidRPr="004F469F" w:rsidRDefault="001F01A2" w:rsidP="001F01A2">
            <w:pPr>
              <w:jc w:val="center"/>
              <w:rPr>
                <w:sz w:val="20"/>
                <w:szCs w:val="20"/>
              </w:rPr>
            </w:pPr>
            <w:r w:rsidRPr="004F469F">
              <w:rPr>
                <w:sz w:val="20"/>
                <w:szCs w:val="20"/>
              </w:rPr>
              <w:t>1,324,138.80</w:t>
            </w:r>
          </w:p>
        </w:tc>
        <w:tc>
          <w:tcPr>
            <w:tcW w:w="0" w:type="auto"/>
            <w:tcBorders>
              <w:top w:val="nil"/>
              <w:left w:val="nil"/>
              <w:bottom w:val="single" w:sz="4" w:space="0" w:color="auto"/>
              <w:right w:val="single" w:sz="4" w:space="0" w:color="auto"/>
            </w:tcBorders>
            <w:shd w:val="clear" w:color="auto" w:fill="auto"/>
            <w:noWrap/>
            <w:vAlign w:val="center"/>
            <w:hideMark/>
          </w:tcPr>
          <w:p w14:paraId="712BA633" w14:textId="77777777" w:rsidR="001F01A2" w:rsidRPr="004F469F" w:rsidRDefault="001F01A2" w:rsidP="001F01A2">
            <w:pPr>
              <w:jc w:val="center"/>
              <w:rPr>
                <w:sz w:val="20"/>
                <w:szCs w:val="20"/>
              </w:rPr>
            </w:pPr>
            <w:r w:rsidRPr="004F469F">
              <w:rPr>
                <w:sz w:val="20"/>
                <w:szCs w:val="20"/>
              </w:rPr>
              <w:t>0.5</w:t>
            </w:r>
          </w:p>
        </w:tc>
        <w:tc>
          <w:tcPr>
            <w:tcW w:w="0" w:type="auto"/>
            <w:tcBorders>
              <w:top w:val="nil"/>
              <w:left w:val="nil"/>
              <w:bottom w:val="single" w:sz="4" w:space="0" w:color="auto"/>
              <w:right w:val="single" w:sz="4" w:space="0" w:color="auto"/>
            </w:tcBorders>
            <w:shd w:val="clear" w:color="auto" w:fill="auto"/>
            <w:noWrap/>
            <w:vAlign w:val="center"/>
            <w:hideMark/>
          </w:tcPr>
          <w:p w14:paraId="3293D8BB" w14:textId="77777777" w:rsidR="001F01A2" w:rsidRPr="004F469F" w:rsidRDefault="001F01A2" w:rsidP="001F01A2">
            <w:pPr>
              <w:jc w:val="center"/>
              <w:rPr>
                <w:sz w:val="20"/>
                <w:szCs w:val="20"/>
              </w:rPr>
            </w:pPr>
            <w:r w:rsidRPr="004F469F">
              <w:rPr>
                <w:sz w:val="20"/>
                <w:szCs w:val="20"/>
              </w:rPr>
              <w:t>76.2</w:t>
            </w:r>
          </w:p>
        </w:tc>
        <w:tc>
          <w:tcPr>
            <w:tcW w:w="0" w:type="auto"/>
            <w:tcBorders>
              <w:top w:val="nil"/>
              <w:left w:val="nil"/>
              <w:bottom w:val="single" w:sz="4" w:space="0" w:color="auto"/>
              <w:right w:val="single" w:sz="4" w:space="0" w:color="auto"/>
            </w:tcBorders>
            <w:shd w:val="clear" w:color="auto" w:fill="auto"/>
            <w:noWrap/>
            <w:vAlign w:val="center"/>
            <w:hideMark/>
          </w:tcPr>
          <w:p w14:paraId="6CEE4E7B" w14:textId="77777777" w:rsidR="001F01A2" w:rsidRPr="004F469F" w:rsidRDefault="001F01A2" w:rsidP="001F01A2">
            <w:pPr>
              <w:jc w:val="center"/>
              <w:rPr>
                <w:sz w:val="20"/>
                <w:szCs w:val="20"/>
              </w:rPr>
            </w:pPr>
            <w:r w:rsidRPr="004F469F">
              <w:rPr>
                <w:sz w:val="20"/>
                <w:szCs w:val="20"/>
              </w:rPr>
              <w:t>504.4</w:t>
            </w:r>
          </w:p>
        </w:tc>
        <w:tc>
          <w:tcPr>
            <w:tcW w:w="0" w:type="auto"/>
            <w:tcBorders>
              <w:top w:val="nil"/>
              <w:left w:val="nil"/>
              <w:bottom w:val="single" w:sz="4" w:space="0" w:color="auto"/>
              <w:right w:val="nil"/>
            </w:tcBorders>
            <w:shd w:val="clear" w:color="auto" w:fill="auto"/>
            <w:noWrap/>
            <w:vAlign w:val="center"/>
            <w:hideMark/>
          </w:tcPr>
          <w:p w14:paraId="0D45A8A4" w14:textId="4885A955"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4635B0B" w14:textId="4ABDF1E8" w:rsidR="001F01A2" w:rsidRPr="004F469F" w:rsidRDefault="001F01A2" w:rsidP="001F01A2">
            <w:pPr>
              <w:jc w:val="center"/>
              <w:rPr>
                <w:sz w:val="20"/>
                <w:szCs w:val="20"/>
              </w:rPr>
            </w:pPr>
          </w:p>
        </w:tc>
      </w:tr>
      <w:tr w:rsidR="00494669" w:rsidRPr="004F469F" w14:paraId="41060A94"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9F2360" w14:textId="73F61B75"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221CD751" w14:textId="77777777" w:rsidR="001F01A2" w:rsidRPr="004F469F" w:rsidRDefault="001F01A2" w:rsidP="001F01A2">
            <w:pPr>
              <w:jc w:val="center"/>
              <w:rPr>
                <w:sz w:val="20"/>
                <w:szCs w:val="20"/>
              </w:rPr>
            </w:pPr>
            <w:r w:rsidRPr="004F469F">
              <w:rPr>
                <w:sz w:val="20"/>
                <w:szCs w:val="20"/>
              </w:rPr>
              <w:t>1,002,375.10</w:t>
            </w:r>
          </w:p>
        </w:tc>
        <w:tc>
          <w:tcPr>
            <w:tcW w:w="0" w:type="auto"/>
            <w:tcBorders>
              <w:top w:val="nil"/>
              <w:left w:val="nil"/>
              <w:bottom w:val="single" w:sz="4" w:space="0" w:color="auto"/>
              <w:right w:val="single" w:sz="4" w:space="0" w:color="auto"/>
            </w:tcBorders>
            <w:shd w:val="clear" w:color="auto" w:fill="auto"/>
            <w:noWrap/>
            <w:vAlign w:val="center"/>
            <w:hideMark/>
          </w:tcPr>
          <w:p w14:paraId="477D162B" w14:textId="77777777" w:rsidR="001F01A2" w:rsidRPr="004F469F" w:rsidRDefault="001F01A2" w:rsidP="001F01A2">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24C83E00" w14:textId="77777777" w:rsidR="001F01A2" w:rsidRPr="004F469F" w:rsidRDefault="001F01A2" w:rsidP="001F01A2">
            <w:pPr>
              <w:jc w:val="center"/>
              <w:rPr>
                <w:sz w:val="20"/>
                <w:szCs w:val="20"/>
              </w:rPr>
            </w:pPr>
            <w:r w:rsidRPr="004F469F">
              <w:rPr>
                <w:sz w:val="20"/>
                <w:szCs w:val="20"/>
              </w:rPr>
              <w:t>82.8</w:t>
            </w:r>
          </w:p>
        </w:tc>
        <w:tc>
          <w:tcPr>
            <w:tcW w:w="0" w:type="auto"/>
            <w:tcBorders>
              <w:top w:val="nil"/>
              <w:left w:val="nil"/>
              <w:bottom w:val="single" w:sz="4" w:space="0" w:color="auto"/>
              <w:right w:val="single" w:sz="4" w:space="0" w:color="auto"/>
            </w:tcBorders>
            <w:shd w:val="clear" w:color="auto" w:fill="auto"/>
            <w:noWrap/>
            <w:vAlign w:val="center"/>
            <w:hideMark/>
          </w:tcPr>
          <w:p w14:paraId="30FF3954" w14:textId="77777777" w:rsidR="001F01A2" w:rsidRPr="004F469F" w:rsidRDefault="001F01A2" w:rsidP="001F01A2">
            <w:pPr>
              <w:jc w:val="center"/>
              <w:rPr>
                <w:sz w:val="20"/>
                <w:szCs w:val="20"/>
              </w:rPr>
            </w:pPr>
            <w:r w:rsidRPr="004F469F">
              <w:rPr>
                <w:sz w:val="20"/>
                <w:szCs w:val="20"/>
              </w:rPr>
              <w:t>699.6</w:t>
            </w:r>
          </w:p>
        </w:tc>
        <w:tc>
          <w:tcPr>
            <w:tcW w:w="0" w:type="auto"/>
            <w:tcBorders>
              <w:top w:val="nil"/>
              <w:left w:val="nil"/>
              <w:bottom w:val="single" w:sz="4" w:space="0" w:color="auto"/>
              <w:right w:val="nil"/>
            </w:tcBorders>
            <w:shd w:val="clear" w:color="auto" w:fill="auto"/>
            <w:noWrap/>
            <w:vAlign w:val="center"/>
            <w:hideMark/>
          </w:tcPr>
          <w:p w14:paraId="4A470F40" w14:textId="438850F6"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320EBE2" w14:textId="5F96D823" w:rsidR="001F01A2" w:rsidRPr="004F469F" w:rsidRDefault="001F01A2" w:rsidP="001F01A2">
            <w:pPr>
              <w:jc w:val="center"/>
              <w:rPr>
                <w:sz w:val="20"/>
                <w:szCs w:val="20"/>
              </w:rPr>
            </w:pPr>
          </w:p>
        </w:tc>
      </w:tr>
      <w:tr w:rsidR="00494669" w:rsidRPr="004F469F" w14:paraId="71BC0DC0"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D0A290" w14:textId="38EEB0B3"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4" w:space="0" w:color="auto"/>
              <w:right w:val="single" w:sz="4" w:space="0" w:color="auto"/>
            </w:tcBorders>
            <w:shd w:val="clear" w:color="auto" w:fill="auto"/>
            <w:noWrap/>
            <w:vAlign w:val="center"/>
            <w:hideMark/>
          </w:tcPr>
          <w:p w14:paraId="21F93D24" w14:textId="77777777" w:rsidR="001F01A2" w:rsidRPr="004F469F" w:rsidRDefault="001F01A2" w:rsidP="001F01A2">
            <w:pPr>
              <w:jc w:val="center"/>
              <w:rPr>
                <w:sz w:val="20"/>
                <w:szCs w:val="20"/>
              </w:rPr>
            </w:pPr>
            <w:r w:rsidRPr="004F469F">
              <w:rPr>
                <w:sz w:val="20"/>
                <w:szCs w:val="20"/>
              </w:rPr>
              <w:t>1,390,897.10</w:t>
            </w:r>
          </w:p>
        </w:tc>
        <w:tc>
          <w:tcPr>
            <w:tcW w:w="0" w:type="auto"/>
            <w:tcBorders>
              <w:top w:val="nil"/>
              <w:left w:val="nil"/>
              <w:bottom w:val="single" w:sz="4" w:space="0" w:color="auto"/>
              <w:right w:val="single" w:sz="4" w:space="0" w:color="auto"/>
            </w:tcBorders>
            <w:shd w:val="clear" w:color="auto" w:fill="auto"/>
            <w:noWrap/>
            <w:vAlign w:val="center"/>
            <w:hideMark/>
          </w:tcPr>
          <w:p w14:paraId="71AB44D9" w14:textId="77777777" w:rsidR="001F01A2" w:rsidRPr="004F469F" w:rsidRDefault="001F01A2" w:rsidP="001F01A2">
            <w:pPr>
              <w:jc w:val="center"/>
              <w:rPr>
                <w:sz w:val="20"/>
                <w:szCs w:val="20"/>
              </w:rPr>
            </w:pPr>
            <w:r w:rsidRPr="004F469F">
              <w:rPr>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527D3091" w14:textId="77777777" w:rsidR="001F01A2" w:rsidRPr="004F469F" w:rsidRDefault="001F01A2" w:rsidP="001F01A2">
            <w:pPr>
              <w:jc w:val="center"/>
              <w:rPr>
                <w:sz w:val="20"/>
                <w:szCs w:val="20"/>
              </w:rPr>
            </w:pPr>
            <w:r w:rsidRPr="004F469F">
              <w:rPr>
                <w:sz w:val="20"/>
                <w:szCs w:val="20"/>
              </w:rPr>
              <w:t>78</w:t>
            </w:r>
          </w:p>
        </w:tc>
        <w:tc>
          <w:tcPr>
            <w:tcW w:w="0" w:type="auto"/>
            <w:tcBorders>
              <w:top w:val="nil"/>
              <w:left w:val="nil"/>
              <w:bottom w:val="single" w:sz="4" w:space="0" w:color="auto"/>
              <w:right w:val="single" w:sz="4" w:space="0" w:color="auto"/>
            </w:tcBorders>
            <w:shd w:val="clear" w:color="auto" w:fill="auto"/>
            <w:noWrap/>
            <w:vAlign w:val="center"/>
            <w:hideMark/>
          </w:tcPr>
          <w:p w14:paraId="27BD0EB5" w14:textId="77777777" w:rsidR="001F01A2" w:rsidRPr="004F469F" w:rsidRDefault="001F01A2" w:rsidP="001F01A2">
            <w:pPr>
              <w:jc w:val="center"/>
              <w:rPr>
                <w:sz w:val="20"/>
                <w:szCs w:val="20"/>
              </w:rPr>
            </w:pPr>
            <w:r w:rsidRPr="004F469F">
              <w:rPr>
                <w:sz w:val="20"/>
                <w:szCs w:val="20"/>
              </w:rPr>
              <w:t>769.1</w:t>
            </w:r>
          </w:p>
        </w:tc>
        <w:tc>
          <w:tcPr>
            <w:tcW w:w="0" w:type="auto"/>
            <w:tcBorders>
              <w:top w:val="nil"/>
              <w:left w:val="nil"/>
              <w:bottom w:val="single" w:sz="4" w:space="0" w:color="auto"/>
              <w:right w:val="nil"/>
            </w:tcBorders>
            <w:shd w:val="clear" w:color="auto" w:fill="auto"/>
            <w:noWrap/>
            <w:vAlign w:val="center"/>
            <w:hideMark/>
          </w:tcPr>
          <w:p w14:paraId="1AE9FC0A" w14:textId="37FD91C7"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1D76CDA6" w14:textId="15CE5577" w:rsidR="001F01A2" w:rsidRPr="004F469F" w:rsidRDefault="001F01A2" w:rsidP="001F01A2">
            <w:pPr>
              <w:jc w:val="center"/>
              <w:rPr>
                <w:sz w:val="20"/>
                <w:szCs w:val="20"/>
              </w:rPr>
            </w:pPr>
          </w:p>
        </w:tc>
      </w:tr>
      <w:tr w:rsidR="00494669" w:rsidRPr="004F469F" w14:paraId="3350DB21" w14:textId="77777777" w:rsidTr="001F01A2">
        <w:trPr>
          <w:trHeight w:val="320"/>
        </w:trPr>
        <w:tc>
          <w:tcPr>
            <w:tcW w:w="0" w:type="auto"/>
            <w:tcBorders>
              <w:top w:val="nil"/>
              <w:left w:val="single" w:sz="4" w:space="0" w:color="auto"/>
              <w:bottom w:val="single" w:sz="4" w:space="0" w:color="auto"/>
              <w:right w:val="nil"/>
            </w:tcBorders>
            <w:shd w:val="clear" w:color="auto" w:fill="auto"/>
            <w:noWrap/>
            <w:vAlign w:val="center"/>
            <w:hideMark/>
          </w:tcPr>
          <w:p w14:paraId="566884A5" w14:textId="27B1655D" w:rsidR="001F01A2" w:rsidRPr="004F469F" w:rsidRDefault="001F01A2" w:rsidP="001F01A2">
            <w:pPr>
              <w:jc w:val="center"/>
              <w:rPr>
                <w:rFonts w:eastAsia="Arial Unicode MS"/>
                <w:sz w:val="20"/>
                <w:szCs w:val="20"/>
              </w:rPr>
            </w:pPr>
          </w:p>
        </w:tc>
        <w:tc>
          <w:tcPr>
            <w:tcW w:w="0" w:type="auto"/>
            <w:tcBorders>
              <w:top w:val="nil"/>
              <w:left w:val="nil"/>
              <w:bottom w:val="single" w:sz="4" w:space="0" w:color="auto"/>
              <w:right w:val="nil"/>
            </w:tcBorders>
            <w:shd w:val="clear" w:color="auto" w:fill="auto"/>
            <w:noWrap/>
            <w:vAlign w:val="center"/>
            <w:hideMark/>
          </w:tcPr>
          <w:p w14:paraId="02B59E90" w14:textId="5B8A5DED"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0C90AE04" w14:textId="66422F54"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25708FAC" w14:textId="141E8861"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6A447724" w14:textId="7262A310"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5F9B7D7A" w14:textId="4D1694FF"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6B2987EF" w14:textId="765EE1F6" w:rsidR="001F01A2" w:rsidRPr="004F469F" w:rsidRDefault="001F01A2" w:rsidP="001F01A2">
            <w:pPr>
              <w:jc w:val="center"/>
              <w:rPr>
                <w:sz w:val="20"/>
                <w:szCs w:val="20"/>
              </w:rPr>
            </w:pPr>
          </w:p>
        </w:tc>
      </w:tr>
      <w:tr w:rsidR="00494669" w:rsidRPr="004F469F" w14:paraId="73B1628D" w14:textId="77777777" w:rsidTr="001F01A2">
        <w:trPr>
          <w:trHeight w:val="32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F34BD8" w14:textId="77777777" w:rsidR="001F01A2" w:rsidRPr="004F469F" w:rsidRDefault="001F01A2" w:rsidP="001F01A2">
            <w:pPr>
              <w:rPr>
                <w:rFonts w:eastAsia="Arial Unicode MS"/>
                <w:i/>
                <w:iCs/>
                <w:sz w:val="20"/>
                <w:szCs w:val="20"/>
              </w:rPr>
            </w:pPr>
            <w:r w:rsidRPr="004F469F">
              <w:rPr>
                <w:rFonts w:eastAsia="Arial Unicode MS"/>
                <w:i/>
                <w:iCs/>
                <w:sz w:val="20"/>
                <w:szCs w:val="20"/>
              </w:rPr>
              <w:t>2000 Census Blocks</w:t>
            </w:r>
          </w:p>
        </w:tc>
      </w:tr>
      <w:tr w:rsidR="00494669" w:rsidRPr="004F469F" w14:paraId="665FA98A"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1EA731"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6E00F943" w14:textId="77777777" w:rsidR="001F01A2" w:rsidRPr="004F469F" w:rsidRDefault="001F01A2" w:rsidP="001F01A2">
            <w:pPr>
              <w:jc w:val="center"/>
              <w:rPr>
                <w:b/>
                <w:bCs/>
                <w:sz w:val="20"/>
                <w:szCs w:val="20"/>
              </w:rPr>
            </w:pPr>
            <w:r w:rsidRPr="004F469F">
              <w:rPr>
                <w:b/>
                <w:bCs/>
                <w:sz w:val="20"/>
                <w:szCs w:val="20"/>
              </w:rPr>
              <w:t>AREA</w:t>
            </w:r>
          </w:p>
        </w:tc>
        <w:tc>
          <w:tcPr>
            <w:tcW w:w="0" w:type="auto"/>
            <w:tcBorders>
              <w:top w:val="nil"/>
              <w:left w:val="nil"/>
              <w:bottom w:val="single" w:sz="4" w:space="0" w:color="auto"/>
              <w:right w:val="single" w:sz="4" w:space="0" w:color="auto"/>
            </w:tcBorders>
            <w:shd w:val="clear" w:color="auto" w:fill="auto"/>
            <w:noWrap/>
            <w:vAlign w:val="center"/>
            <w:hideMark/>
          </w:tcPr>
          <w:p w14:paraId="36675FEC" w14:textId="77777777" w:rsidR="001F01A2" w:rsidRPr="004F469F" w:rsidRDefault="001F01A2" w:rsidP="001F01A2">
            <w:pPr>
              <w:jc w:val="center"/>
              <w:rPr>
                <w:b/>
                <w:bCs/>
                <w:sz w:val="20"/>
                <w:szCs w:val="20"/>
              </w:rPr>
            </w:pPr>
            <w:r w:rsidRPr="004F469F">
              <w:rPr>
                <w:b/>
                <w:bCs/>
                <w:sz w:val="20"/>
                <w:szCs w:val="20"/>
              </w:rPr>
              <w:t>PCTURB</w:t>
            </w:r>
          </w:p>
        </w:tc>
        <w:tc>
          <w:tcPr>
            <w:tcW w:w="0" w:type="auto"/>
            <w:tcBorders>
              <w:top w:val="nil"/>
              <w:left w:val="nil"/>
              <w:bottom w:val="single" w:sz="4" w:space="0" w:color="auto"/>
              <w:right w:val="single" w:sz="4" w:space="0" w:color="auto"/>
            </w:tcBorders>
            <w:shd w:val="clear" w:color="auto" w:fill="auto"/>
            <w:noWrap/>
            <w:vAlign w:val="center"/>
            <w:hideMark/>
          </w:tcPr>
          <w:p w14:paraId="36D7BFD2" w14:textId="77777777" w:rsidR="001F01A2" w:rsidRPr="004F469F" w:rsidRDefault="001F01A2" w:rsidP="001F01A2">
            <w:pPr>
              <w:jc w:val="center"/>
              <w:rPr>
                <w:b/>
                <w:bCs/>
                <w:sz w:val="20"/>
                <w:szCs w:val="20"/>
              </w:rPr>
            </w:pPr>
            <w:r w:rsidRPr="004F469F">
              <w:rPr>
                <w:b/>
                <w:bCs/>
                <w:sz w:val="20"/>
                <w:szCs w:val="20"/>
              </w:rPr>
              <w:t>PCTPOP</w:t>
            </w:r>
          </w:p>
        </w:tc>
        <w:tc>
          <w:tcPr>
            <w:tcW w:w="0" w:type="auto"/>
            <w:tcBorders>
              <w:top w:val="nil"/>
              <w:left w:val="nil"/>
              <w:bottom w:val="single" w:sz="4" w:space="0" w:color="auto"/>
              <w:right w:val="single" w:sz="4" w:space="0" w:color="auto"/>
            </w:tcBorders>
            <w:shd w:val="clear" w:color="auto" w:fill="auto"/>
            <w:noWrap/>
            <w:vAlign w:val="center"/>
            <w:hideMark/>
          </w:tcPr>
          <w:p w14:paraId="0DE6A206" w14:textId="77777777" w:rsidR="001F01A2" w:rsidRPr="004F469F" w:rsidRDefault="001F01A2" w:rsidP="001F01A2">
            <w:pPr>
              <w:jc w:val="center"/>
              <w:rPr>
                <w:b/>
                <w:bCs/>
                <w:sz w:val="20"/>
                <w:szCs w:val="20"/>
              </w:rPr>
            </w:pPr>
            <w:r w:rsidRPr="004F469F">
              <w:rPr>
                <w:b/>
                <w:bCs/>
                <w:sz w:val="20"/>
                <w:szCs w:val="20"/>
              </w:rPr>
              <w:t>POPDEN</w:t>
            </w:r>
          </w:p>
        </w:tc>
        <w:tc>
          <w:tcPr>
            <w:tcW w:w="0" w:type="auto"/>
            <w:tcBorders>
              <w:top w:val="nil"/>
              <w:left w:val="nil"/>
              <w:bottom w:val="single" w:sz="4" w:space="0" w:color="auto"/>
              <w:right w:val="nil"/>
            </w:tcBorders>
            <w:shd w:val="clear" w:color="auto" w:fill="auto"/>
            <w:noWrap/>
            <w:vAlign w:val="center"/>
            <w:hideMark/>
          </w:tcPr>
          <w:p w14:paraId="63E285A3" w14:textId="310F86B7"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42DA6AB" w14:textId="3BAFE722" w:rsidR="001F01A2" w:rsidRPr="004F469F" w:rsidRDefault="001F01A2" w:rsidP="001F01A2">
            <w:pPr>
              <w:jc w:val="center"/>
              <w:rPr>
                <w:sz w:val="20"/>
                <w:szCs w:val="20"/>
              </w:rPr>
            </w:pPr>
          </w:p>
        </w:tc>
      </w:tr>
      <w:tr w:rsidR="00494669" w:rsidRPr="004F469F" w14:paraId="1496E720"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7EE8B" w14:textId="6642D638"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08873B6B" w14:textId="77777777" w:rsidR="001F01A2" w:rsidRPr="004F469F" w:rsidRDefault="001F01A2" w:rsidP="001F01A2">
            <w:pPr>
              <w:jc w:val="center"/>
              <w:rPr>
                <w:sz w:val="20"/>
                <w:szCs w:val="20"/>
              </w:rPr>
            </w:pPr>
            <w:r w:rsidRPr="004F469F">
              <w:rPr>
                <w:sz w:val="20"/>
                <w:szCs w:val="20"/>
              </w:rPr>
              <w:t>773,830.40</w:t>
            </w:r>
          </w:p>
        </w:tc>
        <w:tc>
          <w:tcPr>
            <w:tcW w:w="0" w:type="auto"/>
            <w:tcBorders>
              <w:top w:val="nil"/>
              <w:left w:val="nil"/>
              <w:bottom w:val="single" w:sz="4" w:space="0" w:color="auto"/>
              <w:right w:val="single" w:sz="4" w:space="0" w:color="auto"/>
            </w:tcBorders>
            <w:shd w:val="clear" w:color="auto" w:fill="auto"/>
            <w:noWrap/>
            <w:vAlign w:val="center"/>
            <w:hideMark/>
          </w:tcPr>
          <w:p w14:paraId="46FF2128" w14:textId="77777777" w:rsidR="001F01A2" w:rsidRPr="004F469F" w:rsidRDefault="001F01A2" w:rsidP="001F01A2">
            <w:pPr>
              <w:jc w:val="center"/>
              <w:rPr>
                <w:sz w:val="20"/>
                <w:szCs w:val="20"/>
              </w:rPr>
            </w:pPr>
            <w:r w:rsidRPr="004F469F">
              <w:rPr>
                <w:sz w:val="20"/>
                <w:szCs w:val="20"/>
              </w:rPr>
              <w:t>4.5</w:t>
            </w:r>
          </w:p>
        </w:tc>
        <w:tc>
          <w:tcPr>
            <w:tcW w:w="0" w:type="auto"/>
            <w:tcBorders>
              <w:top w:val="nil"/>
              <w:left w:val="nil"/>
              <w:bottom w:val="single" w:sz="4" w:space="0" w:color="auto"/>
              <w:right w:val="single" w:sz="4" w:space="0" w:color="auto"/>
            </w:tcBorders>
            <w:shd w:val="clear" w:color="auto" w:fill="auto"/>
            <w:noWrap/>
            <w:vAlign w:val="center"/>
            <w:hideMark/>
          </w:tcPr>
          <w:p w14:paraId="44A7D898" w14:textId="77777777" w:rsidR="001F01A2" w:rsidRPr="004F469F" w:rsidRDefault="001F01A2" w:rsidP="001F01A2">
            <w:pPr>
              <w:jc w:val="center"/>
              <w:rPr>
                <w:sz w:val="20"/>
                <w:szCs w:val="20"/>
              </w:rPr>
            </w:pPr>
            <w:r w:rsidRPr="004F469F">
              <w:rPr>
                <w:sz w:val="20"/>
                <w:szCs w:val="20"/>
              </w:rPr>
              <w:t>87.5</w:t>
            </w:r>
          </w:p>
        </w:tc>
        <w:tc>
          <w:tcPr>
            <w:tcW w:w="0" w:type="auto"/>
            <w:tcBorders>
              <w:top w:val="nil"/>
              <w:left w:val="nil"/>
              <w:bottom w:val="single" w:sz="4" w:space="0" w:color="auto"/>
              <w:right w:val="single" w:sz="4" w:space="0" w:color="auto"/>
            </w:tcBorders>
            <w:shd w:val="clear" w:color="auto" w:fill="auto"/>
            <w:noWrap/>
            <w:vAlign w:val="center"/>
            <w:hideMark/>
          </w:tcPr>
          <w:p w14:paraId="762D099F" w14:textId="77777777" w:rsidR="001F01A2" w:rsidRPr="004F469F" w:rsidRDefault="001F01A2" w:rsidP="001F01A2">
            <w:pPr>
              <w:jc w:val="center"/>
              <w:rPr>
                <w:sz w:val="20"/>
                <w:szCs w:val="20"/>
              </w:rPr>
            </w:pPr>
            <w:r w:rsidRPr="004F469F">
              <w:rPr>
                <w:sz w:val="20"/>
                <w:szCs w:val="20"/>
              </w:rPr>
              <w:t>1,793.90</w:t>
            </w:r>
          </w:p>
        </w:tc>
        <w:tc>
          <w:tcPr>
            <w:tcW w:w="0" w:type="auto"/>
            <w:tcBorders>
              <w:top w:val="nil"/>
              <w:left w:val="nil"/>
              <w:bottom w:val="single" w:sz="4" w:space="0" w:color="auto"/>
              <w:right w:val="nil"/>
            </w:tcBorders>
            <w:shd w:val="clear" w:color="auto" w:fill="auto"/>
            <w:noWrap/>
            <w:vAlign w:val="center"/>
            <w:hideMark/>
          </w:tcPr>
          <w:p w14:paraId="38D700C3" w14:textId="2D211E80"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B45172D" w14:textId="6A9BED83" w:rsidR="001F01A2" w:rsidRPr="004F469F" w:rsidRDefault="001F01A2" w:rsidP="001F01A2">
            <w:pPr>
              <w:jc w:val="center"/>
              <w:rPr>
                <w:sz w:val="20"/>
                <w:szCs w:val="20"/>
              </w:rPr>
            </w:pPr>
          </w:p>
        </w:tc>
      </w:tr>
      <w:tr w:rsidR="00494669" w:rsidRPr="004F469F" w14:paraId="2A9B5B77"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2D7EED" w14:textId="7AF3B2B2"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786B5529" w14:textId="77777777" w:rsidR="001F01A2" w:rsidRPr="004F469F" w:rsidRDefault="001F01A2" w:rsidP="001F01A2">
            <w:pPr>
              <w:jc w:val="center"/>
              <w:rPr>
                <w:sz w:val="20"/>
                <w:szCs w:val="20"/>
              </w:rPr>
            </w:pPr>
            <w:r w:rsidRPr="004F469F">
              <w:rPr>
                <w:sz w:val="20"/>
                <w:szCs w:val="20"/>
              </w:rPr>
              <w:t>1,322,642.40</w:t>
            </w:r>
          </w:p>
        </w:tc>
        <w:tc>
          <w:tcPr>
            <w:tcW w:w="0" w:type="auto"/>
            <w:tcBorders>
              <w:top w:val="nil"/>
              <w:left w:val="nil"/>
              <w:bottom w:val="single" w:sz="4" w:space="0" w:color="auto"/>
              <w:right w:val="single" w:sz="4" w:space="0" w:color="auto"/>
            </w:tcBorders>
            <w:shd w:val="clear" w:color="auto" w:fill="auto"/>
            <w:noWrap/>
            <w:vAlign w:val="center"/>
            <w:hideMark/>
          </w:tcPr>
          <w:p w14:paraId="48AF0AE4" w14:textId="77777777" w:rsidR="001F01A2" w:rsidRPr="004F469F" w:rsidRDefault="001F01A2" w:rsidP="001F01A2">
            <w:pPr>
              <w:jc w:val="center"/>
              <w:rPr>
                <w:sz w:val="20"/>
                <w:szCs w:val="20"/>
              </w:rPr>
            </w:pPr>
            <w:r w:rsidRPr="004F469F">
              <w:rPr>
                <w:sz w:val="20"/>
                <w:szCs w:val="20"/>
              </w:rPr>
              <w:t>0.6</w:t>
            </w:r>
          </w:p>
        </w:tc>
        <w:tc>
          <w:tcPr>
            <w:tcW w:w="0" w:type="auto"/>
            <w:tcBorders>
              <w:top w:val="nil"/>
              <w:left w:val="nil"/>
              <w:bottom w:val="single" w:sz="4" w:space="0" w:color="auto"/>
              <w:right w:val="single" w:sz="4" w:space="0" w:color="auto"/>
            </w:tcBorders>
            <w:shd w:val="clear" w:color="auto" w:fill="auto"/>
            <w:noWrap/>
            <w:vAlign w:val="center"/>
            <w:hideMark/>
          </w:tcPr>
          <w:p w14:paraId="7E41B68C" w14:textId="77777777" w:rsidR="001F01A2" w:rsidRPr="004F469F" w:rsidRDefault="001F01A2" w:rsidP="001F01A2">
            <w:pPr>
              <w:jc w:val="center"/>
              <w:rPr>
                <w:sz w:val="20"/>
                <w:szCs w:val="20"/>
              </w:rPr>
            </w:pPr>
            <w:r w:rsidRPr="004F469F">
              <w:rPr>
                <w:sz w:val="20"/>
                <w:szCs w:val="20"/>
              </w:rPr>
              <w:t>74.1</w:t>
            </w:r>
          </w:p>
        </w:tc>
        <w:tc>
          <w:tcPr>
            <w:tcW w:w="0" w:type="auto"/>
            <w:tcBorders>
              <w:top w:val="nil"/>
              <w:left w:val="nil"/>
              <w:bottom w:val="single" w:sz="4" w:space="0" w:color="auto"/>
              <w:right w:val="single" w:sz="4" w:space="0" w:color="auto"/>
            </w:tcBorders>
            <w:shd w:val="clear" w:color="auto" w:fill="auto"/>
            <w:noWrap/>
            <w:vAlign w:val="center"/>
            <w:hideMark/>
          </w:tcPr>
          <w:p w14:paraId="3A052460" w14:textId="77777777" w:rsidR="001F01A2" w:rsidRPr="004F469F" w:rsidRDefault="001F01A2" w:rsidP="001F01A2">
            <w:pPr>
              <w:jc w:val="center"/>
              <w:rPr>
                <w:sz w:val="20"/>
                <w:szCs w:val="20"/>
              </w:rPr>
            </w:pPr>
            <w:r w:rsidRPr="004F469F">
              <w:rPr>
                <w:sz w:val="20"/>
                <w:szCs w:val="20"/>
              </w:rPr>
              <w:t>523.2</w:t>
            </w:r>
          </w:p>
        </w:tc>
        <w:tc>
          <w:tcPr>
            <w:tcW w:w="0" w:type="auto"/>
            <w:tcBorders>
              <w:top w:val="nil"/>
              <w:left w:val="nil"/>
              <w:bottom w:val="single" w:sz="4" w:space="0" w:color="auto"/>
              <w:right w:val="nil"/>
            </w:tcBorders>
            <w:shd w:val="clear" w:color="auto" w:fill="auto"/>
            <w:noWrap/>
            <w:vAlign w:val="center"/>
            <w:hideMark/>
          </w:tcPr>
          <w:p w14:paraId="7251591A" w14:textId="721B5D62"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5D43FAB" w14:textId="1EDA6939" w:rsidR="001F01A2" w:rsidRPr="004F469F" w:rsidRDefault="001F01A2" w:rsidP="001F01A2">
            <w:pPr>
              <w:jc w:val="center"/>
              <w:rPr>
                <w:sz w:val="20"/>
                <w:szCs w:val="20"/>
              </w:rPr>
            </w:pPr>
          </w:p>
        </w:tc>
      </w:tr>
      <w:tr w:rsidR="00494669" w:rsidRPr="004F469F" w14:paraId="07C02763"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109DA1" w14:textId="3C03637C"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097BE236" w14:textId="77777777" w:rsidR="001F01A2" w:rsidRPr="004F469F" w:rsidRDefault="001F01A2" w:rsidP="001F01A2">
            <w:pPr>
              <w:jc w:val="center"/>
              <w:rPr>
                <w:sz w:val="20"/>
                <w:szCs w:val="20"/>
              </w:rPr>
            </w:pPr>
            <w:r w:rsidRPr="004F469F">
              <w:rPr>
                <w:sz w:val="20"/>
                <w:szCs w:val="20"/>
              </w:rPr>
              <w:t>1,001,832.10</w:t>
            </w:r>
          </w:p>
        </w:tc>
        <w:tc>
          <w:tcPr>
            <w:tcW w:w="0" w:type="auto"/>
            <w:tcBorders>
              <w:top w:val="nil"/>
              <w:left w:val="nil"/>
              <w:bottom w:val="single" w:sz="4" w:space="0" w:color="auto"/>
              <w:right w:val="single" w:sz="4" w:space="0" w:color="auto"/>
            </w:tcBorders>
            <w:shd w:val="clear" w:color="auto" w:fill="auto"/>
            <w:noWrap/>
            <w:vAlign w:val="center"/>
            <w:hideMark/>
          </w:tcPr>
          <w:p w14:paraId="70A1F859" w14:textId="77777777" w:rsidR="001F01A2" w:rsidRPr="004F469F" w:rsidRDefault="001F01A2" w:rsidP="001F01A2">
            <w:pPr>
              <w:jc w:val="center"/>
              <w:rPr>
                <w:sz w:val="20"/>
                <w:szCs w:val="20"/>
              </w:rPr>
            </w:pPr>
            <w:r w:rsidRPr="004F469F">
              <w:rPr>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10C15A28" w14:textId="77777777" w:rsidR="001F01A2" w:rsidRPr="004F469F" w:rsidRDefault="001F01A2" w:rsidP="001F01A2">
            <w:pPr>
              <w:jc w:val="center"/>
              <w:rPr>
                <w:sz w:val="20"/>
                <w:szCs w:val="20"/>
              </w:rPr>
            </w:pPr>
            <w:r w:rsidRPr="004F469F">
              <w:rPr>
                <w:sz w:val="20"/>
                <w:szCs w:val="20"/>
              </w:rPr>
              <w:t>84.1</w:t>
            </w:r>
          </w:p>
        </w:tc>
        <w:tc>
          <w:tcPr>
            <w:tcW w:w="0" w:type="auto"/>
            <w:tcBorders>
              <w:top w:val="nil"/>
              <w:left w:val="nil"/>
              <w:bottom w:val="single" w:sz="4" w:space="0" w:color="auto"/>
              <w:right w:val="single" w:sz="4" w:space="0" w:color="auto"/>
            </w:tcBorders>
            <w:shd w:val="clear" w:color="auto" w:fill="auto"/>
            <w:noWrap/>
            <w:vAlign w:val="center"/>
            <w:hideMark/>
          </w:tcPr>
          <w:p w14:paraId="64AC72B1" w14:textId="77777777" w:rsidR="001F01A2" w:rsidRPr="004F469F" w:rsidRDefault="001F01A2" w:rsidP="001F01A2">
            <w:pPr>
              <w:jc w:val="center"/>
              <w:rPr>
                <w:sz w:val="20"/>
                <w:szCs w:val="20"/>
              </w:rPr>
            </w:pPr>
            <w:r w:rsidRPr="004F469F">
              <w:rPr>
                <w:sz w:val="20"/>
                <w:szCs w:val="20"/>
              </w:rPr>
              <w:t>613.9</w:t>
            </w:r>
          </w:p>
        </w:tc>
        <w:tc>
          <w:tcPr>
            <w:tcW w:w="0" w:type="auto"/>
            <w:tcBorders>
              <w:top w:val="nil"/>
              <w:left w:val="nil"/>
              <w:bottom w:val="single" w:sz="4" w:space="0" w:color="auto"/>
              <w:right w:val="nil"/>
            </w:tcBorders>
            <w:shd w:val="clear" w:color="auto" w:fill="auto"/>
            <w:noWrap/>
            <w:vAlign w:val="center"/>
            <w:hideMark/>
          </w:tcPr>
          <w:p w14:paraId="46B8D90D" w14:textId="690C533A"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C6B9F04" w14:textId="18E1C757" w:rsidR="001F01A2" w:rsidRPr="004F469F" w:rsidRDefault="001F01A2" w:rsidP="001F01A2">
            <w:pPr>
              <w:jc w:val="center"/>
              <w:rPr>
                <w:sz w:val="20"/>
                <w:szCs w:val="20"/>
              </w:rPr>
            </w:pPr>
          </w:p>
        </w:tc>
      </w:tr>
      <w:tr w:rsidR="00494669" w:rsidRPr="004F469F" w14:paraId="116515B7"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B3A6A7" w14:textId="28A92455"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4" w:space="0" w:color="auto"/>
              <w:right w:val="single" w:sz="4" w:space="0" w:color="auto"/>
            </w:tcBorders>
            <w:shd w:val="clear" w:color="auto" w:fill="auto"/>
            <w:noWrap/>
            <w:vAlign w:val="center"/>
            <w:hideMark/>
          </w:tcPr>
          <w:p w14:paraId="140D3C86" w14:textId="77777777" w:rsidR="001F01A2" w:rsidRPr="004F469F" w:rsidRDefault="001F01A2" w:rsidP="001F01A2">
            <w:pPr>
              <w:jc w:val="center"/>
              <w:rPr>
                <w:sz w:val="20"/>
                <w:szCs w:val="20"/>
              </w:rPr>
            </w:pPr>
            <w:r w:rsidRPr="004F469F">
              <w:rPr>
                <w:sz w:val="20"/>
                <w:szCs w:val="20"/>
              </w:rPr>
              <w:t>1,385,149.30</w:t>
            </w:r>
          </w:p>
        </w:tc>
        <w:tc>
          <w:tcPr>
            <w:tcW w:w="0" w:type="auto"/>
            <w:tcBorders>
              <w:top w:val="nil"/>
              <w:left w:val="nil"/>
              <w:bottom w:val="single" w:sz="4" w:space="0" w:color="auto"/>
              <w:right w:val="single" w:sz="4" w:space="0" w:color="auto"/>
            </w:tcBorders>
            <w:shd w:val="clear" w:color="auto" w:fill="auto"/>
            <w:noWrap/>
            <w:vAlign w:val="center"/>
            <w:hideMark/>
          </w:tcPr>
          <w:p w14:paraId="5AD78ADD" w14:textId="77777777" w:rsidR="001F01A2" w:rsidRPr="004F469F" w:rsidRDefault="001F01A2" w:rsidP="001F01A2">
            <w:pPr>
              <w:jc w:val="center"/>
              <w:rPr>
                <w:sz w:val="20"/>
                <w:szCs w:val="20"/>
              </w:rPr>
            </w:pPr>
            <w:r w:rsidRPr="004F469F">
              <w:rPr>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14:paraId="19F7243E" w14:textId="77777777" w:rsidR="001F01A2" w:rsidRPr="004F469F" w:rsidRDefault="001F01A2" w:rsidP="001F01A2">
            <w:pPr>
              <w:jc w:val="center"/>
              <w:rPr>
                <w:sz w:val="20"/>
                <w:szCs w:val="20"/>
              </w:rPr>
            </w:pPr>
            <w:r w:rsidRPr="004F469F">
              <w:rPr>
                <w:sz w:val="20"/>
                <w:szCs w:val="20"/>
              </w:rPr>
              <w:t>70.1</w:t>
            </w:r>
          </w:p>
        </w:tc>
        <w:tc>
          <w:tcPr>
            <w:tcW w:w="0" w:type="auto"/>
            <w:tcBorders>
              <w:top w:val="nil"/>
              <w:left w:val="nil"/>
              <w:bottom w:val="single" w:sz="4" w:space="0" w:color="auto"/>
              <w:right w:val="single" w:sz="4" w:space="0" w:color="auto"/>
            </w:tcBorders>
            <w:shd w:val="clear" w:color="auto" w:fill="auto"/>
            <w:noWrap/>
            <w:vAlign w:val="center"/>
            <w:hideMark/>
          </w:tcPr>
          <w:p w14:paraId="39361DD7" w14:textId="77777777" w:rsidR="001F01A2" w:rsidRPr="004F469F" w:rsidRDefault="001F01A2" w:rsidP="001F01A2">
            <w:pPr>
              <w:jc w:val="center"/>
              <w:rPr>
                <w:sz w:val="20"/>
                <w:szCs w:val="20"/>
              </w:rPr>
            </w:pPr>
            <w:r w:rsidRPr="004F469F">
              <w:rPr>
                <w:sz w:val="20"/>
                <w:szCs w:val="20"/>
              </w:rPr>
              <w:t>740.4</w:t>
            </w:r>
          </w:p>
        </w:tc>
        <w:tc>
          <w:tcPr>
            <w:tcW w:w="0" w:type="auto"/>
            <w:tcBorders>
              <w:top w:val="nil"/>
              <w:left w:val="nil"/>
              <w:bottom w:val="single" w:sz="4" w:space="0" w:color="auto"/>
              <w:right w:val="nil"/>
            </w:tcBorders>
            <w:shd w:val="clear" w:color="auto" w:fill="auto"/>
            <w:noWrap/>
            <w:vAlign w:val="center"/>
            <w:hideMark/>
          </w:tcPr>
          <w:p w14:paraId="6C23873C" w14:textId="7BE38E8B"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A08099A" w14:textId="63E05724" w:rsidR="001F01A2" w:rsidRPr="004F469F" w:rsidRDefault="001F01A2" w:rsidP="001F01A2">
            <w:pPr>
              <w:jc w:val="center"/>
              <w:rPr>
                <w:sz w:val="20"/>
                <w:szCs w:val="20"/>
              </w:rPr>
            </w:pPr>
          </w:p>
        </w:tc>
      </w:tr>
      <w:tr w:rsidR="00494669" w:rsidRPr="004F469F" w14:paraId="1C044630" w14:textId="77777777" w:rsidTr="001F01A2">
        <w:trPr>
          <w:trHeight w:val="320"/>
        </w:trPr>
        <w:tc>
          <w:tcPr>
            <w:tcW w:w="0" w:type="auto"/>
            <w:tcBorders>
              <w:top w:val="nil"/>
              <w:left w:val="single" w:sz="4" w:space="0" w:color="auto"/>
              <w:bottom w:val="single" w:sz="4" w:space="0" w:color="auto"/>
              <w:right w:val="nil"/>
            </w:tcBorders>
            <w:shd w:val="clear" w:color="auto" w:fill="auto"/>
            <w:noWrap/>
            <w:vAlign w:val="center"/>
            <w:hideMark/>
          </w:tcPr>
          <w:p w14:paraId="6DFECCDE" w14:textId="307BE89B" w:rsidR="001F01A2" w:rsidRPr="004F469F" w:rsidRDefault="001F01A2" w:rsidP="001F01A2">
            <w:pPr>
              <w:jc w:val="center"/>
              <w:rPr>
                <w:rFonts w:eastAsia="Arial Unicode MS"/>
                <w:sz w:val="20"/>
                <w:szCs w:val="20"/>
              </w:rPr>
            </w:pPr>
          </w:p>
        </w:tc>
        <w:tc>
          <w:tcPr>
            <w:tcW w:w="0" w:type="auto"/>
            <w:tcBorders>
              <w:top w:val="nil"/>
              <w:left w:val="nil"/>
              <w:bottom w:val="single" w:sz="4" w:space="0" w:color="auto"/>
              <w:right w:val="nil"/>
            </w:tcBorders>
            <w:shd w:val="clear" w:color="auto" w:fill="auto"/>
            <w:noWrap/>
            <w:vAlign w:val="center"/>
            <w:hideMark/>
          </w:tcPr>
          <w:p w14:paraId="6306541C" w14:textId="1C9744B3"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04D5B2EE" w14:textId="723337F4"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153E1880" w14:textId="31F67CEF"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0A3E9748" w14:textId="5823A8E0" w:rsidR="001F01A2" w:rsidRPr="004F469F" w:rsidRDefault="001F01A2" w:rsidP="001F01A2">
            <w:pPr>
              <w:jc w:val="center"/>
              <w:rPr>
                <w:sz w:val="20"/>
                <w:szCs w:val="20"/>
              </w:rPr>
            </w:pPr>
          </w:p>
        </w:tc>
        <w:tc>
          <w:tcPr>
            <w:tcW w:w="0" w:type="auto"/>
            <w:tcBorders>
              <w:top w:val="nil"/>
              <w:left w:val="nil"/>
              <w:bottom w:val="single" w:sz="4" w:space="0" w:color="auto"/>
              <w:right w:val="nil"/>
            </w:tcBorders>
            <w:shd w:val="clear" w:color="auto" w:fill="auto"/>
            <w:noWrap/>
            <w:vAlign w:val="center"/>
            <w:hideMark/>
          </w:tcPr>
          <w:p w14:paraId="1E3E6226" w14:textId="6B128139"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A482019" w14:textId="3FF45E78" w:rsidR="001F01A2" w:rsidRPr="004F469F" w:rsidRDefault="001F01A2" w:rsidP="001F01A2">
            <w:pPr>
              <w:jc w:val="center"/>
              <w:rPr>
                <w:sz w:val="20"/>
                <w:szCs w:val="20"/>
              </w:rPr>
            </w:pPr>
          </w:p>
        </w:tc>
      </w:tr>
      <w:tr w:rsidR="00494669" w:rsidRPr="004F469F" w14:paraId="45EEB0D1" w14:textId="77777777" w:rsidTr="001F01A2">
        <w:trPr>
          <w:trHeight w:val="320"/>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055083" w14:textId="77777777" w:rsidR="001F01A2" w:rsidRPr="004F469F" w:rsidRDefault="001F01A2" w:rsidP="001F01A2">
            <w:pPr>
              <w:rPr>
                <w:rFonts w:eastAsia="Arial Unicode MS"/>
                <w:i/>
                <w:iCs/>
                <w:sz w:val="20"/>
                <w:szCs w:val="20"/>
              </w:rPr>
            </w:pPr>
            <w:r w:rsidRPr="004F469F">
              <w:rPr>
                <w:rFonts w:eastAsia="Arial Unicode MS"/>
                <w:i/>
                <w:iCs/>
                <w:sz w:val="20"/>
                <w:szCs w:val="20"/>
              </w:rPr>
              <w:t>2010 Census Blocks</w:t>
            </w:r>
          </w:p>
        </w:tc>
      </w:tr>
      <w:tr w:rsidR="00494669" w:rsidRPr="004F469F" w14:paraId="27E038F4"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22C3F"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7B68636C" w14:textId="77777777" w:rsidR="001F01A2" w:rsidRPr="004F469F" w:rsidRDefault="001F01A2" w:rsidP="001F01A2">
            <w:pPr>
              <w:jc w:val="center"/>
              <w:rPr>
                <w:b/>
                <w:bCs/>
                <w:sz w:val="20"/>
                <w:szCs w:val="20"/>
              </w:rPr>
            </w:pPr>
            <w:r w:rsidRPr="004F469F">
              <w:rPr>
                <w:b/>
                <w:bCs/>
                <w:sz w:val="20"/>
                <w:szCs w:val="20"/>
              </w:rPr>
              <w:t>AREA</w:t>
            </w:r>
          </w:p>
        </w:tc>
        <w:tc>
          <w:tcPr>
            <w:tcW w:w="0" w:type="auto"/>
            <w:tcBorders>
              <w:top w:val="nil"/>
              <w:left w:val="nil"/>
              <w:bottom w:val="single" w:sz="4" w:space="0" w:color="auto"/>
              <w:right w:val="single" w:sz="4" w:space="0" w:color="auto"/>
            </w:tcBorders>
            <w:shd w:val="clear" w:color="auto" w:fill="auto"/>
            <w:noWrap/>
            <w:vAlign w:val="center"/>
            <w:hideMark/>
          </w:tcPr>
          <w:p w14:paraId="6EBB0DDC" w14:textId="77777777" w:rsidR="001F01A2" w:rsidRPr="004F469F" w:rsidRDefault="001F01A2" w:rsidP="001F01A2">
            <w:pPr>
              <w:jc w:val="center"/>
              <w:rPr>
                <w:b/>
                <w:bCs/>
                <w:sz w:val="20"/>
                <w:szCs w:val="20"/>
              </w:rPr>
            </w:pPr>
            <w:r w:rsidRPr="004F469F">
              <w:rPr>
                <w:b/>
                <w:bCs/>
                <w:sz w:val="20"/>
                <w:szCs w:val="20"/>
              </w:rPr>
              <w:t>PCTURB</w:t>
            </w:r>
          </w:p>
        </w:tc>
        <w:tc>
          <w:tcPr>
            <w:tcW w:w="0" w:type="auto"/>
            <w:tcBorders>
              <w:top w:val="nil"/>
              <w:left w:val="nil"/>
              <w:bottom w:val="single" w:sz="4" w:space="0" w:color="auto"/>
              <w:right w:val="single" w:sz="4" w:space="0" w:color="auto"/>
            </w:tcBorders>
            <w:shd w:val="clear" w:color="auto" w:fill="auto"/>
            <w:noWrap/>
            <w:vAlign w:val="center"/>
            <w:hideMark/>
          </w:tcPr>
          <w:p w14:paraId="190F92DB" w14:textId="77777777" w:rsidR="001F01A2" w:rsidRPr="004F469F" w:rsidRDefault="001F01A2" w:rsidP="001F01A2">
            <w:pPr>
              <w:jc w:val="center"/>
              <w:rPr>
                <w:b/>
                <w:bCs/>
                <w:sz w:val="20"/>
                <w:szCs w:val="20"/>
              </w:rPr>
            </w:pPr>
            <w:r w:rsidRPr="004F469F">
              <w:rPr>
                <w:b/>
                <w:bCs/>
                <w:sz w:val="20"/>
                <w:szCs w:val="20"/>
              </w:rPr>
              <w:t>PCTPOP</w:t>
            </w:r>
          </w:p>
        </w:tc>
        <w:tc>
          <w:tcPr>
            <w:tcW w:w="0" w:type="auto"/>
            <w:tcBorders>
              <w:top w:val="nil"/>
              <w:left w:val="nil"/>
              <w:bottom w:val="single" w:sz="4" w:space="0" w:color="auto"/>
              <w:right w:val="single" w:sz="4" w:space="0" w:color="auto"/>
            </w:tcBorders>
            <w:shd w:val="clear" w:color="auto" w:fill="auto"/>
            <w:noWrap/>
            <w:vAlign w:val="center"/>
            <w:hideMark/>
          </w:tcPr>
          <w:p w14:paraId="05819EA0" w14:textId="77777777" w:rsidR="001F01A2" w:rsidRPr="004F469F" w:rsidRDefault="001F01A2" w:rsidP="001F01A2">
            <w:pPr>
              <w:jc w:val="center"/>
              <w:rPr>
                <w:b/>
                <w:bCs/>
                <w:sz w:val="20"/>
                <w:szCs w:val="20"/>
              </w:rPr>
            </w:pPr>
            <w:r w:rsidRPr="004F469F">
              <w:rPr>
                <w:b/>
                <w:bCs/>
                <w:sz w:val="20"/>
                <w:szCs w:val="20"/>
              </w:rPr>
              <w:t>POPDEN</w:t>
            </w:r>
          </w:p>
        </w:tc>
        <w:tc>
          <w:tcPr>
            <w:tcW w:w="0" w:type="auto"/>
            <w:tcBorders>
              <w:top w:val="nil"/>
              <w:left w:val="nil"/>
              <w:bottom w:val="single" w:sz="4" w:space="0" w:color="auto"/>
              <w:right w:val="nil"/>
            </w:tcBorders>
            <w:shd w:val="clear" w:color="auto" w:fill="auto"/>
            <w:noWrap/>
            <w:vAlign w:val="center"/>
            <w:hideMark/>
          </w:tcPr>
          <w:p w14:paraId="58AF030A" w14:textId="1CD8F7B0"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D148933" w14:textId="4AA2E976" w:rsidR="001F01A2" w:rsidRPr="004F469F" w:rsidRDefault="001F01A2" w:rsidP="001F01A2">
            <w:pPr>
              <w:jc w:val="center"/>
              <w:rPr>
                <w:sz w:val="20"/>
                <w:szCs w:val="20"/>
              </w:rPr>
            </w:pPr>
          </w:p>
        </w:tc>
      </w:tr>
      <w:tr w:rsidR="00494669" w:rsidRPr="004F469F" w14:paraId="5816D437"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F5B0CC" w14:textId="66E33B7E"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6F8C58E0" w14:textId="77777777" w:rsidR="001F01A2" w:rsidRPr="004F469F" w:rsidRDefault="001F01A2" w:rsidP="001F01A2">
            <w:pPr>
              <w:jc w:val="center"/>
              <w:rPr>
                <w:sz w:val="20"/>
                <w:szCs w:val="20"/>
              </w:rPr>
            </w:pPr>
            <w:r w:rsidRPr="004F469F">
              <w:rPr>
                <w:sz w:val="20"/>
                <w:szCs w:val="20"/>
              </w:rPr>
              <w:t>773,680.30</w:t>
            </w:r>
          </w:p>
        </w:tc>
        <w:tc>
          <w:tcPr>
            <w:tcW w:w="0" w:type="auto"/>
            <w:tcBorders>
              <w:top w:val="nil"/>
              <w:left w:val="nil"/>
              <w:bottom w:val="single" w:sz="4" w:space="0" w:color="auto"/>
              <w:right w:val="single" w:sz="4" w:space="0" w:color="auto"/>
            </w:tcBorders>
            <w:shd w:val="clear" w:color="auto" w:fill="auto"/>
            <w:noWrap/>
            <w:vAlign w:val="center"/>
            <w:hideMark/>
          </w:tcPr>
          <w:p w14:paraId="763A7040" w14:textId="77777777" w:rsidR="001F01A2" w:rsidRPr="004F469F" w:rsidRDefault="001F01A2" w:rsidP="001F01A2">
            <w:pPr>
              <w:jc w:val="center"/>
              <w:rPr>
                <w:sz w:val="20"/>
                <w:szCs w:val="20"/>
              </w:rPr>
            </w:pPr>
            <w:r w:rsidRPr="004F469F">
              <w:rPr>
                <w:sz w:val="20"/>
                <w:szCs w:val="20"/>
              </w:rPr>
              <w:t>4.9</w:t>
            </w:r>
          </w:p>
        </w:tc>
        <w:tc>
          <w:tcPr>
            <w:tcW w:w="0" w:type="auto"/>
            <w:tcBorders>
              <w:top w:val="nil"/>
              <w:left w:val="nil"/>
              <w:bottom w:val="single" w:sz="4" w:space="0" w:color="auto"/>
              <w:right w:val="single" w:sz="4" w:space="0" w:color="auto"/>
            </w:tcBorders>
            <w:shd w:val="clear" w:color="auto" w:fill="auto"/>
            <w:noWrap/>
            <w:vAlign w:val="center"/>
            <w:hideMark/>
          </w:tcPr>
          <w:p w14:paraId="3AF1303A" w14:textId="77777777" w:rsidR="001F01A2" w:rsidRPr="004F469F" w:rsidRDefault="001F01A2" w:rsidP="001F01A2">
            <w:pPr>
              <w:jc w:val="center"/>
              <w:rPr>
                <w:sz w:val="20"/>
                <w:szCs w:val="20"/>
              </w:rPr>
            </w:pPr>
            <w:r w:rsidRPr="004F469F">
              <w:rPr>
                <w:sz w:val="20"/>
                <w:szCs w:val="20"/>
              </w:rPr>
              <w:t>86</w:t>
            </w:r>
          </w:p>
        </w:tc>
        <w:tc>
          <w:tcPr>
            <w:tcW w:w="0" w:type="auto"/>
            <w:tcBorders>
              <w:top w:val="nil"/>
              <w:left w:val="nil"/>
              <w:bottom w:val="single" w:sz="4" w:space="0" w:color="auto"/>
              <w:right w:val="single" w:sz="4" w:space="0" w:color="auto"/>
            </w:tcBorders>
            <w:shd w:val="clear" w:color="auto" w:fill="auto"/>
            <w:noWrap/>
            <w:vAlign w:val="center"/>
            <w:hideMark/>
          </w:tcPr>
          <w:p w14:paraId="51D3E6FA" w14:textId="77777777" w:rsidR="001F01A2" w:rsidRPr="004F469F" w:rsidRDefault="001F01A2" w:rsidP="001F01A2">
            <w:pPr>
              <w:jc w:val="center"/>
              <w:rPr>
                <w:sz w:val="20"/>
                <w:szCs w:val="20"/>
              </w:rPr>
            </w:pPr>
            <w:r w:rsidRPr="004F469F">
              <w:rPr>
                <w:sz w:val="20"/>
                <w:szCs w:val="20"/>
              </w:rPr>
              <w:t>1,442.50</w:t>
            </w:r>
          </w:p>
        </w:tc>
        <w:tc>
          <w:tcPr>
            <w:tcW w:w="0" w:type="auto"/>
            <w:tcBorders>
              <w:top w:val="nil"/>
              <w:left w:val="nil"/>
              <w:bottom w:val="single" w:sz="4" w:space="0" w:color="auto"/>
              <w:right w:val="nil"/>
            </w:tcBorders>
            <w:shd w:val="clear" w:color="auto" w:fill="auto"/>
            <w:noWrap/>
            <w:vAlign w:val="center"/>
            <w:hideMark/>
          </w:tcPr>
          <w:p w14:paraId="4950F0B8" w14:textId="366E32A1"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12F8BE6" w14:textId="3C992CDF" w:rsidR="001F01A2" w:rsidRPr="004F469F" w:rsidRDefault="001F01A2" w:rsidP="001F01A2">
            <w:pPr>
              <w:jc w:val="center"/>
              <w:rPr>
                <w:sz w:val="20"/>
                <w:szCs w:val="20"/>
              </w:rPr>
            </w:pPr>
          </w:p>
        </w:tc>
      </w:tr>
      <w:tr w:rsidR="00494669" w:rsidRPr="004F469F" w14:paraId="1CD7D3A3"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D81DC4" w14:textId="5B5B2D71"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43FAD599" w14:textId="77777777" w:rsidR="001F01A2" w:rsidRPr="004F469F" w:rsidRDefault="001F01A2" w:rsidP="001F01A2">
            <w:pPr>
              <w:jc w:val="center"/>
              <w:rPr>
                <w:sz w:val="20"/>
                <w:szCs w:val="20"/>
              </w:rPr>
            </w:pPr>
            <w:r w:rsidRPr="004F469F">
              <w:rPr>
                <w:sz w:val="20"/>
                <w:szCs w:val="20"/>
              </w:rPr>
              <w:t>1,322,228.10</w:t>
            </w:r>
          </w:p>
        </w:tc>
        <w:tc>
          <w:tcPr>
            <w:tcW w:w="0" w:type="auto"/>
            <w:tcBorders>
              <w:top w:val="nil"/>
              <w:left w:val="nil"/>
              <w:bottom w:val="single" w:sz="4" w:space="0" w:color="auto"/>
              <w:right w:val="single" w:sz="4" w:space="0" w:color="auto"/>
            </w:tcBorders>
            <w:shd w:val="clear" w:color="auto" w:fill="auto"/>
            <w:noWrap/>
            <w:vAlign w:val="center"/>
            <w:hideMark/>
          </w:tcPr>
          <w:p w14:paraId="08E12FEB" w14:textId="77777777" w:rsidR="001F01A2" w:rsidRPr="004F469F" w:rsidRDefault="001F01A2" w:rsidP="001F01A2">
            <w:pPr>
              <w:jc w:val="center"/>
              <w:rPr>
                <w:sz w:val="20"/>
                <w:szCs w:val="20"/>
              </w:rPr>
            </w:pPr>
            <w:r w:rsidRPr="004F469F">
              <w:rPr>
                <w:sz w:val="20"/>
                <w:szCs w:val="20"/>
              </w:rPr>
              <w:t>0.6</w:t>
            </w:r>
          </w:p>
        </w:tc>
        <w:tc>
          <w:tcPr>
            <w:tcW w:w="0" w:type="auto"/>
            <w:tcBorders>
              <w:top w:val="nil"/>
              <w:left w:val="nil"/>
              <w:bottom w:val="single" w:sz="4" w:space="0" w:color="auto"/>
              <w:right w:val="single" w:sz="4" w:space="0" w:color="auto"/>
            </w:tcBorders>
            <w:shd w:val="clear" w:color="auto" w:fill="auto"/>
            <w:noWrap/>
            <w:vAlign w:val="center"/>
            <w:hideMark/>
          </w:tcPr>
          <w:p w14:paraId="41F7FBF9" w14:textId="77777777" w:rsidR="001F01A2" w:rsidRPr="004F469F" w:rsidRDefault="001F01A2" w:rsidP="001F01A2">
            <w:pPr>
              <w:jc w:val="center"/>
              <w:rPr>
                <w:sz w:val="20"/>
                <w:szCs w:val="20"/>
              </w:rPr>
            </w:pPr>
            <w:r w:rsidRPr="004F469F">
              <w:rPr>
                <w:sz w:val="20"/>
                <w:szCs w:val="20"/>
              </w:rPr>
              <w:t>71.1</w:t>
            </w:r>
          </w:p>
        </w:tc>
        <w:tc>
          <w:tcPr>
            <w:tcW w:w="0" w:type="auto"/>
            <w:tcBorders>
              <w:top w:val="nil"/>
              <w:left w:val="nil"/>
              <w:bottom w:val="single" w:sz="4" w:space="0" w:color="auto"/>
              <w:right w:val="single" w:sz="4" w:space="0" w:color="auto"/>
            </w:tcBorders>
            <w:shd w:val="clear" w:color="auto" w:fill="auto"/>
            <w:noWrap/>
            <w:vAlign w:val="center"/>
            <w:hideMark/>
          </w:tcPr>
          <w:p w14:paraId="618A62BC" w14:textId="77777777" w:rsidR="001F01A2" w:rsidRPr="004F469F" w:rsidRDefault="001F01A2" w:rsidP="001F01A2">
            <w:pPr>
              <w:jc w:val="center"/>
              <w:rPr>
                <w:sz w:val="20"/>
                <w:szCs w:val="20"/>
              </w:rPr>
            </w:pPr>
            <w:r w:rsidRPr="004F469F">
              <w:rPr>
                <w:sz w:val="20"/>
                <w:szCs w:val="20"/>
              </w:rPr>
              <w:t>453.5</w:t>
            </w:r>
          </w:p>
        </w:tc>
        <w:tc>
          <w:tcPr>
            <w:tcW w:w="0" w:type="auto"/>
            <w:tcBorders>
              <w:top w:val="nil"/>
              <w:left w:val="nil"/>
              <w:bottom w:val="single" w:sz="4" w:space="0" w:color="auto"/>
              <w:right w:val="nil"/>
            </w:tcBorders>
            <w:shd w:val="clear" w:color="auto" w:fill="auto"/>
            <w:noWrap/>
            <w:vAlign w:val="center"/>
            <w:hideMark/>
          </w:tcPr>
          <w:p w14:paraId="14FAB9FD" w14:textId="53EB3E5D"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71BDE3C4" w14:textId="02C4485C" w:rsidR="001F01A2" w:rsidRPr="004F469F" w:rsidRDefault="001F01A2" w:rsidP="001F01A2">
            <w:pPr>
              <w:jc w:val="center"/>
              <w:rPr>
                <w:sz w:val="20"/>
                <w:szCs w:val="20"/>
              </w:rPr>
            </w:pPr>
          </w:p>
        </w:tc>
      </w:tr>
      <w:tr w:rsidR="00494669" w:rsidRPr="004F469F" w14:paraId="1659EA2B" w14:textId="77777777" w:rsidTr="001F01A2">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DECA64" w14:textId="3F18AB58"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64071E51" w14:textId="77777777" w:rsidR="001F01A2" w:rsidRPr="004F469F" w:rsidRDefault="001F01A2" w:rsidP="001F01A2">
            <w:pPr>
              <w:jc w:val="center"/>
              <w:rPr>
                <w:sz w:val="20"/>
                <w:szCs w:val="20"/>
              </w:rPr>
            </w:pPr>
            <w:r w:rsidRPr="004F469F">
              <w:rPr>
                <w:sz w:val="20"/>
                <w:szCs w:val="20"/>
              </w:rPr>
              <w:t>1,001,024.50</w:t>
            </w:r>
          </w:p>
        </w:tc>
        <w:tc>
          <w:tcPr>
            <w:tcW w:w="0" w:type="auto"/>
            <w:tcBorders>
              <w:top w:val="nil"/>
              <w:left w:val="nil"/>
              <w:bottom w:val="single" w:sz="4" w:space="0" w:color="auto"/>
              <w:right w:val="single" w:sz="4" w:space="0" w:color="auto"/>
            </w:tcBorders>
            <w:shd w:val="clear" w:color="auto" w:fill="auto"/>
            <w:noWrap/>
            <w:vAlign w:val="center"/>
            <w:hideMark/>
          </w:tcPr>
          <w:p w14:paraId="0022E7EA" w14:textId="77777777" w:rsidR="001F01A2" w:rsidRPr="004F469F" w:rsidRDefault="001F01A2" w:rsidP="001F01A2">
            <w:pPr>
              <w:jc w:val="center"/>
              <w:rPr>
                <w:sz w:val="20"/>
                <w:szCs w:val="20"/>
              </w:rPr>
            </w:pPr>
            <w:r w:rsidRPr="004F469F">
              <w:rPr>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5627B15B" w14:textId="77777777" w:rsidR="001F01A2" w:rsidRPr="004F469F" w:rsidRDefault="001F01A2" w:rsidP="001F01A2">
            <w:pPr>
              <w:jc w:val="center"/>
              <w:rPr>
                <w:sz w:val="20"/>
                <w:szCs w:val="20"/>
              </w:rPr>
            </w:pPr>
            <w:r w:rsidRPr="004F469F">
              <w:rPr>
                <w:sz w:val="20"/>
                <w:szCs w:val="20"/>
              </w:rPr>
              <w:t>82.4</w:t>
            </w:r>
          </w:p>
        </w:tc>
        <w:tc>
          <w:tcPr>
            <w:tcW w:w="0" w:type="auto"/>
            <w:tcBorders>
              <w:top w:val="nil"/>
              <w:left w:val="nil"/>
              <w:bottom w:val="single" w:sz="4" w:space="0" w:color="auto"/>
              <w:right w:val="single" w:sz="4" w:space="0" w:color="auto"/>
            </w:tcBorders>
            <w:shd w:val="clear" w:color="auto" w:fill="auto"/>
            <w:noWrap/>
            <w:vAlign w:val="center"/>
            <w:hideMark/>
          </w:tcPr>
          <w:p w14:paraId="4BCBD67D" w14:textId="77777777" w:rsidR="001F01A2" w:rsidRPr="004F469F" w:rsidRDefault="001F01A2" w:rsidP="001F01A2">
            <w:pPr>
              <w:jc w:val="center"/>
              <w:rPr>
                <w:sz w:val="20"/>
                <w:szCs w:val="20"/>
              </w:rPr>
            </w:pPr>
            <w:r w:rsidRPr="004F469F">
              <w:rPr>
                <w:sz w:val="20"/>
                <w:szCs w:val="20"/>
              </w:rPr>
              <w:t>510.4</w:t>
            </w:r>
          </w:p>
        </w:tc>
        <w:tc>
          <w:tcPr>
            <w:tcW w:w="0" w:type="auto"/>
            <w:tcBorders>
              <w:top w:val="nil"/>
              <w:left w:val="nil"/>
              <w:bottom w:val="single" w:sz="4" w:space="0" w:color="auto"/>
              <w:right w:val="nil"/>
            </w:tcBorders>
            <w:shd w:val="clear" w:color="auto" w:fill="auto"/>
            <w:noWrap/>
            <w:vAlign w:val="center"/>
            <w:hideMark/>
          </w:tcPr>
          <w:p w14:paraId="65F046E2" w14:textId="3072121C"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DDC4543" w14:textId="232D7D10" w:rsidR="001F01A2" w:rsidRPr="004F469F" w:rsidRDefault="001F01A2" w:rsidP="001F01A2">
            <w:pPr>
              <w:jc w:val="center"/>
              <w:rPr>
                <w:sz w:val="20"/>
                <w:szCs w:val="20"/>
              </w:rPr>
            </w:pPr>
          </w:p>
        </w:tc>
      </w:tr>
      <w:tr w:rsidR="001F01A2" w:rsidRPr="004F469F" w14:paraId="3522D213" w14:textId="77777777" w:rsidTr="001F01A2">
        <w:trPr>
          <w:trHeight w:val="3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792A66" w14:textId="23238DD4"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4" w:space="0" w:color="auto"/>
              <w:right w:val="single" w:sz="4" w:space="0" w:color="auto"/>
            </w:tcBorders>
            <w:shd w:val="clear" w:color="auto" w:fill="auto"/>
            <w:noWrap/>
            <w:vAlign w:val="center"/>
            <w:hideMark/>
          </w:tcPr>
          <w:p w14:paraId="4D5C3610" w14:textId="77777777" w:rsidR="001F01A2" w:rsidRPr="004F469F" w:rsidRDefault="001F01A2" w:rsidP="001F01A2">
            <w:pPr>
              <w:jc w:val="center"/>
              <w:rPr>
                <w:sz w:val="20"/>
                <w:szCs w:val="20"/>
              </w:rPr>
            </w:pPr>
            <w:r w:rsidRPr="004F469F">
              <w:rPr>
                <w:sz w:val="20"/>
                <w:szCs w:val="20"/>
              </w:rPr>
              <w:t>1,385,004.20</w:t>
            </w:r>
          </w:p>
        </w:tc>
        <w:tc>
          <w:tcPr>
            <w:tcW w:w="0" w:type="auto"/>
            <w:tcBorders>
              <w:top w:val="nil"/>
              <w:left w:val="nil"/>
              <w:bottom w:val="single" w:sz="4" w:space="0" w:color="auto"/>
              <w:right w:val="single" w:sz="4" w:space="0" w:color="auto"/>
            </w:tcBorders>
            <w:shd w:val="clear" w:color="auto" w:fill="auto"/>
            <w:noWrap/>
            <w:vAlign w:val="center"/>
            <w:hideMark/>
          </w:tcPr>
          <w:p w14:paraId="6592E7B1" w14:textId="77777777" w:rsidR="001F01A2" w:rsidRPr="004F469F" w:rsidRDefault="001F01A2" w:rsidP="001F01A2">
            <w:pPr>
              <w:jc w:val="center"/>
              <w:rPr>
                <w:sz w:val="20"/>
                <w:szCs w:val="20"/>
              </w:rPr>
            </w:pPr>
            <w:r w:rsidRPr="004F469F">
              <w:rPr>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4FCF5002" w14:textId="77777777" w:rsidR="001F01A2" w:rsidRPr="004F469F" w:rsidRDefault="001F01A2" w:rsidP="001F01A2">
            <w:pPr>
              <w:jc w:val="center"/>
              <w:rPr>
                <w:sz w:val="20"/>
                <w:szCs w:val="20"/>
              </w:rPr>
            </w:pPr>
            <w:r w:rsidRPr="004F469F">
              <w:rPr>
                <w:sz w:val="20"/>
                <w:szCs w:val="20"/>
              </w:rPr>
              <w:t>67.5</w:t>
            </w:r>
          </w:p>
        </w:tc>
        <w:tc>
          <w:tcPr>
            <w:tcW w:w="0" w:type="auto"/>
            <w:tcBorders>
              <w:top w:val="nil"/>
              <w:left w:val="nil"/>
              <w:bottom w:val="single" w:sz="4" w:space="0" w:color="auto"/>
              <w:right w:val="single" w:sz="4" w:space="0" w:color="auto"/>
            </w:tcBorders>
            <w:shd w:val="clear" w:color="auto" w:fill="auto"/>
            <w:noWrap/>
            <w:vAlign w:val="center"/>
            <w:hideMark/>
          </w:tcPr>
          <w:p w14:paraId="5F3D4D58" w14:textId="77777777" w:rsidR="001F01A2" w:rsidRPr="004F469F" w:rsidRDefault="001F01A2" w:rsidP="001F01A2">
            <w:pPr>
              <w:jc w:val="center"/>
              <w:rPr>
                <w:sz w:val="20"/>
                <w:szCs w:val="20"/>
              </w:rPr>
            </w:pPr>
            <w:r w:rsidRPr="004F469F">
              <w:rPr>
                <w:sz w:val="20"/>
                <w:szCs w:val="20"/>
              </w:rPr>
              <w:t>623.6</w:t>
            </w:r>
          </w:p>
        </w:tc>
        <w:tc>
          <w:tcPr>
            <w:tcW w:w="0" w:type="auto"/>
            <w:tcBorders>
              <w:top w:val="nil"/>
              <w:left w:val="nil"/>
              <w:bottom w:val="single" w:sz="4" w:space="0" w:color="auto"/>
              <w:right w:val="nil"/>
            </w:tcBorders>
            <w:shd w:val="clear" w:color="auto" w:fill="auto"/>
            <w:noWrap/>
            <w:vAlign w:val="center"/>
            <w:hideMark/>
          </w:tcPr>
          <w:p w14:paraId="4DCD0308" w14:textId="2604CEA4" w:rsidR="001F01A2" w:rsidRPr="004F469F" w:rsidRDefault="001F01A2" w:rsidP="001F01A2">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CFA307C" w14:textId="21782E24" w:rsidR="001F01A2" w:rsidRPr="004F469F" w:rsidRDefault="001F01A2" w:rsidP="001F01A2">
            <w:pPr>
              <w:jc w:val="center"/>
              <w:rPr>
                <w:sz w:val="20"/>
                <w:szCs w:val="20"/>
              </w:rPr>
            </w:pPr>
          </w:p>
        </w:tc>
      </w:tr>
    </w:tbl>
    <w:p w14:paraId="2E14D444" w14:textId="77777777" w:rsidR="00537523" w:rsidRPr="004F469F" w:rsidRDefault="00537523" w:rsidP="005C4E5F">
      <w:pPr>
        <w:spacing w:after="120" w:line="480" w:lineRule="auto"/>
        <w:rPr>
          <w:sz w:val="20"/>
          <w:szCs w:val="20"/>
        </w:rPr>
      </w:pPr>
    </w:p>
    <w:p w14:paraId="711729BF" w14:textId="1A8ED646" w:rsidR="00C72B7B" w:rsidRPr="004F469F" w:rsidRDefault="00C72B7B" w:rsidP="005C4E5F">
      <w:pPr>
        <w:spacing w:after="120" w:line="480" w:lineRule="auto"/>
        <w:rPr>
          <w:sz w:val="20"/>
          <w:szCs w:val="20"/>
        </w:rPr>
      </w:pPr>
    </w:p>
    <w:p w14:paraId="60D7FF18" w14:textId="70E8B368" w:rsidR="001F01A2" w:rsidRPr="004F469F" w:rsidRDefault="001F01A2" w:rsidP="001F01A2">
      <w:pPr>
        <w:pStyle w:val="Caption"/>
        <w:keepNext/>
        <w:rPr>
          <w:rFonts w:ascii="Times New Roman" w:hAnsi="Times New Roman" w:cs="Times New Roman"/>
          <w:i w:val="0"/>
          <w:iCs w:val="0"/>
          <w:color w:val="auto"/>
          <w:sz w:val="24"/>
          <w:szCs w:val="24"/>
        </w:rPr>
      </w:pPr>
      <w:bookmarkStart w:id="34" w:name="_Toc22034991"/>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Results of sensitivity test for selection of the best census level. At the grid cell-level, each grid cell is assigned a best census level which corresponds to the census level yielding the lowest root mean square error (RMSE) between the synthetic and observed population exposures. The overall best census level to use for each region (and for the while study area) corresponds to the census level which is best in the greatest number of grid cells. At the regional level, the RMSE is calculated for each census level for the entire region (study area) and the best census level corresponds to the census level with the lowest RMSE for the region.</w:t>
      </w:r>
      <w:bookmarkEnd w:id="34"/>
    </w:p>
    <w:tbl>
      <w:tblPr>
        <w:tblW w:w="7801" w:type="dxa"/>
        <w:tblLook w:val="04A0" w:firstRow="1" w:lastRow="0" w:firstColumn="1" w:lastColumn="0" w:noHBand="0" w:noVBand="1"/>
      </w:tblPr>
      <w:tblGrid>
        <w:gridCol w:w="1349"/>
        <w:gridCol w:w="1166"/>
        <w:gridCol w:w="1166"/>
        <w:gridCol w:w="1615"/>
        <w:gridCol w:w="1166"/>
        <w:gridCol w:w="1339"/>
      </w:tblGrid>
      <w:tr w:rsidR="00494669" w:rsidRPr="004F469F" w14:paraId="596548D3" w14:textId="77777777" w:rsidTr="001F01A2">
        <w:trPr>
          <w:trHeight w:val="320"/>
        </w:trPr>
        <w:tc>
          <w:tcPr>
            <w:tcW w:w="78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CB269" w14:textId="77777777" w:rsidR="001F01A2" w:rsidRPr="004F469F" w:rsidRDefault="001F01A2" w:rsidP="001F01A2">
            <w:pPr>
              <w:rPr>
                <w:rFonts w:eastAsia="Arial Unicode MS"/>
                <w:i/>
                <w:iCs/>
                <w:sz w:val="20"/>
                <w:szCs w:val="20"/>
              </w:rPr>
            </w:pPr>
            <w:r w:rsidRPr="004F469F">
              <w:rPr>
                <w:rFonts w:eastAsia="Arial Unicode MS"/>
                <w:i/>
                <w:iCs/>
                <w:sz w:val="20"/>
                <w:szCs w:val="20"/>
              </w:rPr>
              <w:t>Grid Cell Level</w:t>
            </w:r>
          </w:p>
        </w:tc>
      </w:tr>
      <w:tr w:rsidR="00494669" w:rsidRPr="004F469F" w14:paraId="045F34FA"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DA7A8F6"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5113" w:type="dxa"/>
            <w:gridSpan w:val="4"/>
            <w:tcBorders>
              <w:top w:val="single" w:sz="4" w:space="0" w:color="auto"/>
              <w:left w:val="nil"/>
              <w:bottom w:val="single" w:sz="4" w:space="0" w:color="auto"/>
              <w:right w:val="single" w:sz="4" w:space="0" w:color="auto"/>
            </w:tcBorders>
            <w:shd w:val="clear" w:color="auto" w:fill="auto"/>
            <w:noWrap/>
            <w:vAlign w:val="center"/>
            <w:hideMark/>
          </w:tcPr>
          <w:p w14:paraId="4409A4D5" w14:textId="77777777" w:rsidR="001F01A2" w:rsidRPr="004F469F" w:rsidRDefault="001F01A2" w:rsidP="001F01A2">
            <w:pPr>
              <w:jc w:val="center"/>
              <w:rPr>
                <w:b/>
                <w:bCs/>
                <w:sz w:val="20"/>
                <w:szCs w:val="20"/>
              </w:rPr>
            </w:pPr>
            <w:r w:rsidRPr="004F469F">
              <w:rPr>
                <w:b/>
                <w:bCs/>
                <w:sz w:val="20"/>
                <w:szCs w:val="20"/>
              </w:rPr>
              <w:t>Grid Cell Count</w:t>
            </w:r>
          </w:p>
        </w:tc>
        <w:tc>
          <w:tcPr>
            <w:tcW w:w="1339" w:type="dxa"/>
            <w:tcBorders>
              <w:top w:val="nil"/>
              <w:left w:val="nil"/>
              <w:bottom w:val="single" w:sz="4" w:space="0" w:color="auto"/>
              <w:right w:val="single" w:sz="4" w:space="0" w:color="auto"/>
            </w:tcBorders>
            <w:shd w:val="clear" w:color="auto" w:fill="auto"/>
            <w:noWrap/>
            <w:vAlign w:val="center"/>
            <w:hideMark/>
          </w:tcPr>
          <w:p w14:paraId="41055373" w14:textId="77777777" w:rsidR="001F01A2" w:rsidRPr="004F469F" w:rsidRDefault="001F01A2" w:rsidP="001F01A2">
            <w:pPr>
              <w:jc w:val="center"/>
              <w:rPr>
                <w:b/>
                <w:bCs/>
                <w:sz w:val="20"/>
                <w:szCs w:val="20"/>
              </w:rPr>
            </w:pPr>
            <w:r w:rsidRPr="004F469F">
              <w:rPr>
                <w:b/>
                <w:bCs/>
                <w:sz w:val="20"/>
                <w:szCs w:val="20"/>
              </w:rPr>
              <w:t>Best Level</w:t>
            </w:r>
          </w:p>
        </w:tc>
      </w:tr>
      <w:tr w:rsidR="00494669" w:rsidRPr="004F469F" w14:paraId="54CEA29D"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53801843" w14:textId="2AF7C1BF" w:rsidR="001F01A2" w:rsidRPr="004F469F" w:rsidRDefault="001F01A2" w:rsidP="001F01A2">
            <w:pPr>
              <w:jc w:val="center"/>
              <w:rPr>
                <w:rFonts w:eastAsia="Arial Unicode MS"/>
                <w:sz w:val="20"/>
                <w:szCs w:val="20"/>
              </w:rPr>
            </w:pPr>
          </w:p>
        </w:tc>
        <w:tc>
          <w:tcPr>
            <w:tcW w:w="1166" w:type="dxa"/>
            <w:tcBorders>
              <w:top w:val="nil"/>
              <w:left w:val="nil"/>
              <w:bottom w:val="single" w:sz="4" w:space="0" w:color="auto"/>
              <w:right w:val="single" w:sz="4" w:space="0" w:color="auto"/>
            </w:tcBorders>
            <w:shd w:val="clear" w:color="auto" w:fill="auto"/>
            <w:noWrap/>
            <w:vAlign w:val="center"/>
            <w:hideMark/>
          </w:tcPr>
          <w:p w14:paraId="742F9A14" w14:textId="77777777" w:rsidR="001F01A2" w:rsidRPr="004F469F" w:rsidRDefault="001F01A2" w:rsidP="001F01A2">
            <w:pPr>
              <w:jc w:val="center"/>
              <w:rPr>
                <w:sz w:val="20"/>
                <w:szCs w:val="20"/>
              </w:rPr>
            </w:pPr>
            <w:r w:rsidRPr="004F469F">
              <w:rPr>
                <w:sz w:val="20"/>
                <w:szCs w:val="20"/>
              </w:rPr>
              <w:t>County</w:t>
            </w:r>
          </w:p>
        </w:tc>
        <w:tc>
          <w:tcPr>
            <w:tcW w:w="1166" w:type="dxa"/>
            <w:tcBorders>
              <w:top w:val="nil"/>
              <w:left w:val="nil"/>
              <w:bottom w:val="single" w:sz="4" w:space="0" w:color="auto"/>
              <w:right w:val="single" w:sz="4" w:space="0" w:color="auto"/>
            </w:tcBorders>
            <w:shd w:val="clear" w:color="auto" w:fill="auto"/>
            <w:noWrap/>
            <w:vAlign w:val="center"/>
            <w:hideMark/>
          </w:tcPr>
          <w:p w14:paraId="6136E601" w14:textId="77777777" w:rsidR="001F01A2" w:rsidRPr="004F469F" w:rsidRDefault="001F01A2" w:rsidP="001F01A2">
            <w:pPr>
              <w:jc w:val="center"/>
              <w:rPr>
                <w:sz w:val="20"/>
                <w:szCs w:val="20"/>
              </w:rPr>
            </w:pPr>
            <w:r w:rsidRPr="004F469F">
              <w:rPr>
                <w:sz w:val="20"/>
                <w:szCs w:val="20"/>
              </w:rPr>
              <w:t>Tract</w:t>
            </w:r>
          </w:p>
        </w:tc>
        <w:tc>
          <w:tcPr>
            <w:tcW w:w="1615" w:type="dxa"/>
            <w:tcBorders>
              <w:top w:val="nil"/>
              <w:left w:val="nil"/>
              <w:bottom w:val="single" w:sz="4" w:space="0" w:color="auto"/>
              <w:right w:val="single" w:sz="4" w:space="0" w:color="auto"/>
            </w:tcBorders>
            <w:shd w:val="clear" w:color="auto" w:fill="auto"/>
            <w:noWrap/>
            <w:vAlign w:val="center"/>
            <w:hideMark/>
          </w:tcPr>
          <w:p w14:paraId="12228E35" w14:textId="77777777" w:rsidR="001F01A2" w:rsidRPr="004F469F" w:rsidRDefault="001F01A2" w:rsidP="001F01A2">
            <w:pPr>
              <w:jc w:val="center"/>
              <w:rPr>
                <w:sz w:val="20"/>
                <w:szCs w:val="20"/>
              </w:rPr>
            </w:pPr>
            <w:r w:rsidRPr="004F469F">
              <w:rPr>
                <w:sz w:val="20"/>
                <w:szCs w:val="20"/>
              </w:rPr>
              <w:t>Block Group</w:t>
            </w:r>
          </w:p>
        </w:tc>
        <w:tc>
          <w:tcPr>
            <w:tcW w:w="1166" w:type="dxa"/>
            <w:tcBorders>
              <w:top w:val="nil"/>
              <w:left w:val="nil"/>
              <w:bottom w:val="single" w:sz="4" w:space="0" w:color="auto"/>
              <w:right w:val="single" w:sz="4" w:space="0" w:color="auto"/>
            </w:tcBorders>
            <w:shd w:val="clear" w:color="auto" w:fill="auto"/>
            <w:noWrap/>
            <w:vAlign w:val="center"/>
            <w:hideMark/>
          </w:tcPr>
          <w:p w14:paraId="52B63290" w14:textId="77777777" w:rsidR="001F01A2" w:rsidRPr="004F469F" w:rsidRDefault="001F01A2" w:rsidP="001F01A2">
            <w:pPr>
              <w:jc w:val="center"/>
              <w:rPr>
                <w:sz w:val="20"/>
                <w:szCs w:val="20"/>
              </w:rPr>
            </w:pPr>
            <w:r w:rsidRPr="004F469F">
              <w:rPr>
                <w:sz w:val="20"/>
                <w:szCs w:val="20"/>
              </w:rPr>
              <w:t>Block</w:t>
            </w:r>
          </w:p>
        </w:tc>
        <w:tc>
          <w:tcPr>
            <w:tcW w:w="1339" w:type="dxa"/>
            <w:tcBorders>
              <w:top w:val="nil"/>
              <w:left w:val="nil"/>
              <w:bottom w:val="single" w:sz="4" w:space="0" w:color="auto"/>
              <w:right w:val="single" w:sz="4" w:space="0" w:color="auto"/>
            </w:tcBorders>
            <w:shd w:val="clear" w:color="auto" w:fill="auto"/>
            <w:noWrap/>
            <w:vAlign w:val="center"/>
            <w:hideMark/>
          </w:tcPr>
          <w:p w14:paraId="32BE97B4" w14:textId="7DD08357" w:rsidR="001F01A2" w:rsidRPr="004F469F" w:rsidRDefault="001F01A2" w:rsidP="001F01A2">
            <w:pPr>
              <w:jc w:val="center"/>
              <w:rPr>
                <w:sz w:val="20"/>
                <w:szCs w:val="20"/>
              </w:rPr>
            </w:pPr>
          </w:p>
        </w:tc>
      </w:tr>
      <w:tr w:rsidR="00494669" w:rsidRPr="004F469F" w14:paraId="34ADDA09"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6415327" w14:textId="434BA155"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1166" w:type="dxa"/>
            <w:tcBorders>
              <w:top w:val="nil"/>
              <w:left w:val="nil"/>
              <w:bottom w:val="single" w:sz="4" w:space="0" w:color="auto"/>
              <w:right w:val="single" w:sz="4" w:space="0" w:color="auto"/>
            </w:tcBorders>
            <w:shd w:val="clear" w:color="auto" w:fill="auto"/>
            <w:noWrap/>
            <w:vAlign w:val="center"/>
            <w:hideMark/>
          </w:tcPr>
          <w:p w14:paraId="631FCB25" w14:textId="77777777" w:rsidR="001F01A2" w:rsidRPr="004F469F" w:rsidRDefault="001F01A2" w:rsidP="001F01A2">
            <w:pPr>
              <w:jc w:val="center"/>
              <w:rPr>
                <w:sz w:val="20"/>
                <w:szCs w:val="20"/>
              </w:rPr>
            </w:pPr>
            <w:r w:rsidRPr="004F469F">
              <w:rPr>
                <w:sz w:val="20"/>
                <w:szCs w:val="20"/>
              </w:rPr>
              <w:t>104</w:t>
            </w:r>
          </w:p>
        </w:tc>
        <w:tc>
          <w:tcPr>
            <w:tcW w:w="1166" w:type="dxa"/>
            <w:tcBorders>
              <w:top w:val="nil"/>
              <w:left w:val="nil"/>
              <w:bottom w:val="single" w:sz="4" w:space="0" w:color="auto"/>
              <w:right w:val="single" w:sz="4" w:space="0" w:color="auto"/>
            </w:tcBorders>
            <w:shd w:val="clear" w:color="auto" w:fill="auto"/>
            <w:noWrap/>
            <w:vAlign w:val="center"/>
            <w:hideMark/>
          </w:tcPr>
          <w:p w14:paraId="55C12B53" w14:textId="77777777" w:rsidR="001F01A2" w:rsidRPr="004F469F" w:rsidRDefault="001F01A2" w:rsidP="001F01A2">
            <w:pPr>
              <w:jc w:val="center"/>
              <w:rPr>
                <w:sz w:val="20"/>
                <w:szCs w:val="20"/>
              </w:rPr>
            </w:pPr>
            <w:r w:rsidRPr="004F469F">
              <w:rPr>
                <w:sz w:val="20"/>
                <w:szCs w:val="20"/>
              </w:rPr>
              <w:t>95</w:t>
            </w:r>
          </w:p>
        </w:tc>
        <w:tc>
          <w:tcPr>
            <w:tcW w:w="1615" w:type="dxa"/>
            <w:tcBorders>
              <w:top w:val="nil"/>
              <w:left w:val="nil"/>
              <w:bottom w:val="single" w:sz="4" w:space="0" w:color="auto"/>
              <w:right w:val="single" w:sz="4" w:space="0" w:color="auto"/>
            </w:tcBorders>
            <w:shd w:val="clear" w:color="auto" w:fill="auto"/>
            <w:noWrap/>
            <w:vAlign w:val="center"/>
            <w:hideMark/>
          </w:tcPr>
          <w:p w14:paraId="6EA7E3AB" w14:textId="77777777" w:rsidR="001F01A2" w:rsidRPr="004F469F" w:rsidRDefault="001F01A2" w:rsidP="001F01A2">
            <w:pPr>
              <w:jc w:val="center"/>
              <w:rPr>
                <w:sz w:val="20"/>
                <w:szCs w:val="20"/>
              </w:rPr>
            </w:pPr>
            <w:r w:rsidRPr="004F469F">
              <w:rPr>
                <w:sz w:val="20"/>
                <w:szCs w:val="20"/>
              </w:rPr>
              <w:t>79</w:t>
            </w:r>
          </w:p>
        </w:tc>
        <w:tc>
          <w:tcPr>
            <w:tcW w:w="1166" w:type="dxa"/>
            <w:tcBorders>
              <w:top w:val="nil"/>
              <w:left w:val="nil"/>
              <w:bottom w:val="single" w:sz="4" w:space="0" w:color="auto"/>
              <w:right w:val="single" w:sz="4" w:space="0" w:color="auto"/>
            </w:tcBorders>
            <w:shd w:val="clear" w:color="auto" w:fill="auto"/>
            <w:noWrap/>
            <w:vAlign w:val="center"/>
            <w:hideMark/>
          </w:tcPr>
          <w:p w14:paraId="39D61321" w14:textId="77777777" w:rsidR="001F01A2" w:rsidRPr="004F469F" w:rsidRDefault="001F01A2" w:rsidP="001F01A2">
            <w:pPr>
              <w:jc w:val="center"/>
              <w:rPr>
                <w:sz w:val="20"/>
                <w:szCs w:val="20"/>
              </w:rPr>
            </w:pPr>
            <w:r w:rsidRPr="004F469F">
              <w:rPr>
                <w:sz w:val="20"/>
                <w:szCs w:val="20"/>
              </w:rPr>
              <w:t>110</w:t>
            </w:r>
          </w:p>
        </w:tc>
        <w:tc>
          <w:tcPr>
            <w:tcW w:w="1339" w:type="dxa"/>
            <w:tcBorders>
              <w:top w:val="nil"/>
              <w:left w:val="nil"/>
              <w:bottom w:val="single" w:sz="4" w:space="0" w:color="auto"/>
              <w:right w:val="single" w:sz="4" w:space="0" w:color="auto"/>
            </w:tcBorders>
            <w:shd w:val="clear" w:color="auto" w:fill="auto"/>
            <w:noWrap/>
            <w:vAlign w:val="center"/>
            <w:hideMark/>
          </w:tcPr>
          <w:p w14:paraId="64A8A424" w14:textId="4779161E" w:rsidR="001F01A2" w:rsidRPr="004F469F" w:rsidRDefault="001F01A2" w:rsidP="001F01A2">
            <w:pPr>
              <w:jc w:val="center"/>
              <w:rPr>
                <w:sz w:val="20"/>
                <w:szCs w:val="20"/>
              </w:rPr>
            </w:pPr>
            <w:r w:rsidRPr="004F469F">
              <w:rPr>
                <w:sz w:val="20"/>
                <w:szCs w:val="20"/>
              </w:rPr>
              <w:t>Block</w:t>
            </w:r>
          </w:p>
        </w:tc>
      </w:tr>
      <w:tr w:rsidR="00494669" w:rsidRPr="004F469F" w14:paraId="439A2B61"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0C9266C3" w14:textId="0B524761"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1166" w:type="dxa"/>
            <w:tcBorders>
              <w:top w:val="nil"/>
              <w:left w:val="nil"/>
              <w:bottom w:val="single" w:sz="4" w:space="0" w:color="auto"/>
              <w:right w:val="single" w:sz="4" w:space="0" w:color="auto"/>
            </w:tcBorders>
            <w:shd w:val="clear" w:color="auto" w:fill="auto"/>
            <w:noWrap/>
            <w:vAlign w:val="center"/>
            <w:hideMark/>
          </w:tcPr>
          <w:p w14:paraId="677CF1FF" w14:textId="77777777" w:rsidR="001F01A2" w:rsidRPr="004F469F" w:rsidRDefault="001F01A2" w:rsidP="001F01A2">
            <w:pPr>
              <w:jc w:val="center"/>
              <w:rPr>
                <w:sz w:val="20"/>
                <w:szCs w:val="20"/>
              </w:rPr>
            </w:pPr>
            <w:r w:rsidRPr="004F469F">
              <w:rPr>
                <w:sz w:val="20"/>
                <w:szCs w:val="20"/>
              </w:rPr>
              <w:t>90</w:t>
            </w:r>
          </w:p>
        </w:tc>
        <w:tc>
          <w:tcPr>
            <w:tcW w:w="1166" w:type="dxa"/>
            <w:tcBorders>
              <w:top w:val="nil"/>
              <w:left w:val="nil"/>
              <w:bottom w:val="single" w:sz="4" w:space="0" w:color="auto"/>
              <w:right w:val="single" w:sz="4" w:space="0" w:color="auto"/>
            </w:tcBorders>
            <w:shd w:val="clear" w:color="auto" w:fill="auto"/>
            <w:noWrap/>
            <w:vAlign w:val="center"/>
            <w:hideMark/>
          </w:tcPr>
          <w:p w14:paraId="3F5CB574" w14:textId="77777777" w:rsidR="001F01A2" w:rsidRPr="004F469F" w:rsidRDefault="001F01A2" w:rsidP="001F01A2">
            <w:pPr>
              <w:jc w:val="center"/>
              <w:rPr>
                <w:sz w:val="20"/>
                <w:szCs w:val="20"/>
              </w:rPr>
            </w:pPr>
            <w:r w:rsidRPr="004F469F">
              <w:rPr>
                <w:sz w:val="20"/>
                <w:szCs w:val="20"/>
              </w:rPr>
              <w:t>138</w:t>
            </w:r>
          </w:p>
        </w:tc>
        <w:tc>
          <w:tcPr>
            <w:tcW w:w="1615" w:type="dxa"/>
            <w:tcBorders>
              <w:top w:val="nil"/>
              <w:left w:val="nil"/>
              <w:bottom w:val="single" w:sz="4" w:space="0" w:color="auto"/>
              <w:right w:val="single" w:sz="4" w:space="0" w:color="auto"/>
            </w:tcBorders>
            <w:shd w:val="clear" w:color="auto" w:fill="auto"/>
            <w:noWrap/>
            <w:vAlign w:val="center"/>
            <w:hideMark/>
          </w:tcPr>
          <w:p w14:paraId="62A9F99B" w14:textId="77777777" w:rsidR="001F01A2" w:rsidRPr="004F469F" w:rsidRDefault="001F01A2" w:rsidP="001F01A2">
            <w:pPr>
              <w:jc w:val="center"/>
              <w:rPr>
                <w:sz w:val="20"/>
                <w:szCs w:val="20"/>
              </w:rPr>
            </w:pPr>
            <w:r w:rsidRPr="004F469F">
              <w:rPr>
                <w:sz w:val="20"/>
                <w:szCs w:val="20"/>
              </w:rPr>
              <w:t>135</w:t>
            </w:r>
          </w:p>
        </w:tc>
        <w:tc>
          <w:tcPr>
            <w:tcW w:w="1166" w:type="dxa"/>
            <w:tcBorders>
              <w:top w:val="nil"/>
              <w:left w:val="nil"/>
              <w:bottom w:val="single" w:sz="4" w:space="0" w:color="auto"/>
              <w:right w:val="single" w:sz="4" w:space="0" w:color="auto"/>
            </w:tcBorders>
            <w:shd w:val="clear" w:color="auto" w:fill="auto"/>
            <w:noWrap/>
            <w:vAlign w:val="center"/>
            <w:hideMark/>
          </w:tcPr>
          <w:p w14:paraId="2DD9A0AD" w14:textId="77777777" w:rsidR="001F01A2" w:rsidRPr="004F469F" w:rsidRDefault="001F01A2" w:rsidP="001F01A2">
            <w:pPr>
              <w:jc w:val="center"/>
              <w:rPr>
                <w:sz w:val="20"/>
                <w:szCs w:val="20"/>
              </w:rPr>
            </w:pPr>
            <w:r w:rsidRPr="004F469F">
              <w:rPr>
                <w:sz w:val="20"/>
                <w:szCs w:val="20"/>
              </w:rPr>
              <w:t>197</w:t>
            </w:r>
          </w:p>
        </w:tc>
        <w:tc>
          <w:tcPr>
            <w:tcW w:w="1339" w:type="dxa"/>
            <w:tcBorders>
              <w:top w:val="nil"/>
              <w:left w:val="nil"/>
              <w:bottom w:val="single" w:sz="4" w:space="0" w:color="auto"/>
              <w:right w:val="single" w:sz="4" w:space="0" w:color="auto"/>
            </w:tcBorders>
            <w:shd w:val="clear" w:color="auto" w:fill="auto"/>
            <w:noWrap/>
            <w:vAlign w:val="center"/>
            <w:hideMark/>
          </w:tcPr>
          <w:p w14:paraId="10F5DFDF" w14:textId="6E891CD7" w:rsidR="001F01A2" w:rsidRPr="004F469F" w:rsidRDefault="001F01A2" w:rsidP="001F01A2">
            <w:pPr>
              <w:jc w:val="center"/>
              <w:rPr>
                <w:sz w:val="20"/>
                <w:szCs w:val="20"/>
              </w:rPr>
            </w:pPr>
            <w:r w:rsidRPr="004F469F">
              <w:rPr>
                <w:sz w:val="20"/>
                <w:szCs w:val="20"/>
              </w:rPr>
              <w:t>Block</w:t>
            </w:r>
          </w:p>
        </w:tc>
      </w:tr>
      <w:tr w:rsidR="00494669" w:rsidRPr="004F469F" w14:paraId="6D7FA995"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0C7EF904" w14:textId="1D2464AF"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1166" w:type="dxa"/>
            <w:tcBorders>
              <w:top w:val="nil"/>
              <w:left w:val="nil"/>
              <w:bottom w:val="single" w:sz="4" w:space="0" w:color="auto"/>
              <w:right w:val="single" w:sz="4" w:space="0" w:color="auto"/>
            </w:tcBorders>
            <w:shd w:val="clear" w:color="auto" w:fill="auto"/>
            <w:noWrap/>
            <w:vAlign w:val="center"/>
            <w:hideMark/>
          </w:tcPr>
          <w:p w14:paraId="7E23BA95" w14:textId="77777777" w:rsidR="001F01A2" w:rsidRPr="004F469F" w:rsidRDefault="001F01A2" w:rsidP="001F01A2">
            <w:pPr>
              <w:jc w:val="center"/>
              <w:rPr>
                <w:sz w:val="20"/>
                <w:szCs w:val="20"/>
              </w:rPr>
            </w:pPr>
            <w:r w:rsidRPr="004F469F">
              <w:rPr>
                <w:sz w:val="20"/>
                <w:szCs w:val="20"/>
              </w:rPr>
              <w:t>117</w:t>
            </w:r>
          </w:p>
        </w:tc>
        <w:tc>
          <w:tcPr>
            <w:tcW w:w="1166" w:type="dxa"/>
            <w:tcBorders>
              <w:top w:val="nil"/>
              <w:left w:val="nil"/>
              <w:bottom w:val="single" w:sz="4" w:space="0" w:color="auto"/>
              <w:right w:val="single" w:sz="4" w:space="0" w:color="auto"/>
            </w:tcBorders>
            <w:shd w:val="clear" w:color="auto" w:fill="auto"/>
            <w:noWrap/>
            <w:vAlign w:val="center"/>
            <w:hideMark/>
          </w:tcPr>
          <w:p w14:paraId="3BB9E5CF" w14:textId="77777777" w:rsidR="001F01A2" w:rsidRPr="004F469F" w:rsidRDefault="001F01A2" w:rsidP="001F01A2">
            <w:pPr>
              <w:jc w:val="center"/>
              <w:rPr>
                <w:sz w:val="20"/>
                <w:szCs w:val="20"/>
              </w:rPr>
            </w:pPr>
            <w:r w:rsidRPr="004F469F">
              <w:rPr>
                <w:sz w:val="20"/>
                <w:szCs w:val="20"/>
              </w:rPr>
              <w:t>114</w:t>
            </w:r>
          </w:p>
        </w:tc>
        <w:tc>
          <w:tcPr>
            <w:tcW w:w="1615" w:type="dxa"/>
            <w:tcBorders>
              <w:top w:val="nil"/>
              <w:left w:val="nil"/>
              <w:bottom w:val="single" w:sz="4" w:space="0" w:color="auto"/>
              <w:right w:val="single" w:sz="4" w:space="0" w:color="auto"/>
            </w:tcBorders>
            <w:shd w:val="clear" w:color="auto" w:fill="auto"/>
            <w:noWrap/>
            <w:vAlign w:val="center"/>
            <w:hideMark/>
          </w:tcPr>
          <w:p w14:paraId="65B1FD74" w14:textId="77777777" w:rsidR="001F01A2" w:rsidRPr="004F469F" w:rsidRDefault="001F01A2" w:rsidP="001F01A2">
            <w:pPr>
              <w:jc w:val="center"/>
              <w:rPr>
                <w:sz w:val="20"/>
                <w:szCs w:val="20"/>
              </w:rPr>
            </w:pPr>
            <w:r w:rsidRPr="004F469F">
              <w:rPr>
                <w:sz w:val="20"/>
                <w:szCs w:val="20"/>
              </w:rPr>
              <w:t>106</w:t>
            </w:r>
          </w:p>
        </w:tc>
        <w:tc>
          <w:tcPr>
            <w:tcW w:w="1166" w:type="dxa"/>
            <w:tcBorders>
              <w:top w:val="nil"/>
              <w:left w:val="nil"/>
              <w:bottom w:val="single" w:sz="4" w:space="0" w:color="auto"/>
              <w:right w:val="single" w:sz="4" w:space="0" w:color="auto"/>
            </w:tcBorders>
            <w:shd w:val="clear" w:color="auto" w:fill="auto"/>
            <w:noWrap/>
            <w:vAlign w:val="center"/>
            <w:hideMark/>
          </w:tcPr>
          <w:p w14:paraId="78554160" w14:textId="77777777" w:rsidR="001F01A2" w:rsidRPr="004F469F" w:rsidRDefault="001F01A2" w:rsidP="001F01A2">
            <w:pPr>
              <w:jc w:val="center"/>
              <w:rPr>
                <w:sz w:val="20"/>
                <w:szCs w:val="20"/>
              </w:rPr>
            </w:pPr>
            <w:r w:rsidRPr="004F469F">
              <w:rPr>
                <w:sz w:val="20"/>
                <w:szCs w:val="20"/>
              </w:rPr>
              <w:t>127</w:t>
            </w:r>
          </w:p>
        </w:tc>
        <w:tc>
          <w:tcPr>
            <w:tcW w:w="1339" w:type="dxa"/>
            <w:tcBorders>
              <w:top w:val="nil"/>
              <w:left w:val="nil"/>
              <w:bottom w:val="single" w:sz="4" w:space="0" w:color="auto"/>
              <w:right w:val="single" w:sz="4" w:space="0" w:color="auto"/>
            </w:tcBorders>
            <w:shd w:val="clear" w:color="auto" w:fill="auto"/>
            <w:noWrap/>
            <w:vAlign w:val="center"/>
            <w:hideMark/>
          </w:tcPr>
          <w:p w14:paraId="79B9F1D6" w14:textId="18375BBA" w:rsidR="001F01A2" w:rsidRPr="004F469F" w:rsidRDefault="001F01A2" w:rsidP="001F01A2">
            <w:pPr>
              <w:jc w:val="center"/>
              <w:rPr>
                <w:sz w:val="20"/>
                <w:szCs w:val="20"/>
              </w:rPr>
            </w:pPr>
            <w:r w:rsidRPr="004F469F">
              <w:rPr>
                <w:sz w:val="20"/>
                <w:szCs w:val="20"/>
              </w:rPr>
              <w:t>Block</w:t>
            </w:r>
          </w:p>
        </w:tc>
      </w:tr>
      <w:tr w:rsidR="00494669" w:rsidRPr="004F469F" w14:paraId="1712CFD6" w14:textId="77777777" w:rsidTr="00A967F3">
        <w:trPr>
          <w:trHeight w:val="320"/>
        </w:trPr>
        <w:tc>
          <w:tcPr>
            <w:tcW w:w="1349" w:type="dxa"/>
            <w:tcBorders>
              <w:top w:val="nil"/>
              <w:left w:val="single" w:sz="4" w:space="0" w:color="auto"/>
              <w:bottom w:val="single" w:sz="12" w:space="0" w:color="auto"/>
              <w:right w:val="single" w:sz="4" w:space="0" w:color="auto"/>
            </w:tcBorders>
            <w:shd w:val="clear" w:color="auto" w:fill="auto"/>
            <w:noWrap/>
            <w:vAlign w:val="center"/>
            <w:hideMark/>
          </w:tcPr>
          <w:p w14:paraId="5599A94C" w14:textId="1EC6B35B"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1166" w:type="dxa"/>
            <w:tcBorders>
              <w:top w:val="nil"/>
              <w:left w:val="nil"/>
              <w:bottom w:val="single" w:sz="12" w:space="0" w:color="auto"/>
              <w:right w:val="single" w:sz="4" w:space="0" w:color="auto"/>
            </w:tcBorders>
            <w:shd w:val="clear" w:color="auto" w:fill="auto"/>
            <w:noWrap/>
            <w:vAlign w:val="center"/>
            <w:hideMark/>
          </w:tcPr>
          <w:p w14:paraId="03009F4E" w14:textId="77777777" w:rsidR="001F01A2" w:rsidRPr="004F469F" w:rsidRDefault="001F01A2" w:rsidP="001F01A2">
            <w:pPr>
              <w:jc w:val="center"/>
              <w:rPr>
                <w:sz w:val="20"/>
                <w:szCs w:val="20"/>
              </w:rPr>
            </w:pPr>
            <w:r w:rsidRPr="004F469F">
              <w:rPr>
                <w:sz w:val="20"/>
                <w:szCs w:val="20"/>
              </w:rPr>
              <w:t>107</w:t>
            </w:r>
          </w:p>
        </w:tc>
        <w:tc>
          <w:tcPr>
            <w:tcW w:w="1166" w:type="dxa"/>
            <w:tcBorders>
              <w:top w:val="nil"/>
              <w:left w:val="nil"/>
              <w:bottom w:val="single" w:sz="12" w:space="0" w:color="auto"/>
              <w:right w:val="single" w:sz="4" w:space="0" w:color="auto"/>
            </w:tcBorders>
            <w:shd w:val="clear" w:color="auto" w:fill="auto"/>
            <w:noWrap/>
            <w:vAlign w:val="center"/>
            <w:hideMark/>
          </w:tcPr>
          <w:p w14:paraId="49EC2CE1" w14:textId="77777777" w:rsidR="001F01A2" w:rsidRPr="004F469F" w:rsidRDefault="001F01A2" w:rsidP="001F01A2">
            <w:pPr>
              <w:jc w:val="center"/>
              <w:rPr>
                <w:sz w:val="20"/>
                <w:szCs w:val="20"/>
              </w:rPr>
            </w:pPr>
            <w:r w:rsidRPr="004F469F">
              <w:rPr>
                <w:sz w:val="20"/>
                <w:szCs w:val="20"/>
              </w:rPr>
              <w:t>150</w:t>
            </w:r>
          </w:p>
        </w:tc>
        <w:tc>
          <w:tcPr>
            <w:tcW w:w="1615" w:type="dxa"/>
            <w:tcBorders>
              <w:top w:val="nil"/>
              <w:left w:val="nil"/>
              <w:bottom w:val="single" w:sz="12" w:space="0" w:color="auto"/>
              <w:right w:val="single" w:sz="4" w:space="0" w:color="auto"/>
            </w:tcBorders>
            <w:shd w:val="clear" w:color="auto" w:fill="auto"/>
            <w:noWrap/>
            <w:vAlign w:val="center"/>
            <w:hideMark/>
          </w:tcPr>
          <w:p w14:paraId="0482A0C4" w14:textId="77777777" w:rsidR="001F01A2" w:rsidRPr="004F469F" w:rsidRDefault="001F01A2" w:rsidP="001F01A2">
            <w:pPr>
              <w:jc w:val="center"/>
              <w:rPr>
                <w:sz w:val="20"/>
                <w:szCs w:val="20"/>
              </w:rPr>
            </w:pPr>
            <w:r w:rsidRPr="004F469F">
              <w:rPr>
                <w:sz w:val="20"/>
                <w:szCs w:val="20"/>
              </w:rPr>
              <w:t>136</w:t>
            </w:r>
          </w:p>
        </w:tc>
        <w:tc>
          <w:tcPr>
            <w:tcW w:w="1166" w:type="dxa"/>
            <w:tcBorders>
              <w:top w:val="nil"/>
              <w:left w:val="nil"/>
              <w:bottom w:val="single" w:sz="12" w:space="0" w:color="auto"/>
              <w:right w:val="single" w:sz="4" w:space="0" w:color="auto"/>
            </w:tcBorders>
            <w:shd w:val="clear" w:color="auto" w:fill="auto"/>
            <w:noWrap/>
            <w:vAlign w:val="center"/>
            <w:hideMark/>
          </w:tcPr>
          <w:p w14:paraId="225E2E56" w14:textId="77777777" w:rsidR="001F01A2" w:rsidRPr="004F469F" w:rsidRDefault="001F01A2" w:rsidP="001F01A2">
            <w:pPr>
              <w:jc w:val="center"/>
              <w:rPr>
                <w:sz w:val="20"/>
                <w:szCs w:val="20"/>
              </w:rPr>
            </w:pPr>
            <w:r w:rsidRPr="004F469F">
              <w:rPr>
                <w:sz w:val="20"/>
                <w:szCs w:val="20"/>
              </w:rPr>
              <w:t>167</w:t>
            </w:r>
          </w:p>
        </w:tc>
        <w:tc>
          <w:tcPr>
            <w:tcW w:w="1339" w:type="dxa"/>
            <w:tcBorders>
              <w:top w:val="nil"/>
              <w:left w:val="nil"/>
              <w:bottom w:val="single" w:sz="12" w:space="0" w:color="auto"/>
              <w:right w:val="single" w:sz="4" w:space="0" w:color="auto"/>
            </w:tcBorders>
            <w:shd w:val="clear" w:color="auto" w:fill="auto"/>
            <w:noWrap/>
            <w:vAlign w:val="center"/>
            <w:hideMark/>
          </w:tcPr>
          <w:p w14:paraId="12245663" w14:textId="47DB7A28" w:rsidR="001F01A2" w:rsidRPr="004F469F" w:rsidRDefault="001F01A2" w:rsidP="001F01A2">
            <w:pPr>
              <w:jc w:val="center"/>
              <w:rPr>
                <w:sz w:val="20"/>
                <w:szCs w:val="20"/>
              </w:rPr>
            </w:pPr>
            <w:r w:rsidRPr="004F469F">
              <w:rPr>
                <w:sz w:val="20"/>
                <w:szCs w:val="20"/>
              </w:rPr>
              <w:t>Block</w:t>
            </w:r>
          </w:p>
        </w:tc>
      </w:tr>
      <w:tr w:rsidR="00494669" w:rsidRPr="004F469F" w14:paraId="32621024" w14:textId="77777777" w:rsidTr="00A967F3">
        <w:trPr>
          <w:trHeight w:val="320"/>
        </w:trPr>
        <w:tc>
          <w:tcPr>
            <w:tcW w:w="134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47BBFD3D" w14:textId="49EA310A" w:rsidR="001F01A2" w:rsidRPr="004F469F" w:rsidRDefault="001F01A2" w:rsidP="001F01A2">
            <w:pPr>
              <w:jc w:val="center"/>
              <w:rPr>
                <w:rFonts w:eastAsia="Arial Unicode MS"/>
                <w:i/>
                <w:iCs/>
                <w:sz w:val="20"/>
                <w:szCs w:val="20"/>
              </w:rPr>
            </w:pPr>
            <w:r w:rsidRPr="004F469F">
              <w:rPr>
                <w:rFonts w:eastAsia="Arial Unicode MS"/>
                <w:i/>
                <w:iCs/>
                <w:sz w:val="20"/>
                <w:szCs w:val="20"/>
              </w:rPr>
              <w:t>Study Area</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11EEE55B" w14:textId="77777777" w:rsidR="001F01A2" w:rsidRPr="004F469F" w:rsidRDefault="001F01A2" w:rsidP="001F01A2">
            <w:pPr>
              <w:jc w:val="center"/>
              <w:rPr>
                <w:i/>
                <w:iCs/>
                <w:sz w:val="20"/>
                <w:szCs w:val="20"/>
              </w:rPr>
            </w:pPr>
            <w:r w:rsidRPr="004F469F">
              <w:rPr>
                <w:i/>
                <w:iCs/>
                <w:sz w:val="20"/>
                <w:szCs w:val="20"/>
              </w:rPr>
              <w:t>418</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14E17F85" w14:textId="77777777" w:rsidR="001F01A2" w:rsidRPr="004F469F" w:rsidRDefault="001F01A2" w:rsidP="001F01A2">
            <w:pPr>
              <w:jc w:val="center"/>
              <w:rPr>
                <w:i/>
                <w:iCs/>
                <w:sz w:val="20"/>
                <w:szCs w:val="20"/>
              </w:rPr>
            </w:pPr>
            <w:r w:rsidRPr="004F469F">
              <w:rPr>
                <w:i/>
                <w:iCs/>
                <w:sz w:val="20"/>
                <w:szCs w:val="20"/>
              </w:rPr>
              <w:t>497</w:t>
            </w:r>
          </w:p>
        </w:tc>
        <w:tc>
          <w:tcPr>
            <w:tcW w:w="1615" w:type="dxa"/>
            <w:tcBorders>
              <w:top w:val="single" w:sz="12" w:space="0" w:color="auto"/>
              <w:left w:val="nil"/>
              <w:bottom w:val="single" w:sz="12" w:space="0" w:color="auto"/>
              <w:right w:val="single" w:sz="4" w:space="0" w:color="auto"/>
            </w:tcBorders>
            <w:shd w:val="clear" w:color="auto" w:fill="auto"/>
            <w:noWrap/>
            <w:vAlign w:val="center"/>
            <w:hideMark/>
          </w:tcPr>
          <w:p w14:paraId="29E5D248" w14:textId="77777777" w:rsidR="001F01A2" w:rsidRPr="004F469F" w:rsidRDefault="001F01A2" w:rsidP="001F01A2">
            <w:pPr>
              <w:jc w:val="center"/>
              <w:rPr>
                <w:i/>
                <w:iCs/>
                <w:sz w:val="20"/>
                <w:szCs w:val="20"/>
              </w:rPr>
            </w:pPr>
            <w:r w:rsidRPr="004F469F">
              <w:rPr>
                <w:i/>
                <w:iCs/>
                <w:sz w:val="20"/>
                <w:szCs w:val="20"/>
              </w:rPr>
              <w:t>456</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70C0DA23" w14:textId="77777777" w:rsidR="001F01A2" w:rsidRPr="004F469F" w:rsidRDefault="001F01A2" w:rsidP="001F01A2">
            <w:pPr>
              <w:jc w:val="center"/>
              <w:rPr>
                <w:i/>
                <w:iCs/>
                <w:sz w:val="20"/>
                <w:szCs w:val="20"/>
              </w:rPr>
            </w:pPr>
            <w:r w:rsidRPr="004F469F">
              <w:rPr>
                <w:i/>
                <w:iCs/>
                <w:sz w:val="20"/>
                <w:szCs w:val="20"/>
              </w:rPr>
              <w:t>601</w:t>
            </w:r>
          </w:p>
        </w:tc>
        <w:tc>
          <w:tcPr>
            <w:tcW w:w="1339" w:type="dxa"/>
            <w:tcBorders>
              <w:top w:val="single" w:sz="12" w:space="0" w:color="auto"/>
              <w:left w:val="nil"/>
              <w:bottom w:val="single" w:sz="12" w:space="0" w:color="auto"/>
              <w:right w:val="single" w:sz="4" w:space="0" w:color="auto"/>
            </w:tcBorders>
            <w:shd w:val="clear" w:color="auto" w:fill="auto"/>
            <w:noWrap/>
            <w:vAlign w:val="center"/>
            <w:hideMark/>
          </w:tcPr>
          <w:p w14:paraId="317D6395" w14:textId="386824AD" w:rsidR="001F01A2" w:rsidRPr="004F469F" w:rsidRDefault="001F01A2" w:rsidP="001F01A2">
            <w:pPr>
              <w:jc w:val="center"/>
              <w:rPr>
                <w:i/>
                <w:iCs/>
                <w:sz w:val="20"/>
                <w:szCs w:val="20"/>
              </w:rPr>
            </w:pPr>
            <w:r w:rsidRPr="004F469F">
              <w:rPr>
                <w:i/>
                <w:iCs/>
                <w:sz w:val="20"/>
                <w:szCs w:val="20"/>
              </w:rPr>
              <w:t>Block</w:t>
            </w:r>
          </w:p>
        </w:tc>
      </w:tr>
      <w:tr w:rsidR="00494669" w:rsidRPr="004F469F" w14:paraId="007344DF" w14:textId="77777777" w:rsidTr="00A967F3">
        <w:trPr>
          <w:trHeight w:val="320"/>
        </w:trPr>
        <w:tc>
          <w:tcPr>
            <w:tcW w:w="1349" w:type="dxa"/>
            <w:tcBorders>
              <w:top w:val="single" w:sz="12" w:space="0" w:color="auto"/>
              <w:left w:val="single" w:sz="4" w:space="0" w:color="auto"/>
              <w:bottom w:val="single" w:sz="4" w:space="0" w:color="auto"/>
              <w:right w:val="nil"/>
            </w:tcBorders>
            <w:shd w:val="clear" w:color="auto" w:fill="auto"/>
            <w:noWrap/>
            <w:vAlign w:val="center"/>
            <w:hideMark/>
          </w:tcPr>
          <w:p w14:paraId="7711F3B7" w14:textId="77777777" w:rsidR="001F01A2" w:rsidRPr="004F469F" w:rsidRDefault="001F01A2" w:rsidP="001F01A2">
            <w:pPr>
              <w:rPr>
                <w:rFonts w:eastAsia="Arial Unicode MS"/>
                <w:sz w:val="20"/>
                <w:szCs w:val="20"/>
              </w:rPr>
            </w:pPr>
            <w:r w:rsidRPr="004F469F">
              <w:rPr>
                <w:rFonts w:eastAsia="Arial Unicode MS"/>
                <w:sz w:val="20"/>
                <w:szCs w:val="20"/>
              </w:rPr>
              <w:t> </w:t>
            </w:r>
          </w:p>
        </w:tc>
        <w:tc>
          <w:tcPr>
            <w:tcW w:w="1166" w:type="dxa"/>
            <w:tcBorders>
              <w:top w:val="single" w:sz="12" w:space="0" w:color="auto"/>
              <w:left w:val="nil"/>
              <w:bottom w:val="single" w:sz="4" w:space="0" w:color="auto"/>
              <w:right w:val="nil"/>
            </w:tcBorders>
            <w:shd w:val="clear" w:color="auto" w:fill="auto"/>
            <w:noWrap/>
            <w:vAlign w:val="bottom"/>
            <w:hideMark/>
          </w:tcPr>
          <w:p w14:paraId="06BFADFE" w14:textId="77777777" w:rsidR="001F01A2" w:rsidRPr="004F469F" w:rsidRDefault="001F01A2" w:rsidP="001F01A2">
            <w:pPr>
              <w:rPr>
                <w:sz w:val="20"/>
                <w:szCs w:val="20"/>
              </w:rPr>
            </w:pPr>
            <w:r w:rsidRPr="004F469F">
              <w:rPr>
                <w:sz w:val="20"/>
                <w:szCs w:val="20"/>
              </w:rPr>
              <w:t> </w:t>
            </w:r>
          </w:p>
        </w:tc>
        <w:tc>
          <w:tcPr>
            <w:tcW w:w="1166" w:type="dxa"/>
            <w:tcBorders>
              <w:top w:val="single" w:sz="12" w:space="0" w:color="auto"/>
              <w:left w:val="nil"/>
              <w:bottom w:val="single" w:sz="4" w:space="0" w:color="auto"/>
              <w:right w:val="nil"/>
            </w:tcBorders>
            <w:shd w:val="clear" w:color="auto" w:fill="auto"/>
            <w:noWrap/>
            <w:vAlign w:val="bottom"/>
            <w:hideMark/>
          </w:tcPr>
          <w:p w14:paraId="02829C27" w14:textId="77777777" w:rsidR="001F01A2" w:rsidRPr="004F469F" w:rsidRDefault="001F01A2" w:rsidP="001F01A2">
            <w:pPr>
              <w:rPr>
                <w:sz w:val="20"/>
                <w:szCs w:val="20"/>
              </w:rPr>
            </w:pPr>
            <w:r w:rsidRPr="004F469F">
              <w:rPr>
                <w:sz w:val="20"/>
                <w:szCs w:val="20"/>
              </w:rPr>
              <w:t> </w:t>
            </w:r>
          </w:p>
        </w:tc>
        <w:tc>
          <w:tcPr>
            <w:tcW w:w="1615" w:type="dxa"/>
            <w:tcBorders>
              <w:top w:val="single" w:sz="12" w:space="0" w:color="auto"/>
              <w:left w:val="nil"/>
              <w:bottom w:val="single" w:sz="4" w:space="0" w:color="auto"/>
              <w:right w:val="nil"/>
            </w:tcBorders>
            <w:shd w:val="clear" w:color="auto" w:fill="auto"/>
            <w:noWrap/>
            <w:vAlign w:val="bottom"/>
            <w:hideMark/>
          </w:tcPr>
          <w:p w14:paraId="67AD4474" w14:textId="77777777" w:rsidR="001F01A2" w:rsidRPr="004F469F" w:rsidRDefault="001F01A2" w:rsidP="001F01A2">
            <w:pPr>
              <w:rPr>
                <w:sz w:val="20"/>
                <w:szCs w:val="20"/>
              </w:rPr>
            </w:pPr>
            <w:r w:rsidRPr="004F469F">
              <w:rPr>
                <w:sz w:val="20"/>
                <w:szCs w:val="20"/>
              </w:rPr>
              <w:t> </w:t>
            </w:r>
          </w:p>
        </w:tc>
        <w:tc>
          <w:tcPr>
            <w:tcW w:w="1166" w:type="dxa"/>
            <w:tcBorders>
              <w:top w:val="single" w:sz="12" w:space="0" w:color="auto"/>
              <w:left w:val="nil"/>
              <w:bottom w:val="single" w:sz="4" w:space="0" w:color="auto"/>
              <w:right w:val="nil"/>
            </w:tcBorders>
            <w:shd w:val="clear" w:color="auto" w:fill="auto"/>
            <w:noWrap/>
            <w:vAlign w:val="bottom"/>
            <w:hideMark/>
          </w:tcPr>
          <w:p w14:paraId="7D28107F" w14:textId="77777777" w:rsidR="001F01A2" w:rsidRPr="004F469F" w:rsidRDefault="001F01A2" w:rsidP="001F01A2">
            <w:pPr>
              <w:rPr>
                <w:sz w:val="20"/>
                <w:szCs w:val="20"/>
              </w:rPr>
            </w:pPr>
            <w:r w:rsidRPr="004F469F">
              <w:rPr>
                <w:sz w:val="20"/>
                <w:szCs w:val="20"/>
              </w:rPr>
              <w:t> </w:t>
            </w:r>
          </w:p>
        </w:tc>
        <w:tc>
          <w:tcPr>
            <w:tcW w:w="1339" w:type="dxa"/>
            <w:tcBorders>
              <w:top w:val="single" w:sz="12" w:space="0" w:color="auto"/>
              <w:left w:val="nil"/>
              <w:bottom w:val="single" w:sz="4" w:space="0" w:color="auto"/>
              <w:right w:val="single" w:sz="4" w:space="0" w:color="auto"/>
            </w:tcBorders>
            <w:shd w:val="clear" w:color="auto" w:fill="auto"/>
            <w:noWrap/>
            <w:vAlign w:val="bottom"/>
            <w:hideMark/>
          </w:tcPr>
          <w:p w14:paraId="050DE0BC" w14:textId="77777777" w:rsidR="001F01A2" w:rsidRPr="004F469F" w:rsidRDefault="001F01A2" w:rsidP="001F01A2">
            <w:pPr>
              <w:rPr>
                <w:sz w:val="20"/>
                <w:szCs w:val="20"/>
              </w:rPr>
            </w:pPr>
            <w:r w:rsidRPr="004F469F">
              <w:rPr>
                <w:sz w:val="20"/>
                <w:szCs w:val="20"/>
              </w:rPr>
              <w:t> </w:t>
            </w:r>
          </w:p>
        </w:tc>
      </w:tr>
      <w:tr w:rsidR="00494669" w:rsidRPr="004F469F" w14:paraId="03D4EDE8" w14:textId="77777777" w:rsidTr="001F01A2">
        <w:trPr>
          <w:trHeight w:val="320"/>
        </w:trPr>
        <w:tc>
          <w:tcPr>
            <w:tcW w:w="78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5D7CE" w14:textId="77777777" w:rsidR="001F01A2" w:rsidRPr="004F469F" w:rsidRDefault="001F01A2" w:rsidP="001F01A2">
            <w:pPr>
              <w:rPr>
                <w:rFonts w:eastAsia="Arial Unicode MS"/>
                <w:i/>
                <w:iCs/>
                <w:sz w:val="20"/>
                <w:szCs w:val="20"/>
              </w:rPr>
            </w:pPr>
            <w:r w:rsidRPr="004F469F">
              <w:rPr>
                <w:rFonts w:eastAsia="Arial Unicode MS"/>
                <w:i/>
                <w:iCs/>
                <w:sz w:val="20"/>
                <w:szCs w:val="20"/>
              </w:rPr>
              <w:t>Regional Level</w:t>
            </w:r>
          </w:p>
        </w:tc>
      </w:tr>
      <w:tr w:rsidR="00494669" w:rsidRPr="004F469F" w14:paraId="6EE21C1B"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AB783B9" w14:textId="77777777" w:rsidR="001F01A2" w:rsidRPr="004F469F" w:rsidRDefault="001F01A2" w:rsidP="001F01A2">
            <w:pPr>
              <w:jc w:val="center"/>
              <w:rPr>
                <w:rFonts w:eastAsia="Arial Unicode MS"/>
                <w:b/>
                <w:bCs/>
                <w:sz w:val="20"/>
                <w:szCs w:val="20"/>
              </w:rPr>
            </w:pPr>
            <w:r w:rsidRPr="004F469F">
              <w:rPr>
                <w:rFonts w:eastAsia="Arial Unicode MS"/>
                <w:b/>
                <w:bCs/>
                <w:sz w:val="20"/>
                <w:szCs w:val="20"/>
              </w:rPr>
              <w:t>Region</w:t>
            </w:r>
          </w:p>
        </w:tc>
        <w:tc>
          <w:tcPr>
            <w:tcW w:w="5113"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450AA8" w14:textId="77777777" w:rsidR="001F01A2" w:rsidRPr="004F469F" w:rsidRDefault="001F01A2" w:rsidP="001F01A2">
            <w:pPr>
              <w:jc w:val="center"/>
              <w:rPr>
                <w:b/>
                <w:bCs/>
                <w:sz w:val="20"/>
                <w:szCs w:val="20"/>
              </w:rPr>
            </w:pPr>
            <w:r w:rsidRPr="004F469F">
              <w:rPr>
                <w:b/>
                <w:bCs/>
                <w:sz w:val="20"/>
                <w:szCs w:val="20"/>
              </w:rPr>
              <w:t>Grid Cell Count</w:t>
            </w:r>
          </w:p>
        </w:tc>
        <w:tc>
          <w:tcPr>
            <w:tcW w:w="1339" w:type="dxa"/>
            <w:tcBorders>
              <w:top w:val="nil"/>
              <w:left w:val="nil"/>
              <w:bottom w:val="single" w:sz="4" w:space="0" w:color="auto"/>
              <w:right w:val="single" w:sz="4" w:space="0" w:color="auto"/>
            </w:tcBorders>
            <w:shd w:val="clear" w:color="auto" w:fill="auto"/>
            <w:noWrap/>
            <w:vAlign w:val="center"/>
            <w:hideMark/>
          </w:tcPr>
          <w:p w14:paraId="2CB67638" w14:textId="77777777" w:rsidR="001F01A2" w:rsidRPr="004F469F" w:rsidRDefault="001F01A2" w:rsidP="001F01A2">
            <w:pPr>
              <w:jc w:val="center"/>
              <w:rPr>
                <w:b/>
                <w:bCs/>
                <w:sz w:val="20"/>
                <w:szCs w:val="20"/>
              </w:rPr>
            </w:pPr>
            <w:r w:rsidRPr="004F469F">
              <w:rPr>
                <w:b/>
                <w:bCs/>
                <w:sz w:val="20"/>
                <w:szCs w:val="20"/>
              </w:rPr>
              <w:t>Best Level</w:t>
            </w:r>
          </w:p>
        </w:tc>
      </w:tr>
      <w:tr w:rsidR="00494669" w:rsidRPr="004F469F" w14:paraId="5BA66B9D"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735D28DF" w14:textId="4580AEDD" w:rsidR="001F01A2" w:rsidRPr="004F469F" w:rsidRDefault="001F01A2" w:rsidP="001F01A2">
            <w:pPr>
              <w:jc w:val="center"/>
              <w:rPr>
                <w:rFonts w:eastAsia="Arial Unicode MS"/>
                <w:sz w:val="20"/>
                <w:szCs w:val="20"/>
              </w:rPr>
            </w:pPr>
          </w:p>
        </w:tc>
        <w:tc>
          <w:tcPr>
            <w:tcW w:w="1166" w:type="dxa"/>
            <w:tcBorders>
              <w:top w:val="nil"/>
              <w:left w:val="nil"/>
              <w:bottom w:val="single" w:sz="4" w:space="0" w:color="auto"/>
              <w:right w:val="single" w:sz="4" w:space="0" w:color="auto"/>
            </w:tcBorders>
            <w:shd w:val="clear" w:color="auto" w:fill="auto"/>
            <w:noWrap/>
            <w:vAlign w:val="center"/>
            <w:hideMark/>
          </w:tcPr>
          <w:p w14:paraId="57F5F6F6" w14:textId="77777777" w:rsidR="001F01A2" w:rsidRPr="004F469F" w:rsidRDefault="001F01A2" w:rsidP="001F01A2">
            <w:pPr>
              <w:jc w:val="center"/>
              <w:rPr>
                <w:sz w:val="20"/>
                <w:szCs w:val="20"/>
              </w:rPr>
            </w:pPr>
            <w:r w:rsidRPr="004F469F">
              <w:rPr>
                <w:sz w:val="20"/>
                <w:szCs w:val="20"/>
              </w:rPr>
              <w:t>County</w:t>
            </w:r>
          </w:p>
        </w:tc>
        <w:tc>
          <w:tcPr>
            <w:tcW w:w="1166" w:type="dxa"/>
            <w:tcBorders>
              <w:top w:val="nil"/>
              <w:left w:val="nil"/>
              <w:bottom w:val="single" w:sz="4" w:space="0" w:color="auto"/>
              <w:right w:val="single" w:sz="4" w:space="0" w:color="auto"/>
            </w:tcBorders>
            <w:shd w:val="clear" w:color="auto" w:fill="auto"/>
            <w:noWrap/>
            <w:vAlign w:val="center"/>
            <w:hideMark/>
          </w:tcPr>
          <w:p w14:paraId="12101044" w14:textId="77777777" w:rsidR="001F01A2" w:rsidRPr="004F469F" w:rsidRDefault="001F01A2" w:rsidP="001F01A2">
            <w:pPr>
              <w:jc w:val="center"/>
              <w:rPr>
                <w:sz w:val="20"/>
                <w:szCs w:val="20"/>
              </w:rPr>
            </w:pPr>
            <w:r w:rsidRPr="004F469F">
              <w:rPr>
                <w:sz w:val="20"/>
                <w:szCs w:val="20"/>
              </w:rPr>
              <w:t>Tract</w:t>
            </w:r>
          </w:p>
        </w:tc>
        <w:tc>
          <w:tcPr>
            <w:tcW w:w="1615" w:type="dxa"/>
            <w:tcBorders>
              <w:top w:val="nil"/>
              <w:left w:val="nil"/>
              <w:bottom w:val="single" w:sz="4" w:space="0" w:color="auto"/>
              <w:right w:val="single" w:sz="4" w:space="0" w:color="auto"/>
            </w:tcBorders>
            <w:shd w:val="clear" w:color="auto" w:fill="auto"/>
            <w:noWrap/>
            <w:vAlign w:val="center"/>
            <w:hideMark/>
          </w:tcPr>
          <w:p w14:paraId="0D4CAC77" w14:textId="77777777" w:rsidR="001F01A2" w:rsidRPr="004F469F" w:rsidRDefault="001F01A2" w:rsidP="001F01A2">
            <w:pPr>
              <w:jc w:val="center"/>
              <w:rPr>
                <w:sz w:val="20"/>
                <w:szCs w:val="20"/>
              </w:rPr>
            </w:pPr>
            <w:r w:rsidRPr="004F469F">
              <w:rPr>
                <w:sz w:val="20"/>
                <w:szCs w:val="20"/>
              </w:rPr>
              <w:t>Block Group</w:t>
            </w:r>
          </w:p>
        </w:tc>
        <w:tc>
          <w:tcPr>
            <w:tcW w:w="1166" w:type="dxa"/>
            <w:tcBorders>
              <w:top w:val="nil"/>
              <w:left w:val="nil"/>
              <w:bottom w:val="single" w:sz="4" w:space="0" w:color="auto"/>
              <w:right w:val="single" w:sz="4" w:space="0" w:color="auto"/>
            </w:tcBorders>
            <w:shd w:val="clear" w:color="auto" w:fill="auto"/>
            <w:noWrap/>
            <w:vAlign w:val="center"/>
            <w:hideMark/>
          </w:tcPr>
          <w:p w14:paraId="518107B4" w14:textId="77777777" w:rsidR="001F01A2" w:rsidRPr="004F469F" w:rsidRDefault="001F01A2" w:rsidP="001F01A2">
            <w:pPr>
              <w:jc w:val="center"/>
              <w:rPr>
                <w:sz w:val="20"/>
                <w:szCs w:val="20"/>
              </w:rPr>
            </w:pPr>
            <w:r w:rsidRPr="004F469F">
              <w:rPr>
                <w:sz w:val="20"/>
                <w:szCs w:val="20"/>
              </w:rPr>
              <w:t>Block</w:t>
            </w:r>
          </w:p>
        </w:tc>
        <w:tc>
          <w:tcPr>
            <w:tcW w:w="1339" w:type="dxa"/>
            <w:tcBorders>
              <w:top w:val="nil"/>
              <w:left w:val="nil"/>
              <w:bottom w:val="single" w:sz="4" w:space="0" w:color="auto"/>
              <w:right w:val="single" w:sz="4" w:space="0" w:color="auto"/>
            </w:tcBorders>
            <w:shd w:val="clear" w:color="auto" w:fill="auto"/>
            <w:noWrap/>
            <w:vAlign w:val="center"/>
            <w:hideMark/>
          </w:tcPr>
          <w:p w14:paraId="5E116040" w14:textId="74C137A3" w:rsidR="001F01A2" w:rsidRPr="004F469F" w:rsidRDefault="001F01A2" w:rsidP="001F01A2">
            <w:pPr>
              <w:jc w:val="center"/>
              <w:rPr>
                <w:sz w:val="20"/>
                <w:szCs w:val="20"/>
              </w:rPr>
            </w:pPr>
          </w:p>
        </w:tc>
      </w:tr>
      <w:tr w:rsidR="00494669" w:rsidRPr="004F469F" w14:paraId="37C80C26"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A7B4340" w14:textId="338062E0" w:rsidR="001F01A2" w:rsidRPr="004F469F" w:rsidRDefault="001F01A2" w:rsidP="001F01A2">
            <w:pPr>
              <w:jc w:val="center"/>
              <w:rPr>
                <w:rFonts w:eastAsia="Arial Unicode MS"/>
                <w:sz w:val="20"/>
                <w:szCs w:val="20"/>
              </w:rPr>
            </w:pPr>
            <w:r w:rsidRPr="004F469F">
              <w:rPr>
                <w:rFonts w:eastAsia="Arial Unicode MS"/>
                <w:sz w:val="20"/>
                <w:szCs w:val="20"/>
              </w:rPr>
              <w:t>GL</w:t>
            </w:r>
          </w:p>
        </w:tc>
        <w:tc>
          <w:tcPr>
            <w:tcW w:w="1166" w:type="dxa"/>
            <w:tcBorders>
              <w:top w:val="nil"/>
              <w:left w:val="nil"/>
              <w:bottom w:val="single" w:sz="4" w:space="0" w:color="auto"/>
              <w:right w:val="single" w:sz="4" w:space="0" w:color="auto"/>
            </w:tcBorders>
            <w:shd w:val="clear" w:color="auto" w:fill="auto"/>
            <w:noWrap/>
            <w:vAlign w:val="center"/>
            <w:hideMark/>
          </w:tcPr>
          <w:p w14:paraId="05CFA03B" w14:textId="77777777" w:rsidR="001F01A2" w:rsidRPr="004F469F" w:rsidRDefault="001F01A2" w:rsidP="001F01A2">
            <w:pPr>
              <w:jc w:val="center"/>
              <w:rPr>
                <w:sz w:val="20"/>
                <w:szCs w:val="20"/>
              </w:rPr>
            </w:pPr>
            <w:r w:rsidRPr="004F469F">
              <w:rPr>
                <w:sz w:val="20"/>
                <w:szCs w:val="20"/>
              </w:rPr>
              <w:t>2,006.40</w:t>
            </w:r>
          </w:p>
        </w:tc>
        <w:tc>
          <w:tcPr>
            <w:tcW w:w="1166" w:type="dxa"/>
            <w:tcBorders>
              <w:top w:val="nil"/>
              <w:left w:val="nil"/>
              <w:bottom w:val="single" w:sz="4" w:space="0" w:color="auto"/>
              <w:right w:val="single" w:sz="4" w:space="0" w:color="auto"/>
            </w:tcBorders>
            <w:shd w:val="clear" w:color="auto" w:fill="auto"/>
            <w:noWrap/>
            <w:vAlign w:val="center"/>
            <w:hideMark/>
          </w:tcPr>
          <w:p w14:paraId="0942B0D5" w14:textId="77777777" w:rsidR="001F01A2" w:rsidRPr="004F469F" w:rsidRDefault="001F01A2" w:rsidP="001F01A2">
            <w:pPr>
              <w:jc w:val="center"/>
              <w:rPr>
                <w:sz w:val="20"/>
                <w:szCs w:val="20"/>
              </w:rPr>
            </w:pPr>
            <w:r w:rsidRPr="004F469F">
              <w:rPr>
                <w:sz w:val="20"/>
                <w:szCs w:val="20"/>
              </w:rPr>
              <w:t>2,158.30</w:t>
            </w:r>
          </w:p>
        </w:tc>
        <w:tc>
          <w:tcPr>
            <w:tcW w:w="1615" w:type="dxa"/>
            <w:tcBorders>
              <w:top w:val="nil"/>
              <w:left w:val="nil"/>
              <w:bottom w:val="single" w:sz="4" w:space="0" w:color="auto"/>
              <w:right w:val="single" w:sz="4" w:space="0" w:color="auto"/>
            </w:tcBorders>
            <w:shd w:val="clear" w:color="auto" w:fill="auto"/>
            <w:noWrap/>
            <w:vAlign w:val="center"/>
            <w:hideMark/>
          </w:tcPr>
          <w:p w14:paraId="5E869419" w14:textId="77777777" w:rsidR="001F01A2" w:rsidRPr="004F469F" w:rsidRDefault="001F01A2" w:rsidP="001F01A2">
            <w:pPr>
              <w:jc w:val="center"/>
              <w:rPr>
                <w:sz w:val="20"/>
                <w:szCs w:val="20"/>
              </w:rPr>
            </w:pPr>
            <w:r w:rsidRPr="004F469F">
              <w:rPr>
                <w:sz w:val="20"/>
                <w:szCs w:val="20"/>
              </w:rPr>
              <w:t>2,194.50</w:t>
            </w:r>
          </w:p>
        </w:tc>
        <w:tc>
          <w:tcPr>
            <w:tcW w:w="1166" w:type="dxa"/>
            <w:tcBorders>
              <w:top w:val="nil"/>
              <w:left w:val="nil"/>
              <w:bottom w:val="single" w:sz="4" w:space="0" w:color="auto"/>
              <w:right w:val="single" w:sz="4" w:space="0" w:color="auto"/>
            </w:tcBorders>
            <w:shd w:val="clear" w:color="auto" w:fill="auto"/>
            <w:noWrap/>
            <w:vAlign w:val="center"/>
            <w:hideMark/>
          </w:tcPr>
          <w:p w14:paraId="6BEC702D" w14:textId="77777777" w:rsidR="001F01A2" w:rsidRPr="004F469F" w:rsidRDefault="001F01A2" w:rsidP="001F01A2">
            <w:pPr>
              <w:jc w:val="center"/>
              <w:rPr>
                <w:sz w:val="20"/>
                <w:szCs w:val="20"/>
              </w:rPr>
            </w:pPr>
            <w:r w:rsidRPr="004F469F">
              <w:rPr>
                <w:sz w:val="20"/>
                <w:szCs w:val="20"/>
              </w:rPr>
              <w:t>2,230.30</w:t>
            </w:r>
          </w:p>
        </w:tc>
        <w:tc>
          <w:tcPr>
            <w:tcW w:w="1339" w:type="dxa"/>
            <w:tcBorders>
              <w:top w:val="nil"/>
              <w:left w:val="nil"/>
              <w:bottom w:val="single" w:sz="4" w:space="0" w:color="auto"/>
              <w:right w:val="single" w:sz="4" w:space="0" w:color="auto"/>
            </w:tcBorders>
            <w:shd w:val="clear" w:color="auto" w:fill="auto"/>
            <w:noWrap/>
            <w:vAlign w:val="center"/>
            <w:hideMark/>
          </w:tcPr>
          <w:p w14:paraId="68985A2B" w14:textId="5F5DEC30" w:rsidR="001F01A2" w:rsidRPr="004F469F" w:rsidRDefault="001F01A2" w:rsidP="001F01A2">
            <w:pPr>
              <w:jc w:val="center"/>
              <w:rPr>
                <w:sz w:val="20"/>
                <w:szCs w:val="20"/>
              </w:rPr>
            </w:pPr>
            <w:r w:rsidRPr="004F469F">
              <w:rPr>
                <w:sz w:val="20"/>
                <w:szCs w:val="20"/>
              </w:rPr>
              <w:t>County</w:t>
            </w:r>
          </w:p>
        </w:tc>
      </w:tr>
      <w:tr w:rsidR="00494669" w:rsidRPr="004F469F" w14:paraId="3D8FC704"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1086D032" w14:textId="313ACBD9" w:rsidR="001F01A2" w:rsidRPr="004F469F" w:rsidRDefault="001F01A2" w:rsidP="001F01A2">
            <w:pPr>
              <w:jc w:val="center"/>
              <w:rPr>
                <w:rFonts w:eastAsia="Arial Unicode MS"/>
                <w:sz w:val="20"/>
                <w:szCs w:val="20"/>
              </w:rPr>
            </w:pPr>
            <w:r w:rsidRPr="004F469F">
              <w:rPr>
                <w:rFonts w:eastAsia="Arial Unicode MS"/>
                <w:sz w:val="20"/>
                <w:szCs w:val="20"/>
              </w:rPr>
              <w:t>NP</w:t>
            </w:r>
          </w:p>
        </w:tc>
        <w:tc>
          <w:tcPr>
            <w:tcW w:w="1166" w:type="dxa"/>
            <w:tcBorders>
              <w:top w:val="nil"/>
              <w:left w:val="nil"/>
              <w:bottom w:val="single" w:sz="4" w:space="0" w:color="auto"/>
              <w:right w:val="single" w:sz="4" w:space="0" w:color="auto"/>
            </w:tcBorders>
            <w:shd w:val="clear" w:color="auto" w:fill="auto"/>
            <w:noWrap/>
            <w:vAlign w:val="center"/>
            <w:hideMark/>
          </w:tcPr>
          <w:p w14:paraId="1EEDBF18" w14:textId="77777777" w:rsidR="001F01A2" w:rsidRPr="004F469F" w:rsidRDefault="001F01A2" w:rsidP="001F01A2">
            <w:pPr>
              <w:jc w:val="center"/>
              <w:rPr>
                <w:sz w:val="20"/>
                <w:szCs w:val="20"/>
              </w:rPr>
            </w:pPr>
            <w:r w:rsidRPr="004F469F">
              <w:rPr>
                <w:sz w:val="20"/>
                <w:szCs w:val="20"/>
              </w:rPr>
              <w:t>687.6</w:t>
            </w:r>
          </w:p>
        </w:tc>
        <w:tc>
          <w:tcPr>
            <w:tcW w:w="1166" w:type="dxa"/>
            <w:tcBorders>
              <w:top w:val="nil"/>
              <w:left w:val="nil"/>
              <w:bottom w:val="single" w:sz="4" w:space="0" w:color="auto"/>
              <w:right w:val="single" w:sz="4" w:space="0" w:color="auto"/>
            </w:tcBorders>
            <w:shd w:val="clear" w:color="auto" w:fill="auto"/>
            <w:noWrap/>
            <w:vAlign w:val="center"/>
            <w:hideMark/>
          </w:tcPr>
          <w:p w14:paraId="21C8C6A6" w14:textId="77777777" w:rsidR="001F01A2" w:rsidRPr="004F469F" w:rsidRDefault="001F01A2" w:rsidP="001F01A2">
            <w:pPr>
              <w:jc w:val="center"/>
              <w:rPr>
                <w:sz w:val="20"/>
                <w:szCs w:val="20"/>
              </w:rPr>
            </w:pPr>
            <w:r w:rsidRPr="004F469F">
              <w:rPr>
                <w:sz w:val="20"/>
                <w:szCs w:val="20"/>
              </w:rPr>
              <w:t>596.7</w:t>
            </w:r>
          </w:p>
        </w:tc>
        <w:tc>
          <w:tcPr>
            <w:tcW w:w="1615" w:type="dxa"/>
            <w:tcBorders>
              <w:top w:val="nil"/>
              <w:left w:val="nil"/>
              <w:bottom w:val="single" w:sz="4" w:space="0" w:color="auto"/>
              <w:right w:val="single" w:sz="4" w:space="0" w:color="auto"/>
            </w:tcBorders>
            <w:shd w:val="clear" w:color="auto" w:fill="auto"/>
            <w:noWrap/>
            <w:vAlign w:val="center"/>
            <w:hideMark/>
          </w:tcPr>
          <w:p w14:paraId="2E799A5C" w14:textId="77777777" w:rsidR="001F01A2" w:rsidRPr="004F469F" w:rsidRDefault="001F01A2" w:rsidP="001F01A2">
            <w:pPr>
              <w:jc w:val="center"/>
              <w:rPr>
                <w:sz w:val="20"/>
                <w:szCs w:val="20"/>
              </w:rPr>
            </w:pPr>
            <w:r w:rsidRPr="004F469F">
              <w:rPr>
                <w:sz w:val="20"/>
                <w:szCs w:val="20"/>
              </w:rPr>
              <w:t>636.9</w:t>
            </w:r>
          </w:p>
        </w:tc>
        <w:tc>
          <w:tcPr>
            <w:tcW w:w="1166" w:type="dxa"/>
            <w:tcBorders>
              <w:top w:val="nil"/>
              <w:left w:val="nil"/>
              <w:bottom w:val="single" w:sz="4" w:space="0" w:color="auto"/>
              <w:right w:val="single" w:sz="4" w:space="0" w:color="auto"/>
            </w:tcBorders>
            <w:shd w:val="clear" w:color="auto" w:fill="auto"/>
            <w:noWrap/>
            <w:vAlign w:val="center"/>
            <w:hideMark/>
          </w:tcPr>
          <w:p w14:paraId="0A237CEA" w14:textId="77777777" w:rsidR="001F01A2" w:rsidRPr="004F469F" w:rsidRDefault="001F01A2" w:rsidP="001F01A2">
            <w:pPr>
              <w:jc w:val="center"/>
              <w:rPr>
                <w:sz w:val="20"/>
                <w:szCs w:val="20"/>
              </w:rPr>
            </w:pPr>
            <w:r w:rsidRPr="004F469F">
              <w:rPr>
                <w:sz w:val="20"/>
                <w:szCs w:val="20"/>
              </w:rPr>
              <w:t>650.5</w:t>
            </w:r>
          </w:p>
        </w:tc>
        <w:tc>
          <w:tcPr>
            <w:tcW w:w="1339" w:type="dxa"/>
            <w:tcBorders>
              <w:top w:val="nil"/>
              <w:left w:val="nil"/>
              <w:bottom w:val="single" w:sz="4" w:space="0" w:color="auto"/>
              <w:right w:val="single" w:sz="4" w:space="0" w:color="auto"/>
            </w:tcBorders>
            <w:shd w:val="clear" w:color="auto" w:fill="auto"/>
            <w:noWrap/>
            <w:vAlign w:val="center"/>
            <w:hideMark/>
          </w:tcPr>
          <w:p w14:paraId="0E7BC70C" w14:textId="37AB1894" w:rsidR="001F01A2" w:rsidRPr="004F469F" w:rsidRDefault="001F01A2" w:rsidP="001F01A2">
            <w:pPr>
              <w:jc w:val="center"/>
              <w:rPr>
                <w:sz w:val="20"/>
                <w:szCs w:val="20"/>
              </w:rPr>
            </w:pPr>
            <w:r w:rsidRPr="004F469F">
              <w:rPr>
                <w:sz w:val="20"/>
                <w:szCs w:val="20"/>
              </w:rPr>
              <w:t>Tract</w:t>
            </w:r>
          </w:p>
        </w:tc>
      </w:tr>
      <w:tr w:rsidR="00494669" w:rsidRPr="004F469F" w14:paraId="033467E3" w14:textId="77777777" w:rsidTr="001F01A2">
        <w:trPr>
          <w:trHeight w:val="320"/>
        </w:trPr>
        <w:tc>
          <w:tcPr>
            <w:tcW w:w="1349" w:type="dxa"/>
            <w:tcBorders>
              <w:top w:val="nil"/>
              <w:left w:val="single" w:sz="4" w:space="0" w:color="auto"/>
              <w:bottom w:val="single" w:sz="4" w:space="0" w:color="auto"/>
              <w:right w:val="single" w:sz="4" w:space="0" w:color="auto"/>
            </w:tcBorders>
            <w:shd w:val="clear" w:color="auto" w:fill="auto"/>
            <w:noWrap/>
            <w:vAlign w:val="center"/>
            <w:hideMark/>
          </w:tcPr>
          <w:p w14:paraId="4FD2AC02" w14:textId="39DAA9F3" w:rsidR="001F01A2" w:rsidRPr="004F469F" w:rsidRDefault="001F01A2" w:rsidP="001F01A2">
            <w:pPr>
              <w:jc w:val="center"/>
              <w:rPr>
                <w:rFonts w:eastAsia="Arial Unicode MS"/>
                <w:sz w:val="20"/>
                <w:szCs w:val="20"/>
              </w:rPr>
            </w:pPr>
            <w:r w:rsidRPr="004F469F">
              <w:rPr>
                <w:rFonts w:eastAsia="Arial Unicode MS"/>
                <w:sz w:val="20"/>
                <w:szCs w:val="20"/>
              </w:rPr>
              <w:t>SE</w:t>
            </w:r>
          </w:p>
        </w:tc>
        <w:tc>
          <w:tcPr>
            <w:tcW w:w="1166" w:type="dxa"/>
            <w:tcBorders>
              <w:top w:val="nil"/>
              <w:left w:val="nil"/>
              <w:bottom w:val="single" w:sz="4" w:space="0" w:color="auto"/>
              <w:right w:val="single" w:sz="4" w:space="0" w:color="auto"/>
            </w:tcBorders>
            <w:shd w:val="clear" w:color="auto" w:fill="auto"/>
            <w:noWrap/>
            <w:vAlign w:val="center"/>
            <w:hideMark/>
          </w:tcPr>
          <w:p w14:paraId="601DB479" w14:textId="77777777" w:rsidR="001F01A2" w:rsidRPr="004F469F" w:rsidRDefault="001F01A2" w:rsidP="001F01A2">
            <w:pPr>
              <w:jc w:val="center"/>
              <w:rPr>
                <w:sz w:val="20"/>
                <w:szCs w:val="20"/>
              </w:rPr>
            </w:pPr>
            <w:r w:rsidRPr="004F469F">
              <w:rPr>
                <w:sz w:val="20"/>
                <w:szCs w:val="20"/>
              </w:rPr>
              <w:t>987.7</w:t>
            </w:r>
          </w:p>
        </w:tc>
        <w:tc>
          <w:tcPr>
            <w:tcW w:w="1166" w:type="dxa"/>
            <w:tcBorders>
              <w:top w:val="nil"/>
              <w:left w:val="nil"/>
              <w:bottom w:val="single" w:sz="4" w:space="0" w:color="auto"/>
              <w:right w:val="single" w:sz="4" w:space="0" w:color="auto"/>
            </w:tcBorders>
            <w:shd w:val="clear" w:color="auto" w:fill="auto"/>
            <w:noWrap/>
            <w:vAlign w:val="center"/>
            <w:hideMark/>
          </w:tcPr>
          <w:p w14:paraId="6EA16770" w14:textId="77777777" w:rsidR="001F01A2" w:rsidRPr="004F469F" w:rsidRDefault="001F01A2" w:rsidP="001F01A2">
            <w:pPr>
              <w:jc w:val="center"/>
              <w:rPr>
                <w:sz w:val="20"/>
                <w:szCs w:val="20"/>
              </w:rPr>
            </w:pPr>
            <w:r w:rsidRPr="004F469F">
              <w:rPr>
                <w:sz w:val="20"/>
                <w:szCs w:val="20"/>
              </w:rPr>
              <w:t>1,130.40</w:t>
            </w:r>
          </w:p>
        </w:tc>
        <w:tc>
          <w:tcPr>
            <w:tcW w:w="1615" w:type="dxa"/>
            <w:tcBorders>
              <w:top w:val="nil"/>
              <w:left w:val="nil"/>
              <w:bottom w:val="single" w:sz="4" w:space="0" w:color="auto"/>
              <w:right w:val="single" w:sz="4" w:space="0" w:color="auto"/>
            </w:tcBorders>
            <w:shd w:val="clear" w:color="auto" w:fill="auto"/>
            <w:noWrap/>
            <w:vAlign w:val="center"/>
            <w:hideMark/>
          </w:tcPr>
          <w:p w14:paraId="410A1997" w14:textId="77777777" w:rsidR="001F01A2" w:rsidRPr="004F469F" w:rsidRDefault="001F01A2" w:rsidP="001F01A2">
            <w:pPr>
              <w:jc w:val="center"/>
              <w:rPr>
                <w:sz w:val="20"/>
                <w:szCs w:val="20"/>
              </w:rPr>
            </w:pPr>
            <w:r w:rsidRPr="004F469F">
              <w:rPr>
                <w:sz w:val="20"/>
                <w:szCs w:val="20"/>
              </w:rPr>
              <w:t>1,163.90</w:t>
            </w:r>
          </w:p>
        </w:tc>
        <w:tc>
          <w:tcPr>
            <w:tcW w:w="1166" w:type="dxa"/>
            <w:tcBorders>
              <w:top w:val="nil"/>
              <w:left w:val="nil"/>
              <w:bottom w:val="single" w:sz="4" w:space="0" w:color="auto"/>
              <w:right w:val="single" w:sz="4" w:space="0" w:color="auto"/>
            </w:tcBorders>
            <w:shd w:val="clear" w:color="auto" w:fill="auto"/>
            <w:noWrap/>
            <w:vAlign w:val="center"/>
            <w:hideMark/>
          </w:tcPr>
          <w:p w14:paraId="3B8490E5" w14:textId="77777777" w:rsidR="001F01A2" w:rsidRPr="004F469F" w:rsidRDefault="001F01A2" w:rsidP="001F01A2">
            <w:pPr>
              <w:jc w:val="center"/>
              <w:rPr>
                <w:sz w:val="20"/>
                <w:szCs w:val="20"/>
              </w:rPr>
            </w:pPr>
            <w:r w:rsidRPr="004F469F">
              <w:rPr>
                <w:sz w:val="20"/>
                <w:szCs w:val="20"/>
              </w:rPr>
              <w:t>1,239.60</w:t>
            </w:r>
          </w:p>
        </w:tc>
        <w:tc>
          <w:tcPr>
            <w:tcW w:w="1339" w:type="dxa"/>
            <w:tcBorders>
              <w:top w:val="nil"/>
              <w:left w:val="nil"/>
              <w:bottom w:val="single" w:sz="4" w:space="0" w:color="auto"/>
              <w:right w:val="single" w:sz="4" w:space="0" w:color="auto"/>
            </w:tcBorders>
            <w:shd w:val="clear" w:color="auto" w:fill="auto"/>
            <w:noWrap/>
            <w:vAlign w:val="center"/>
            <w:hideMark/>
          </w:tcPr>
          <w:p w14:paraId="67B76F44" w14:textId="14B6B45C" w:rsidR="001F01A2" w:rsidRPr="004F469F" w:rsidRDefault="001F01A2" w:rsidP="001F01A2">
            <w:pPr>
              <w:jc w:val="center"/>
              <w:rPr>
                <w:sz w:val="20"/>
                <w:szCs w:val="20"/>
              </w:rPr>
            </w:pPr>
            <w:r w:rsidRPr="004F469F">
              <w:rPr>
                <w:sz w:val="20"/>
                <w:szCs w:val="20"/>
              </w:rPr>
              <w:t>County</w:t>
            </w:r>
          </w:p>
        </w:tc>
      </w:tr>
      <w:tr w:rsidR="00494669" w:rsidRPr="004F469F" w14:paraId="692AD3AE" w14:textId="77777777" w:rsidTr="00A967F3">
        <w:trPr>
          <w:trHeight w:val="320"/>
        </w:trPr>
        <w:tc>
          <w:tcPr>
            <w:tcW w:w="1349" w:type="dxa"/>
            <w:tcBorders>
              <w:top w:val="nil"/>
              <w:left w:val="single" w:sz="4" w:space="0" w:color="auto"/>
              <w:bottom w:val="single" w:sz="12" w:space="0" w:color="auto"/>
              <w:right w:val="single" w:sz="4" w:space="0" w:color="auto"/>
            </w:tcBorders>
            <w:shd w:val="clear" w:color="auto" w:fill="auto"/>
            <w:noWrap/>
            <w:vAlign w:val="center"/>
            <w:hideMark/>
          </w:tcPr>
          <w:p w14:paraId="0C821D53" w14:textId="4031E22C" w:rsidR="001F01A2" w:rsidRPr="004F469F" w:rsidRDefault="001F01A2" w:rsidP="001F01A2">
            <w:pPr>
              <w:jc w:val="center"/>
              <w:rPr>
                <w:rFonts w:eastAsia="Arial Unicode MS"/>
                <w:sz w:val="20"/>
                <w:szCs w:val="20"/>
              </w:rPr>
            </w:pPr>
            <w:r w:rsidRPr="004F469F">
              <w:rPr>
                <w:rFonts w:eastAsia="Arial Unicode MS"/>
                <w:sz w:val="20"/>
                <w:szCs w:val="20"/>
              </w:rPr>
              <w:t>SP</w:t>
            </w:r>
          </w:p>
        </w:tc>
        <w:tc>
          <w:tcPr>
            <w:tcW w:w="1166" w:type="dxa"/>
            <w:tcBorders>
              <w:top w:val="nil"/>
              <w:left w:val="nil"/>
              <w:bottom w:val="single" w:sz="12" w:space="0" w:color="auto"/>
              <w:right w:val="single" w:sz="4" w:space="0" w:color="auto"/>
            </w:tcBorders>
            <w:shd w:val="clear" w:color="auto" w:fill="auto"/>
            <w:noWrap/>
            <w:vAlign w:val="center"/>
            <w:hideMark/>
          </w:tcPr>
          <w:p w14:paraId="76ABB2EC" w14:textId="77777777" w:rsidR="001F01A2" w:rsidRPr="004F469F" w:rsidRDefault="001F01A2" w:rsidP="001F01A2">
            <w:pPr>
              <w:jc w:val="center"/>
              <w:rPr>
                <w:sz w:val="20"/>
                <w:szCs w:val="20"/>
              </w:rPr>
            </w:pPr>
            <w:r w:rsidRPr="004F469F">
              <w:rPr>
                <w:sz w:val="20"/>
                <w:szCs w:val="20"/>
              </w:rPr>
              <w:t>870.4</w:t>
            </w:r>
          </w:p>
        </w:tc>
        <w:tc>
          <w:tcPr>
            <w:tcW w:w="1166" w:type="dxa"/>
            <w:tcBorders>
              <w:top w:val="nil"/>
              <w:left w:val="nil"/>
              <w:bottom w:val="single" w:sz="12" w:space="0" w:color="auto"/>
              <w:right w:val="single" w:sz="4" w:space="0" w:color="auto"/>
            </w:tcBorders>
            <w:shd w:val="clear" w:color="auto" w:fill="auto"/>
            <w:noWrap/>
            <w:vAlign w:val="center"/>
            <w:hideMark/>
          </w:tcPr>
          <w:p w14:paraId="33FBFA4B" w14:textId="77777777" w:rsidR="001F01A2" w:rsidRPr="004F469F" w:rsidRDefault="001F01A2" w:rsidP="001F01A2">
            <w:pPr>
              <w:jc w:val="center"/>
              <w:rPr>
                <w:sz w:val="20"/>
                <w:szCs w:val="20"/>
              </w:rPr>
            </w:pPr>
            <w:r w:rsidRPr="004F469F">
              <w:rPr>
                <w:sz w:val="20"/>
                <w:szCs w:val="20"/>
              </w:rPr>
              <w:t>916.5</w:t>
            </w:r>
          </w:p>
        </w:tc>
        <w:tc>
          <w:tcPr>
            <w:tcW w:w="1615" w:type="dxa"/>
            <w:tcBorders>
              <w:top w:val="nil"/>
              <w:left w:val="nil"/>
              <w:bottom w:val="single" w:sz="12" w:space="0" w:color="auto"/>
              <w:right w:val="single" w:sz="4" w:space="0" w:color="auto"/>
            </w:tcBorders>
            <w:shd w:val="clear" w:color="auto" w:fill="auto"/>
            <w:noWrap/>
            <w:vAlign w:val="center"/>
            <w:hideMark/>
          </w:tcPr>
          <w:p w14:paraId="64BDCF75" w14:textId="77777777" w:rsidR="001F01A2" w:rsidRPr="004F469F" w:rsidRDefault="001F01A2" w:rsidP="001F01A2">
            <w:pPr>
              <w:jc w:val="center"/>
              <w:rPr>
                <w:sz w:val="20"/>
                <w:szCs w:val="20"/>
              </w:rPr>
            </w:pPr>
            <w:r w:rsidRPr="004F469F">
              <w:rPr>
                <w:sz w:val="20"/>
                <w:szCs w:val="20"/>
              </w:rPr>
              <w:t>968.8</w:t>
            </w:r>
          </w:p>
        </w:tc>
        <w:tc>
          <w:tcPr>
            <w:tcW w:w="1166" w:type="dxa"/>
            <w:tcBorders>
              <w:top w:val="nil"/>
              <w:left w:val="nil"/>
              <w:bottom w:val="single" w:sz="12" w:space="0" w:color="auto"/>
              <w:right w:val="single" w:sz="4" w:space="0" w:color="auto"/>
            </w:tcBorders>
            <w:shd w:val="clear" w:color="auto" w:fill="auto"/>
            <w:noWrap/>
            <w:vAlign w:val="center"/>
            <w:hideMark/>
          </w:tcPr>
          <w:p w14:paraId="60CCAEE4" w14:textId="77777777" w:rsidR="001F01A2" w:rsidRPr="004F469F" w:rsidRDefault="001F01A2" w:rsidP="001F01A2">
            <w:pPr>
              <w:jc w:val="center"/>
              <w:rPr>
                <w:sz w:val="20"/>
                <w:szCs w:val="20"/>
              </w:rPr>
            </w:pPr>
            <w:r w:rsidRPr="004F469F">
              <w:rPr>
                <w:sz w:val="20"/>
                <w:szCs w:val="20"/>
              </w:rPr>
              <w:t>1,011.50</w:t>
            </w:r>
          </w:p>
        </w:tc>
        <w:tc>
          <w:tcPr>
            <w:tcW w:w="1339" w:type="dxa"/>
            <w:tcBorders>
              <w:top w:val="nil"/>
              <w:left w:val="nil"/>
              <w:bottom w:val="single" w:sz="12" w:space="0" w:color="auto"/>
              <w:right w:val="single" w:sz="4" w:space="0" w:color="auto"/>
            </w:tcBorders>
            <w:shd w:val="clear" w:color="auto" w:fill="auto"/>
            <w:noWrap/>
            <w:vAlign w:val="center"/>
            <w:hideMark/>
          </w:tcPr>
          <w:p w14:paraId="275E568B" w14:textId="54BE8707" w:rsidR="001F01A2" w:rsidRPr="004F469F" w:rsidRDefault="001F01A2" w:rsidP="001F01A2">
            <w:pPr>
              <w:jc w:val="center"/>
              <w:rPr>
                <w:sz w:val="20"/>
                <w:szCs w:val="20"/>
              </w:rPr>
            </w:pPr>
            <w:r w:rsidRPr="004F469F">
              <w:rPr>
                <w:sz w:val="20"/>
                <w:szCs w:val="20"/>
              </w:rPr>
              <w:t>County</w:t>
            </w:r>
          </w:p>
        </w:tc>
      </w:tr>
      <w:tr w:rsidR="001F01A2" w:rsidRPr="004F469F" w14:paraId="36B1290D" w14:textId="77777777" w:rsidTr="00A967F3">
        <w:trPr>
          <w:trHeight w:val="320"/>
        </w:trPr>
        <w:tc>
          <w:tcPr>
            <w:tcW w:w="134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B07BB77" w14:textId="2C4EF79A" w:rsidR="001F01A2" w:rsidRPr="004F469F" w:rsidRDefault="001F01A2" w:rsidP="001F01A2">
            <w:pPr>
              <w:jc w:val="center"/>
              <w:rPr>
                <w:rFonts w:eastAsia="Arial Unicode MS"/>
                <w:i/>
                <w:iCs/>
                <w:sz w:val="20"/>
                <w:szCs w:val="20"/>
              </w:rPr>
            </w:pPr>
            <w:r w:rsidRPr="004F469F">
              <w:rPr>
                <w:rFonts w:eastAsia="Arial Unicode MS"/>
                <w:i/>
                <w:iCs/>
                <w:sz w:val="20"/>
                <w:szCs w:val="20"/>
              </w:rPr>
              <w:t>Study Area</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62AF845E" w14:textId="77777777" w:rsidR="001F01A2" w:rsidRPr="004F469F" w:rsidRDefault="001F01A2" w:rsidP="001F01A2">
            <w:pPr>
              <w:jc w:val="center"/>
              <w:rPr>
                <w:i/>
                <w:iCs/>
                <w:sz w:val="20"/>
                <w:szCs w:val="20"/>
              </w:rPr>
            </w:pPr>
            <w:r w:rsidRPr="004F469F">
              <w:rPr>
                <w:i/>
                <w:iCs/>
                <w:sz w:val="20"/>
                <w:szCs w:val="20"/>
              </w:rPr>
              <w:t>1,170.10</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0275F693" w14:textId="77777777" w:rsidR="001F01A2" w:rsidRPr="004F469F" w:rsidRDefault="001F01A2" w:rsidP="001F01A2">
            <w:pPr>
              <w:jc w:val="center"/>
              <w:rPr>
                <w:i/>
                <w:iCs/>
                <w:sz w:val="20"/>
                <w:szCs w:val="20"/>
              </w:rPr>
            </w:pPr>
            <w:r w:rsidRPr="004F469F">
              <w:rPr>
                <w:i/>
                <w:iCs/>
                <w:sz w:val="20"/>
                <w:szCs w:val="20"/>
              </w:rPr>
              <w:t>1,246.70</w:t>
            </w:r>
          </w:p>
        </w:tc>
        <w:tc>
          <w:tcPr>
            <w:tcW w:w="1615" w:type="dxa"/>
            <w:tcBorders>
              <w:top w:val="single" w:sz="12" w:space="0" w:color="auto"/>
              <w:left w:val="nil"/>
              <w:bottom w:val="single" w:sz="12" w:space="0" w:color="auto"/>
              <w:right w:val="single" w:sz="4" w:space="0" w:color="auto"/>
            </w:tcBorders>
            <w:shd w:val="clear" w:color="auto" w:fill="auto"/>
            <w:noWrap/>
            <w:vAlign w:val="center"/>
            <w:hideMark/>
          </w:tcPr>
          <w:p w14:paraId="02811283" w14:textId="77777777" w:rsidR="001F01A2" w:rsidRPr="004F469F" w:rsidRDefault="001F01A2" w:rsidP="001F01A2">
            <w:pPr>
              <w:jc w:val="center"/>
              <w:rPr>
                <w:i/>
                <w:iCs/>
                <w:sz w:val="20"/>
                <w:szCs w:val="20"/>
              </w:rPr>
            </w:pPr>
            <w:r w:rsidRPr="004F469F">
              <w:rPr>
                <w:i/>
                <w:iCs/>
                <w:sz w:val="20"/>
                <w:szCs w:val="20"/>
              </w:rPr>
              <w:t>1,282.90</w:t>
            </w:r>
          </w:p>
        </w:tc>
        <w:tc>
          <w:tcPr>
            <w:tcW w:w="1166" w:type="dxa"/>
            <w:tcBorders>
              <w:top w:val="single" w:sz="12" w:space="0" w:color="auto"/>
              <w:left w:val="nil"/>
              <w:bottom w:val="single" w:sz="12" w:space="0" w:color="auto"/>
              <w:right w:val="single" w:sz="4" w:space="0" w:color="auto"/>
            </w:tcBorders>
            <w:shd w:val="clear" w:color="auto" w:fill="auto"/>
            <w:noWrap/>
            <w:vAlign w:val="center"/>
            <w:hideMark/>
          </w:tcPr>
          <w:p w14:paraId="2CAFEC68" w14:textId="77777777" w:rsidR="001F01A2" w:rsidRPr="004F469F" w:rsidRDefault="001F01A2" w:rsidP="001F01A2">
            <w:pPr>
              <w:jc w:val="center"/>
              <w:rPr>
                <w:i/>
                <w:iCs/>
                <w:sz w:val="20"/>
                <w:szCs w:val="20"/>
              </w:rPr>
            </w:pPr>
            <w:r w:rsidRPr="004F469F">
              <w:rPr>
                <w:i/>
                <w:iCs/>
                <w:sz w:val="20"/>
                <w:szCs w:val="20"/>
              </w:rPr>
              <w:t>1,322.40</w:t>
            </w:r>
          </w:p>
        </w:tc>
        <w:tc>
          <w:tcPr>
            <w:tcW w:w="1339" w:type="dxa"/>
            <w:tcBorders>
              <w:top w:val="single" w:sz="12" w:space="0" w:color="auto"/>
              <w:left w:val="nil"/>
              <w:bottom w:val="single" w:sz="12" w:space="0" w:color="auto"/>
              <w:right w:val="single" w:sz="4" w:space="0" w:color="auto"/>
            </w:tcBorders>
            <w:shd w:val="clear" w:color="auto" w:fill="auto"/>
            <w:noWrap/>
            <w:vAlign w:val="center"/>
            <w:hideMark/>
          </w:tcPr>
          <w:p w14:paraId="740D20D3" w14:textId="6C7DA389" w:rsidR="001F01A2" w:rsidRPr="004F469F" w:rsidRDefault="001F01A2" w:rsidP="001F01A2">
            <w:pPr>
              <w:jc w:val="center"/>
              <w:rPr>
                <w:i/>
                <w:iCs/>
                <w:sz w:val="20"/>
                <w:szCs w:val="20"/>
              </w:rPr>
            </w:pPr>
            <w:r w:rsidRPr="004F469F">
              <w:rPr>
                <w:i/>
                <w:iCs/>
                <w:sz w:val="20"/>
                <w:szCs w:val="20"/>
              </w:rPr>
              <w:t>County</w:t>
            </w:r>
          </w:p>
        </w:tc>
      </w:tr>
    </w:tbl>
    <w:p w14:paraId="74BF01EF" w14:textId="77777777" w:rsidR="001F01A2" w:rsidRPr="004F469F" w:rsidRDefault="001F01A2" w:rsidP="005C4E5F">
      <w:pPr>
        <w:spacing w:after="120" w:line="480" w:lineRule="auto"/>
        <w:rPr>
          <w:sz w:val="20"/>
          <w:szCs w:val="20"/>
        </w:rPr>
      </w:pPr>
    </w:p>
    <w:p w14:paraId="1FD8030E" w14:textId="3CFA025C" w:rsidR="00C72B7B" w:rsidRPr="004F469F" w:rsidRDefault="00C72B7B" w:rsidP="005C4E5F">
      <w:pPr>
        <w:spacing w:after="120" w:line="480" w:lineRule="auto"/>
        <w:rPr>
          <w:sz w:val="20"/>
          <w:szCs w:val="20"/>
        </w:rPr>
      </w:pPr>
    </w:p>
    <w:p w14:paraId="05F93E8A" w14:textId="77777777" w:rsidR="00537523" w:rsidRPr="004F469F" w:rsidRDefault="00537523" w:rsidP="005C4E5F">
      <w:pPr>
        <w:spacing w:after="120" w:line="480" w:lineRule="auto"/>
        <w:rPr>
          <w:sz w:val="20"/>
          <w:szCs w:val="20"/>
        </w:rPr>
        <w:sectPr w:rsidR="00537523" w:rsidRPr="004F469F" w:rsidSect="00A967F3">
          <w:pgSz w:w="12240" w:h="15840"/>
          <w:pgMar w:top="1440" w:right="1440" w:bottom="1440" w:left="1440" w:header="720" w:footer="720" w:gutter="0"/>
          <w:cols w:space="720"/>
          <w:docGrid w:linePitch="360"/>
        </w:sectPr>
      </w:pPr>
    </w:p>
    <w:p w14:paraId="737072E5" w14:textId="77777777" w:rsidR="00537523" w:rsidRPr="004F469F" w:rsidRDefault="00537523" w:rsidP="005C4E5F">
      <w:pPr>
        <w:spacing w:after="120" w:line="480" w:lineRule="auto"/>
        <w:rPr>
          <w:sz w:val="20"/>
          <w:szCs w:val="20"/>
        </w:rPr>
        <w:sectPr w:rsidR="00537523" w:rsidRPr="004F469F" w:rsidSect="00A967F3">
          <w:type w:val="continuous"/>
          <w:pgSz w:w="12240" w:h="15840"/>
          <w:pgMar w:top="1440" w:right="1440" w:bottom="1440" w:left="1440" w:header="720" w:footer="720" w:gutter="0"/>
          <w:cols w:space="720"/>
          <w:docGrid w:linePitch="360"/>
        </w:sectPr>
      </w:pPr>
    </w:p>
    <w:p w14:paraId="5C0BF0C0" w14:textId="434C21F3" w:rsidR="00C72B7B" w:rsidRPr="004F469F" w:rsidRDefault="00C72B7B" w:rsidP="005C4E5F">
      <w:pPr>
        <w:spacing w:after="120" w:line="480" w:lineRule="auto"/>
        <w:rPr>
          <w:sz w:val="20"/>
          <w:szCs w:val="20"/>
        </w:rPr>
      </w:pPr>
    </w:p>
    <w:p w14:paraId="5ABF3ABF" w14:textId="753D988F" w:rsidR="001F01A2" w:rsidRPr="004F469F" w:rsidRDefault="001F01A2" w:rsidP="005C4E5F">
      <w:pPr>
        <w:spacing w:after="120" w:line="480" w:lineRule="auto"/>
        <w:rPr>
          <w:sz w:val="20"/>
          <w:szCs w:val="20"/>
        </w:rPr>
      </w:pPr>
    </w:p>
    <w:p w14:paraId="5712AAB9" w14:textId="2AAD0EBC" w:rsidR="001F01A2" w:rsidRPr="004F469F" w:rsidRDefault="001F01A2" w:rsidP="005C4E5F">
      <w:pPr>
        <w:spacing w:after="120" w:line="480" w:lineRule="auto"/>
        <w:rPr>
          <w:sz w:val="20"/>
          <w:szCs w:val="20"/>
        </w:rPr>
      </w:pPr>
    </w:p>
    <w:p w14:paraId="4C1B0E0D" w14:textId="697E3A29" w:rsidR="001F01A2" w:rsidRPr="004F469F" w:rsidRDefault="001F01A2" w:rsidP="005C4E5F">
      <w:pPr>
        <w:spacing w:after="120" w:line="480" w:lineRule="auto"/>
        <w:rPr>
          <w:sz w:val="20"/>
          <w:szCs w:val="20"/>
        </w:rPr>
      </w:pPr>
    </w:p>
    <w:p w14:paraId="2A8A32E7" w14:textId="113A6BBC" w:rsidR="001F01A2" w:rsidRPr="004F469F" w:rsidRDefault="001F01A2" w:rsidP="005C4E5F">
      <w:pPr>
        <w:spacing w:after="120" w:line="480" w:lineRule="auto"/>
        <w:rPr>
          <w:sz w:val="20"/>
          <w:szCs w:val="20"/>
        </w:rPr>
      </w:pPr>
    </w:p>
    <w:p w14:paraId="027408F1" w14:textId="77777777" w:rsidR="00A967F3" w:rsidRPr="004F469F" w:rsidRDefault="00A967F3" w:rsidP="005C4E5F">
      <w:pPr>
        <w:spacing w:after="120" w:line="480" w:lineRule="auto"/>
        <w:rPr>
          <w:sz w:val="20"/>
          <w:szCs w:val="20"/>
        </w:rPr>
      </w:pPr>
    </w:p>
    <w:p w14:paraId="2492575A" w14:textId="78493B33" w:rsidR="00A967F3" w:rsidRPr="004F469F" w:rsidRDefault="00A967F3" w:rsidP="00A967F3">
      <w:pPr>
        <w:pStyle w:val="Caption"/>
        <w:keepNext/>
        <w:rPr>
          <w:rFonts w:ascii="Times New Roman" w:hAnsi="Times New Roman" w:cs="Times New Roman"/>
          <w:i w:val="0"/>
          <w:iCs w:val="0"/>
          <w:color w:val="auto"/>
          <w:sz w:val="24"/>
          <w:szCs w:val="24"/>
        </w:rPr>
      </w:pPr>
      <w:bookmarkStart w:id="35" w:name="_Toc22034992"/>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Characteristics of violent tornadoes and the regions they strike in the United States between 1995 and 2016. Tornado footprint area (AREA) refers to the area of the tornado footprint polygon (km</w:t>
      </w:r>
      <w:r w:rsidRPr="004F469F">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Persons Exposed (OBS) refers to the residential population (based on the US Census data at the time of each tornado) within the tornado footprint. Median Persons Potentially Exposed (PPEMED) refers to the median value of the residential population within the footprint of all replicate tornadoes within the specified distance radius. Probability that a replicate tornado within the specified distance from the original footprint will have a potential exposure of at least 5,000 persons (EP5K) is also shown. Statistics included are minimum (MIN), median (MED), interquartile range (IQR), and maximum (MAX) values for all tornadoes within each region.</w:t>
      </w:r>
      <w:bookmarkEnd w:id="35"/>
    </w:p>
    <w:tbl>
      <w:tblPr>
        <w:tblW w:w="0" w:type="auto"/>
        <w:tblLook w:val="04A0" w:firstRow="1" w:lastRow="0" w:firstColumn="1" w:lastColumn="0" w:noHBand="0" w:noVBand="1"/>
      </w:tblPr>
      <w:tblGrid>
        <w:gridCol w:w="1028"/>
        <w:gridCol w:w="628"/>
        <w:gridCol w:w="683"/>
        <w:gridCol w:w="666"/>
        <w:gridCol w:w="766"/>
        <w:gridCol w:w="628"/>
        <w:gridCol w:w="683"/>
        <w:gridCol w:w="666"/>
        <w:gridCol w:w="766"/>
      </w:tblGrid>
      <w:tr w:rsidR="00494669" w:rsidRPr="004F469F" w14:paraId="042036A2" w14:textId="77777777" w:rsidTr="00A967F3">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1A6F5" w14:textId="0C394284" w:rsidR="001F01A2" w:rsidRPr="004F469F" w:rsidRDefault="001F01A2" w:rsidP="00A967F3">
            <w:pPr>
              <w:jc w:val="center"/>
              <w:rPr>
                <w:sz w:val="20"/>
                <w:szCs w:val="20"/>
              </w:rPr>
            </w:pP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14:paraId="7EBEE595" w14:textId="77777777" w:rsidR="001F01A2" w:rsidRPr="004F469F" w:rsidRDefault="001F01A2" w:rsidP="00A967F3">
            <w:pPr>
              <w:jc w:val="center"/>
              <w:rPr>
                <w:rFonts w:eastAsia="Arial Unicode MS"/>
                <w:i/>
                <w:iCs/>
                <w:sz w:val="20"/>
                <w:szCs w:val="20"/>
              </w:rPr>
            </w:pPr>
            <w:r w:rsidRPr="004F469F">
              <w:rPr>
                <w:rFonts w:eastAsia="Arial Unicode MS"/>
                <w:i/>
                <w:iCs/>
                <w:sz w:val="20"/>
                <w:szCs w:val="20"/>
              </w:rPr>
              <w:t>AREA</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14:paraId="7C7A8A7F" w14:textId="77777777" w:rsidR="001F01A2" w:rsidRPr="004F469F" w:rsidRDefault="001F01A2" w:rsidP="00A967F3">
            <w:pPr>
              <w:jc w:val="center"/>
              <w:rPr>
                <w:i/>
                <w:iCs/>
                <w:sz w:val="20"/>
                <w:szCs w:val="20"/>
              </w:rPr>
            </w:pPr>
            <w:r w:rsidRPr="004F469F">
              <w:rPr>
                <w:i/>
                <w:iCs/>
                <w:sz w:val="20"/>
                <w:szCs w:val="20"/>
              </w:rPr>
              <w:t>OBS</w:t>
            </w:r>
          </w:p>
        </w:tc>
      </w:tr>
      <w:tr w:rsidR="00494669" w:rsidRPr="004F469F" w14:paraId="2B6E0F01"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DC8824" w14:textId="77777777" w:rsidR="001F01A2" w:rsidRPr="004F469F" w:rsidRDefault="001F01A2" w:rsidP="00A967F3">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415FBC1F"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10C0D272"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50562971"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1480BF93" w14:textId="77777777" w:rsidR="001F01A2" w:rsidRPr="004F469F" w:rsidRDefault="001F01A2" w:rsidP="00A967F3">
            <w:pPr>
              <w:jc w:val="center"/>
              <w:rPr>
                <w:b/>
                <w:bCs/>
                <w:sz w:val="20"/>
                <w:szCs w:val="20"/>
              </w:rPr>
            </w:pPr>
            <w:r w:rsidRPr="004F469F">
              <w:rPr>
                <w:b/>
                <w:bCs/>
                <w:sz w:val="20"/>
                <w:szCs w:val="20"/>
              </w:rPr>
              <w:t>MAX</w:t>
            </w:r>
          </w:p>
        </w:tc>
        <w:tc>
          <w:tcPr>
            <w:tcW w:w="0" w:type="auto"/>
            <w:tcBorders>
              <w:top w:val="nil"/>
              <w:left w:val="nil"/>
              <w:bottom w:val="single" w:sz="4" w:space="0" w:color="auto"/>
              <w:right w:val="single" w:sz="4" w:space="0" w:color="auto"/>
            </w:tcBorders>
            <w:shd w:val="clear" w:color="auto" w:fill="auto"/>
            <w:noWrap/>
            <w:vAlign w:val="center"/>
            <w:hideMark/>
          </w:tcPr>
          <w:p w14:paraId="2A4236FB"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49440716"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51D0B0E8"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4E1F8CEC" w14:textId="77777777" w:rsidR="001F01A2" w:rsidRPr="004F469F" w:rsidRDefault="001F01A2" w:rsidP="00A967F3">
            <w:pPr>
              <w:jc w:val="center"/>
              <w:rPr>
                <w:b/>
                <w:bCs/>
                <w:sz w:val="20"/>
                <w:szCs w:val="20"/>
              </w:rPr>
            </w:pPr>
            <w:r w:rsidRPr="004F469F">
              <w:rPr>
                <w:b/>
                <w:bCs/>
                <w:sz w:val="20"/>
                <w:szCs w:val="20"/>
              </w:rPr>
              <w:t>MAX</w:t>
            </w:r>
          </w:p>
        </w:tc>
      </w:tr>
      <w:tr w:rsidR="00494669" w:rsidRPr="004F469F" w14:paraId="17362BA5"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4267F7" w14:textId="0BB96D7D" w:rsidR="001F01A2" w:rsidRPr="004F469F" w:rsidRDefault="001F01A2" w:rsidP="00A967F3">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669B36F6" w14:textId="77777777" w:rsidR="001F01A2" w:rsidRPr="004F469F" w:rsidRDefault="001F01A2" w:rsidP="00A967F3">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6B98591A" w14:textId="77777777" w:rsidR="001F01A2" w:rsidRPr="004F469F" w:rsidRDefault="001F01A2" w:rsidP="00A967F3">
            <w:pPr>
              <w:jc w:val="center"/>
              <w:rPr>
                <w:sz w:val="20"/>
                <w:szCs w:val="20"/>
              </w:rPr>
            </w:pPr>
            <w:r w:rsidRPr="004F469F">
              <w:rPr>
                <w:sz w:val="20"/>
                <w:szCs w:val="20"/>
              </w:rPr>
              <w:t>7.8</w:t>
            </w:r>
          </w:p>
        </w:tc>
        <w:tc>
          <w:tcPr>
            <w:tcW w:w="0" w:type="auto"/>
            <w:tcBorders>
              <w:top w:val="nil"/>
              <w:left w:val="nil"/>
              <w:bottom w:val="single" w:sz="4" w:space="0" w:color="auto"/>
              <w:right w:val="single" w:sz="4" w:space="0" w:color="auto"/>
            </w:tcBorders>
            <w:shd w:val="clear" w:color="auto" w:fill="auto"/>
            <w:noWrap/>
            <w:vAlign w:val="center"/>
            <w:hideMark/>
          </w:tcPr>
          <w:p w14:paraId="4E9F1D33" w14:textId="77777777" w:rsidR="001F01A2" w:rsidRPr="004F469F" w:rsidRDefault="001F01A2" w:rsidP="00A967F3">
            <w:pPr>
              <w:jc w:val="center"/>
              <w:rPr>
                <w:sz w:val="20"/>
                <w:szCs w:val="20"/>
              </w:rPr>
            </w:pPr>
            <w:r w:rsidRPr="004F469F">
              <w:rPr>
                <w:sz w:val="20"/>
                <w:szCs w:val="20"/>
              </w:rPr>
              <w:t>19.4</w:t>
            </w:r>
          </w:p>
        </w:tc>
        <w:tc>
          <w:tcPr>
            <w:tcW w:w="0" w:type="auto"/>
            <w:tcBorders>
              <w:top w:val="nil"/>
              <w:left w:val="nil"/>
              <w:bottom w:val="single" w:sz="4" w:space="0" w:color="auto"/>
              <w:right w:val="single" w:sz="4" w:space="0" w:color="auto"/>
            </w:tcBorders>
            <w:shd w:val="clear" w:color="auto" w:fill="auto"/>
            <w:noWrap/>
            <w:vAlign w:val="center"/>
            <w:hideMark/>
          </w:tcPr>
          <w:p w14:paraId="493016F4" w14:textId="77777777" w:rsidR="001F01A2" w:rsidRPr="004F469F" w:rsidRDefault="001F01A2" w:rsidP="00A967F3">
            <w:pPr>
              <w:jc w:val="center"/>
              <w:rPr>
                <w:sz w:val="20"/>
                <w:szCs w:val="20"/>
              </w:rPr>
            </w:pPr>
            <w:r w:rsidRPr="004F469F">
              <w:rPr>
                <w:sz w:val="20"/>
                <w:szCs w:val="20"/>
              </w:rPr>
              <w:t>68.4</w:t>
            </w:r>
          </w:p>
        </w:tc>
        <w:tc>
          <w:tcPr>
            <w:tcW w:w="0" w:type="auto"/>
            <w:tcBorders>
              <w:top w:val="nil"/>
              <w:left w:val="nil"/>
              <w:bottom w:val="single" w:sz="4" w:space="0" w:color="auto"/>
              <w:right w:val="single" w:sz="4" w:space="0" w:color="auto"/>
            </w:tcBorders>
            <w:shd w:val="clear" w:color="auto" w:fill="auto"/>
            <w:noWrap/>
            <w:vAlign w:val="center"/>
            <w:hideMark/>
          </w:tcPr>
          <w:p w14:paraId="54ED57EB" w14:textId="77777777" w:rsidR="001F01A2" w:rsidRPr="004F469F" w:rsidRDefault="001F01A2" w:rsidP="00A967F3">
            <w:pPr>
              <w:jc w:val="center"/>
              <w:rPr>
                <w:sz w:val="20"/>
                <w:szCs w:val="20"/>
              </w:rPr>
            </w:pPr>
            <w:r w:rsidRPr="004F469F">
              <w:rPr>
                <w:sz w:val="20"/>
                <w:szCs w:val="20"/>
              </w:rPr>
              <w:t>41</w:t>
            </w:r>
          </w:p>
        </w:tc>
        <w:tc>
          <w:tcPr>
            <w:tcW w:w="0" w:type="auto"/>
            <w:tcBorders>
              <w:top w:val="nil"/>
              <w:left w:val="nil"/>
              <w:bottom w:val="single" w:sz="4" w:space="0" w:color="auto"/>
              <w:right w:val="single" w:sz="4" w:space="0" w:color="auto"/>
            </w:tcBorders>
            <w:shd w:val="clear" w:color="auto" w:fill="auto"/>
            <w:noWrap/>
            <w:vAlign w:val="center"/>
            <w:hideMark/>
          </w:tcPr>
          <w:p w14:paraId="3052C4F0" w14:textId="77777777" w:rsidR="001F01A2" w:rsidRPr="004F469F" w:rsidRDefault="001F01A2" w:rsidP="00A967F3">
            <w:pPr>
              <w:jc w:val="center"/>
              <w:rPr>
                <w:sz w:val="20"/>
                <w:szCs w:val="20"/>
              </w:rPr>
            </w:pPr>
            <w:r w:rsidRPr="004F469F">
              <w:rPr>
                <w:sz w:val="20"/>
                <w:szCs w:val="20"/>
              </w:rPr>
              <w:t>993</w:t>
            </w:r>
          </w:p>
        </w:tc>
        <w:tc>
          <w:tcPr>
            <w:tcW w:w="0" w:type="auto"/>
            <w:tcBorders>
              <w:top w:val="nil"/>
              <w:left w:val="nil"/>
              <w:bottom w:val="single" w:sz="4" w:space="0" w:color="auto"/>
              <w:right w:val="single" w:sz="4" w:space="0" w:color="auto"/>
            </w:tcBorders>
            <w:shd w:val="clear" w:color="auto" w:fill="auto"/>
            <w:noWrap/>
            <w:vAlign w:val="center"/>
            <w:hideMark/>
          </w:tcPr>
          <w:p w14:paraId="7259FA9C" w14:textId="77777777" w:rsidR="001F01A2" w:rsidRPr="004F469F" w:rsidRDefault="001F01A2" w:rsidP="00A967F3">
            <w:pPr>
              <w:jc w:val="center"/>
              <w:rPr>
                <w:sz w:val="20"/>
                <w:szCs w:val="20"/>
              </w:rPr>
            </w:pPr>
            <w:r w:rsidRPr="004F469F">
              <w:rPr>
                <w:sz w:val="20"/>
                <w:szCs w:val="20"/>
              </w:rPr>
              <w:t>1,375</w:t>
            </w:r>
          </w:p>
        </w:tc>
        <w:tc>
          <w:tcPr>
            <w:tcW w:w="0" w:type="auto"/>
            <w:tcBorders>
              <w:top w:val="nil"/>
              <w:left w:val="nil"/>
              <w:bottom w:val="single" w:sz="4" w:space="0" w:color="auto"/>
              <w:right w:val="single" w:sz="4" w:space="0" w:color="auto"/>
            </w:tcBorders>
            <w:shd w:val="clear" w:color="auto" w:fill="auto"/>
            <w:noWrap/>
            <w:vAlign w:val="center"/>
            <w:hideMark/>
          </w:tcPr>
          <w:p w14:paraId="00F02132" w14:textId="77777777" w:rsidR="001F01A2" w:rsidRPr="004F469F" w:rsidRDefault="001F01A2" w:rsidP="00A967F3">
            <w:pPr>
              <w:jc w:val="center"/>
              <w:rPr>
                <w:sz w:val="20"/>
                <w:szCs w:val="20"/>
              </w:rPr>
            </w:pPr>
            <w:r w:rsidRPr="004F469F">
              <w:rPr>
                <w:sz w:val="20"/>
                <w:szCs w:val="20"/>
              </w:rPr>
              <w:t>3,907</w:t>
            </w:r>
          </w:p>
        </w:tc>
      </w:tr>
      <w:tr w:rsidR="00494669" w:rsidRPr="004F469F" w14:paraId="024950FD"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5206D" w14:textId="63AA1C57" w:rsidR="001F01A2" w:rsidRPr="004F469F" w:rsidRDefault="001F01A2" w:rsidP="00A967F3">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5529BF83" w14:textId="77777777" w:rsidR="001F01A2" w:rsidRPr="004F469F" w:rsidRDefault="001F01A2" w:rsidP="00A967F3">
            <w:pPr>
              <w:jc w:val="center"/>
              <w:rPr>
                <w:sz w:val="20"/>
                <w:szCs w:val="20"/>
              </w:rPr>
            </w:pPr>
            <w:r w:rsidRPr="004F469F">
              <w:rPr>
                <w:sz w:val="20"/>
                <w:szCs w:val="20"/>
              </w:rPr>
              <w:t>0.4</w:t>
            </w:r>
          </w:p>
        </w:tc>
        <w:tc>
          <w:tcPr>
            <w:tcW w:w="0" w:type="auto"/>
            <w:tcBorders>
              <w:top w:val="nil"/>
              <w:left w:val="nil"/>
              <w:bottom w:val="single" w:sz="4" w:space="0" w:color="auto"/>
              <w:right w:val="single" w:sz="4" w:space="0" w:color="auto"/>
            </w:tcBorders>
            <w:shd w:val="clear" w:color="auto" w:fill="auto"/>
            <w:noWrap/>
            <w:vAlign w:val="center"/>
            <w:hideMark/>
          </w:tcPr>
          <w:p w14:paraId="3DA4F8D7" w14:textId="77777777" w:rsidR="001F01A2" w:rsidRPr="004F469F" w:rsidRDefault="001F01A2" w:rsidP="00A967F3">
            <w:pPr>
              <w:jc w:val="center"/>
              <w:rPr>
                <w:sz w:val="20"/>
                <w:szCs w:val="20"/>
              </w:rPr>
            </w:pPr>
            <w:r w:rsidRPr="004F469F">
              <w:rPr>
                <w:sz w:val="20"/>
                <w:szCs w:val="20"/>
              </w:rPr>
              <w:t>16.1</w:t>
            </w:r>
          </w:p>
        </w:tc>
        <w:tc>
          <w:tcPr>
            <w:tcW w:w="0" w:type="auto"/>
            <w:tcBorders>
              <w:top w:val="nil"/>
              <w:left w:val="nil"/>
              <w:bottom w:val="single" w:sz="4" w:space="0" w:color="auto"/>
              <w:right w:val="single" w:sz="4" w:space="0" w:color="auto"/>
            </w:tcBorders>
            <w:shd w:val="clear" w:color="auto" w:fill="auto"/>
            <w:noWrap/>
            <w:vAlign w:val="center"/>
            <w:hideMark/>
          </w:tcPr>
          <w:p w14:paraId="7CEB3601" w14:textId="77777777" w:rsidR="001F01A2" w:rsidRPr="004F469F" w:rsidRDefault="001F01A2" w:rsidP="00A967F3">
            <w:pPr>
              <w:jc w:val="center"/>
              <w:rPr>
                <w:sz w:val="20"/>
                <w:szCs w:val="20"/>
              </w:rPr>
            </w:pPr>
            <w:r w:rsidRPr="004F469F">
              <w:rPr>
                <w:sz w:val="20"/>
                <w:szCs w:val="20"/>
              </w:rPr>
              <w:t>36.7</w:t>
            </w:r>
          </w:p>
        </w:tc>
        <w:tc>
          <w:tcPr>
            <w:tcW w:w="0" w:type="auto"/>
            <w:tcBorders>
              <w:top w:val="nil"/>
              <w:left w:val="nil"/>
              <w:bottom w:val="single" w:sz="4" w:space="0" w:color="auto"/>
              <w:right w:val="single" w:sz="4" w:space="0" w:color="auto"/>
            </w:tcBorders>
            <w:shd w:val="clear" w:color="auto" w:fill="auto"/>
            <w:noWrap/>
            <w:vAlign w:val="center"/>
            <w:hideMark/>
          </w:tcPr>
          <w:p w14:paraId="6683C5C3" w14:textId="77777777" w:rsidR="001F01A2" w:rsidRPr="004F469F" w:rsidRDefault="001F01A2" w:rsidP="00A967F3">
            <w:pPr>
              <w:jc w:val="center"/>
              <w:rPr>
                <w:sz w:val="20"/>
                <w:szCs w:val="20"/>
              </w:rPr>
            </w:pPr>
            <w:r w:rsidRPr="004F469F">
              <w:rPr>
                <w:sz w:val="20"/>
                <w:szCs w:val="20"/>
              </w:rPr>
              <w:t>349.6</w:t>
            </w:r>
          </w:p>
        </w:tc>
        <w:tc>
          <w:tcPr>
            <w:tcW w:w="0" w:type="auto"/>
            <w:tcBorders>
              <w:top w:val="nil"/>
              <w:left w:val="nil"/>
              <w:bottom w:val="single" w:sz="4" w:space="0" w:color="auto"/>
              <w:right w:val="single" w:sz="4" w:space="0" w:color="auto"/>
            </w:tcBorders>
            <w:shd w:val="clear" w:color="auto" w:fill="auto"/>
            <w:noWrap/>
            <w:vAlign w:val="center"/>
            <w:hideMark/>
          </w:tcPr>
          <w:p w14:paraId="6846BE5A"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D016DD7" w14:textId="77777777" w:rsidR="001F01A2" w:rsidRPr="004F469F" w:rsidRDefault="001F01A2" w:rsidP="00A967F3">
            <w:pPr>
              <w:jc w:val="center"/>
              <w:rPr>
                <w:sz w:val="20"/>
                <w:szCs w:val="20"/>
              </w:rPr>
            </w:pPr>
            <w:r w:rsidRPr="004F469F">
              <w:rPr>
                <w:sz w:val="20"/>
                <w:szCs w:val="20"/>
              </w:rPr>
              <w:t>112</w:t>
            </w:r>
          </w:p>
        </w:tc>
        <w:tc>
          <w:tcPr>
            <w:tcW w:w="0" w:type="auto"/>
            <w:tcBorders>
              <w:top w:val="nil"/>
              <w:left w:val="nil"/>
              <w:bottom w:val="single" w:sz="4" w:space="0" w:color="auto"/>
              <w:right w:val="single" w:sz="4" w:space="0" w:color="auto"/>
            </w:tcBorders>
            <w:shd w:val="clear" w:color="auto" w:fill="auto"/>
            <w:noWrap/>
            <w:vAlign w:val="center"/>
            <w:hideMark/>
          </w:tcPr>
          <w:p w14:paraId="3ADFC791" w14:textId="77777777" w:rsidR="001F01A2" w:rsidRPr="004F469F" w:rsidRDefault="001F01A2" w:rsidP="00A967F3">
            <w:pPr>
              <w:jc w:val="center"/>
              <w:rPr>
                <w:sz w:val="20"/>
                <w:szCs w:val="20"/>
              </w:rPr>
            </w:pPr>
            <w:r w:rsidRPr="004F469F">
              <w:rPr>
                <w:sz w:val="20"/>
                <w:szCs w:val="20"/>
              </w:rPr>
              <w:t>364</w:t>
            </w:r>
          </w:p>
        </w:tc>
        <w:tc>
          <w:tcPr>
            <w:tcW w:w="0" w:type="auto"/>
            <w:tcBorders>
              <w:top w:val="nil"/>
              <w:left w:val="nil"/>
              <w:bottom w:val="single" w:sz="4" w:space="0" w:color="auto"/>
              <w:right w:val="single" w:sz="4" w:space="0" w:color="auto"/>
            </w:tcBorders>
            <w:shd w:val="clear" w:color="auto" w:fill="auto"/>
            <w:noWrap/>
            <w:vAlign w:val="center"/>
            <w:hideMark/>
          </w:tcPr>
          <w:p w14:paraId="35F7E642" w14:textId="77777777" w:rsidR="001F01A2" w:rsidRPr="004F469F" w:rsidRDefault="001F01A2" w:rsidP="00A967F3">
            <w:pPr>
              <w:jc w:val="center"/>
              <w:rPr>
                <w:sz w:val="20"/>
                <w:szCs w:val="20"/>
              </w:rPr>
            </w:pPr>
            <w:r w:rsidRPr="004F469F">
              <w:rPr>
                <w:sz w:val="20"/>
                <w:szCs w:val="20"/>
              </w:rPr>
              <w:t>5,815</w:t>
            </w:r>
          </w:p>
        </w:tc>
      </w:tr>
      <w:tr w:rsidR="00494669" w:rsidRPr="004F469F" w14:paraId="62D89BAC"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B4B9AC" w14:textId="100E1DD5" w:rsidR="001F01A2" w:rsidRPr="004F469F" w:rsidRDefault="001F01A2" w:rsidP="00A967F3">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1D43EB6F" w14:textId="77777777" w:rsidR="001F01A2" w:rsidRPr="004F469F" w:rsidRDefault="001F01A2" w:rsidP="00A967F3">
            <w:pPr>
              <w:jc w:val="center"/>
              <w:rPr>
                <w:sz w:val="20"/>
                <w:szCs w:val="20"/>
              </w:rPr>
            </w:pPr>
            <w:r w:rsidRPr="004F469F">
              <w:rPr>
                <w:sz w:val="20"/>
                <w:szCs w:val="20"/>
              </w:rPr>
              <w:t>0.1</w:t>
            </w:r>
          </w:p>
        </w:tc>
        <w:tc>
          <w:tcPr>
            <w:tcW w:w="0" w:type="auto"/>
            <w:tcBorders>
              <w:top w:val="nil"/>
              <w:left w:val="nil"/>
              <w:bottom w:val="single" w:sz="4" w:space="0" w:color="auto"/>
              <w:right w:val="single" w:sz="4" w:space="0" w:color="auto"/>
            </w:tcBorders>
            <w:shd w:val="clear" w:color="auto" w:fill="auto"/>
            <w:noWrap/>
            <w:vAlign w:val="center"/>
            <w:hideMark/>
          </w:tcPr>
          <w:p w14:paraId="51ABB3AD" w14:textId="77777777" w:rsidR="001F01A2" w:rsidRPr="004F469F" w:rsidRDefault="001F01A2" w:rsidP="00A967F3">
            <w:pPr>
              <w:jc w:val="center"/>
              <w:rPr>
                <w:sz w:val="20"/>
                <w:szCs w:val="20"/>
              </w:rPr>
            </w:pPr>
            <w:r w:rsidRPr="004F469F">
              <w:rPr>
                <w:sz w:val="20"/>
                <w:szCs w:val="20"/>
              </w:rPr>
              <w:t>39.8</w:t>
            </w:r>
          </w:p>
        </w:tc>
        <w:tc>
          <w:tcPr>
            <w:tcW w:w="0" w:type="auto"/>
            <w:tcBorders>
              <w:top w:val="nil"/>
              <w:left w:val="nil"/>
              <w:bottom w:val="single" w:sz="4" w:space="0" w:color="auto"/>
              <w:right w:val="single" w:sz="4" w:space="0" w:color="auto"/>
            </w:tcBorders>
            <w:shd w:val="clear" w:color="auto" w:fill="auto"/>
            <w:noWrap/>
            <w:vAlign w:val="center"/>
            <w:hideMark/>
          </w:tcPr>
          <w:p w14:paraId="4318D016" w14:textId="77777777" w:rsidR="001F01A2" w:rsidRPr="004F469F" w:rsidRDefault="001F01A2" w:rsidP="00A967F3">
            <w:pPr>
              <w:jc w:val="center"/>
              <w:rPr>
                <w:sz w:val="20"/>
                <w:szCs w:val="20"/>
              </w:rPr>
            </w:pPr>
            <w:r w:rsidRPr="004F469F">
              <w:rPr>
                <w:sz w:val="20"/>
                <w:szCs w:val="20"/>
              </w:rPr>
              <w:t>49.4</w:t>
            </w:r>
          </w:p>
        </w:tc>
        <w:tc>
          <w:tcPr>
            <w:tcW w:w="0" w:type="auto"/>
            <w:tcBorders>
              <w:top w:val="nil"/>
              <w:left w:val="nil"/>
              <w:bottom w:val="single" w:sz="4" w:space="0" w:color="auto"/>
              <w:right w:val="single" w:sz="4" w:space="0" w:color="auto"/>
            </w:tcBorders>
            <w:shd w:val="clear" w:color="auto" w:fill="auto"/>
            <w:noWrap/>
            <w:vAlign w:val="center"/>
            <w:hideMark/>
          </w:tcPr>
          <w:p w14:paraId="29F3A679" w14:textId="77777777" w:rsidR="001F01A2" w:rsidRPr="004F469F" w:rsidRDefault="001F01A2" w:rsidP="00A967F3">
            <w:pPr>
              <w:jc w:val="center"/>
              <w:rPr>
                <w:sz w:val="20"/>
                <w:szCs w:val="20"/>
              </w:rPr>
            </w:pPr>
            <w:r w:rsidRPr="004F469F">
              <w:rPr>
                <w:sz w:val="20"/>
                <w:szCs w:val="20"/>
              </w:rPr>
              <w:t>427.3</w:t>
            </w:r>
          </w:p>
        </w:tc>
        <w:tc>
          <w:tcPr>
            <w:tcW w:w="0" w:type="auto"/>
            <w:tcBorders>
              <w:top w:val="nil"/>
              <w:left w:val="nil"/>
              <w:bottom w:val="single" w:sz="4" w:space="0" w:color="auto"/>
              <w:right w:val="single" w:sz="4" w:space="0" w:color="auto"/>
            </w:tcBorders>
            <w:shd w:val="clear" w:color="auto" w:fill="auto"/>
            <w:noWrap/>
            <w:vAlign w:val="center"/>
            <w:hideMark/>
          </w:tcPr>
          <w:p w14:paraId="03463891" w14:textId="77777777" w:rsidR="001F01A2" w:rsidRPr="004F469F" w:rsidRDefault="001F01A2" w:rsidP="00A967F3">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7F4C687" w14:textId="77777777" w:rsidR="001F01A2" w:rsidRPr="004F469F" w:rsidRDefault="001F01A2" w:rsidP="00A967F3">
            <w:pPr>
              <w:jc w:val="center"/>
              <w:rPr>
                <w:sz w:val="20"/>
                <w:szCs w:val="20"/>
              </w:rPr>
            </w:pPr>
            <w:r w:rsidRPr="004F469F">
              <w:rPr>
                <w:sz w:val="20"/>
                <w:szCs w:val="20"/>
              </w:rPr>
              <w:t>1,232</w:t>
            </w:r>
          </w:p>
        </w:tc>
        <w:tc>
          <w:tcPr>
            <w:tcW w:w="0" w:type="auto"/>
            <w:tcBorders>
              <w:top w:val="nil"/>
              <w:left w:val="nil"/>
              <w:bottom w:val="single" w:sz="4" w:space="0" w:color="auto"/>
              <w:right w:val="single" w:sz="4" w:space="0" w:color="auto"/>
            </w:tcBorders>
            <w:shd w:val="clear" w:color="auto" w:fill="auto"/>
            <w:noWrap/>
            <w:vAlign w:val="center"/>
            <w:hideMark/>
          </w:tcPr>
          <w:p w14:paraId="4470F732" w14:textId="77777777" w:rsidR="001F01A2" w:rsidRPr="004F469F" w:rsidRDefault="001F01A2" w:rsidP="00A967F3">
            <w:pPr>
              <w:jc w:val="center"/>
              <w:rPr>
                <w:sz w:val="20"/>
                <w:szCs w:val="20"/>
              </w:rPr>
            </w:pPr>
            <w:r w:rsidRPr="004F469F">
              <w:rPr>
                <w:sz w:val="20"/>
                <w:szCs w:val="20"/>
              </w:rPr>
              <w:t>3,760</w:t>
            </w:r>
          </w:p>
        </w:tc>
        <w:tc>
          <w:tcPr>
            <w:tcW w:w="0" w:type="auto"/>
            <w:tcBorders>
              <w:top w:val="nil"/>
              <w:left w:val="nil"/>
              <w:bottom w:val="single" w:sz="4" w:space="0" w:color="auto"/>
              <w:right w:val="single" w:sz="4" w:space="0" w:color="auto"/>
            </w:tcBorders>
            <w:shd w:val="clear" w:color="auto" w:fill="auto"/>
            <w:noWrap/>
            <w:vAlign w:val="center"/>
            <w:hideMark/>
          </w:tcPr>
          <w:p w14:paraId="3CC814F4" w14:textId="77777777" w:rsidR="001F01A2" w:rsidRPr="004F469F" w:rsidRDefault="001F01A2" w:rsidP="00A967F3">
            <w:pPr>
              <w:jc w:val="center"/>
              <w:rPr>
                <w:sz w:val="20"/>
                <w:szCs w:val="20"/>
              </w:rPr>
            </w:pPr>
            <w:r w:rsidRPr="004F469F">
              <w:rPr>
                <w:sz w:val="20"/>
                <w:szCs w:val="20"/>
              </w:rPr>
              <w:t>39,231</w:t>
            </w:r>
          </w:p>
        </w:tc>
      </w:tr>
      <w:tr w:rsidR="00494669" w:rsidRPr="004F469F" w14:paraId="2BD157BF" w14:textId="77777777" w:rsidTr="00A967F3">
        <w:trPr>
          <w:trHeight w:val="320"/>
        </w:trPr>
        <w:tc>
          <w:tcPr>
            <w:tcW w:w="0" w:type="auto"/>
            <w:tcBorders>
              <w:top w:val="nil"/>
              <w:left w:val="single" w:sz="4" w:space="0" w:color="auto"/>
              <w:bottom w:val="single" w:sz="12" w:space="0" w:color="auto"/>
              <w:right w:val="single" w:sz="4" w:space="0" w:color="auto"/>
            </w:tcBorders>
            <w:shd w:val="clear" w:color="auto" w:fill="auto"/>
            <w:noWrap/>
            <w:vAlign w:val="center"/>
            <w:hideMark/>
          </w:tcPr>
          <w:p w14:paraId="2AD8F6D1" w14:textId="089B4142" w:rsidR="001F01A2" w:rsidRPr="004F469F" w:rsidRDefault="001F01A2" w:rsidP="00A967F3">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12" w:space="0" w:color="auto"/>
              <w:right w:val="single" w:sz="4" w:space="0" w:color="auto"/>
            </w:tcBorders>
            <w:shd w:val="clear" w:color="auto" w:fill="auto"/>
            <w:noWrap/>
            <w:vAlign w:val="center"/>
            <w:hideMark/>
          </w:tcPr>
          <w:p w14:paraId="608187E4" w14:textId="77777777" w:rsidR="001F01A2" w:rsidRPr="004F469F" w:rsidRDefault="001F01A2" w:rsidP="00A967F3">
            <w:pPr>
              <w:jc w:val="center"/>
              <w:rPr>
                <w:sz w:val="20"/>
                <w:szCs w:val="20"/>
              </w:rPr>
            </w:pPr>
            <w:r w:rsidRPr="004F469F">
              <w:rPr>
                <w:sz w:val="20"/>
                <w:szCs w:val="20"/>
              </w:rPr>
              <w:t>0.9</w:t>
            </w:r>
          </w:p>
        </w:tc>
        <w:tc>
          <w:tcPr>
            <w:tcW w:w="0" w:type="auto"/>
            <w:tcBorders>
              <w:top w:val="nil"/>
              <w:left w:val="nil"/>
              <w:bottom w:val="single" w:sz="12" w:space="0" w:color="auto"/>
              <w:right w:val="single" w:sz="4" w:space="0" w:color="auto"/>
            </w:tcBorders>
            <w:shd w:val="clear" w:color="auto" w:fill="auto"/>
            <w:noWrap/>
            <w:vAlign w:val="center"/>
            <w:hideMark/>
          </w:tcPr>
          <w:p w14:paraId="6447191B" w14:textId="77777777" w:rsidR="001F01A2" w:rsidRPr="004F469F" w:rsidRDefault="001F01A2" w:rsidP="00A967F3">
            <w:pPr>
              <w:jc w:val="center"/>
              <w:rPr>
                <w:sz w:val="20"/>
                <w:szCs w:val="20"/>
              </w:rPr>
            </w:pPr>
            <w:r w:rsidRPr="004F469F">
              <w:rPr>
                <w:sz w:val="20"/>
                <w:szCs w:val="20"/>
              </w:rPr>
              <w:t>28.2</w:t>
            </w:r>
          </w:p>
        </w:tc>
        <w:tc>
          <w:tcPr>
            <w:tcW w:w="0" w:type="auto"/>
            <w:tcBorders>
              <w:top w:val="nil"/>
              <w:left w:val="nil"/>
              <w:bottom w:val="single" w:sz="12" w:space="0" w:color="auto"/>
              <w:right w:val="single" w:sz="4" w:space="0" w:color="auto"/>
            </w:tcBorders>
            <w:shd w:val="clear" w:color="auto" w:fill="auto"/>
            <w:noWrap/>
            <w:vAlign w:val="center"/>
            <w:hideMark/>
          </w:tcPr>
          <w:p w14:paraId="169B1480" w14:textId="77777777" w:rsidR="001F01A2" w:rsidRPr="004F469F" w:rsidRDefault="001F01A2" w:rsidP="00A967F3">
            <w:pPr>
              <w:jc w:val="center"/>
              <w:rPr>
                <w:sz w:val="20"/>
                <w:szCs w:val="20"/>
              </w:rPr>
            </w:pPr>
            <w:r w:rsidRPr="004F469F">
              <w:rPr>
                <w:sz w:val="20"/>
                <w:szCs w:val="20"/>
              </w:rPr>
              <w:t>39.2</w:t>
            </w:r>
          </w:p>
        </w:tc>
        <w:tc>
          <w:tcPr>
            <w:tcW w:w="0" w:type="auto"/>
            <w:tcBorders>
              <w:top w:val="nil"/>
              <w:left w:val="nil"/>
              <w:bottom w:val="single" w:sz="12" w:space="0" w:color="auto"/>
              <w:right w:val="single" w:sz="4" w:space="0" w:color="auto"/>
            </w:tcBorders>
            <w:shd w:val="clear" w:color="auto" w:fill="auto"/>
            <w:noWrap/>
            <w:vAlign w:val="center"/>
            <w:hideMark/>
          </w:tcPr>
          <w:p w14:paraId="566E375C" w14:textId="77777777" w:rsidR="001F01A2" w:rsidRPr="004F469F" w:rsidRDefault="001F01A2" w:rsidP="00A967F3">
            <w:pPr>
              <w:jc w:val="center"/>
              <w:rPr>
                <w:sz w:val="20"/>
                <w:szCs w:val="20"/>
              </w:rPr>
            </w:pPr>
            <w:r w:rsidRPr="004F469F">
              <w:rPr>
                <w:sz w:val="20"/>
                <w:szCs w:val="20"/>
              </w:rPr>
              <w:t>675.2</w:t>
            </w:r>
          </w:p>
        </w:tc>
        <w:tc>
          <w:tcPr>
            <w:tcW w:w="0" w:type="auto"/>
            <w:tcBorders>
              <w:top w:val="nil"/>
              <w:left w:val="nil"/>
              <w:bottom w:val="single" w:sz="12" w:space="0" w:color="auto"/>
              <w:right w:val="single" w:sz="4" w:space="0" w:color="auto"/>
            </w:tcBorders>
            <w:shd w:val="clear" w:color="auto" w:fill="auto"/>
            <w:noWrap/>
            <w:vAlign w:val="center"/>
            <w:hideMark/>
          </w:tcPr>
          <w:p w14:paraId="5D4E9B7D"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12" w:space="0" w:color="auto"/>
              <w:right w:val="single" w:sz="4" w:space="0" w:color="auto"/>
            </w:tcBorders>
            <w:shd w:val="clear" w:color="auto" w:fill="auto"/>
            <w:noWrap/>
            <w:vAlign w:val="center"/>
            <w:hideMark/>
          </w:tcPr>
          <w:p w14:paraId="2BAFE6CC" w14:textId="77777777" w:rsidR="001F01A2" w:rsidRPr="004F469F" w:rsidRDefault="001F01A2" w:rsidP="00A967F3">
            <w:pPr>
              <w:jc w:val="center"/>
              <w:rPr>
                <w:sz w:val="20"/>
                <w:szCs w:val="20"/>
              </w:rPr>
            </w:pPr>
            <w:r w:rsidRPr="004F469F">
              <w:rPr>
                <w:sz w:val="20"/>
                <w:szCs w:val="20"/>
              </w:rPr>
              <w:t>782</w:t>
            </w:r>
          </w:p>
        </w:tc>
        <w:tc>
          <w:tcPr>
            <w:tcW w:w="0" w:type="auto"/>
            <w:tcBorders>
              <w:top w:val="nil"/>
              <w:left w:val="nil"/>
              <w:bottom w:val="single" w:sz="12" w:space="0" w:color="auto"/>
              <w:right w:val="single" w:sz="4" w:space="0" w:color="auto"/>
            </w:tcBorders>
            <w:shd w:val="clear" w:color="auto" w:fill="auto"/>
            <w:noWrap/>
            <w:vAlign w:val="center"/>
            <w:hideMark/>
          </w:tcPr>
          <w:p w14:paraId="1635F887" w14:textId="77777777" w:rsidR="001F01A2" w:rsidRPr="004F469F" w:rsidRDefault="001F01A2" w:rsidP="00A967F3">
            <w:pPr>
              <w:jc w:val="center"/>
              <w:rPr>
                <w:sz w:val="20"/>
                <w:szCs w:val="20"/>
              </w:rPr>
            </w:pPr>
            <w:r w:rsidRPr="004F469F">
              <w:rPr>
                <w:sz w:val="20"/>
                <w:szCs w:val="20"/>
              </w:rPr>
              <w:t>2,955</w:t>
            </w:r>
          </w:p>
        </w:tc>
        <w:tc>
          <w:tcPr>
            <w:tcW w:w="0" w:type="auto"/>
            <w:tcBorders>
              <w:top w:val="nil"/>
              <w:left w:val="nil"/>
              <w:bottom w:val="single" w:sz="12" w:space="0" w:color="auto"/>
              <w:right w:val="single" w:sz="4" w:space="0" w:color="auto"/>
            </w:tcBorders>
            <w:shd w:val="clear" w:color="auto" w:fill="auto"/>
            <w:noWrap/>
            <w:vAlign w:val="center"/>
            <w:hideMark/>
          </w:tcPr>
          <w:p w14:paraId="2F8C1368" w14:textId="77777777" w:rsidR="001F01A2" w:rsidRPr="004F469F" w:rsidRDefault="001F01A2" w:rsidP="00A967F3">
            <w:pPr>
              <w:jc w:val="center"/>
              <w:rPr>
                <w:sz w:val="20"/>
                <w:szCs w:val="20"/>
              </w:rPr>
            </w:pPr>
            <w:r w:rsidRPr="004F469F">
              <w:rPr>
                <w:sz w:val="20"/>
                <w:szCs w:val="20"/>
              </w:rPr>
              <w:t>24,130</w:t>
            </w:r>
          </w:p>
        </w:tc>
      </w:tr>
      <w:tr w:rsidR="00494669" w:rsidRPr="004F469F" w14:paraId="6937B672" w14:textId="77777777" w:rsidTr="00A967F3">
        <w:trPr>
          <w:trHeight w:val="320"/>
        </w:trPr>
        <w:tc>
          <w:tcPr>
            <w:tcW w:w="0" w:type="auto"/>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920017F" w14:textId="47234264" w:rsidR="001F01A2" w:rsidRPr="004F469F" w:rsidRDefault="001F01A2" w:rsidP="00A967F3">
            <w:pPr>
              <w:jc w:val="center"/>
              <w:rPr>
                <w:rFonts w:eastAsia="Arial Unicode MS"/>
                <w:i/>
                <w:iCs/>
                <w:sz w:val="20"/>
                <w:szCs w:val="20"/>
              </w:rPr>
            </w:pPr>
            <w:r w:rsidRPr="004F469F">
              <w:rPr>
                <w:rFonts w:eastAsia="Arial Unicode MS"/>
                <w:i/>
                <w:iCs/>
                <w:sz w:val="20"/>
                <w:szCs w:val="20"/>
              </w:rPr>
              <w:t>US</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7BE62712" w14:textId="77777777" w:rsidR="001F01A2" w:rsidRPr="004F469F" w:rsidRDefault="001F01A2" w:rsidP="00A967F3">
            <w:pPr>
              <w:jc w:val="center"/>
              <w:rPr>
                <w:i/>
                <w:iCs/>
                <w:sz w:val="20"/>
                <w:szCs w:val="20"/>
              </w:rPr>
            </w:pPr>
            <w:r w:rsidRPr="004F469F">
              <w:rPr>
                <w:i/>
                <w:iCs/>
                <w:sz w:val="20"/>
                <w:szCs w:val="20"/>
              </w:rPr>
              <w:t>0.1</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4775D7BF" w14:textId="77777777" w:rsidR="001F01A2" w:rsidRPr="004F469F" w:rsidRDefault="001F01A2" w:rsidP="00A967F3">
            <w:pPr>
              <w:jc w:val="center"/>
              <w:rPr>
                <w:i/>
                <w:iCs/>
                <w:sz w:val="20"/>
                <w:szCs w:val="20"/>
              </w:rPr>
            </w:pPr>
            <w:r w:rsidRPr="004F469F">
              <w:rPr>
                <w:i/>
                <w:iCs/>
                <w:sz w:val="20"/>
                <w:szCs w:val="20"/>
              </w:rPr>
              <w:t>22.9</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0EE29E1F" w14:textId="77777777" w:rsidR="001F01A2" w:rsidRPr="004F469F" w:rsidRDefault="001F01A2" w:rsidP="00A967F3">
            <w:pPr>
              <w:jc w:val="center"/>
              <w:rPr>
                <w:i/>
                <w:iCs/>
                <w:sz w:val="20"/>
                <w:szCs w:val="20"/>
              </w:rPr>
            </w:pPr>
            <w:r w:rsidRPr="004F469F">
              <w:rPr>
                <w:i/>
                <w:iCs/>
                <w:sz w:val="20"/>
                <w:szCs w:val="20"/>
              </w:rPr>
              <w:t>48.9</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26D8B5AC" w14:textId="77777777" w:rsidR="001F01A2" w:rsidRPr="004F469F" w:rsidRDefault="001F01A2" w:rsidP="00A967F3">
            <w:pPr>
              <w:jc w:val="center"/>
              <w:rPr>
                <w:i/>
                <w:iCs/>
                <w:sz w:val="20"/>
                <w:szCs w:val="20"/>
              </w:rPr>
            </w:pPr>
            <w:r w:rsidRPr="004F469F">
              <w:rPr>
                <w:i/>
                <w:iCs/>
                <w:sz w:val="20"/>
                <w:szCs w:val="20"/>
              </w:rPr>
              <w:t>675.2</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62BE59FB" w14:textId="77777777" w:rsidR="001F01A2" w:rsidRPr="004F469F" w:rsidRDefault="001F01A2" w:rsidP="00A967F3">
            <w:pPr>
              <w:jc w:val="center"/>
              <w:rPr>
                <w:i/>
                <w:iCs/>
                <w:sz w:val="20"/>
                <w:szCs w:val="20"/>
              </w:rPr>
            </w:pPr>
            <w:r w:rsidRPr="004F469F">
              <w:rPr>
                <w:i/>
                <w:iCs/>
                <w:sz w:val="20"/>
                <w:szCs w:val="20"/>
              </w:rPr>
              <w:t>0</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3B8ECB80" w14:textId="77777777" w:rsidR="001F01A2" w:rsidRPr="004F469F" w:rsidRDefault="001F01A2" w:rsidP="00A967F3">
            <w:pPr>
              <w:jc w:val="center"/>
              <w:rPr>
                <w:i/>
                <w:iCs/>
                <w:sz w:val="20"/>
                <w:szCs w:val="20"/>
              </w:rPr>
            </w:pPr>
            <w:r w:rsidRPr="004F469F">
              <w:rPr>
                <w:i/>
                <w:iCs/>
                <w:sz w:val="20"/>
                <w:szCs w:val="20"/>
              </w:rPr>
              <w:t>564</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7021B4C1" w14:textId="77777777" w:rsidR="001F01A2" w:rsidRPr="004F469F" w:rsidRDefault="001F01A2" w:rsidP="00A967F3">
            <w:pPr>
              <w:jc w:val="center"/>
              <w:rPr>
                <w:i/>
                <w:iCs/>
                <w:sz w:val="20"/>
                <w:szCs w:val="20"/>
              </w:rPr>
            </w:pPr>
            <w:r w:rsidRPr="004F469F">
              <w:rPr>
                <w:i/>
                <w:iCs/>
                <w:sz w:val="20"/>
                <w:szCs w:val="20"/>
              </w:rPr>
              <w:t>2,441</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58204659" w14:textId="77777777" w:rsidR="001F01A2" w:rsidRPr="004F469F" w:rsidRDefault="001F01A2" w:rsidP="00A967F3">
            <w:pPr>
              <w:jc w:val="center"/>
              <w:rPr>
                <w:i/>
                <w:iCs/>
                <w:sz w:val="20"/>
                <w:szCs w:val="20"/>
              </w:rPr>
            </w:pPr>
            <w:r w:rsidRPr="004F469F">
              <w:rPr>
                <w:i/>
                <w:iCs/>
                <w:sz w:val="20"/>
                <w:szCs w:val="20"/>
              </w:rPr>
              <w:t>39,231</w:t>
            </w:r>
          </w:p>
        </w:tc>
      </w:tr>
      <w:tr w:rsidR="00494669" w:rsidRPr="004F469F" w14:paraId="72383DFE" w14:textId="77777777" w:rsidTr="00A967F3">
        <w:trPr>
          <w:trHeight w:val="320"/>
        </w:trPr>
        <w:tc>
          <w:tcPr>
            <w:tcW w:w="0" w:type="auto"/>
            <w:gridSpan w:val="9"/>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95F25C2" w14:textId="2EB6BFC2" w:rsidR="001F01A2" w:rsidRPr="004F469F" w:rsidRDefault="001F01A2" w:rsidP="00A967F3">
            <w:pPr>
              <w:jc w:val="center"/>
              <w:rPr>
                <w:rFonts w:eastAsia="Arial Unicode MS"/>
                <w:sz w:val="20"/>
                <w:szCs w:val="20"/>
              </w:rPr>
            </w:pPr>
          </w:p>
        </w:tc>
      </w:tr>
      <w:tr w:rsidR="00494669" w:rsidRPr="004F469F" w14:paraId="6D566180"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AF3427" w14:textId="33E74F9E" w:rsidR="001F01A2" w:rsidRPr="004F469F" w:rsidRDefault="001F01A2" w:rsidP="00A967F3">
            <w:pPr>
              <w:jc w:val="center"/>
              <w:rPr>
                <w:sz w:val="20"/>
                <w:szCs w:val="20"/>
              </w:rPr>
            </w:pPr>
          </w:p>
        </w:tc>
        <w:tc>
          <w:tcPr>
            <w:tcW w:w="0" w:type="auto"/>
            <w:gridSpan w:val="8"/>
            <w:tcBorders>
              <w:top w:val="single" w:sz="4" w:space="0" w:color="auto"/>
              <w:left w:val="nil"/>
              <w:bottom w:val="single" w:sz="4" w:space="0" w:color="auto"/>
              <w:right w:val="single" w:sz="4" w:space="0" w:color="auto"/>
            </w:tcBorders>
            <w:shd w:val="clear" w:color="auto" w:fill="auto"/>
            <w:noWrap/>
            <w:vAlign w:val="center"/>
            <w:hideMark/>
          </w:tcPr>
          <w:p w14:paraId="4670B82D" w14:textId="77777777" w:rsidR="001F01A2" w:rsidRPr="004F469F" w:rsidRDefault="001F01A2" w:rsidP="00A967F3">
            <w:pPr>
              <w:jc w:val="center"/>
              <w:rPr>
                <w:rFonts w:eastAsia="Arial Unicode MS"/>
                <w:i/>
                <w:iCs/>
                <w:sz w:val="20"/>
                <w:szCs w:val="20"/>
              </w:rPr>
            </w:pPr>
            <w:r w:rsidRPr="004F469F">
              <w:rPr>
                <w:rFonts w:eastAsia="Arial Unicode MS"/>
                <w:i/>
                <w:iCs/>
                <w:sz w:val="20"/>
                <w:szCs w:val="20"/>
              </w:rPr>
              <w:t>PPEMED</w:t>
            </w:r>
          </w:p>
        </w:tc>
      </w:tr>
      <w:tr w:rsidR="00494669" w:rsidRPr="004F469F" w14:paraId="12712559"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E74C76" w14:textId="4BE62794" w:rsidR="001F01A2" w:rsidRPr="004F469F" w:rsidRDefault="001F01A2" w:rsidP="00A967F3">
            <w:pPr>
              <w:jc w:val="center"/>
              <w:rPr>
                <w:rFonts w:eastAsia="Arial Unicode MS"/>
                <w:sz w:val="20"/>
                <w:szCs w:val="20"/>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356D0024" w14:textId="5C8DB696" w:rsidR="001F01A2" w:rsidRPr="004F469F" w:rsidRDefault="00A967F3" w:rsidP="00A967F3">
            <w:pPr>
              <w:jc w:val="center"/>
              <w:rPr>
                <w:sz w:val="20"/>
                <w:szCs w:val="20"/>
              </w:rPr>
            </w:pPr>
            <w:r w:rsidRPr="004F469F">
              <w:rPr>
                <w:sz w:val="20"/>
                <w:szCs w:val="20"/>
              </w:rPr>
              <w:t xml:space="preserve">r </w:t>
            </w:r>
            <w:r w:rsidR="001F01A2" w:rsidRPr="004F469F">
              <w:rPr>
                <w:sz w:val="20"/>
                <w:szCs w:val="20"/>
              </w:rPr>
              <w:t>=</w:t>
            </w:r>
            <w:r w:rsidRPr="004F469F">
              <w:rPr>
                <w:sz w:val="20"/>
                <w:szCs w:val="20"/>
              </w:rPr>
              <w:t xml:space="preserve"> </w:t>
            </w:r>
            <w:r w:rsidR="001F01A2" w:rsidRPr="004F469F">
              <w:rPr>
                <w:sz w:val="20"/>
                <w:szCs w:val="20"/>
              </w:rPr>
              <w:t>10 km</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31AB448A" w14:textId="6492964F" w:rsidR="001F01A2" w:rsidRPr="004F469F" w:rsidRDefault="00A967F3" w:rsidP="00A967F3">
            <w:pPr>
              <w:jc w:val="center"/>
              <w:rPr>
                <w:sz w:val="20"/>
                <w:szCs w:val="20"/>
              </w:rPr>
            </w:pPr>
            <w:r w:rsidRPr="004F469F">
              <w:rPr>
                <w:sz w:val="20"/>
                <w:szCs w:val="20"/>
              </w:rPr>
              <w:t xml:space="preserve">r </w:t>
            </w:r>
            <w:r w:rsidR="001F01A2" w:rsidRPr="004F469F">
              <w:rPr>
                <w:sz w:val="20"/>
                <w:szCs w:val="20"/>
              </w:rPr>
              <w:t>=</w:t>
            </w:r>
            <w:r w:rsidRPr="004F469F">
              <w:rPr>
                <w:sz w:val="20"/>
                <w:szCs w:val="20"/>
              </w:rPr>
              <w:t xml:space="preserve"> </w:t>
            </w:r>
            <w:r w:rsidR="001F01A2" w:rsidRPr="004F469F">
              <w:rPr>
                <w:sz w:val="20"/>
                <w:szCs w:val="20"/>
              </w:rPr>
              <w:t>40 km</w:t>
            </w:r>
          </w:p>
        </w:tc>
      </w:tr>
      <w:tr w:rsidR="00494669" w:rsidRPr="004F469F" w14:paraId="3B70BF6C"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B27830" w14:textId="77777777" w:rsidR="001F01A2" w:rsidRPr="004F469F" w:rsidRDefault="001F01A2" w:rsidP="00A967F3">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6EB98D65"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5F72523A"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3FC962B2"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2BDC2886" w14:textId="77777777" w:rsidR="001F01A2" w:rsidRPr="004F469F" w:rsidRDefault="001F01A2" w:rsidP="00A967F3">
            <w:pPr>
              <w:jc w:val="center"/>
              <w:rPr>
                <w:b/>
                <w:bCs/>
                <w:sz w:val="20"/>
                <w:szCs w:val="20"/>
              </w:rPr>
            </w:pPr>
            <w:r w:rsidRPr="004F469F">
              <w:rPr>
                <w:b/>
                <w:bCs/>
                <w:sz w:val="20"/>
                <w:szCs w:val="20"/>
              </w:rPr>
              <w:t>MAX</w:t>
            </w:r>
          </w:p>
        </w:tc>
        <w:tc>
          <w:tcPr>
            <w:tcW w:w="0" w:type="auto"/>
            <w:tcBorders>
              <w:top w:val="nil"/>
              <w:left w:val="nil"/>
              <w:bottom w:val="single" w:sz="4" w:space="0" w:color="auto"/>
              <w:right w:val="single" w:sz="4" w:space="0" w:color="auto"/>
            </w:tcBorders>
            <w:shd w:val="clear" w:color="auto" w:fill="auto"/>
            <w:noWrap/>
            <w:vAlign w:val="center"/>
            <w:hideMark/>
          </w:tcPr>
          <w:p w14:paraId="380B58B3"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26569176"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62172BD0"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2DF8C380" w14:textId="77777777" w:rsidR="001F01A2" w:rsidRPr="004F469F" w:rsidRDefault="001F01A2" w:rsidP="00A967F3">
            <w:pPr>
              <w:jc w:val="center"/>
              <w:rPr>
                <w:b/>
                <w:bCs/>
                <w:sz w:val="20"/>
                <w:szCs w:val="20"/>
              </w:rPr>
            </w:pPr>
            <w:r w:rsidRPr="004F469F">
              <w:rPr>
                <w:b/>
                <w:bCs/>
                <w:sz w:val="20"/>
                <w:szCs w:val="20"/>
              </w:rPr>
              <w:t>MAX</w:t>
            </w:r>
          </w:p>
        </w:tc>
      </w:tr>
      <w:tr w:rsidR="00494669" w:rsidRPr="004F469F" w14:paraId="3E340AE7"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6C555E" w14:textId="57894808" w:rsidR="001F01A2" w:rsidRPr="004F469F" w:rsidRDefault="001F01A2" w:rsidP="00A967F3">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2A13EDC3" w14:textId="77777777" w:rsidR="001F01A2" w:rsidRPr="004F469F" w:rsidRDefault="001F01A2" w:rsidP="00A967F3">
            <w:pPr>
              <w:jc w:val="center"/>
              <w:rPr>
                <w:sz w:val="20"/>
                <w:szCs w:val="20"/>
              </w:rPr>
            </w:pPr>
            <w:r w:rsidRPr="004F469F">
              <w:rPr>
                <w:sz w:val="20"/>
                <w:szCs w:val="20"/>
              </w:rPr>
              <w:t>59</w:t>
            </w:r>
          </w:p>
        </w:tc>
        <w:tc>
          <w:tcPr>
            <w:tcW w:w="0" w:type="auto"/>
            <w:tcBorders>
              <w:top w:val="nil"/>
              <w:left w:val="nil"/>
              <w:bottom w:val="single" w:sz="4" w:space="0" w:color="auto"/>
              <w:right w:val="single" w:sz="4" w:space="0" w:color="auto"/>
            </w:tcBorders>
            <w:shd w:val="clear" w:color="auto" w:fill="auto"/>
            <w:noWrap/>
            <w:vAlign w:val="center"/>
            <w:hideMark/>
          </w:tcPr>
          <w:p w14:paraId="599519FF" w14:textId="77777777" w:rsidR="001F01A2" w:rsidRPr="004F469F" w:rsidRDefault="001F01A2" w:rsidP="00A967F3">
            <w:pPr>
              <w:jc w:val="center"/>
              <w:rPr>
                <w:sz w:val="20"/>
                <w:szCs w:val="20"/>
              </w:rPr>
            </w:pPr>
            <w:r w:rsidRPr="004F469F">
              <w:rPr>
                <w:sz w:val="20"/>
                <w:szCs w:val="20"/>
              </w:rPr>
              <w:t>554</w:t>
            </w:r>
          </w:p>
        </w:tc>
        <w:tc>
          <w:tcPr>
            <w:tcW w:w="0" w:type="auto"/>
            <w:tcBorders>
              <w:top w:val="nil"/>
              <w:left w:val="nil"/>
              <w:bottom w:val="single" w:sz="4" w:space="0" w:color="auto"/>
              <w:right w:val="single" w:sz="4" w:space="0" w:color="auto"/>
            </w:tcBorders>
            <w:shd w:val="clear" w:color="auto" w:fill="auto"/>
            <w:noWrap/>
            <w:vAlign w:val="center"/>
            <w:hideMark/>
          </w:tcPr>
          <w:p w14:paraId="48132267" w14:textId="77777777" w:rsidR="001F01A2" w:rsidRPr="004F469F" w:rsidRDefault="001F01A2" w:rsidP="00A967F3">
            <w:pPr>
              <w:jc w:val="center"/>
              <w:rPr>
                <w:sz w:val="20"/>
                <w:szCs w:val="20"/>
              </w:rPr>
            </w:pPr>
            <w:r w:rsidRPr="004F469F">
              <w:rPr>
                <w:sz w:val="20"/>
                <w:szCs w:val="20"/>
              </w:rPr>
              <w:t>1,068</w:t>
            </w:r>
          </w:p>
        </w:tc>
        <w:tc>
          <w:tcPr>
            <w:tcW w:w="0" w:type="auto"/>
            <w:tcBorders>
              <w:top w:val="nil"/>
              <w:left w:val="nil"/>
              <w:bottom w:val="single" w:sz="4" w:space="0" w:color="auto"/>
              <w:right w:val="single" w:sz="4" w:space="0" w:color="auto"/>
            </w:tcBorders>
            <w:shd w:val="clear" w:color="auto" w:fill="auto"/>
            <w:noWrap/>
            <w:vAlign w:val="center"/>
            <w:hideMark/>
          </w:tcPr>
          <w:p w14:paraId="211BB04C" w14:textId="77777777" w:rsidR="001F01A2" w:rsidRPr="004F469F" w:rsidRDefault="001F01A2" w:rsidP="00A967F3">
            <w:pPr>
              <w:jc w:val="center"/>
              <w:rPr>
                <w:sz w:val="20"/>
                <w:szCs w:val="20"/>
              </w:rPr>
            </w:pPr>
            <w:r w:rsidRPr="004F469F">
              <w:rPr>
                <w:sz w:val="20"/>
                <w:szCs w:val="20"/>
              </w:rPr>
              <w:t>3,166</w:t>
            </w:r>
          </w:p>
        </w:tc>
        <w:tc>
          <w:tcPr>
            <w:tcW w:w="0" w:type="auto"/>
            <w:tcBorders>
              <w:top w:val="nil"/>
              <w:left w:val="nil"/>
              <w:bottom w:val="single" w:sz="4" w:space="0" w:color="auto"/>
              <w:right w:val="single" w:sz="4" w:space="0" w:color="auto"/>
            </w:tcBorders>
            <w:shd w:val="clear" w:color="auto" w:fill="auto"/>
            <w:noWrap/>
            <w:vAlign w:val="center"/>
            <w:hideMark/>
          </w:tcPr>
          <w:p w14:paraId="3E471625" w14:textId="77777777" w:rsidR="001F01A2" w:rsidRPr="004F469F" w:rsidRDefault="001F01A2" w:rsidP="00A967F3">
            <w:pPr>
              <w:jc w:val="center"/>
              <w:rPr>
                <w:sz w:val="20"/>
                <w:szCs w:val="20"/>
              </w:rPr>
            </w:pPr>
            <w:r w:rsidRPr="004F469F">
              <w:rPr>
                <w:sz w:val="20"/>
                <w:szCs w:val="20"/>
              </w:rPr>
              <w:t>39</w:t>
            </w:r>
          </w:p>
        </w:tc>
        <w:tc>
          <w:tcPr>
            <w:tcW w:w="0" w:type="auto"/>
            <w:tcBorders>
              <w:top w:val="nil"/>
              <w:left w:val="nil"/>
              <w:bottom w:val="single" w:sz="4" w:space="0" w:color="auto"/>
              <w:right w:val="single" w:sz="4" w:space="0" w:color="auto"/>
            </w:tcBorders>
            <w:shd w:val="clear" w:color="auto" w:fill="auto"/>
            <w:noWrap/>
            <w:vAlign w:val="center"/>
            <w:hideMark/>
          </w:tcPr>
          <w:p w14:paraId="48296EAB" w14:textId="77777777" w:rsidR="001F01A2" w:rsidRPr="004F469F" w:rsidRDefault="001F01A2" w:rsidP="00A967F3">
            <w:pPr>
              <w:jc w:val="center"/>
              <w:rPr>
                <w:sz w:val="20"/>
                <w:szCs w:val="20"/>
              </w:rPr>
            </w:pPr>
            <w:r w:rsidRPr="004F469F">
              <w:rPr>
                <w:sz w:val="20"/>
                <w:szCs w:val="20"/>
              </w:rPr>
              <w:t>404</w:t>
            </w:r>
          </w:p>
        </w:tc>
        <w:tc>
          <w:tcPr>
            <w:tcW w:w="0" w:type="auto"/>
            <w:tcBorders>
              <w:top w:val="nil"/>
              <w:left w:val="nil"/>
              <w:bottom w:val="single" w:sz="4" w:space="0" w:color="auto"/>
              <w:right w:val="single" w:sz="4" w:space="0" w:color="auto"/>
            </w:tcBorders>
            <w:shd w:val="clear" w:color="auto" w:fill="auto"/>
            <w:noWrap/>
            <w:vAlign w:val="center"/>
            <w:hideMark/>
          </w:tcPr>
          <w:p w14:paraId="78877F2B" w14:textId="77777777" w:rsidR="001F01A2" w:rsidRPr="004F469F" w:rsidRDefault="001F01A2" w:rsidP="00A967F3">
            <w:pPr>
              <w:jc w:val="center"/>
              <w:rPr>
                <w:sz w:val="20"/>
                <w:szCs w:val="20"/>
              </w:rPr>
            </w:pPr>
            <w:r w:rsidRPr="004F469F">
              <w:rPr>
                <w:sz w:val="20"/>
                <w:szCs w:val="20"/>
              </w:rPr>
              <w:t>821</w:t>
            </w:r>
          </w:p>
        </w:tc>
        <w:tc>
          <w:tcPr>
            <w:tcW w:w="0" w:type="auto"/>
            <w:tcBorders>
              <w:top w:val="nil"/>
              <w:left w:val="nil"/>
              <w:bottom w:val="single" w:sz="4" w:space="0" w:color="auto"/>
              <w:right w:val="single" w:sz="4" w:space="0" w:color="auto"/>
            </w:tcBorders>
            <w:shd w:val="clear" w:color="auto" w:fill="auto"/>
            <w:noWrap/>
            <w:vAlign w:val="center"/>
            <w:hideMark/>
          </w:tcPr>
          <w:p w14:paraId="012687CA" w14:textId="77777777" w:rsidR="001F01A2" w:rsidRPr="004F469F" w:rsidRDefault="001F01A2" w:rsidP="00A967F3">
            <w:pPr>
              <w:jc w:val="center"/>
              <w:rPr>
                <w:sz w:val="20"/>
                <w:szCs w:val="20"/>
              </w:rPr>
            </w:pPr>
            <w:r w:rsidRPr="004F469F">
              <w:rPr>
                <w:sz w:val="20"/>
                <w:szCs w:val="20"/>
              </w:rPr>
              <w:t>3,027</w:t>
            </w:r>
          </w:p>
        </w:tc>
      </w:tr>
      <w:tr w:rsidR="00494669" w:rsidRPr="004F469F" w14:paraId="30E931FF"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931470" w14:textId="489D50FE" w:rsidR="001F01A2" w:rsidRPr="004F469F" w:rsidRDefault="001F01A2" w:rsidP="00A967F3">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3E83EDCC"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6466E2B" w14:textId="77777777" w:rsidR="001F01A2" w:rsidRPr="004F469F" w:rsidRDefault="001F01A2" w:rsidP="00A967F3">
            <w:pPr>
              <w:jc w:val="center"/>
              <w:rPr>
                <w:sz w:val="20"/>
                <w:szCs w:val="20"/>
              </w:rPr>
            </w:pPr>
            <w:r w:rsidRPr="004F469F">
              <w:rPr>
                <w:sz w:val="20"/>
                <w:szCs w:val="20"/>
              </w:rPr>
              <w:t>40</w:t>
            </w:r>
          </w:p>
        </w:tc>
        <w:tc>
          <w:tcPr>
            <w:tcW w:w="0" w:type="auto"/>
            <w:tcBorders>
              <w:top w:val="nil"/>
              <w:left w:val="nil"/>
              <w:bottom w:val="single" w:sz="4" w:space="0" w:color="auto"/>
              <w:right w:val="single" w:sz="4" w:space="0" w:color="auto"/>
            </w:tcBorders>
            <w:shd w:val="clear" w:color="auto" w:fill="auto"/>
            <w:noWrap/>
            <w:vAlign w:val="center"/>
            <w:hideMark/>
          </w:tcPr>
          <w:p w14:paraId="36FD5744" w14:textId="77777777" w:rsidR="001F01A2" w:rsidRPr="004F469F" w:rsidRDefault="001F01A2" w:rsidP="00A967F3">
            <w:pPr>
              <w:jc w:val="center"/>
              <w:rPr>
                <w:sz w:val="20"/>
                <w:szCs w:val="20"/>
              </w:rPr>
            </w:pPr>
            <w:r w:rsidRPr="004F469F">
              <w:rPr>
                <w:sz w:val="20"/>
                <w:szCs w:val="20"/>
              </w:rPr>
              <w:t>261</w:t>
            </w:r>
          </w:p>
        </w:tc>
        <w:tc>
          <w:tcPr>
            <w:tcW w:w="0" w:type="auto"/>
            <w:tcBorders>
              <w:top w:val="nil"/>
              <w:left w:val="nil"/>
              <w:bottom w:val="single" w:sz="4" w:space="0" w:color="auto"/>
              <w:right w:val="single" w:sz="4" w:space="0" w:color="auto"/>
            </w:tcBorders>
            <w:shd w:val="clear" w:color="auto" w:fill="auto"/>
            <w:noWrap/>
            <w:vAlign w:val="center"/>
            <w:hideMark/>
          </w:tcPr>
          <w:p w14:paraId="300997E8" w14:textId="77777777" w:rsidR="001F01A2" w:rsidRPr="004F469F" w:rsidRDefault="001F01A2" w:rsidP="00A967F3">
            <w:pPr>
              <w:jc w:val="center"/>
              <w:rPr>
                <w:sz w:val="20"/>
                <w:szCs w:val="20"/>
              </w:rPr>
            </w:pPr>
            <w:r w:rsidRPr="004F469F">
              <w:rPr>
                <w:sz w:val="20"/>
                <w:szCs w:val="20"/>
              </w:rPr>
              <w:t>4,408</w:t>
            </w:r>
          </w:p>
        </w:tc>
        <w:tc>
          <w:tcPr>
            <w:tcW w:w="0" w:type="auto"/>
            <w:tcBorders>
              <w:top w:val="nil"/>
              <w:left w:val="nil"/>
              <w:bottom w:val="single" w:sz="4" w:space="0" w:color="auto"/>
              <w:right w:val="single" w:sz="4" w:space="0" w:color="auto"/>
            </w:tcBorders>
            <w:shd w:val="clear" w:color="auto" w:fill="auto"/>
            <w:noWrap/>
            <w:vAlign w:val="center"/>
            <w:hideMark/>
          </w:tcPr>
          <w:p w14:paraId="7B156EB4"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044DDEA" w14:textId="77777777" w:rsidR="001F01A2" w:rsidRPr="004F469F" w:rsidRDefault="001F01A2" w:rsidP="00A967F3">
            <w:pPr>
              <w:jc w:val="center"/>
              <w:rPr>
                <w:sz w:val="20"/>
                <w:szCs w:val="20"/>
              </w:rPr>
            </w:pPr>
            <w:r w:rsidRPr="004F469F">
              <w:rPr>
                <w:sz w:val="20"/>
                <w:szCs w:val="20"/>
              </w:rPr>
              <w:t>52</w:t>
            </w:r>
          </w:p>
        </w:tc>
        <w:tc>
          <w:tcPr>
            <w:tcW w:w="0" w:type="auto"/>
            <w:tcBorders>
              <w:top w:val="nil"/>
              <w:left w:val="nil"/>
              <w:bottom w:val="single" w:sz="4" w:space="0" w:color="auto"/>
              <w:right w:val="single" w:sz="4" w:space="0" w:color="auto"/>
            </w:tcBorders>
            <w:shd w:val="clear" w:color="auto" w:fill="auto"/>
            <w:noWrap/>
            <w:vAlign w:val="center"/>
            <w:hideMark/>
          </w:tcPr>
          <w:p w14:paraId="6D020A7C" w14:textId="77777777" w:rsidR="001F01A2" w:rsidRPr="004F469F" w:rsidRDefault="001F01A2" w:rsidP="00A967F3">
            <w:pPr>
              <w:jc w:val="center"/>
              <w:rPr>
                <w:sz w:val="20"/>
                <w:szCs w:val="20"/>
              </w:rPr>
            </w:pPr>
            <w:r w:rsidRPr="004F469F">
              <w:rPr>
                <w:sz w:val="20"/>
                <w:szCs w:val="20"/>
              </w:rPr>
              <w:t>231</w:t>
            </w:r>
          </w:p>
        </w:tc>
        <w:tc>
          <w:tcPr>
            <w:tcW w:w="0" w:type="auto"/>
            <w:tcBorders>
              <w:top w:val="nil"/>
              <w:left w:val="nil"/>
              <w:bottom w:val="single" w:sz="4" w:space="0" w:color="auto"/>
              <w:right w:val="single" w:sz="4" w:space="0" w:color="auto"/>
            </w:tcBorders>
            <w:shd w:val="clear" w:color="auto" w:fill="auto"/>
            <w:noWrap/>
            <w:vAlign w:val="center"/>
            <w:hideMark/>
          </w:tcPr>
          <w:p w14:paraId="025924E6" w14:textId="77777777" w:rsidR="001F01A2" w:rsidRPr="004F469F" w:rsidRDefault="001F01A2" w:rsidP="00A967F3">
            <w:pPr>
              <w:jc w:val="center"/>
              <w:rPr>
                <w:sz w:val="20"/>
                <w:szCs w:val="20"/>
              </w:rPr>
            </w:pPr>
            <w:r w:rsidRPr="004F469F">
              <w:rPr>
                <w:sz w:val="20"/>
                <w:szCs w:val="20"/>
              </w:rPr>
              <w:t>3,116</w:t>
            </w:r>
          </w:p>
        </w:tc>
      </w:tr>
      <w:tr w:rsidR="00494669" w:rsidRPr="004F469F" w14:paraId="2088EBA6"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2FBE14" w14:textId="5639044D" w:rsidR="001F01A2" w:rsidRPr="004F469F" w:rsidRDefault="001F01A2" w:rsidP="00A967F3">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2B9C102F" w14:textId="77777777" w:rsidR="001F01A2" w:rsidRPr="004F469F" w:rsidRDefault="001F01A2" w:rsidP="00A967F3">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1D25ABED" w14:textId="77777777" w:rsidR="001F01A2" w:rsidRPr="004F469F" w:rsidRDefault="001F01A2" w:rsidP="00A967F3">
            <w:pPr>
              <w:jc w:val="center"/>
              <w:rPr>
                <w:sz w:val="20"/>
                <w:szCs w:val="20"/>
              </w:rPr>
            </w:pPr>
            <w:r w:rsidRPr="004F469F">
              <w:rPr>
                <w:sz w:val="20"/>
                <w:szCs w:val="20"/>
              </w:rPr>
              <w:t>967</w:t>
            </w:r>
          </w:p>
        </w:tc>
        <w:tc>
          <w:tcPr>
            <w:tcW w:w="0" w:type="auto"/>
            <w:tcBorders>
              <w:top w:val="nil"/>
              <w:left w:val="nil"/>
              <w:bottom w:val="single" w:sz="4" w:space="0" w:color="auto"/>
              <w:right w:val="single" w:sz="4" w:space="0" w:color="auto"/>
            </w:tcBorders>
            <w:shd w:val="clear" w:color="auto" w:fill="auto"/>
            <w:noWrap/>
            <w:vAlign w:val="center"/>
            <w:hideMark/>
          </w:tcPr>
          <w:p w14:paraId="49415633" w14:textId="77777777" w:rsidR="001F01A2" w:rsidRPr="004F469F" w:rsidRDefault="001F01A2" w:rsidP="00A967F3">
            <w:pPr>
              <w:jc w:val="center"/>
              <w:rPr>
                <w:sz w:val="20"/>
                <w:szCs w:val="20"/>
              </w:rPr>
            </w:pPr>
            <w:r w:rsidRPr="004F469F">
              <w:rPr>
                <w:sz w:val="20"/>
                <w:szCs w:val="20"/>
              </w:rPr>
              <w:t>3,258</w:t>
            </w:r>
          </w:p>
        </w:tc>
        <w:tc>
          <w:tcPr>
            <w:tcW w:w="0" w:type="auto"/>
            <w:tcBorders>
              <w:top w:val="nil"/>
              <w:left w:val="nil"/>
              <w:bottom w:val="single" w:sz="4" w:space="0" w:color="auto"/>
              <w:right w:val="single" w:sz="4" w:space="0" w:color="auto"/>
            </w:tcBorders>
            <w:shd w:val="clear" w:color="auto" w:fill="auto"/>
            <w:noWrap/>
            <w:vAlign w:val="center"/>
            <w:hideMark/>
          </w:tcPr>
          <w:p w14:paraId="6A94B7B8" w14:textId="77777777" w:rsidR="001F01A2" w:rsidRPr="004F469F" w:rsidRDefault="001F01A2" w:rsidP="00A967F3">
            <w:pPr>
              <w:jc w:val="center"/>
              <w:rPr>
                <w:sz w:val="20"/>
                <w:szCs w:val="20"/>
              </w:rPr>
            </w:pPr>
            <w:r w:rsidRPr="004F469F">
              <w:rPr>
                <w:sz w:val="20"/>
                <w:szCs w:val="20"/>
              </w:rPr>
              <w:t>41,949</w:t>
            </w:r>
          </w:p>
        </w:tc>
        <w:tc>
          <w:tcPr>
            <w:tcW w:w="0" w:type="auto"/>
            <w:tcBorders>
              <w:top w:val="nil"/>
              <w:left w:val="nil"/>
              <w:bottom w:val="single" w:sz="4" w:space="0" w:color="auto"/>
              <w:right w:val="single" w:sz="4" w:space="0" w:color="auto"/>
            </w:tcBorders>
            <w:shd w:val="clear" w:color="auto" w:fill="auto"/>
            <w:noWrap/>
            <w:vAlign w:val="center"/>
            <w:hideMark/>
          </w:tcPr>
          <w:p w14:paraId="6658FBD6" w14:textId="77777777" w:rsidR="001F01A2" w:rsidRPr="004F469F" w:rsidRDefault="001F01A2" w:rsidP="00A967F3">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7EC23374" w14:textId="77777777" w:rsidR="001F01A2" w:rsidRPr="004F469F" w:rsidRDefault="001F01A2" w:rsidP="00A967F3">
            <w:pPr>
              <w:jc w:val="center"/>
              <w:rPr>
                <w:sz w:val="20"/>
                <w:szCs w:val="20"/>
              </w:rPr>
            </w:pPr>
            <w:r w:rsidRPr="004F469F">
              <w:rPr>
                <w:sz w:val="20"/>
                <w:szCs w:val="20"/>
              </w:rPr>
              <w:t>659</w:t>
            </w:r>
          </w:p>
        </w:tc>
        <w:tc>
          <w:tcPr>
            <w:tcW w:w="0" w:type="auto"/>
            <w:tcBorders>
              <w:top w:val="nil"/>
              <w:left w:val="nil"/>
              <w:bottom w:val="single" w:sz="4" w:space="0" w:color="auto"/>
              <w:right w:val="single" w:sz="4" w:space="0" w:color="auto"/>
            </w:tcBorders>
            <w:shd w:val="clear" w:color="auto" w:fill="auto"/>
            <w:noWrap/>
            <w:vAlign w:val="center"/>
            <w:hideMark/>
          </w:tcPr>
          <w:p w14:paraId="7B3CECDC" w14:textId="77777777" w:rsidR="001F01A2" w:rsidRPr="004F469F" w:rsidRDefault="001F01A2" w:rsidP="00A967F3">
            <w:pPr>
              <w:jc w:val="center"/>
              <w:rPr>
                <w:sz w:val="20"/>
                <w:szCs w:val="20"/>
              </w:rPr>
            </w:pPr>
            <w:r w:rsidRPr="004F469F">
              <w:rPr>
                <w:sz w:val="20"/>
                <w:szCs w:val="20"/>
              </w:rPr>
              <w:t>2,110</w:t>
            </w:r>
          </w:p>
        </w:tc>
        <w:tc>
          <w:tcPr>
            <w:tcW w:w="0" w:type="auto"/>
            <w:tcBorders>
              <w:top w:val="nil"/>
              <w:left w:val="nil"/>
              <w:bottom w:val="single" w:sz="4" w:space="0" w:color="auto"/>
              <w:right w:val="single" w:sz="4" w:space="0" w:color="auto"/>
            </w:tcBorders>
            <w:shd w:val="clear" w:color="auto" w:fill="auto"/>
            <w:noWrap/>
            <w:vAlign w:val="center"/>
            <w:hideMark/>
          </w:tcPr>
          <w:p w14:paraId="6B57C0B6" w14:textId="77777777" w:rsidR="001F01A2" w:rsidRPr="004F469F" w:rsidRDefault="001F01A2" w:rsidP="00A967F3">
            <w:pPr>
              <w:jc w:val="center"/>
              <w:rPr>
                <w:sz w:val="20"/>
                <w:szCs w:val="20"/>
              </w:rPr>
            </w:pPr>
            <w:r w:rsidRPr="004F469F">
              <w:rPr>
                <w:sz w:val="20"/>
                <w:szCs w:val="20"/>
              </w:rPr>
              <w:t>17,807</w:t>
            </w:r>
          </w:p>
        </w:tc>
      </w:tr>
      <w:tr w:rsidR="00494669" w:rsidRPr="004F469F" w14:paraId="4E49A7D5" w14:textId="77777777" w:rsidTr="00A967F3">
        <w:trPr>
          <w:trHeight w:val="320"/>
        </w:trPr>
        <w:tc>
          <w:tcPr>
            <w:tcW w:w="0" w:type="auto"/>
            <w:tcBorders>
              <w:top w:val="nil"/>
              <w:left w:val="single" w:sz="4" w:space="0" w:color="auto"/>
              <w:bottom w:val="single" w:sz="12" w:space="0" w:color="auto"/>
              <w:right w:val="single" w:sz="4" w:space="0" w:color="auto"/>
            </w:tcBorders>
            <w:shd w:val="clear" w:color="auto" w:fill="auto"/>
            <w:noWrap/>
            <w:vAlign w:val="center"/>
            <w:hideMark/>
          </w:tcPr>
          <w:p w14:paraId="3FC4F794" w14:textId="6466EA9E" w:rsidR="001F01A2" w:rsidRPr="004F469F" w:rsidRDefault="001F01A2" w:rsidP="00A967F3">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12" w:space="0" w:color="auto"/>
              <w:right w:val="single" w:sz="4" w:space="0" w:color="auto"/>
            </w:tcBorders>
            <w:shd w:val="clear" w:color="auto" w:fill="auto"/>
            <w:noWrap/>
            <w:vAlign w:val="center"/>
            <w:hideMark/>
          </w:tcPr>
          <w:p w14:paraId="025AAC0E" w14:textId="77777777" w:rsidR="001F01A2" w:rsidRPr="004F469F" w:rsidRDefault="001F01A2" w:rsidP="00A967F3">
            <w:pPr>
              <w:jc w:val="center"/>
              <w:rPr>
                <w:sz w:val="20"/>
                <w:szCs w:val="20"/>
              </w:rPr>
            </w:pPr>
            <w:r w:rsidRPr="004F469F">
              <w:rPr>
                <w:sz w:val="20"/>
                <w:szCs w:val="20"/>
              </w:rPr>
              <w:t>1</w:t>
            </w:r>
          </w:p>
        </w:tc>
        <w:tc>
          <w:tcPr>
            <w:tcW w:w="0" w:type="auto"/>
            <w:tcBorders>
              <w:top w:val="nil"/>
              <w:left w:val="nil"/>
              <w:bottom w:val="single" w:sz="12" w:space="0" w:color="auto"/>
              <w:right w:val="single" w:sz="4" w:space="0" w:color="auto"/>
            </w:tcBorders>
            <w:shd w:val="clear" w:color="auto" w:fill="auto"/>
            <w:noWrap/>
            <w:vAlign w:val="center"/>
            <w:hideMark/>
          </w:tcPr>
          <w:p w14:paraId="6B874CE8" w14:textId="77777777" w:rsidR="001F01A2" w:rsidRPr="004F469F" w:rsidRDefault="001F01A2" w:rsidP="00A967F3">
            <w:pPr>
              <w:jc w:val="center"/>
              <w:rPr>
                <w:sz w:val="20"/>
                <w:szCs w:val="20"/>
              </w:rPr>
            </w:pPr>
            <w:r w:rsidRPr="004F469F">
              <w:rPr>
                <w:sz w:val="20"/>
                <w:szCs w:val="20"/>
              </w:rPr>
              <w:t>346</w:t>
            </w:r>
          </w:p>
        </w:tc>
        <w:tc>
          <w:tcPr>
            <w:tcW w:w="0" w:type="auto"/>
            <w:tcBorders>
              <w:top w:val="nil"/>
              <w:left w:val="nil"/>
              <w:bottom w:val="single" w:sz="12" w:space="0" w:color="auto"/>
              <w:right w:val="single" w:sz="4" w:space="0" w:color="auto"/>
            </w:tcBorders>
            <w:shd w:val="clear" w:color="auto" w:fill="auto"/>
            <w:noWrap/>
            <w:vAlign w:val="center"/>
            <w:hideMark/>
          </w:tcPr>
          <w:p w14:paraId="409E467C" w14:textId="77777777" w:rsidR="001F01A2" w:rsidRPr="004F469F" w:rsidRDefault="001F01A2" w:rsidP="00A967F3">
            <w:pPr>
              <w:jc w:val="center"/>
              <w:rPr>
                <w:sz w:val="20"/>
                <w:szCs w:val="20"/>
              </w:rPr>
            </w:pPr>
            <w:r w:rsidRPr="004F469F">
              <w:rPr>
                <w:sz w:val="20"/>
                <w:szCs w:val="20"/>
              </w:rPr>
              <w:t>2,496</w:t>
            </w:r>
          </w:p>
        </w:tc>
        <w:tc>
          <w:tcPr>
            <w:tcW w:w="0" w:type="auto"/>
            <w:tcBorders>
              <w:top w:val="nil"/>
              <w:left w:val="nil"/>
              <w:bottom w:val="single" w:sz="12" w:space="0" w:color="auto"/>
              <w:right w:val="single" w:sz="4" w:space="0" w:color="auto"/>
            </w:tcBorders>
            <w:shd w:val="clear" w:color="auto" w:fill="auto"/>
            <w:noWrap/>
            <w:vAlign w:val="center"/>
            <w:hideMark/>
          </w:tcPr>
          <w:p w14:paraId="1302EAAD" w14:textId="77777777" w:rsidR="001F01A2" w:rsidRPr="004F469F" w:rsidRDefault="001F01A2" w:rsidP="00A967F3">
            <w:pPr>
              <w:jc w:val="center"/>
              <w:rPr>
                <w:sz w:val="20"/>
                <w:szCs w:val="20"/>
              </w:rPr>
            </w:pPr>
            <w:r w:rsidRPr="004F469F">
              <w:rPr>
                <w:sz w:val="20"/>
                <w:szCs w:val="20"/>
              </w:rPr>
              <w:t>23,508</w:t>
            </w:r>
          </w:p>
        </w:tc>
        <w:tc>
          <w:tcPr>
            <w:tcW w:w="0" w:type="auto"/>
            <w:tcBorders>
              <w:top w:val="nil"/>
              <w:left w:val="nil"/>
              <w:bottom w:val="single" w:sz="12" w:space="0" w:color="auto"/>
              <w:right w:val="single" w:sz="4" w:space="0" w:color="auto"/>
            </w:tcBorders>
            <w:shd w:val="clear" w:color="auto" w:fill="auto"/>
            <w:noWrap/>
            <w:vAlign w:val="center"/>
            <w:hideMark/>
          </w:tcPr>
          <w:p w14:paraId="71F1AA57"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12" w:space="0" w:color="auto"/>
              <w:right w:val="single" w:sz="4" w:space="0" w:color="auto"/>
            </w:tcBorders>
            <w:shd w:val="clear" w:color="auto" w:fill="auto"/>
            <w:noWrap/>
            <w:vAlign w:val="center"/>
            <w:hideMark/>
          </w:tcPr>
          <w:p w14:paraId="5F20ADFC" w14:textId="77777777" w:rsidR="001F01A2" w:rsidRPr="004F469F" w:rsidRDefault="001F01A2" w:rsidP="00A967F3">
            <w:pPr>
              <w:jc w:val="center"/>
              <w:rPr>
                <w:sz w:val="20"/>
                <w:szCs w:val="20"/>
              </w:rPr>
            </w:pPr>
            <w:r w:rsidRPr="004F469F">
              <w:rPr>
                <w:sz w:val="20"/>
                <w:szCs w:val="20"/>
              </w:rPr>
              <w:t>215</w:t>
            </w:r>
          </w:p>
        </w:tc>
        <w:tc>
          <w:tcPr>
            <w:tcW w:w="0" w:type="auto"/>
            <w:tcBorders>
              <w:top w:val="nil"/>
              <w:left w:val="nil"/>
              <w:bottom w:val="single" w:sz="12" w:space="0" w:color="auto"/>
              <w:right w:val="single" w:sz="4" w:space="0" w:color="auto"/>
            </w:tcBorders>
            <w:shd w:val="clear" w:color="auto" w:fill="auto"/>
            <w:noWrap/>
            <w:vAlign w:val="center"/>
            <w:hideMark/>
          </w:tcPr>
          <w:p w14:paraId="03BF896C" w14:textId="77777777" w:rsidR="001F01A2" w:rsidRPr="004F469F" w:rsidRDefault="001F01A2" w:rsidP="00A967F3">
            <w:pPr>
              <w:jc w:val="center"/>
              <w:rPr>
                <w:sz w:val="20"/>
                <w:szCs w:val="20"/>
              </w:rPr>
            </w:pPr>
            <w:r w:rsidRPr="004F469F">
              <w:rPr>
                <w:sz w:val="20"/>
                <w:szCs w:val="20"/>
              </w:rPr>
              <w:t>1,547</w:t>
            </w:r>
          </w:p>
        </w:tc>
        <w:tc>
          <w:tcPr>
            <w:tcW w:w="0" w:type="auto"/>
            <w:tcBorders>
              <w:top w:val="nil"/>
              <w:left w:val="nil"/>
              <w:bottom w:val="single" w:sz="12" w:space="0" w:color="auto"/>
              <w:right w:val="single" w:sz="4" w:space="0" w:color="auto"/>
            </w:tcBorders>
            <w:shd w:val="clear" w:color="auto" w:fill="auto"/>
            <w:noWrap/>
            <w:vAlign w:val="center"/>
            <w:hideMark/>
          </w:tcPr>
          <w:p w14:paraId="6607A4C9" w14:textId="77777777" w:rsidR="001F01A2" w:rsidRPr="004F469F" w:rsidRDefault="001F01A2" w:rsidP="00A967F3">
            <w:pPr>
              <w:jc w:val="center"/>
              <w:rPr>
                <w:sz w:val="20"/>
                <w:szCs w:val="20"/>
              </w:rPr>
            </w:pPr>
            <w:r w:rsidRPr="004F469F">
              <w:rPr>
                <w:sz w:val="20"/>
                <w:szCs w:val="20"/>
              </w:rPr>
              <w:t>8,415</w:t>
            </w:r>
          </w:p>
        </w:tc>
      </w:tr>
      <w:tr w:rsidR="00494669" w:rsidRPr="004F469F" w14:paraId="1B67BC35" w14:textId="77777777" w:rsidTr="00A967F3">
        <w:trPr>
          <w:trHeight w:val="320"/>
        </w:trPr>
        <w:tc>
          <w:tcPr>
            <w:tcW w:w="0" w:type="auto"/>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AB87708" w14:textId="5B4397C6" w:rsidR="001F01A2" w:rsidRPr="004F469F" w:rsidRDefault="001F01A2" w:rsidP="00A967F3">
            <w:pPr>
              <w:jc w:val="center"/>
              <w:rPr>
                <w:rFonts w:eastAsia="Arial Unicode MS"/>
                <w:i/>
                <w:iCs/>
                <w:sz w:val="20"/>
                <w:szCs w:val="20"/>
              </w:rPr>
            </w:pPr>
            <w:r w:rsidRPr="004F469F">
              <w:rPr>
                <w:rFonts w:eastAsia="Arial Unicode MS"/>
                <w:i/>
                <w:iCs/>
                <w:sz w:val="20"/>
                <w:szCs w:val="20"/>
              </w:rPr>
              <w:t>US</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11BB7A40" w14:textId="77777777" w:rsidR="001F01A2" w:rsidRPr="004F469F" w:rsidRDefault="001F01A2" w:rsidP="00A967F3">
            <w:pPr>
              <w:jc w:val="center"/>
              <w:rPr>
                <w:i/>
                <w:iCs/>
                <w:sz w:val="20"/>
                <w:szCs w:val="20"/>
              </w:rPr>
            </w:pPr>
            <w:r w:rsidRPr="004F469F">
              <w:rPr>
                <w:i/>
                <w:iCs/>
                <w:sz w:val="20"/>
                <w:szCs w:val="20"/>
              </w:rPr>
              <w:t>0</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604DA4F7" w14:textId="77777777" w:rsidR="001F01A2" w:rsidRPr="004F469F" w:rsidRDefault="001F01A2" w:rsidP="00A967F3">
            <w:pPr>
              <w:jc w:val="center"/>
              <w:rPr>
                <w:i/>
                <w:iCs/>
                <w:sz w:val="20"/>
                <w:szCs w:val="20"/>
              </w:rPr>
            </w:pPr>
            <w:r w:rsidRPr="004F469F">
              <w:rPr>
                <w:i/>
                <w:iCs/>
                <w:sz w:val="20"/>
                <w:szCs w:val="20"/>
              </w:rPr>
              <w:t>311</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1DBE8F05" w14:textId="77777777" w:rsidR="001F01A2" w:rsidRPr="004F469F" w:rsidRDefault="001F01A2" w:rsidP="00A967F3">
            <w:pPr>
              <w:jc w:val="center"/>
              <w:rPr>
                <w:i/>
                <w:iCs/>
                <w:sz w:val="20"/>
                <w:szCs w:val="20"/>
              </w:rPr>
            </w:pPr>
            <w:r w:rsidRPr="004F469F">
              <w:rPr>
                <w:i/>
                <w:iCs/>
                <w:sz w:val="20"/>
                <w:szCs w:val="20"/>
              </w:rPr>
              <w:t>1,891</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32816CE3" w14:textId="77777777" w:rsidR="001F01A2" w:rsidRPr="004F469F" w:rsidRDefault="001F01A2" w:rsidP="00A967F3">
            <w:pPr>
              <w:jc w:val="center"/>
              <w:rPr>
                <w:i/>
                <w:iCs/>
                <w:sz w:val="20"/>
                <w:szCs w:val="20"/>
              </w:rPr>
            </w:pPr>
            <w:r w:rsidRPr="004F469F">
              <w:rPr>
                <w:i/>
                <w:iCs/>
                <w:sz w:val="20"/>
                <w:szCs w:val="20"/>
              </w:rPr>
              <w:t>41,949</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2A3B118A" w14:textId="77777777" w:rsidR="001F01A2" w:rsidRPr="004F469F" w:rsidRDefault="001F01A2" w:rsidP="00A967F3">
            <w:pPr>
              <w:jc w:val="center"/>
              <w:rPr>
                <w:i/>
                <w:iCs/>
                <w:sz w:val="20"/>
                <w:szCs w:val="20"/>
              </w:rPr>
            </w:pPr>
            <w:r w:rsidRPr="004F469F">
              <w:rPr>
                <w:i/>
                <w:iCs/>
                <w:sz w:val="20"/>
                <w:szCs w:val="20"/>
              </w:rPr>
              <w:t>0</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371CA324" w14:textId="77777777" w:rsidR="001F01A2" w:rsidRPr="004F469F" w:rsidRDefault="001F01A2" w:rsidP="00A967F3">
            <w:pPr>
              <w:jc w:val="center"/>
              <w:rPr>
                <w:i/>
                <w:iCs/>
                <w:sz w:val="20"/>
                <w:szCs w:val="20"/>
              </w:rPr>
            </w:pPr>
            <w:r w:rsidRPr="004F469F">
              <w:rPr>
                <w:i/>
                <w:iCs/>
                <w:sz w:val="20"/>
                <w:szCs w:val="20"/>
              </w:rPr>
              <w:t>251</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60AB64E8" w14:textId="77777777" w:rsidR="001F01A2" w:rsidRPr="004F469F" w:rsidRDefault="001F01A2" w:rsidP="00A967F3">
            <w:pPr>
              <w:jc w:val="center"/>
              <w:rPr>
                <w:i/>
                <w:iCs/>
                <w:sz w:val="20"/>
                <w:szCs w:val="20"/>
              </w:rPr>
            </w:pPr>
            <w:r w:rsidRPr="004F469F">
              <w:rPr>
                <w:i/>
                <w:iCs/>
                <w:sz w:val="20"/>
                <w:szCs w:val="20"/>
              </w:rPr>
              <w:t>1,206</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2A4B0767" w14:textId="77777777" w:rsidR="001F01A2" w:rsidRPr="004F469F" w:rsidRDefault="001F01A2" w:rsidP="00A967F3">
            <w:pPr>
              <w:jc w:val="center"/>
              <w:rPr>
                <w:i/>
                <w:iCs/>
                <w:sz w:val="20"/>
                <w:szCs w:val="20"/>
              </w:rPr>
            </w:pPr>
            <w:r w:rsidRPr="004F469F">
              <w:rPr>
                <w:i/>
                <w:iCs/>
                <w:sz w:val="20"/>
                <w:szCs w:val="20"/>
              </w:rPr>
              <w:t>17,807</w:t>
            </w:r>
          </w:p>
        </w:tc>
      </w:tr>
      <w:tr w:rsidR="00494669" w:rsidRPr="004F469F" w14:paraId="630227CA" w14:textId="77777777" w:rsidTr="00A967F3">
        <w:trPr>
          <w:trHeight w:val="320"/>
        </w:trPr>
        <w:tc>
          <w:tcPr>
            <w:tcW w:w="0" w:type="auto"/>
            <w:gridSpan w:val="9"/>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5AC0329" w14:textId="4B2261BE" w:rsidR="001F01A2" w:rsidRPr="004F469F" w:rsidRDefault="001F01A2" w:rsidP="00A967F3">
            <w:pPr>
              <w:jc w:val="center"/>
              <w:rPr>
                <w:rFonts w:eastAsia="Arial Unicode MS"/>
                <w:sz w:val="20"/>
                <w:szCs w:val="20"/>
              </w:rPr>
            </w:pPr>
          </w:p>
        </w:tc>
      </w:tr>
      <w:tr w:rsidR="00494669" w:rsidRPr="004F469F" w14:paraId="3AFE0924"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BD5FCD" w14:textId="010C9590" w:rsidR="001F01A2" w:rsidRPr="004F469F" w:rsidRDefault="001F01A2" w:rsidP="00A967F3">
            <w:pPr>
              <w:jc w:val="center"/>
              <w:rPr>
                <w:sz w:val="20"/>
                <w:szCs w:val="20"/>
              </w:rPr>
            </w:pPr>
          </w:p>
        </w:tc>
        <w:tc>
          <w:tcPr>
            <w:tcW w:w="0" w:type="auto"/>
            <w:gridSpan w:val="8"/>
            <w:tcBorders>
              <w:top w:val="single" w:sz="4" w:space="0" w:color="auto"/>
              <w:left w:val="nil"/>
              <w:bottom w:val="single" w:sz="4" w:space="0" w:color="auto"/>
              <w:right w:val="single" w:sz="4" w:space="0" w:color="auto"/>
            </w:tcBorders>
            <w:shd w:val="clear" w:color="auto" w:fill="auto"/>
            <w:noWrap/>
            <w:vAlign w:val="center"/>
            <w:hideMark/>
          </w:tcPr>
          <w:p w14:paraId="50111922" w14:textId="77777777" w:rsidR="001F01A2" w:rsidRPr="004F469F" w:rsidRDefault="001F01A2" w:rsidP="00A967F3">
            <w:pPr>
              <w:jc w:val="center"/>
              <w:rPr>
                <w:rFonts w:eastAsia="Arial Unicode MS"/>
                <w:i/>
                <w:iCs/>
                <w:sz w:val="20"/>
                <w:szCs w:val="20"/>
              </w:rPr>
            </w:pPr>
            <w:r w:rsidRPr="004F469F">
              <w:rPr>
                <w:rFonts w:eastAsia="Arial Unicode MS"/>
                <w:i/>
                <w:iCs/>
                <w:sz w:val="20"/>
                <w:szCs w:val="20"/>
              </w:rPr>
              <w:t>EP5K</w:t>
            </w:r>
          </w:p>
        </w:tc>
      </w:tr>
      <w:tr w:rsidR="00494669" w:rsidRPr="004F469F" w14:paraId="4192C44C"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B1711C" w14:textId="5AD25920" w:rsidR="001F01A2" w:rsidRPr="004F469F" w:rsidRDefault="001F01A2" w:rsidP="00A967F3">
            <w:pPr>
              <w:jc w:val="center"/>
              <w:rPr>
                <w:rFonts w:eastAsia="Arial Unicode MS"/>
                <w:sz w:val="20"/>
                <w:szCs w:val="20"/>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384D2081" w14:textId="79812AC7" w:rsidR="001F01A2" w:rsidRPr="004F469F" w:rsidRDefault="00A967F3" w:rsidP="00A967F3">
            <w:pPr>
              <w:jc w:val="center"/>
              <w:rPr>
                <w:sz w:val="20"/>
                <w:szCs w:val="20"/>
              </w:rPr>
            </w:pPr>
            <w:r w:rsidRPr="004F469F">
              <w:rPr>
                <w:sz w:val="20"/>
                <w:szCs w:val="20"/>
              </w:rPr>
              <w:t xml:space="preserve">r </w:t>
            </w:r>
            <w:r w:rsidR="001F01A2" w:rsidRPr="004F469F">
              <w:rPr>
                <w:sz w:val="20"/>
                <w:szCs w:val="20"/>
              </w:rPr>
              <w:t>=</w:t>
            </w:r>
            <w:r w:rsidRPr="004F469F">
              <w:rPr>
                <w:sz w:val="20"/>
                <w:szCs w:val="20"/>
              </w:rPr>
              <w:t xml:space="preserve"> </w:t>
            </w:r>
            <w:r w:rsidR="001F01A2" w:rsidRPr="004F469F">
              <w:rPr>
                <w:sz w:val="20"/>
                <w:szCs w:val="20"/>
              </w:rPr>
              <w:t>10 km</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01E4CCD5" w14:textId="52867B69" w:rsidR="001F01A2" w:rsidRPr="004F469F" w:rsidRDefault="00A967F3" w:rsidP="00A967F3">
            <w:pPr>
              <w:jc w:val="center"/>
              <w:rPr>
                <w:sz w:val="20"/>
                <w:szCs w:val="20"/>
              </w:rPr>
            </w:pPr>
            <w:r w:rsidRPr="004F469F">
              <w:rPr>
                <w:sz w:val="20"/>
                <w:szCs w:val="20"/>
              </w:rPr>
              <w:t xml:space="preserve">r </w:t>
            </w:r>
            <w:r w:rsidR="001F01A2" w:rsidRPr="004F469F">
              <w:rPr>
                <w:sz w:val="20"/>
                <w:szCs w:val="20"/>
              </w:rPr>
              <w:t>=</w:t>
            </w:r>
            <w:r w:rsidRPr="004F469F">
              <w:rPr>
                <w:sz w:val="20"/>
                <w:szCs w:val="20"/>
              </w:rPr>
              <w:t xml:space="preserve"> </w:t>
            </w:r>
            <w:r w:rsidR="001F01A2" w:rsidRPr="004F469F">
              <w:rPr>
                <w:sz w:val="20"/>
                <w:szCs w:val="20"/>
              </w:rPr>
              <w:t>40 km</w:t>
            </w:r>
          </w:p>
        </w:tc>
      </w:tr>
      <w:tr w:rsidR="00494669" w:rsidRPr="004F469F" w14:paraId="0AE5325F"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8164F0" w14:textId="77777777" w:rsidR="001F01A2" w:rsidRPr="004F469F" w:rsidRDefault="001F01A2" w:rsidP="00A967F3">
            <w:pPr>
              <w:jc w:val="center"/>
              <w:rPr>
                <w:rFonts w:eastAsia="Arial Unicode MS"/>
                <w:b/>
                <w:bCs/>
                <w:sz w:val="20"/>
                <w:szCs w:val="20"/>
              </w:rPr>
            </w:pPr>
            <w:r w:rsidRPr="004F469F">
              <w:rPr>
                <w:rFonts w:eastAsia="Arial Unicode MS"/>
                <w:b/>
                <w:bCs/>
                <w:sz w:val="20"/>
                <w:szCs w:val="20"/>
              </w:rPr>
              <w:t>REGION</w:t>
            </w:r>
          </w:p>
        </w:tc>
        <w:tc>
          <w:tcPr>
            <w:tcW w:w="0" w:type="auto"/>
            <w:tcBorders>
              <w:top w:val="nil"/>
              <w:left w:val="nil"/>
              <w:bottom w:val="single" w:sz="4" w:space="0" w:color="auto"/>
              <w:right w:val="single" w:sz="4" w:space="0" w:color="auto"/>
            </w:tcBorders>
            <w:shd w:val="clear" w:color="auto" w:fill="auto"/>
            <w:noWrap/>
            <w:vAlign w:val="center"/>
            <w:hideMark/>
          </w:tcPr>
          <w:p w14:paraId="1D0A270D"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2988EBBA"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04C7F56C"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061EE237" w14:textId="77777777" w:rsidR="001F01A2" w:rsidRPr="004F469F" w:rsidRDefault="001F01A2" w:rsidP="00A967F3">
            <w:pPr>
              <w:jc w:val="center"/>
              <w:rPr>
                <w:b/>
                <w:bCs/>
                <w:sz w:val="20"/>
                <w:szCs w:val="20"/>
              </w:rPr>
            </w:pPr>
            <w:r w:rsidRPr="004F469F">
              <w:rPr>
                <w:b/>
                <w:bCs/>
                <w:sz w:val="20"/>
                <w:szCs w:val="20"/>
              </w:rPr>
              <w:t>MAX</w:t>
            </w:r>
          </w:p>
        </w:tc>
        <w:tc>
          <w:tcPr>
            <w:tcW w:w="0" w:type="auto"/>
            <w:tcBorders>
              <w:top w:val="nil"/>
              <w:left w:val="nil"/>
              <w:bottom w:val="single" w:sz="4" w:space="0" w:color="auto"/>
              <w:right w:val="single" w:sz="4" w:space="0" w:color="auto"/>
            </w:tcBorders>
            <w:shd w:val="clear" w:color="auto" w:fill="auto"/>
            <w:noWrap/>
            <w:vAlign w:val="center"/>
            <w:hideMark/>
          </w:tcPr>
          <w:p w14:paraId="69D91160" w14:textId="77777777" w:rsidR="001F01A2" w:rsidRPr="004F469F" w:rsidRDefault="001F01A2" w:rsidP="00A967F3">
            <w:pPr>
              <w:jc w:val="center"/>
              <w:rPr>
                <w:b/>
                <w:bCs/>
                <w:sz w:val="20"/>
                <w:szCs w:val="20"/>
              </w:rPr>
            </w:pPr>
            <w:r w:rsidRPr="004F469F">
              <w:rPr>
                <w:b/>
                <w:bCs/>
                <w:sz w:val="20"/>
                <w:szCs w:val="20"/>
              </w:rPr>
              <w:t>MIN</w:t>
            </w:r>
          </w:p>
        </w:tc>
        <w:tc>
          <w:tcPr>
            <w:tcW w:w="0" w:type="auto"/>
            <w:tcBorders>
              <w:top w:val="nil"/>
              <w:left w:val="nil"/>
              <w:bottom w:val="single" w:sz="4" w:space="0" w:color="auto"/>
              <w:right w:val="single" w:sz="4" w:space="0" w:color="auto"/>
            </w:tcBorders>
            <w:shd w:val="clear" w:color="auto" w:fill="auto"/>
            <w:noWrap/>
            <w:vAlign w:val="center"/>
            <w:hideMark/>
          </w:tcPr>
          <w:p w14:paraId="477C6EF5" w14:textId="77777777" w:rsidR="001F01A2" w:rsidRPr="004F469F" w:rsidRDefault="001F01A2" w:rsidP="00A967F3">
            <w:pPr>
              <w:jc w:val="center"/>
              <w:rPr>
                <w:b/>
                <w:bCs/>
                <w:sz w:val="20"/>
                <w:szCs w:val="20"/>
              </w:rPr>
            </w:pPr>
            <w:r w:rsidRPr="004F469F">
              <w:rPr>
                <w:b/>
                <w:bCs/>
                <w:sz w:val="20"/>
                <w:szCs w:val="20"/>
              </w:rPr>
              <w:t>MED</w:t>
            </w:r>
          </w:p>
        </w:tc>
        <w:tc>
          <w:tcPr>
            <w:tcW w:w="0" w:type="auto"/>
            <w:tcBorders>
              <w:top w:val="nil"/>
              <w:left w:val="nil"/>
              <w:bottom w:val="single" w:sz="4" w:space="0" w:color="auto"/>
              <w:right w:val="single" w:sz="4" w:space="0" w:color="auto"/>
            </w:tcBorders>
            <w:shd w:val="clear" w:color="auto" w:fill="auto"/>
            <w:noWrap/>
            <w:vAlign w:val="center"/>
            <w:hideMark/>
          </w:tcPr>
          <w:p w14:paraId="0BB99A1A" w14:textId="77777777" w:rsidR="001F01A2" w:rsidRPr="004F469F" w:rsidRDefault="001F01A2" w:rsidP="00A967F3">
            <w:pPr>
              <w:jc w:val="center"/>
              <w:rPr>
                <w:b/>
                <w:bCs/>
                <w:sz w:val="20"/>
                <w:szCs w:val="20"/>
              </w:rPr>
            </w:pPr>
            <w:r w:rsidRPr="004F469F">
              <w:rPr>
                <w:b/>
                <w:bCs/>
                <w:sz w:val="20"/>
                <w:szCs w:val="20"/>
              </w:rPr>
              <w:t>IQR</w:t>
            </w:r>
          </w:p>
        </w:tc>
        <w:tc>
          <w:tcPr>
            <w:tcW w:w="0" w:type="auto"/>
            <w:tcBorders>
              <w:top w:val="nil"/>
              <w:left w:val="nil"/>
              <w:bottom w:val="single" w:sz="4" w:space="0" w:color="auto"/>
              <w:right w:val="single" w:sz="4" w:space="0" w:color="auto"/>
            </w:tcBorders>
            <w:shd w:val="clear" w:color="auto" w:fill="auto"/>
            <w:noWrap/>
            <w:vAlign w:val="center"/>
            <w:hideMark/>
          </w:tcPr>
          <w:p w14:paraId="6A599CE7" w14:textId="77777777" w:rsidR="001F01A2" w:rsidRPr="004F469F" w:rsidRDefault="001F01A2" w:rsidP="00A967F3">
            <w:pPr>
              <w:jc w:val="center"/>
              <w:rPr>
                <w:b/>
                <w:bCs/>
                <w:sz w:val="20"/>
                <w:szCs w:val="20"/>
              </w:rPr>
            </w:pPr>
            <w:r w:rsidRPr="004F469F">
              <w:rPr>
                <w:b/>
                <w:bCs/>
                <w:sz w:val="20"/>
                <w:szCs w:val="20"/>
              </w:rPr>
              <w:t>MAX</w:t>
            </w:r>
          </w:p>
        </w:tc>
      </w:tr>
      <w:tr w:rsidR="00494669" w:rsidRPr="004F469F" w14:paraId="1ADCE79B"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CA21EF" w14:textId="52B21A16" w:rsidR="001F01A2" w:rsidRPr="004F469F" w:rsidRDefault="001F01A2" w:rsidP="00A967F3">
            <w:pPr>
              <w:jc w:val="center"/>
              <w:rPr>
                <w:rFonts w:eastAsia="Arial Unicode MS"/>
                <w:sz w:val="20"/>
                <w:szCs w:val="20"/>
              </w:rPr>
            </w:pPr>
            <w:r w:rsidRPr="004F469F">
              <w:rPr>
                <w:rFonts w:eastAsia="Arial Unicode MS"/>
                <w:sz w:val="20"/>
                <w:szCs w:val="20"/>
              </w:rPr>
              <w:t>GL</w:t>
            </w:r>
          </w:p>
        </w:tc>
        <w:tc>
          <w:tcPr>
            <w:tcW w:w="0" w:type="auto"/>
            <w:tcBorders>
              <w:top w:val="nil"/>
              <w:left w:val="nil"/>
              <w:bottom w:val="single" w:sz="4" w:space="0" w:color="auto"/>
              <w:right w:val="single" w:sz="4" w:space="0" w:color="auto"/>
            </w:tcBorders>
            <w:shd w:val="clear" w:color="auto" w:fill="auto"/>
            <w:noWrap/>
            <w:vAlign w:val="center"/>
            <w:hideMark/>
          </w:tcPr>
          <w:p w14:paraId="068482E1" w14:textId="77777777" w:rsidR="001F01A2" w:rsidRPr="004F469F" w:rsidRDefault="001F01A2" w:rsidP="00A967F3">
            <w:pPr>
              <w:jc w:val="center"/>
              <w:rPr>
                <w:sz w:val="20"/>
                <w:szCs w:val="20"/>
              </w:rPr>
            </w:pPr>
            <w:r w:rsidRPr="004F469F">
              <w:rPr>
                <w:sz w:val="20"/>
                <w:szCs w:val="20"/>
              </w:rPr>
              <w:t>0.2</w:t>
            </w:r>
          </w:p>
        </w:tc>
        <w:tc>
          <w:tcPr>
            <w:tcW w:w="0" w:type="auto"/>
            <w:tcBorders>
              <w:top w:val="nil"/>
              <w:left w:val="nil"/>
              <w:bottom w:val="single" w:sz="4" w:space="0" w:color="auto"/>
              <w:right w:val="single" w:sz="4" w:space="0" w:color="auto"/>
            </w:tcBorders>
            <w:shd w:val="clear" w:color="auto" w:fill="auto"/>
            <w:noWrap/>
            <w:vAlign w:val="center"/>
            <w:hideMark/>
          </w:tcPr>
          <w:p w14:paraId="249D95EE" w14:textId="77777777" w:rsidR="001F01A2" w:rsidRPr="004F469F" w:rsidRDefault="001F01A2" w:rsidP="00A967F3">
            <w:pPr>
              <w:jc w:val="center"/>
              <w:rPr>
                <w:sz w:val="20"/>
                <w:szCs w:val="20"/>
              </w:rPr>
            </w:pPr>
            <w:r w:rsidRPr="004F469F">
              <w:rPr>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4C8D9B09" w14:textId="77777777" w:rsidR="001F01A2" w:rsidRPr="004F469F" w:rsidRDefault="001F01A2" w:rsidP="00A967F3">
            <w:pPr>
              <w:jc w:val="center"/>
              <w:rPr>
                <w:sz w:val="20"/>
                <w:szCs w:val="20"/>
              </w:rPr>
            </w:pPr>
            <w:r w:rsidRPr="004F469F">
              <w:rPr>
                <w:sz w:val="20"/>
                <w:szCs w:val="20"/>
              </w:rPr>
              <w:t>7.5</w:t>
            </w:r>
          </w:p>
        </w:tc>
        <w:tc>
          <w:tcPr>
            <w:tcW w:w="0" w:type="auto"/>
            <w:tcBorders>
              <w:top w:val="nil"/>
              <w:left w:val="nil"/>
              <w:bottom w:val="single" w:sz="4" w:space="0" w:color="auto"/>
              <w:right w:val="single" w:sz="4" w:space="0" w:color="auto"/>
            </w:tcBorders>
            <w:shd w:val="clear" w:color="auto" w:fill="auto"/>
            <w:noWrap/>
            <w:vAlign w:val="center"/>
            <w:hideMark/>
          </w:tcPr>
          <w:p w14:paraId="6F817E5C" w14:textId="77777777" w:rsidR="001F01A2" w:rsidRPr="004F469F" w:rsidRDefault="001F01A2" w:rsidP="00A967F3">
            <w:pPr>
              <w:jc w:val="center"/>
              <w:rPr>
                <w:sz w:val="20"/>
                <w:szCs w:val="20"/>
              </w:rPr>
            </w:pPr>
            <w:r w:rsidRPr="004F469F">
              <w:rPr>
                <w:sz w:val="20"/>
                <w:szCs w:val="20"/>
              </w:rPr>
              <w:t>17.4</w:t>
            </w:r>
          </w:p>
        </w:tc>
        <w:tc>
          <w:tcPr>
            <w:tcW w:w="0" w:type="auto"/>
            <w:tcBorders>
              <w:top w:val="nil"/>
              <w:left w:val="nil"/>
              <w:bottom w:val="single" w:sz="4" w:space="0" w:color="auto"/>
              <w:right w:val="single" w:sz="4" w:space="0" w:color="auto"/>
            </w:tcBorders>
            <w:shd w:val="clear" w:color="auto" w:fill="auto"/>
            <w:noWrap/>
            <w:vAlign w:val="center"/>
            <w:hideMark/>
          </w:tcPr>
          <w:p w14:paraId="55D9844F" w14:textId="77777777" w:rsidR="001F01A2" w:rsidRPr="004F469F" w:rsidRDefault="001F01A2" w:rsidP="00A967F3">
            <w:pPr>
              <w:jc w:val="center"/>
              <w:rPr>
                <w:sz w:val="20"/>
                <w:szCs w:val="20"/>
              </w:rPr>
            </w:pPr>
            <w:r w:rsidRPr="004F469F">
              <w:rPr>
                <w:sz w:val="20"/>
                <w:szCs w:val="20"/>
              </w:rPr>
              <w:t>0.1</w:t>
            </w:r>
          </w:p>
        </w:tc>
        <w:tc>
          <w:tcPr>
            <w:tcW w:w="0" w:type="auto"/>
            <w:tcBorders>
              <w:top w:val="nil"/>
              <w:left w:val="nil"/>
              <w:bottom w:val="single" w:sz="4" w:space="0" w:color="auto"/>
              <w:right w:val="single" w:sz="4" w:space="0" w:color="auto"/>
            </w:tcBorders>
            <w:shd w:val="clear" w:color="auto" w:fill="auto"/>
            <w:noWrap/>
            <w:vAlign w:val="center"/>
            <w:hideMark/>
          </w:tcPr>
          <w:p w14:paraId="14B5B254" w14:textId="77777777" w:rsidR="001F01A2" w:rsidRPr="004F469F" w:rsidRDefault="001F01A2" w:rsidP="00A967F3">
            <w:pPr>
              <w:jc w:val="center"/>
              <w:rPr>
                <w:sz w:val="20"/>
                <w:szCs w:val="20"/>
              </w:rPr>
            </w:pPr>
            <w:r w:rsidRPr="004F469F">
              <w:rPr>
                <w:sz w:val="20"/>
                <w:szCs w:val="20"/>
              </w:rPr>
              <w:t>6.2</w:t>
            </w:r>
          </w:p>
        </w:tc>
        <w:tc>
          <w:tcPr>
            <w:tcW w:w="0" w:type="auto"/>
            <w:tcBorders>
              <w:top w:val="nil"/>
              <w:left w:val="nil"/>
              <w:bottom w:val="single" w:sz="4" w:space="0" w:color="auto"/>
              <w:right w:val="single" w:sz="4" w:space="0" w:color="auto"/>
            </w:tcBorders>
            <w:shd w:val="clear" w:color="auto" w:fill="auto"/>
            <w:noWrap/>
            <w:vAlign w:val="center"/>
            <w:hideMark/>
          </w:tcPr>
          <w:p w14:paraId="1986FC03" w14:textId="77777777" w:rsidR="001F01A2" w:rsidRPr="004F469F" w:rsidRDefault="001F01A2" w:rsidP="00A967F3">
            <w:pPr>
              <w:jc w:val="center"/>
              <w:rPr>
                <w:sz w:val="20"/>
                <w:szCs w:val="20"/>
              </w:rPr>
            </w:pPr>
            <w:r w:rsidRPr="004F469F">
              <w:rPr>
                <w:sz w:val="20"/>
                <w:szCs w:val="20"/>
              </w:rPr>
              <w:t>4.7</w:t>
            </w:r>
          </w:p>
        </w:tc>
        <w:tc>
          <w:tcPr>
            <w:tcW w:w="0" w:type="auto"/>
            <w:tcBorders>
              <w:top w:val="nil"/>
              <w:left w:val="nil"/>
              <w:bottom w:val="single" w:sz="4" w:space="0" w:color="auto"/>
              <w:right w:val="single" w:sz="4" w:space="0" w:color="auto"/>
            </w:tcBorders>
            <w:shd w:val="clear" w:color="auto" w:fill="auto"/>
            <w:noWrap/>
            <w:vAlign w:val="center"/>
            <w:hideMark/>
          </w:tcPr>
          <w:p w14:paraId="6A7EBB1B" w14:textId="77777777" w:rsidR="001F01A2" w:rsidRPr="004F469F" w:rsidRDefault="001F01A2" w:rsidP="00A967F3">
            <w:pPr>
              <w:jc w:val="center"/>
              <w:rPr>
                <w:sz w:val="20"/>
                <w:szCs w:val="20"/>
              </w:rPr>
            </w:pPr>
            <w:r w:rsidRPr="004F469F">
              <w:rPr>
                <w:sz w:val="20"/>
                <w:szCs w:val="20"/>
              </w:rPr>
              <w:t>34.1</w:t>
            </w:r>
          </w:p>
        </w:tc>
      </w:tr>
      <w:tr w:rsidR="00494669" w:rsidRPr="004F469F" w14:paraId="2FFFE2D9"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ADF542" w14:textId="159F8DCB" w:rsidR="001F01A2" w:rsidRPr="004F469F" w:rsidRDefault="001F01A2" w:rsidP="00A967F3">
            <w:pPr>
              <w:jc w:val="center"/>
              <w:rPr>
                <w:rFonts w:eastAsia="Arial Unicode MS"/>
                <w:sz w:val="20"/>
                <w:szCs w:val="20"/>
              </w:rPr>
            </w:pPr>
            <w:r w:rsidRPr="004F469F">
              <w:rPr>
                <w:rFonts w:eastAsia="Arial Unicode MS"/>
                <w:sz w:val="20"/>
                <w:szCs w:val="20"/>
              </w:rPr>
              <w:t>NP</w:t>
            </w:r>
          </w:p>
        </w:tc>
        <w:tc>
          <w:tcPr>
            <w:tcW w:w="0" w:type="auto"/>
            <w:tcBorders>
              <w:top w:val="nil"/>
              <w:left w:val="nil"/>
              <w:bottom w:val="single" w:sz="4" w:space="0" w:color="auto"/>
              <w:right w:val="single" w:sz="4" w:space="0" w:color="auto"/>
            </w:tcBorders>
            <w:shd w:val="clear" w:color="auto" w:fill="auto"/>
            <w:noWrap/>
            <w:vAlign w:val="center"/>
            <w:hideMark/>
          </w:tcPr>
          <w:p w14:paraId="57A6B78C" w14:textId="77777777" w:rsidR="001F01A2" w:rsidRPr="004F469F" w:rsidRDefault="001F01A2" w:rsidP="00A967F3">
            <w:pPr>
              <w:jc w:val="center"/>
              <w:rPr>
                <w:sz w:val="20"/>
                <w:szCs w:val="20"/>
              </w:rPr>
            </w:pPr>
            <w:r w:rsidRPr="004F469F">
              <w:rPr>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31DC5625" w14:textId="77777777" w:rsidR="001F01A2" w:rsidRPr="004F469F" w:rsidRDefault="001F01A2" w:rsidP="00A967F3">
            <w:pPr>
              <w:jc w:val="center"/>
              <w:rPr>
                <w:sz w:val="20"/>
                <w:szCs w:val="20"/>
              </w:rPr>
            </w:pPr>
            <w:r w:rsidRPr="004F469F">
              <w:rPr>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6CE18C93" w14:textId="77777777" w:rsidR="001F01A2" w:rsidRPr="004F469F" w:rsidRDefault="001F01A2" w:rsidP="00A967F3">
            <w:pPr>
              <w:jc w:val="center"/>
              <w:rPr>
                <w:sz w:val="20"/>
                <w:szCs w:val="20"/>
              </w:rPr>
            </w:pPr>
            <w:r w:rsidRPr="004F469F">
              <w:rPr>
                <w:sz w:val="20"/>
                <w:szCs w:val="20"/>
              </w:rPr>
              <w:t>17.1</w:t>
            </w:r>
          </w:p>
        </w:tc>
        <w:tc>
          <w:tcPr>
            <w:tcW w:w="0" w:type="auto"/>
            <w:tcBorders>
              <w:top w:val="nil"/>
              <w:left w:val="nil"/>
              <w:bottom w:val="single" w:sz="4" w:space="0" w:color="auto"/>
              <w:right w:val="single" w:sz="4" w:space="0" w:color="auto"/>
            </w:tcBorders>
            <w:shd w:val="clear" w:color="auto" w:fill="auto"/>
            <w:noWrap/>
            <w:vAlign w:val="center"/>
            <w:hideMark/>
          </w:tcPr>
          <w:p w14:paraId="23DADA04" w14:textId="77777777" w:rsidR="001F01A2" w:rsidRPr="004F469F" w:rsidRDefault="001F01A2" w:rsidP="00A967F3">
            <w:pPr>
              <w:jc w:val="center"/>
              <w:rPr>
                <w:sz w:val="20"/>
                <w:szCs w:val="20"/>
              </w:rPr>
            </w:pPr>
            <w:r w:rsidRPr="004F469F">
              <w:rPr>
                <w:sz w:val="20"/>
                <w:szCs w:val="20"/>
              </w:rPr>
              <w:t>42</w:t>
            </w:r>
          </w:p>
        </w:tc>
        <w:tc>
          <w:tcPr>
            <w:tcW w:w="0" w:type="auto"/>
            <w:tcBorders>
              <w:top w:val="nil"/>
              <w:left w:val="nil"/>
              <w:bottom w:val="single" w:sz="4" w:space="0" w:color="auto"/>
              <w:right w:val="single" w:sz="4" w:space="0" w:color="auto"/>
            </w:tcBorders>
            <w:shd w:val="clear" w:color="auto" w:fill="auto"/>
            <w:noWrap/>
            <w:vAlign w:val="center"/>
            <w:hideMark/>
          </w:tcPr>
          <w:p w14:paraId="1DEA939D"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4B2D9E70" w14:textId="77777777" w:rsidR="001F01A2" w:rsidRPr="004F469F" w:rsidRDefault="001F01A2" w:rsidP="00A967F3">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30241591" w14:textId="77777777" w:rsidR="001F01A2" w:rsidRPr="004F469F" w:rsidRDefault="001F01A2" w:rsidP="00A967F3">
            <w:pPr>
              <w:jc w:val="center"/>
              <w:rPr>
                <w:sz w:val="20"/>
                <w:szCs w:val="20"/>
              </w:rPr>
            </w:pPr>
            <w:r w:rsidRPr="004F469F">
              <w:rPr>
                <w:sz w:val="20"/>
                <w:szCs w:val="20"/>
              </w:rPr>
              <w:t>10.7</w:t>
            </w:r>
          </w:p>
        </w:tc>
        <w:tc>
          <w:tcPr>
            <w:tcW w:w="0" w:type="auto"/>
            <w:tcBorders>
              <w:top w:val="nil"/>
              <w:left w:val="nil"/>
              <w:bottom w:val="single" w:sz="4" w:space="0" w:color="auto"/>
              <w:right w:val="single" w:sz="4" w:space="0" w:color="auto"/>
            </w:tcBorders>
            <w:shd w:val="clear" w:color="auto" w:fill="auto"/>
            <w:noWrap/>
            <w:vAlign w:val="center"/>
            <w:hideMark/>
          </w:tcPr>
          <w:p w14:paraId="735C1E36" w14:textId="77777777" w:rsidR="001F01A2" w:rsidRPr="004F469F" w:rsidRDefault="001F01A2" w:rsidP="00A967F3">
            <w:pPr>
              <w:jc w:val="center"/>
              <w:rPr>
                <w:sz w:val="20"/>
                <w:szCs w:val="20"/>
              </w:rPr>
            </w:pPr>
            <w:r w:rsidRPr="004F469F">
              <w:rPr>
                <w:sz w:val="20"/>
                <w:szCs w:val="20"/>
              </w:rPr>
              <w:t>36.7</w:t>
            </w:r>
          </w:p>
        </w:tc>
      </w:tr>
      <w:tr w:rsidR="00494669" w:rsidRPr="004F469F" w14:paraId="5BFC1E63" w14:textId="77777777" w:rsidTr="00A967F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AE6199" w14:textId="250F6962" w:rsidR="001F01A2" w:rsidRPr="004F469F" w:rsidRDefault="001F01A2" w:rsidP="00A967F3">
            <w:pPr>
              <w:jc w:val="center"/>
              <w:rPr>
                <w:rFonts w:eastAsia="Arial Unicode MS"/>
                <w:sz w:val="20"/>
                <w:szCs w:val="20"/>
              </w:rPr>
            </w:pPr>
            <w:r w:rsidRPr="004F469F">
              <w:rPr>
                <w:rFonts w:eastAsia="Arial Unicode MS"/>
                <w:sz w:val="20"/>
                <w:szCs w:val="20"/>
              </w:rPr>
              <w:t>SE</w:t>
            </w:r>
          </w:p>
        </w:tc>
        <w:tc>
          <w:tcPr>
            <w:tcW w:w="0" w:type="auto"/>
            <w:tcBorders>
              <w:top w:val="nil"/>
              <w:left w:val="nil"/>
              <w:bottom w:val="single" w:sz="4" w:space="0" w:color="auto"/>
              <w:right w:val="single" w:sz="4" w:space="0" w:color="auto"/>
            </w:tcBorders>
            <w:shd w:val="clear" w:color="auto" w:fill="auto"/>
            <w:noWrap/>
            <w:vAlign w:val="center"/>
            <w:hideMark/>
          </w:tcPr>
          <w:p w14:paraId="6AE2D7FC" w14:textId="77777777" w:rsidR="001F01A2" w:rsidRPr="004F469F" w:rsidRDefault="001F01A2" w:rsidP="00A967F3">
            <w:pPr>
              <w:jc w:val="center"/>
              <w:rPr>
                <w:sz w:val="20"/>
                <w:szCs w:val="20"/>
              </w:rPr>
            </w:pPr>
            <w:r w:rsidRPr="004F469F">
              <w:rPr>
                <w:sz w:val="20"/>
                <w:szCs w:val="20"/>
              </w:rPr>
              <w:t>4.1</w:t>
            </w:r>
          </w:p>
        </w:tc>
        <w:tc>
          <w:tcPr>
            <w:tcW w:w="0" w:type="auto"/>
            <w:tcBorders>
              <w:top w:val="nil"/>
              <w:left w:val="nil"/>
              <w:bottom w:val="single" w:sz="4" w:space="0" w:color="auto"/>
              <w:right w:val="single" w:sz="4" w:space="0" w:color="auto"/>
            </w:tcBorders>
            <w:shd w:val="clear" w:color="auto" w:fill="auto"/>
            <w:noWrap/>
            <w:vAlign w:val="center"/>
            <w:hideMark/>
          </w:tcPr>
          <w:p w14:paraId="1B84E199" w14:textId="77777777" w:rsidR="001F01A2" w:rsidRPr="004F469F" w:rsidRDefault="001F01A2" w:rsidP="00A967F3">
            <w:pPr>
              <w:jc w:val="center"/>
              <w:rPr>
                <w:sz w:val="20"/>
                <w:szCs w:val="20"/>
              </w:rPr>
            </w:pPr>
            <w:r w:rsidRPr="004F469F">
              <w:rPr>
                <w:sz w:val="20"/>
                <w:szCs w:val="20"/>
              </w:rPr>
              <w:t>49.5</w:t>
            </w:r>
          </w:p>
        </w:tc>
        <w:tc>
          <w:tcPr>
            <w:tcW w:w="0" w:type="auto"/>
            <w:tcBorders>
              <w:top w:val="nil"/>
              <w:left w:val="nil"/>
              <w:bottom w:val="single" w:sz="4" w:space="0" w:color="auto"/>
              <w:right w:val="single" w:sz="4" w:space="0" w:color="auto"/>
            </w:tcBorders>
            <w:shd w:val="clear" w:color="auto" w:fill="auto"/>
            <w:noWrap/>
            <w:vAlign w:val="center"/>
            <w:hideMark/>
          </w:tcPr>
          <w:p w14:paraId="53CF7895" w14:textId="77777777" w:rsidR="001F01A2" w:rsidRPr="004F469F" w:rsidRDefault="001F01A2" w:rsidP="00A967F3">
            <w:pPr>
              <w:jc w:val="center"/>
              <w:rPr>
                <w:sz w:val="20"/>
                <w:szCs w:val="20"/>
              </w:rPr>
            </w:pPr>
            <w:r w:rsidRPr="004F469F">
              <w:rPr>
                <w:sz w:val="20"/>
                <w:szCs w:val="20"/>
              </w:rPr>
              <w:t>51.8</w:t>
            </w:r>
          </w:p>
        </w:tc>
        <w:tc>
          <w:tcPr>
            <w:tcW w:w="0" w:type="auto"/>
            <w:tcBorders>
              <w:top w:val="nil"/>
              <w:left w:val="nil"/>
              <w:bottom w:val="single" w:sz="4" w:space="0" w:color="auto"/>
              <w:right w:val="single" w:sz="4" w:space="0" w:color="auto"/>
            </w:tcBorders>
            <w:shd w:val="clear" w:color="auto" w:fill="auto"/>
            <w:noWrap/>
            <w:vAlign w:val="center"/>
            <w:hideMark/>
          </w:tcPr>
          <w:p w14:paraId="5951C957" w14:textId="77777777" w:rsidR="001F01A2" w:rsidRPr="004F469F" w:rsidRDefault="001F01A2" w:rsidP="00A967F3">
            <w:pPr>
              <w:jc w:val="center"/>
              <w:rPr>
                <w:sz w:val="20"/>
                <w:szCs w:val="20"/>
              </w:rPr>
            </w:pPr>
            <w:r w:rsidRPr="004F469F">
              <w:rPr>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31A5E6F2" w14:textId="77777777" w:rsidR="001F01A2" w:rsidRPr="004F469F" w:rsidRDefault="001F01A2" w:rsidP="00A967F3">
            <w:pPr>
              <w:jc w:val="center"/>
              <w:rPr>
                <w:sz w:val="20"/>
                <w:szCs w:val="20"/>
              </w:rPr>
            </w:pPr>
            <w:r w:rsidRPr="004F469F">
              <w:rPr>
                <w:sz w:val="20"/>
                <w:szCs w:val="20"/>
              </w:rPr>
              <w:t>0.4</w:t>
            </w:r>
          </w:p>
        </w:tc>
        <w:tc>
          <w:tcPr>
            <w:tcW w:w="0" w:type="auto"/>
            <w:tcBorders>
              <w:top w:val="nil"/>
              <w:left w:val="nil"/>
              <w:bottom w:val="single" w:sz="4" w:space="0" w:color="auto"/>
              <w:right w:val="single" w:sz="4" w:space="0" w:color="auto"/>
            </w:tcBorders>
            <w:shd w:val="clear" w:color="auto" w:fill="auto"/>
            <w:noWrap/>
            <w:vAlign w:val="center"/>
            <w:hideMark/>
          </w:tcPr>
          <w:p w14:paraId="4499B1AC" w14:textId="77777777" w:rsidR="001F01A2" w:rsidRPr="004F469F" w:rsidRDefault="001F01A2" w:rsidP="00A967F3">
            <w:pPr>
              <w:jc w:val="center"/>
              <w:rPr>
                <w:sz w:val="20"/>
                <w:szCs w:val="20"/>
              </w:rPr>
            </w:pPr>
            <w:r w:rsidRPr="004F469F">
              <w:rPr>
                <w:sz w:val="20"/>
                <w:szCs w:val="20"/>
              </w:rPr>
              <w:t>12.4</w:t>
            </w:r>
          </w:p>
        </w:tc>
        <w:tc>
          <w:tcPr>
            <w:tcW w:w="0" w:type="auto"/>
            <w:tcBorders>
              <w:top w:val="nil"/>
              <w:left w:val="nil"/>
              <w:bottom w:val="single" w:sz="4" w:space="0" w:color="auto"/>
              <w:right w:val="single" w:sz="4" w:space="0" w:color="auto"/>
            </w:tcBorders>
            <w:shd w:val="clear" w:color="auto" w:fill="auto"/>
            <w:noWrap/>
            <w:vAlign w:val="center"/>
            <w:hideMark/>
          </w:tcPr>
          <w:p w14:paraId="5741F291" w14:textId="77777777" w:rsidR="001F01A2" w:rsidRPr="004F469F" w:rsidRDefault="001F01A2" w:rsidP="00A967F3">
            <w:pPr>
              <w:jc w:val="center"/>
              <w:rPr>
                <w:sz w:val="20"/>
                <w:szCs w:val="20"/>
              </w:rPr>
            </w:pPr>
            <w:r w:rsidRPr="004F469F">
              <w:rPr>
                <w:sz w:val="20"/>
                <w:szCs w:val="20"/>
              </w:rPr>
              <w:t>25.2</w:t>
            </w:r>
          </w:p>
        </w:tc>
        <w:tc>
          <w:tcPr>
            <w:tcW w:w="0" w:type="auto"/>
            <w:tcBorders>
              <w:top w:val="nil"/>
              <w:left w:val="nil"/>
              <w:bottom w:val="single" w:sz="4" w:space="0" w:color="auto"/>
              <w:right w:val="single" w:sz="4" w:space="0" w:color="auto"/>
            </w:tcBorders>
            <w:shd w:val="clear" w:color="auto" w:fill="auto"/>
            <w:noWrap/>
            <w:vAlign w:val="center"/>
            <w:hideMark/>
          </w:tcPr>
          <w:p w14:paraId="180391C6" w14:textId="77777777" w:rsidR="001F01A2" w:rsidRPr="004F469F" w:rsidRDefault="001F01A2" w:rsidP="00A967F3">
            <w:pPr>
              <w:jc w:val="center"/>
              <w:rPr>
                <w:sz w:val="20"/>
                <w:szCs w:val="20"/>
              </w:rPr>
            </w:pPr>
            <w:r w:rsidRPr="004F469F">
              <w:rPr>
                <w:sz w:val="20"/>
                <w:szCs w:val="20"/>
              </w:rPr>
              <w:t>100</w:t>
            </w:r>
          </w:p>
        </w:tc>
      </w:tr>
      <w:tr w:rsidR="00494669" w:rsidRPr="004F469F" w14:paraId="17BE37F8" w14:textId="77777777" w:rsidTr="00A967F3">
        <w:trPr>
          <w:trHeight w:val="320"/>
        </w:trPr>
        <w:tc>
          <w:tcPr>
            <w:tcW w:w="0" w:type="auto"/>
            <w:tcBorders>
              <w:top w:val="nil"/>
              <w:left w:val="single" w:sz="4" w:space="0" w:color="auto"/>
              <w:bottom w:val="single" w:sz="12" w:space="0" w:color="auto"/>
              <w:right w:val="single" w:sz="4" w:space="0" w:color="auto"/>
            </w:tcBorders>
            <w:shd w:val="clear" w:color="auto" w:fill="auto"/>
            <w:noWrap/>
            <w:vAlign w:val="center"/>
            <w:hideMark/>
          </w:tcPr>
          <w:p w14:paraId="7226A46A" w14:textId="5B4A96C3" w:rsidR="001F01A2" w:rsidRPr="004F469F" w:rsidRDefault="001F01A2" w:rsidP="00A967F3">
            <w:pPr>
              <w:jc w:val="center"/>
              <w:rPr>
                <w:rFonts w:eastAsia="Arial Unicode MS"/>
                <w:sz w:val="20"/>
                <w:szCs w:val="20"/>
              </w:rPr>
            </w:pPr>
            <w:r w:rsidRPr="004F469F">
              <w:rPr>
                <w:rFonts w:eastAsia="Arial Unicode MS"/>
                <w:sz w:val="20"/>
                <w:szCs w:val="20"/>
              </w:rPr>
              <w:t>SP</w:t>
            </w:r>
          </w:p>
        </w:tc>
        <w:tc>
          <w:tcPr>
            <w:tcW w:w="0" w:type="auto"/>
            <w:tcBorders>
              <w:top w:val="nil"/>
              <w:left w:val="nil"/>
              <w:bottom w:val="single" w:sz="12" w:space="0" w:color="auto"/>
              <w:right w:val="single" w:sz="4" w:space="0" w:color="auto"/>
            </w:tcBorders>
            <w:shd w:val="clear" w:color="auto" w:fill="auto"/>
            <w:noWrap/>
            <w:vAlign w:val="center"/>
            <w:hideMark/>
          </w:tcPr>
          <w:p w14:paraId="4F7E584A" w14:textId="77777777" w:rsidR="001F01A2" w:rsidRPr="004F469F" w:rsidRDefault="001F01A2" w:rsidP="00A967F3">
            <w:pPr>
              <w:jc w:val="center"/>
              <w:rPr>
                <w:sz w:val="20"/>
                <w:szCs w:val="20"/>
              </w:rPr>
            </w:pPr>
            <w:r w:rsidRPr="004F469F">
              <w:rPr>
                <w:sz w:val="20"/>
                <w:szCs w:val="20"/>
              </w:rPr>
              <w:t>1.1</w:t>
            </w:r>
          </w:p>
        </w:tc>
        <w:tc>
          <w:tcPr>
            <w:tcW w:w="0" w:type="auto"/>
            <w:tcBorders>
              <w:top w:val="nil"/>
              <w:left w:val="nil"/>
              <w:bottom w:val="single" w:sz="12" w:space="0" w:color="auto"/>
              <w:right w:val="single" w:sz="4" w:space="0" w:color="auto"/>
            </w:tcBorders>
            <w:shd w:val="clear" w:color="auto" w:fill="auto"/>
            <w:noWrap/>
            <w:vAlign w:val="center"/>
            <w:hideMark/>
          </w:tcPr>
          <w:p w14:paraId="3D0DEA5F" w14:textId="77777777" w:rsidR="001F01A2" w:rsidRPr="004F469F" w:rsidRDefault="001F01A2" w:rsidP="00A967F3">
            <w:pPr>
              <w:jc w:val="center"/>
              <w:rPr>
                <w:sz w:val="20"/>
                <w:szCs w:val="20"/>
              </w:rPr>
            </w:pPr>
            <w:r w:rsidRPr="004F469F">
              <w:rPr>
                <w:sz w:val="20"/>
                <w:szCs w:val="20"/>
              </w:rPr>
              <w:t>39.8</w:t>
            </w:r>
          </w:p>
        </w:tc>
        <w:tc>
          <w:tcPr>
            <w:tcW w:w="0" w:type="auto"/>
            <w:tcBorders>
              <w:top w:val="nil"/>
              <w:left w:val="nil"/>
              <w:bottom w:val="single" w:sz="12" w:space="0" w:color="auto"/>
              <w:right w:val="single" w:sz="4" w:space="0" w:color="auto"/>
            </w:tcBorders>
            <w:shd w:val="clear" w:color="auto" w:fill="auto"/>
            <w:noWrap/>
            <w:vAlign w:val="center"/>
            <w:hideMark/>
          </w:tcPr>
          <w:p w14:paraId="59E51008" w14:textId="77777777" w:rsidR="001F01A2" w:rsidRPr="004F469F" w:rsidRDefault="001F01A2" w:rsidP="00A967F3">
            <w:pPr>
              <w:jc w:val="center"/>
              <w:rPr>
                <w:sz w:val="20"/>
                <w:szCs w:val="20"/>
              </w:rPr>
            </w:pPr>
            <w:r w:rsidRPr="004F469F">
              <w:rPr>
                <w:sz w:val="20"/>
                <w:szCs w:val="20"/>
              </w:rPr>
              <w:t>60.8</w:t>
            </w:r>
          </w:p>
        </w:tc>
        <w:tc>
          <w:tcPr>
            <w:tcW w:w="0" w:type="auto"/>
            <w:tcBorders>
              <w:top w:val="nil"/>
              <w:left w:val="nil"/>
              <w:bottom w:val="single" w:sz="12" w:space="0" w:color="auto"/>
              <w:right w:val="single" w:sz="4" w:space="0" w:color="auto"/>
            </w:tcBorders>
            <w:shd w:val="clear" w:color="auto" w:fill="auto"/>
            <w:noWrap/>
            <w:vAlign w:val="center"/>
            <w:hideMark/>
          </w:tcPr>
          <w:p w14:paraId="43A4F4B9" w14:textId="77777777" w:rsidR="001F01A2" w:rsidRPr="004F469F" w:rsidRDefault="001F01A2" w:rsidP="00A967F3">
            <w:pPr>
              <w:jc w:val="center"/>
              <w:rPr>
                <w:sz w:val="20"/>
                <w:szCs w:val="20"/>
              </w:rPr>
            </w:pPr>
            <w:r w:rsidRPr="004F469F">
              <w:rPr>
                <w:sz w:val="20"/>
                <w:szCs w:val="20"/>
              </w:rPr>
              <w:t>100</w:t>
            </w:r>
          </w:p>
        </w:tc>
        <w:tc>
          <w:tcPr>
            <w:tcW w:w="0" w:type="auto"/>
            <w:tcBorders>
              <w:top w:val="nil"/>
              <w:left w:val="nil"/>
              <w:bottom w:val="single" w:sz="12" w:space="0" w:color="auto"/>
              <w:right w:val="single" w:sz="4" w:space="0" w:color="auto"/>
            </w:tcBorders>
            <w:shd w:val="clear" w:color="auto" w:fill="auto"/>
            <w:noWrap/>
            <w:vAlign w:val="center"/>
            <w:hideMark/>
          </w:tcPr>
          <w:p w14:paraId="2A4D33AD" w14:textId="77777777" w:rsidR="001F01A2" w:rsidRPr="004F469F" w:rsidRDefault="001F01A2" w:rsidP="00A967F3">
            <w:pPr>
              <w:jc w:val="center"/>
              <w:rPr>
                <w:sz w:val="20"/>
                <w:szCs w:val="20"/>
              </w:rPr>
            </w:pPr>
            <w:r w:rsidRPr="004F469F">
              <w:rPr>
                <w:sz w:val="20"/>
                <w:szCs w:val="20"/>
              </w:rPr>
              <w:t>0</w:t>
            </w:r>
          </w:p>
        </w:tc>
        <w:tc>
          <w:tcPr>
            <w:tcW w:w="0" w:type="auto"/>
            <w:tcBorders>
              <w:top w:val="nil"/>
              <w:left w:val="nil"/>
              <w:bottom w:val="single" w:sz="12" w:space="0" w:color="auto"/>
              <w:right w:val="single" w:sz="4" w:space="0" w:color="auto"/>
            </w:tcBorders>
            <w:shd w:val="clear" w:color="auto" w:fill="auto"/>
            <w:noWrap/>
            <w:vAlign w:val="center"/>
            <w:hideMark/>
          </w:tcPr>
          <w:p w14:paraId="6EC43ED9" w14:textId="77777777" w:rsidR="001F01A2" w:rsidRPr="004F469F" w:rsidRDefault="001F01A2" w:rsidP="00A967F3">
            <w:pPr>
              <w:jc w:val="center"/>
              <w:rPr>
                <w:sz w:val="20"/>
                <w:szCs w:val="20"/>
              </w:rPr>
            </w:pPr>
            <w:r w:rsidRPr="004F469F">
              <w:rPr>
                <w:sz w:val="20"/>
                <w:szCs w:val="20"/>
              </w:rPr>
              <w:t>14.3</w:t>
            </w:r>
          </w:p>
        </w:tc>
        <w:tc>
          <w:tcPr>
            <w:tcW w:w="0" w:type="auto"/>
            <w:tcBorders>
              <w:top w:val="nil"/>
              <w:left w:val="nil"/>
              <w:bottom w:val="single" w:sz="12" w:space="0" w:color="auto"/>
              <w:right w:val="single" w:sz="4" w:space="0" w:color="auto"/>
            </w:tcBorders>
            <w:shd w:val="clear" w:color="auto" w:fill="auto"/>
            <w:noWrap/>
            <w:vAlign w:val="center"/>
            <w:hideMark/>
          </w:tcPr>
          <w:p w14:paraId="79AC0436" w14:textId="77777777" w:rsidR="001F01A2" w:rsidRPr="004F469F" w:rsidRDefault="001F01A2" w:rsidP="00A967F3">
            <w:pPr>
              <w:jc w:val="center"/>
              <w:rPr>
                <w:sz w:val="20"/>
                <w:szCs w:val="20"/>
              </w:rPr>
            </w:pPr>
            <w:r w:rsidRPr="004F469F">
              <w:rPr>
                <w:sz w:val="20"/>
                <w:szCs w:val="20"/>
              </w:rPr>
              <w:t>34.9</w:t>
            </w:r>
          </w:p>
        </w:tc>
        <w:tc>
          <w:tcPr>
            <w:tcW w:w="0" w:type="auto"/>
            <w:tcBorders>
              <w:top w:val="nil"/>
              <w:left w:val="nil"/>
              <w:bottom w:val="single" w:sz="12" w:space="0" w:color="auto"/>
              <w:right w:val="single" w:sz="4" w:space="0" w:color="auto"/>
            </w:tcBorders>
            <w:shd w:val="clear" w:color="auto" w:fill="auto"/>
            <w:noWrap/>
            <w:vAlign w:val="center"/>
            <w:hideMark/>
          </w:tcPr>
          <w:p w14:paraId="572A95B5" w14:textId="77777777" w:rsidR="001F01A2" w:rsidRPr="004F469F" w:rsidRDefault="001F01A2" w:rsidP="00A967F3">
            <w:pPr>
              <w:jc w:val="center"/>
              <w:rPr>
                <w:sz w:val="20"/>
                <w:szCs w:val="20"/>
              </w:rPr>
            </w:pPr>
            <w:r w:rsidRPr="004F469F">
              <w:rPr>
                <w:sz w:val="20"/>
                <w:szCs w:val="20"/>
              </w:rPr>
              <w:t>62.8</w:t>
            </w:r>
          </w:p>
        </w:tc>
      </w:tr>
      <w:tr w:rsidR="001F01A2" w:rsidRPr="004F469F" w14:paraId="4BDF32AA" w14:textId="77777777" w:rsidTr="00A967F3">
        <w:trPr>
          <w:trHeight w:val="340"/>
        </w:trPr>
        <w:tc>
          <w:tcPr>
            <w:tcW w:w="0" w:type="auto"/>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775D831" w14:textId="57869F97" w:rsidR="001F01A2" w:rsidRPr="004F469F" w:rsidRDefault="001F01A2" w:rsidP="00A967F3">
            <w:pPr>
              <w:jc w:val="center"/>
              <w:rPr>
                <w:rFonts w:eastAsia="Arial Unicode MS"/>
                <w:i/>
                <w:iCs/>
                <w:sz w:val="20"/>
                <w:szCs w:val="20"/>
              </w:rPr>
            </w:pPr>
            <w:r w:rsidRPr="004F469F">
              <w:rPr>
                <w:rFonts w:eastAsia="Arial Unicode MS"/>
                <w:i/>
                <w:iCs/>
                <w:sz w:val="20"/>
                <w:szCs w:val="20"/>
              </w:rPr>
              <w:t>US</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7EF3CB5B" w14:textId="77777777" w:rsidR="001F01A2" w:rsidRPr="004F469F" w:rsidRDefault="001F01A2" w:rsidP="00A967F3">
            <w:pPr>
              <w:jc w:val="center"/>
              <w:rPr>
                <w:i/>
                <w:iCs/>
                <w:sz w:val="20"/>
                <w:szCs w:val="20"/>
              </w:rPr>
            </w:pPr>
            <w:r w:rsidRPr="004F469F">
              <w:rPr>
                <w:i/>
                <w:iCs/>
                <w:sz w:val="20"/>
                <w:szCs w:val="20"/>
              </w:rPr>
              <w:t>0.2</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69CD5020" w14:textId="77777777" w:rsidR="001F01A2" w:rsidRPr="004F469F" w:rsidRDefault="001F01A2" w:rsidP="00A967F3">
            <w:pPr>
              <w:jc w:val="center"/>
              <w:rPr>
                <w:i/>
                <w:iCs/>
                <w:sz w:val="20"/>
                <w:szCs w:val="20"/>
              </w:rPr>
            </w:pPr>
            <w:r w:rsidRPr="004F469F">
              <w:rPr>
                <w:i/>
                <w:iCs/>
                <w:sz w:val="20"/>
                <w:szCs w:val="20"/>
              </w:rPr>
              <w:t>30.3</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0487D563" w14:textId="77777777" w:rsidR="001F01A2" w:rsidRPr="004F469F" w:rsidRDefault="001F01A2" w:rsidP="00A967F3">
            <w:pPr>
              <w:jc w:val="center"/>
              <w:rPr>
                <w:i/>
                <w:iCs/>
                <w:sz w:val="20"/>
                <w:szCs w:val="20"/>
              </w:rPr>
            </w:pPr>
            <w:r w:rsidRPr="004F469F">
              <w:rPr>
                <w:i/>
                <w:iCs/>
                <w:sz w:val="20"/>
                <w:szCs w:val="20"/>
              </w:rPr>
              <w:t>57.2</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6A11F0CF" w14:textId="77777777" w:rsidR="001F01A2" w:rsidRPr="004F469F" w:rsidRDefault="001F01A2" w:rsidP="00A967F3">
            <w:pPr>
              <w:jc w:val="center"/>
              <w:rPr>
                <w:i/>
                <w:iCs/>
                <w:sz w:val="20"/>
                <w:szCs w:val="20"/>
              </w:rPr>
            </w:pPr>
            <w:r w:rsidRPr="004F469F">
              <w:rPr>
                <w:i/>
                <w:iCs/>
                <w:sz w:val="20"/>
                <w:szCs w:val="20"/>
              </w:rPr>
              <w:t>100</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4D5017BB" w14:textId="77777777" w:rsidR="001F01A2" w:rsidRPr="004F469F" w:rsidRDefault="001F01A2" w:rsidP="00A967F3">
            <w:pPr>
              <w:jc w:val="center"/>
              <w:rPr>
                <w:i/>
                <w:iCs/>
                <w:sz w:val="20"/>
                <w:szCs w:val="20"/>
              </w:rPr>
            </w:pPr>
            <w:r w:rsidRPr="004F469F">
              <w:rPr>
                <w:i/>
                <w:iCs/>
                <w:sz w:val="20"/>
                <w:szCs w:val="20"/>
              </w:rPr>
              <w:t>0</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14AB354E" w14:textId="77777777" w:rsidR="001F01A2" w:rsidRPr="004F469F" w:rsidRDefault="001F01A2" w:rsidP="00A967F3">
            <w:pPr>
              <w:jc w:val="center"/>
              <w:rPr>
                <w:i/>
                <w:iCs/>
                <w:sz w:val="20"/>
                <w:szCs w:val="20"/>
              </w:rPr>
            </w:pPr>
            <w:r w:rsidRPr="004F469F">
              <w:rPr>
                <w:i/>
                <w:iCs/>
                <w:sz w:val="20"/>
                <w:szCs w:val="20"/>
              </w:rPr>
              <w:t>9.2</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0728B90C" w14:textId="77777777" w:rsidR="001F01A2" w:rsidRPr="004F469F" w:rsidRDefault="001F01A2" w:rsidP="00A967F3">
            <w:pPr>
              <w:jc w:val="center"/>
              <w:rPr>
                <w:i/>
                <w:iCs/>
                <w:sz w:val="20"/>
                <w:szCs w:val="20"/>
              </w:rPr>
            </w:pPr>
            <w:r w:rsidRPr="004F469F">
              <w:rPr>
                <w:i/>
                <w:iCs/>
                <w:sz w:val="20"/>
                <w:szCs w:val="20"/>
              </w:rPr>
              <w:t>26.2</w:t>
            </w:r>
          </w:p>
        </w:tc>
        <w:tc>
          <w:tcPr>
            <w:tcW w:w="0" w:type="auto"/>
            <w:tcBorders>
              <w:top w:val="single" w:sz="12" w:space="0" w:color="auto"/>
              <w:left w:val="nil"/>
              <w:bottom w:val="single" w:sz="12" w:space="0" w:color="auto"/>
              <w:right w:val="single" w:sz="4" w:space="0" w:color="auto"/>
            </w:tcBorders>
            <w:shd w:val="clear" w:color="auto" w:fill="auto"/>
            <w:noWrap/>
            <w:vAlign w:val="center"/>
            <w:hideMark/>
          </w:tcPr>
          <w:p w14:paraId="404FAE51" w14:textId="77777777" w:rsidR="001F01A2" w:rsidRPr="004F469F" w:rsidRDefault="001F01A2" w:rsidP="00A967F3">
            <w:pPr>
              <w:jc w:val="center"/>
              <w:rPr>
                <w:i/>
                <w:iCs/>
                <w:sz w:val="20"/>
                <w:szCs w:val="20"/>
              </w:rPr>
            </w:pPr>
            <w:r w:rsidRPr="004F469F">
              <w:rPr>
                <w:i/>
                <w:iCs/>
                <w:sz w:val="20"/>
                <w:szCs w:val="20"/>
              </w:rPr>
              <w:t>100</w:t>
            </w:r>
          </w:p>
        </w:tc>
      </w:tr>
    </w:tbl>
    <w:p w14:paraId="4BC73C72" w14:textId="33663864" w:rsidR="001F01A2" w:rsidRPr="004F469F" w:rsidRDefault="001F01A2" w:rsidP="005C4E5F">
      <w:pPr>
        <w:spacing w:after="120" w:line="480" w:lineRule="auto"/>
        <w:rPr>
          <w:sz w:val="20"/>
          <w:szCs w:val="20"/>
        </w:rPr>
      </w:pPr>
    </w:p>
    <w:p w14:paraId="481724D6" w14:textId="77777777" w:rsidR="00A967F3" w:rsidRPr="004F469F" w:rsidRDefault="00A967F3" w:rsidP="005C4E5F">
      <w:pPr>
        <w:spacing w:after="120" w:line="480" w:lineRule="auto"/>
        <w:rPr>
          <w:sz w:val="20"/>
          <w:szCs w:val="20"/>
        </w:rPr>
        <w:sectPr w:rsidR="00A967F3" w:rsidRPr="004F469F" w:rsidSect="00A967F3">
          <w:type w:val="continuous"/>
          <w:pgSz w:w="12240" w:h="15840"/>
          <w:pgMar w:top="1440" w:right="1440" w:bottom="1440" w:left="1440" w:header="720" w:footer="720" w:gutter="0"/>
          <w:cols w:space="720"/>
          <w:docGrid w:linePitch="360"/>
        </w:sectPr>
      </w:pPr>
    </w:p>
    <w:p w14:paraId="2D5DAC0B" w14:textId="36275124" w:rsidR="00A967F3" w:rsidRPr="004F469F" w:rsidRDefault="00A967F3" w:rsidP="00A967F3">
      <w:pPr>
        <w:pStyle w:val="Caption"/>
        <w:keepNext/>
        <w:rPr>
          <w:rFonts w:ascii="Times New Roman" w:hAnsi="Times New Roman" w:cs="Times New Roman"/>
          <w:i w:val="0"/>
          <w:iCs w:val="0"/>
          <w:color w:val="auto"/>
          <w:sz w:val="24"/>
          <w:szCs w:val="24"/>
        </w:rPr>
      </w:pPr>
      <w:bookmarkStart w:id="36" w:name="_Toc22034993"/>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Characteristics of violent tornadoes by type and region. Characteristics include the median value for each region of persons exposed (OBS), tornado footprint area (AREA) in km</w:t>
      </w:r>
      <w:r w:rsidRPr="004F469F">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maximum persons potentially exposed (PPEMAX), probability (%) that the persons potentially exposed exceeds the persons exposed (EPOBS), 5,000 persons (EP5K), or 20,000 persons (EP20K) within the specified distance radius (r). * denotes sample size for probability calculation was less than 3.</w:t>
      </w:r>
      <w:bookmarkEnd w:id="36"/>
    </w:p>
    <w:tbl>
      <w:tblPr>
        <w:tblW w:w="5000" w:type="pct"/>
        <w:tblLook w:val="04A0" w:firstRow="1" w:lastRow="0" w:firstColumn="1" w:lastColumn="0" w:noHBand="0" w:noVBand="1"/>
      </w:tblPr>
      <w:tblGrid>
        <w:gridCol w:w="1326"/>
        <w:gridCol w:w="461"/>
        <w:gridCol w:w="1132"/>
        <w:gridCol w:w="935"/>
        <w:gridCol w:w="1399"/>
        <w:gridCol w:w="1088"/>
        <w:gridCol w:w="1023"/>
        <w:gridCol w:w="1041"/>
        <w:gridCol w:w="1401"/>
        <w:gridCol w:w="1088"/>
        <w:gridCol w:w="1023"/>
        <w:gridCol w:w="1033"/>
      </w:tblGrid>
      <w:tr w:rsidR="00494669" w:rsidRPr="004F469F" w14:paraId="46E37EE1" w14:textId="77777777" w:rsidTr="003C6A19">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1A36" w14:textId="77777777" w:rsidR="00A967F3" w:rsidRPr="004F469F" w:rsidRDefault="00A967F3" w:rsidP="003C6A19">
            <w:pPr>
              <w:rPr>
                <w:rFonts w:eastAsia="Arial Unicode MS"/>
                <w:i/>
                <w:iCs/>
                <w:sz w:val="20"/>
                <w:szCs w:val="20"/>
              </w:rPr>
            </w:pPr>
            <w:r w:rsidRPr="004F469F">
              <w:rPr>
                <w:rFonts w:eastAsia="Arial Unicode MS"/>
                <w:i/>
                <w:iCs/>
                <w:sz w:val="20"/>
                <w:szCs w:val="20"/>
              </w:rPr>
              <w:t>Far-Misses</w:t>
            </w:r>
          </w:p>
        </w:tc>
      </w:tr>
      <w:tr w:rsidR="00494669" w:rsidRPr="004F469F" w14:paraId="1E31AADD"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208761D8" w14:textId="25654B22" w:rsidR="00A967F3" w:rsidRPr="004F469F" w:rsidRDefault="00A967F3" w:rsidP="003C6A19">
            <w:pPr>
              <w:jc w:val="center"/>
              <w:rPr>
                <w:rFonts w:eastAsia="Arial Unicode MS"/>
                <w:sz w:val="20"/>
                <w:szCs w:val="20"/>
              </w:rPr>
            </w:pPr>
          </w:p>
        </w:tc>
        <w:tc>
          <w:tcPr>
            <w:tcW w:w="178" w:type="pct"/>
            <w:tcBorders>
              <w:top w:val="nil"/>
              <w:left w:val="nil"/>
              <w:bottom w:val="single" w:sz="4" w:space="0" w:color="auto"/>
              <w:right w:val="single" w:sz="4" w:space="0" w:color="auto"/>
            </w:tcBorders>
            <w:shd w:val="clear" w:color="auto" w:fill="auto"/>
            <w:noWrap/>
            <w:vAlign w:val="center"/>
            <w:hideMark/>
          </w:tcPr>
          <w:p w14:paraId="04C168B9" w14:textId="3A0030F7" w:rsidR="00A967F3" w:rsidRPr="004F469F" w:rsidRDefault="00A967F3" w:rsidP="003C6A19">
            <w:pPr>
              <w:jc w:val="center"/>
              <w:rPr>
                <w:sz w:val="20"/>
                <w:szCs w:val="20"/>
              </w:rPr>
            </w:pPr>
          </w:p>
        </w:tc>
        <w:tc>
          <w:tcPr>
            <w:tcW w:w="437" w:type="pct"/>
            <w:tcBorders>
              <w:top w:val="nil"/>
              <w:left w:val="nil"/>
              <w:bottom w:val="single" w:sz="4" w:space="0" w:color="auto"/>
              <w:right w:val="single" w:sz="4" w:space="0" w:color="auto"/>
            </w:tcBorders>
            <w:shd w:val="clear" w:color="auto" w:fill="auto"/>
            <w:noWrap/>
            <w:vAlign w:val="center"/>
            <w:hideMark/>
          </w:tcPr>
          <w:p w14:paraId="0ADB3F1A" w14:textId="346356DD" w:rsidR="00A967F3" w:rsidRPr="004F469F" w:rsidRDefault="00A967F3" w:rsidP="003C6A19">
            <w:pPr>
              <w:jc w:val="center"/>
              <w:rPr>
                <w:sz w:val="20"/>
                <w:szCs w:val="20"/>
              </w:rPr>
            </w:pPr>
          </w:p>
        </w:tc>
        <w:tc>
          <w:tcPr>
            <w:tcW w:w="361" w:type="pct"/>
            <w:tcBorders>
              <w:top w:val="nil"/>
              <w:left w:val="nil"/>
              <w:bottom w:val="single" w:sz="4" w:space="0" w:color="auto"/>
              <w:right w:val="single" w:sz="4" w:space="0" w:color="auto"/>
            </w:tcBorders>
            <w:shd w:val="clear" w:color="auto" w:fill="auto"/>
            <w:noWrap/>
            <w:vAlign w:val="center"/>
            <w:hideMark/>
          </w:tcPr>
          <w:p w14:paraId="18107D46" w14:textId="62081BAC" w:rsidR="00A967F3" w:rsidRPr="004F469F" w:rsidRDefault="00A967F3" w:rsidP="003C6A19">
            <w:pPr>
              <w:jc w:val="center"/>
              <w:rPr>
                <w:sz w:val="20"/>
                <w:szCs w:val="20"/>
              </w:rPr>
            </w:pPr>
          </w:p>
        </w:tc>
        <w:tc>
          <w:tcPr>
            <w:tcW w:w="1757" w:type="pct"/>
            <w:gridSpan w:val="4"/>
            <w:tcBorders>
              <w:top w:val="single" w:sz="4" w:space="0" w:color="auto"/>
              <w:left w:val="nil"/>
              <w:bottom w:val="single" w:sz="4" w:space="0" w:color="auto"/>
              <w:right w:val="single" w:sz="4" w:space="0" w:color="auto"/>
            </w:tcBorders>
            <w:shd w:val="clear" w:color="auto" w:fill="auto"/>
            <w:noWrap/>
            <w:vAlign w:val="center"/>
            <w:hideMark/>
          </w:tcPr>
          <w:p w14:paraId="4BA29C14" w14:textId="4C93C031" w:rsidR="00A967F3" w:rsidRPr="004F469F" w:rsidRDefault="003C6A19" w:rsidP="003C6A19">
            <w:pPr>
              <w:jc w:val="center"/>
              <w:rPr>
                <w:sz w:val="20"/>
                <w:szCs w:val="20"/>
              </w:rPr>
            </w:pPr>
            <w:r w:rsidRPr="004F469F">
              <w:rPr>
                <w:sz w:val="20"/>
                <w:szCs w:val="20"/>
              </w:rPr>
              <w:t xml:space="preserve">r </w:t>
            </w:r>
            <w:r w:rsidR="00A967F3" w:rsidRPr="004F469F">
              <w:rPr>
                <w:sz w:val="20"/>
                <w:szCs w:val="20"/>
              </w:rPr>
              <w:t>=</w:t>
            </w:r>
            <w:r w:rsidRPr="004F469F">
              <w:rPr>
                <w:sz w:val="20"/>
                <w:szCs w:val="20"/>
              </w:rPr>
              <w:t xml:space="preserve"> </w:t>
            </w:r>
            <w:r w:rsidR="00A967F3" w:rsidRPr="004F469F">
              <w:rPr>
                <w:sz w:val="20"/>
                <w:szCs w:val="20"/>
              </w:rPr>
              <w:t>10 km</w:t>
            </w:r>
          </w:p>
        </w:tc>
        <w:tc>
          <w:tcPr>
            <w:tcW w:w="17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384A8734" w14:textId="6A7FD94E" w:rsidR="00A967F3" w:rsidRPr="004F469F" w:rsidRDefault="003C6A19" w:rsidP="003C6A19">
            <w:pPr>
              <w:jc w:val="center"/>
              <w:rPr>
                <w:sz w:val="20"/>
                <w:szCs w:val="20"/>
              </w:rPr>
            </w:pPr>
            <w:r w:rsidRPr="004F469F">
              <w:rPr>
                <w:sz w:val="20"/>
                <w:szCs w:val="20"/>
              </w:rPr>
              <w:t xml:space="preserve">r </w:t>
            </w:r>
            <w:r w:rsidR="00A967F3" w:rsidRPr="004F469F">
              <w:rPr>
                <w:sz w:val="20"/>
                <w:szCs w:val="20"/>
              </w:rPr>
              <w:t>=</w:t>
            </w:r>
            <w:r w:rsidRPr="004F469F">
              <w:rPr>
                <w:sz w:val="20"/>
                <w:szCs w:val="20"/>
              </w:rPr>
              <w:t xml:space="preserve"> </w:t>
            </w:r>
            <w:r w:rsidR="00A967F3" w:rsidRPr="004F469F">
              <w:rPr>
                <w:sz w:val="20"/>
                <w:szCs w:val="20"/>
              </w:rPr>
              <w:t>40 km</w:t>
            </w:r>
          </w:p>
        </w:tc>
      </w:tr>
      <w:tr w:rsidR="00494669" w:rsidRPr="004F469F" w14:paraId="3AA4AB06"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72749302" w14:textId="77777777" w:rsidR="00A967F3" w:rsidRPr="004F469F" w:rsidRDefault="00A967F3" w:rsidP="003C6A19">
            <w:pPr>
              <w:jc w:val="center"/>
              <w:rPr>
                <w:rFonts w:eastAsia="Arial Unicode MS"/>
                <w:b/>
                <w:bCs/>
                <w:sz w:val="20"/>
                <w:szCs w:val="20"/>
              </w:rPr>
            </w:pPr>
            <w:r w:rsidRPr="004F469F">
              <w:rPr>
                <w:rFonts w:eastAsia="Arial Unicode MS"/>
                <w:b/>
                <w:bCs/>
                <w:sz w:val="20"/>
                <w:szCs w:val="20"/>
              </w:rPr>
              <w:t>REGION</w:t>
            </w:r>
          </w:p>
        </w:tc>
        <w:tc>
          <w:tcPr>
            <w:tcW w:w="178" w:type="pct"/>
            <w:tcBorders>
              <w:top w:val="nil"/>
              <w:left w:val="nil"/>
              <w:bottom w:val="single" w:sz="4" w:space="0" w:color="auto"/>
              <w:right w:val="single" w:sz="4" w:space="0" w:color="auto"/>
            </w:tcBorders>
            <w:shd w:val="clear" w:color="auto" w:fill="auto"/>
            <w:noWrap/>
            <w:vAlign w:val="center"/>
            <w:hideMark/>
          </w:tcPr>
          <w:p w14:paraId="7D38B2CD" w14:textId="77777777" w:rsidR="00A967F3" w:rsidRPr="004F469F" w:rsidRDefault="00A967F3" w:rsidP="003C6A19">
            <w:pPr>
              <w:jc w:val="center"/>
              <w:rPr>
                <w:b/>
                <w:bCs/>
                <w:sz w:val="20"/>
                <w:szCs w:val="20"/>
              </w:rPr>
            </w:pPr>
            <w:r w:rsidRPr="004F469F">
              <w:rPr>
                <w:b/>
                <w:bCs/>
                <w:sz w:val="20"/>
                <w:szCs w:val="20"/>
              </w:rPr>
              <w:t>n</w:t>
            </w:r>
          </w:p>
        </w:tc>
        <w:tc>
          <w:tcPr>
            <w:tcW w:w="437" w:type="pct"/>
            <w:tcBorders>
              <w:top w:val="nil"/>
              <w:left w:val="nil"/>
              <w:bottom w:val="single" w:sz="4" w:space="0" w:color="auto"/>
              <w:right w:val="single" w:sz="4" w:space="0" w:color="auto"/>
            </w:tcBorders>
            <w:shd w:val="clear" w:color="auto" w:fill="auto"/>
            <w:noWrap/>
            <w:vAlign w:val="center"/>
            <w:hideMark/>
          </w:tcPr>
          <w:p w14:paraId="03306514" w14:textId="77777777" w:rsidR="00A967F3" w:rsidRPr="004F469F" w:rsidRDefault="00A967F3" w:rsidP="003C6A19">
            <w:pPr>
              <w:jc w:val="center"/>
              <w:rPr>
                <w:b/>
                <w:bCs/>
                <w:sz w:val="20"/>
                <w:szCs w:val="20"/>
              </w:rPr>
            </w:pPr>
            <w:r w:rsidRPr="004F469F">
              <w:rPr>
                <w:b/>
                <w:bCs/>
                <w:sz w:val="20"/>
                <w:szCs w:val="20"/>
              </w:rPr>
              <w:t>OBS</w:t>
            </w:r>
          </w:p>
        </w:tc>
        <w:tc>
          <w:tcPr>
            <w:tcW w:w="361" w:type="pct"/>
            <w:tcBorders>
              <w:top w:val="nil"/>
              <w:left w:val="nil"/>
              <w:bottom w:val="single" w:sz="4" w:space="0" w:color="auto"/>
              <w:right w:val="single" w:sz="4" w:space="0" w:color="auto"/>
            </w:tcBorders>
            <w:shd w:val="clear" w:color="auto" w:fill="auto"/>
            <w:noWrap/>
            <w:vAlign w:val="center"/>
            <w:hideMark/>
          </w:tcPr>
          <w:p w14:paraId="72A25474" w14:textId="77777777" w:rsidR="00A967F3" w:rsidRPr="004F469F" w:rsidRDefault="00A967F3" w:rsidP="003C6A19">
            <w:pPr>
              <w:jc w:val="center"/>
              <w:rPr>
                <w:b/>
                <w:bCs/>
                <w:sz w:val="20"/>
                <w:szCs w:val="20"/>
              </w:rPr>
            </w:pPr>
            <w:r w:rsidRPr="004F469F">
              <w:rPr>
                <w:b/>
                <w:bCs/>
                <w:sz w:val="20"/>
                <w:szCs w:val="20"/>
              </w:rPr>
              <w:t>AREA</w:t>
            </w:r>
          </w:p>
        </w:tc>
        <w:tc>
          <w:tcPr>
            <w:tcW w:w="540" w:type="pct"/>
            <w:tcBorders>
              <w:top w:val="nil"/>
              <w:left w:val="nil"/>
              <w:bottom w:val="single" w:sz="4" w:space="0" w:color="auto"/>
              <w:right w:val="single" w:sz="4" w:space="0" w:color="auto"/>
            </w:tcBorders>
            <w:shd w:val="clear" w:color="auto" w:fill="auto"/>
            <w:noWrap/>
            <w:vAlign w:val="center"/>
            <w:hideMark/>
          </w:tcPr>
          <w:p w14:paraId="588EDC14" w14:textId="77777777" w:rsidR="00A967F3" w:rsidRPr="004F469F" w:rsidRDefault="00A967F3"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7B9DD86F" w14:textId="77777777" w:rsidR="00A967F3" w:rsidRPr="004F469F" w:rsidRDefault="00A967F3"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71850D1D" w14:textId="77777777" w:rsidR="00A967F3" w:rsidRPr="004F469F" w:rsidRDefault="00A967F3" w:rsidP="003C6A19">
            <w:pPr>
              <w:jc w:val="center"/>
              <w:rPr>
                <w:b/>
                <w:bCs/>
                <w:sz w:val="20"/>
                <w:szCs w:val="20"/>
              </w:rPr>
            </w:pPr>
            <w:r w:rsidRPr="004F469F">
              <w:rPr>
                <w:b/>
                <w:bCs/>
                <w:sz w:val="20"/>
                <w:szCs w:val="20"/>
              </w:rPr>
              <w:t>EP5K</w:t>
            </w:r>
          </w:p>
        </w:tc>
        <w:tc>
          <w:tcPr>
            <w:tcW w:w="402" w:type="pct"/>
            <w:tcBorders>
              <w:top w:val="nil"/>
              <w:left w:val="nil"/>
              <w:bottom w:val="single" w:sz="4" w:space="0" w:color="auto"/>
              <w:right w:val="single" w:sz="4" w:space="0" w:color="auto"/>
            </w:tcBorders>
            <w:shd w:val="clear" w:color="auto" w:fill="auto"/>
            <w:noWrap/>
            <w:vAlign w:val="center"/>
            <w:hideMark/>
          </w:tcPr>
          <w:p w14:paraId="1854F5DE" w14:textId="77777777" w:rsidR="00A967F3" w:rsidRPr="004F469F" w:rsidRDefault="00A967F3" w:rsidP="003C6A19">
            <w:pPr>
              <w:jc w:val="center"/>
              <w:rPr>
                <w:b/>
                <w:bCs/>
                <w:sz w:val="20"/>
                <w:szCs w:val="20"/>
              </w:rPr>
            </w:pPr>
            <w:r w:rsidRPr="004F469F">
              <w:rPr>
                <w:b/>
                <w:bCs/>
                <w:sz w:val="20"/>
                <w:szCs w:val="20"/>
              </w:rPr>
              <w:t>EP20K</w:t>
            </w:r>
          </w:p>
        </w:tc>
        <w:tc>
          <w:tcPr>
            <w:tcW w:w="541" w:type="pct"/>
            <w:tcBorders>
              <w:top w:val="nil"/>
              <w:left w:val="nil"/>
              <w:bottom w:val="single" w:sz="4" w:space="0" w:color="auto"/>
              <w:right w:val="single" w:sz="4" w:space="0" w:color="auto"/>
            </w:tcBorders>
            <w:shd w:val="clear" w:color="auto" w:fill="auto"/>
            <w:noWrap/>
            <w:vAlign w:val="center"/>
            <w:hideMark/>
          </w:tcPr>
          <w:p w14:paraId="0E690185" w14:textId="77777777" w:rsidR="00A967F3" w:rsidRPr="004F469F" w:rsidRDefault="00A967F3"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6D6C03CF" w14:textId="77777777" w:rsidR="00A967F3" w:rsidRPr="004F469F" w:rsidRDefault="00A967F3"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63DB1AC0" w14:textId="77777777" w:rsidR="00A967F3" w:rsidRPr="004F469F" w:rsidRDefault="00A967F3" w:rsidP="003C6A19">
            <w:pPr>
              <w:jc w:val="center"/>
              <w:rPr>
                <w:b/>
                <w:bCs/>
                <w:sz w:val="20"/>
                <w:szCs w:val="20"/>
              </w:rPr>
            </w:pPr>
            <w:r w:rsidRPr="004F469F">
              <w:rPr>
                <w:b/>
                <w:bCs/>
                <w:sz w:val="20"/>
                <w:szCs w:val="20"/>
              </w:rPr>
              <w:t>EP5K</w:t>
            </w:r>
          </w:p>
        </w:tc>
        <w:tc>
          <w:tcPr>
            <w:tcW w:w="399" w:type="pct"/>
            <w:tcBorders>
              <w:top w:val="nil"/>
              <w:left w:val="nil"/>
              <w:bottom w:val="single" w:sz="4" w:space="0" w:color="auto"/>
              <w:right w:val="single" w:sz="4" w:space="0" w:color="auto"/>
            </w:tcBorders>
            <w:shd w:val="clear" w:color="auto" w:fill="auto"/>
            <w:noWrap/>
            <w:vAlign w:val="center"/>
            <w:hideMark/>
          </w:tcPr>
          <w:p w14:paraId="679E3002" w14:textId="77777777" w:rsidR="00A967F3" w:rsidRPr="004F469F" w:rsidRDefault="00A967F3" w:rsidP="003C6A19">
            <w:pPr>
              <w:jc w:val="center"/>
              <w:rPr>
                <w:b/>
                <w:bCs/>
                <w:sz w:val="20"/>
                <w:szCs w:val="20"/>
              </w:rPr>
            </w:pPr>
            <w:r w:rsidRPr="004F469F">
              <w:rPr>
                <w:b/>
                <w:bCs/>
                <w:sz w:val="20"/>
                <w:szCs w:val="20"/>
              </w:rPr>
              <w:t>EP20K</w:t>
            </w:r>
          </w:p>
        </w:tc>
      </w:tr>
      <w:tr w:rsidR="00494669" w:rsidRPr="004F469F" w14:paraId="1358C870"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5A41C70A" w14:textId="6C1A88F2" w:rsidR="00A967F3" w:rsidRPr="004F469F" w:rsidRDefault="00A967F3" w:rsidP="003C6A19">
            <w:pPr>
              <w:jc w:val="center"/>
              <w:rPr>
                <w:rFonts w:eastAsia="Arial Unicode MS"/>
                <w:sz w:val="20"/>
                <w:szCs w:val="20"/>
              </w:rPr>
            </w:pPr>
            <w:r w:rsidRPr="004F469F">
              <w:rPr>
                <w:rFonts w:eastAsia="Arial Unicode MS"/>
                <w:sz w:val="20"/>
                <w:szCs w:val="20"/>
              </w:rPr>
              <w:t>GL</w:t>
            </w:r>
          </w:p>
        </w:tc>
        <w:tc>
          <w:tcPr>
            <w:tcW w:w="178" w:type="pct"/>
            <w:tcBorders>
              <w:top w:val="nil"/>
              <w:left w:val="nil"/>
              <w:bottom w:val="single" w:sz="4" w:space="0" w:color="auto"/>
              <w:right w:val="single" w:sz="4" w:space="0" w:color="auto"/>
            </w:tcBorders>
            <w:shd w:val="clear" w:color="auto" w:fill="auto"/>
            <w:noWrap/>
            <w:vAlign w:val="center"/>
            <w:hideMark/>
          </w:tcPr>
          <w:p w14:paraId="287DBDE0" w14:textId="77777777" w:rsidR="00A967F3" w:rsidRPr="004F469F" w:rsidRDefault="00A967F3" w:rsidP="003C6A19">
            <w:pPr>
              <w:jc w:val="center"/>
              <w:rPr>
                <w:sz w:val="20"/>
                <w:szCs w:val="20"/>
              </w:rPr>
            </w:pPr>
            <w:r w:rsidRPr="004F469F">
              <w:rPr>
                <w:sz w:val="20"/>
                <w:szCs w:val="20"/>
              </w:rPr>
              <w:t>4</w:t>
            </w:r>
          </w:p>
        </w:tc>
        <w:tc>
          <w:tcPr>
            <w:tcW w:w="437" w:type="pct"/>
            <w:tcBorders>
              <w:top w:val="nil"/>
              <w:left w:val="nil"/>
              <w:bottom w:val="single" w:sz="4" w:space="0" w:color="auto"/>
              <w:right w:val="single" w:sz="4" w:space="0" w:color="auto"/>
            </w:tcBorders>
            <w:shd w:val="clear" w:color="auto" w:fill="auto"/>
            <w:noWrap/>
            <w:vAlign w:val="center"/>
            <w:hideMark/>
          </w:tcPr>
          <w:p w14:paraId="7AE9FBC9" w14:textId="77777777" w:rsidR="00A967F3" w:rsidRPr="004F469F" w:rsidRDefault="00A967F3" w:rsidP="003C6A19">
            <w:pPr>
              <w:jc w:val="center"/>
              <w:rPr>
                <w:sz w:val="20"/>
                <w:szCs w:val="20"/>
              </w:rPr>
            </w:pPr>
            <w:r w:rsidRPr="004F469F">
              <w:rPr>
                <w:sz w:val="20"/>
                <w:szCs w:val="20"/>
              </w:rPr>
              <w:t>1,100</w:t>
            </w:r>
          </w:p>
        </w:tc>
        <w:tc>
          <w:tcPr>
            <w:tcW w:w="361" w:type="pct"/>
            <w:tcBorders>
              <w:top w:val="nil"/>
              <w:left w:val="nil"/>
              <w:bottom w:val="single" w:sz="4" w:space="0" w:color="auto"/>
              <w:right w:val="single" w:sz="4" w:space="0" w:color="auto"/>
            </w:tcBorders>
            <w:shd w:val="clear" w:color="auto" w:fill="auto"/>
            <w:noWrap/>
            <w:vAlign w:val="center"/>
            <w:hideMark/>
          </w:tcPr>
          <w:p w14:paraId="7D6D3DCF" w14:textId="77777777" w:rsidR="00A967F3" w:rsidRPr="004F469F" w:rsidRDefault="00A967F3" w:rsidP="003C6A19">
            <w:pPr>
              <w:jc w:val="center"/>
              <w:rPr>
                <w:sz w:val="20"/>
                <w:szCs w:val="20"/>
              </w:rPr>
            </w:pPr>
            <w:r w:rsidRPr="004F469F">
              <w:rPr>
                <w:sz w:val="20"/>
                <w:szCs w:val="20"/>
              </w:rPr>
              <w:t>10.3</w:t>
            </w:r>
          </w:p>
        </w:tc>
        <w:tc>
          <w:tcPr>
            <w:tcW w:w="540" w:type="pct"/>
            <w:tcBorders>
              <w:top w:val="nil"/>
              <w:left w:val="nil"/>
              <w:bottom w:val="single" w:sz="4" w:space="0" w:color="auto"/>
              <w:right w:val="single" w:sz="4" w:space="0" w:color="auto"/>
            </w:tcBorders>
            <w:shd w:val="clear" w:color="auto" w:fill="auto"/>
            <w:noWrap/>
            <w:vAlign w:val="center"/>
            <w:hideMark/>
          </w:tcPr>
          <w:p w14:paraId="62E92EB3" w14:textId="77777777" w:rsidR="00A967F3" w:rsidRPr="004F469F" w:rsidRDefault="00A967F3" w:rsidP="003C6A19">
            <w:pPr>
              <w:jc w:val="center"/>
              <w:rPr>
                <w:sz w:val="20"/>
                <w:szCs w:val="20"/>
              </w:rPr>
            </w:pPr>
            <w:r w:rsidRPr="004F469F">
              <w:rPr>
                <w:sz w:val="20"/>
                <w:szCs w:val="20"/>
              </w:rPr>
              <w:t>4,226</w:t>
            </w:r>
          </w:p>
        </w:tc>
        <w:tc>
          <w:tcPr>
            <w:tcW w:w="420" w:type="pct"/>
            <w:tcBorders>
              <w:top w:val="nil"/>
              <w:left w:val="nil"/>
              <w:bottom w:val="single" w:sz="4" w:space="0" w:color="auto"/>
              <w:right w:val="single" w:sz="4" w:space="0" w:color="auto"/>
            </w:tcBorders>
            <w:shd w:val="clear" w:color="auto" w:fill="auto"/>
            <w:noWrap/>
            <w:vAlign w:val="center"/>
            <w:hideMark/>
          </w:tcPr>
          <w:p w14:paraId="26B176A6" w14:textId="77777777" w:rsidR="00A967F3" w:rsidRPr="004F469F" w:rsidRDefault="00A967F3" w:rsidP="003C6A19">
            <w:pPr>
              <w:jc w:val="center"/>
              <w:rPr>
                <w:sz w:val="20"/>
                <w:szCs w:val="20"/>
              </w:rPr>
            </w:pPr>
            <w:r w:rsidRPr="004F469F">
              <w:rPr>
                <w:sz w:val="20"/>
                <w:szCs w:val="20"/>
              </w:rPr>
              <w:t>38</w:t>
            </w:r>
          </w:p>
        </w:tc>
        <w:tc>
          <w:tcPr>
            <w:tcW w:w="395" w:type="pct"/>
            <w:tcBorders>
              <w:top w:val="nil"/>
              <w:left w:val="nil"/>
              <w:bottom w:val="single" w:sz="4" w:space="0" w:color="auto"/>
              <w:right w:val="single" w:sz="4" w:space="0" w:color="auto"/>
            </w:tcBorders>
            <w:shd w:val="clear" w:color="auto" w:fill="auto"/>
            <w:noWrap/>
            <w:vAlign w:val="center"/>
            <w:hideMark/>
          </w:tcPr>
          <w:p w14:paraId="01218E2F" w14:textId="3AC4B2A6" w:rsidR="00A967F3" w:rsidRPr="004F469F" w:rsidRDefault="00A967F3" w:rsidP="003C6A19">
            <w:pPr>
              <w:jc w:val="center"/>
              <w:rPr>
                <w:sz w:val="20"/>
                <w:szCs w:val="20"/>
              </w:rPr>
            </w:pPr>
            <w:r w:rsidRPr="004F469F">
              <w:rPr>
                <w:sz w:val="20"/>
                <w:szCs w:val="20"/>
              </w:rPr>
              <w:t>-</w:t>
            </w:r>
          </w:p>
        </w:tc>
        <w:tc>
          <w:tcPr>
            <w:tcW w:w="402" w:type="pct"/>
            <w:tcBorders>
              <w:top w:val="nil"/>
              <w:left w:val="nil"/>
              <w:bottom w:val="single" w:sz="4" w:space="0" w:color="auto"/>
              <w:right w:val="single" w:sz="4" w:space="0" w:color="auto"/>
            </w:tcBorders>
            <w:shd w:val="clear" w:color="auto" w:fill="auto"/>
            <w:noWrap/>
            <w:vAlign w:val="center"/>
            <w:hideMark/>
          </w:tcPr>
          <w:p w14:paraId="7F58464F" w14:textId="3B734EA8" w:rsidR="00A967F3" w:rsidRPr="004F469F" w:rsidRDefault="00A967F3"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788E4F77" w14:textId="77777777" w:rsidR="00A967F3" w:rsidRPr="004F469F" w:rsidRDefault="00A967F3" w:rsidP="003C6A19">
            <w:pPr>
              <w:jc w:val="center"/>
              <w:rPr>
                <w:sz w:val="20"/>
                <w:szCs w:val="20"/>
              </w:rPr>
            </w:pPr>
            <w:r w:rsidRPr="004F469F">
              <w:rPr>
                <w:sz w:val="20"/>
                <w:szCs w:val="20"/>
              </w:rPr>
              <w:t>15,488</w:t>
            </w:r>
          </w:p>
        </w:tc>
        <w:tc>
          <w:tcPr>
            <w:tcW w:w="420" w:type="pct"/>
            <w:tcBorders>
              <w:top w:val="nil"/>
              <w:left w:val="nil"/>
              <w:bottom w:val="single" w:sz="4" w:space="0" w:color="auto"/>
              <w:right w:val="single" w:sz="4" w:space="0" w:color="auto"/>
            </w:tcBorders>
            <w:shd w:val="clear" w:color="auto" w:fill="auto"/>
            <w:noWrap/>
            <w:vAlign w:val="center"/>
            <w:hideMark/>
          </w:tcPr>
          <w:p w14:paraId="068B7CE6" w14:textId="77777777" w:rsidR="00A967F3" w:rsidRPr="004F469F" w:rsidRDefault="00A967F3" w:rsidP="003C6A19">
            <w:pPr>
              <w:jc w:val="center"/>
              <w:rPr>
                <w:sz w:val="20"/>
                <w:szCs w:val="20"/>
              </w:rPr>
            </w:pPr>
            <w:r w:rsidRPr="004F469F">
              <w:rPr>
                <w:sz w:val="20"/>
                <w:szCs w:val="20"/>
              </w:rPr>
              <w:t>43.3</w:t>
            </w:r>
          </w:p>
        </w:tc>
        <w:tc>
          <w:tcPr>
            <w:tcW w:w="395" w:type="pct"/>
            <w:tcBorders>
              <w:top w:val="nil"/>
              <w:left w:val="nil"/>
              <w:bottom w:val="single" w:sz="4" w:space="0" w:color="auto"/>
              <w:right w:val="single" w:sz="4" w:space="0" w:color="auto"/>
            </w:tcBorders>
            <w:shd w:val="clear" w:color="auto" w:fill="auto"/>
            <w:noWrap/>
            <w:vAlign w:val="center"/>
            <w:hideMark/>
          </w:tcPr>
          <w:p w14:paraId="30432FFD" w14:textId="77777777" w:rsidR="00A967F3" w:rsidRPr="004F469F" w:rsidRDefault="00A967F3" w:rsidP="003C6A19">
            <w:pPr>
              <w:jc w:val="center"/>
              <w:rPr>
                <w:sz w:val="20"/>
                <w:szCs w:val="20"/>
              </w:rPr>
            </w:pPr>
            <w:r w:rsidRPr="004F469F">
              <w:rPr>
                <w:sz w:val="20"/>
                <w:szCs w:val="20"/>
              </w:rPr>
              <w:t>5.9</w:t>
            </w:r>
          </w:p>
        </w:tc>
        <w:tc>
          <w:tcPr>
            <w:tcW w:w="399" w:type="pct"/>
            <w:tcBorders>
              <w:top w:val="nil"/>
              <w:left w:val="nil"/>
              <w:bottom w:val="single" w:sz="4" w:space="0" w:color="auto"/>
              <w:right w:val="single" w:sz="4" w:space="0" w:color="auto"/>
            </w:tcBorders>
            <w:shd w:val="clear" w:color="auto" w:fill="auto"/>
            <w:noWrap/>
            <w:vAlign w:val="center"/>
            <w:hideMark/>
          </w:tcPr>
          <w:p w14:paraId="1C94CBBD" w14:textId="519D5AD9" w:rsidR="00A967F3" w:rsidRPr="004F469F" w:rsidRDefault="00A967F3" w:rsidP="003C6A19">
            <w:pPr>
              <w:jc w:val="center"/>
              <w:rPr>
                <w:sz w:val="20"/>
                <w:szCs w:val="20"/>
              </w:rPr>
            </w:pPr>
            <w:r w:rsidRPr="004F469F">
              <w:rPr>
                <w:sz w:val="20"/>
                <w:szCs w:val="20"/>
              </w:rPr>
              <w:t>1.4*</w:t>
            </w:r>
          </w:p>
        </w:tc>
      </w:tr>
      <w:tr w:rsidR="00494669" w:rsidRPr="004F469F" w14:paraId="4A5962EA"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500E1BB2" w14:textId="1CB30C2E" w:rsidR="00A967F3" w:rsidRPr="004F469F" w:rsidRDefault="00A967F3" w:rsidP="003C6A19">
            <w:pPr>
              <w:jc w:val="center"/>
              <w:rPr>
                <w:rFonts w:eastAsia="Arial Unicode MS"/>
                <w:sz w:val="20"/>
                <w:szCs w:val="20"/>
              </w:rPr>
            </w:pPr>
            <w:r w:rsidRPr="004F469F">
              <w:rPr>
                <w:rFonts w:eastAsia="Arial Unicode MS"/>
                <w:sz w:val="20"/>
                <w:szCs w:val="20"/>
              </w:rPr>
              <w:t>NP</w:t>
            </w:r>
          </w:p>
        </w:tc>
        <w:tc>
          <w:tcPr>
            <w:tcW w:w="178" w:type="pct"/>
            <w:tcBorders>
              <w:top w:val="nil"/>
              <w:left w:val="nil"/>
              <w:bottom w:val="single" w:sz="4" w:space="0" w:color="auto"/>
              <w:right w:val="single" w:sz="4" w:space="0" w:color="auto"/>
            </w:tcBorders>
            <w:shd w:val="clear" w:color="auto" w:fill="auto"/>
            <w:noWrap/>
            <w:vAlign w:val="center"/>
            <w:hideMark/>
          </w:tcPr>
          <w:p w14:paraId="48495F8B" w14:textId="77777777" w:rsidR="00A967F3" w:rsidRPr="004F469F" w:rsidRDefault="00A967F3" w:rsidP="003C6A19">
            <w:pPr>
              <w:jc w:val="center"/>
              <w:rPr>
                <w:sz w:val="20"/>
                <w:szCs w:val="20"/>
              </w:rPr>
            </w:pPr>
            <w:r w:rsidRPr="004F469F">
              <w:rPr>
                <w:sz w:val="20"/>
                <w:szCs w:val="20"/>
              </w:rPr>
              <w:t>12</w:t>
            </w:r>
          </w:p>
        </w:tc>
        <w:tc>
          <w:tcPr>
            <w:tcW w:w="437" w:type="pct"/>
            <w:tcBorders>
              <w:top w:val="nil"/>
              <w:left w:val="nil"/>
              <w:bottom w:val="single" w:sz="4" w:space="0" w:color="auto"/>
              <w:right w:val="single" w:sz="4" w:space="0" w:color="auto"/>
            </w:tcBorders>
            <w:shd w:val="clear" w:color="auto" w:fill="auto"/>
            <w:noWrap/>
            <w:vAlign w:val="center"/>
            <w:hideMark/>
          </w:tcPr>
          <w:p w14:paraId="41E33635" w14:textId="77777777" w:rsidR="00A967F3" w:rsidRPr="004F469F" w:rsidRDefault="00A967F3" w:rsidP="003C6A19">
            <w:pPr>
              <w:jc w:val="center"/>
              <w:rPr>
                <w:sz w:val="20"/>
                <w:szCs w:val="20"/>
              </w:rPr>
            </w:pPr>
            <w:r w:rsidRPr="004F469F">
              <w:rPr>
                <w:sz w:val="20"/>
                <w:szCs w:val="20"/>
              </w:rPr>
              <w:t>206</w:t>
            </w:r>
          </w:p>
        </w:tc>
        <w:tc>
          <w:tcPr>
            <w:tcW w:w="361" w:type="pct"/>
            <w:tcBorders>
              <w:top w:val="nil"/>
              <w:left w:val="nil"/>
              <w:bottom w:val="single" w:sz="4" w:space="0" w:color="auto"/>
              <w:right w:val="single" w:sz="4" w:space="0" w:color="auto"/>
            </w:tcBorders>
            <w:shd w:val="clear" w:color="auto" w:fill="auto"/>
            <w:noWrap/>
            <w:vAlign w:val="center"/>
            <w:hideMark/>
          </w:tcPr>
          <w:p w14:paraId="44A35982" w14:textId="77777777" w:rsidR="00A967F3" w:rsidRPr="004F469F" w:rsidRDefault="00A967F3" w:rsidP="003C6A19">
            <w:pPr>
              <w:jc w:val="center"/>
              <w:rPr>
                <w:sz w:val="20"/>
                <w:szCs w:val="20"/>
              </w:rPr>
            </w:pPr>
            <w:r w:rsidRPr="004F469F">
              <w:rPr>
                <w:sz w:val="20"/>
                <w:szCs w:val="20"/>
              </w:rPr>
              <w:t>17.7</w:t>
            </w:r>
          </w:p>
        </w:tc>
        <w:tc>
          <w:tcPr>
            <w:tcW w:w="540" w:type="pct"/>
            <w:tcBorders>
              <w:top w:val="nil"/>
              <w:left w:val="nil"/>
              <w:bottom w:val="single" w:sz="4" w:space="0" w:color="auto"/>
              <w:right w:val="single" w:sz="4" w:space="0" w:color="auto"/>
            </w:tcBorders>
            <w:shd w:val="clear" w:color="auto" w:fill="auto"/>
            <w:noWrap/>
            <w:vAlign w:val="center"/>
            <w:hideMark/>
          </w:tcPr>
          <w:p w14:paraId="49ADAA4A" w14:textId="77777777" w:rsidR="00A967F3" w:rsidRPr="004F469F" w:rsidRDefault="00A967F3" w:rsidP="003C6A19">
            <w:pPr>
              <w:jc w:val="center"/>
              <w:rPr>
                <w:sz w:val="20"/>
                <w:szCs w:val="20"/>
              </w:rPr>
            </w:pPr>
            <w:r w:rsidRPr="004F469F">
              <w:rPr>
                <w:sz w:val="20"/>
                <w:szCs w:val="20"/>
              </w:rPr>
              <w:t>1,433</w:t>
            </w:r>
          </w:p>
        </w:tc>
        <w:tc>
          <w:tcPr>
            <w:tcW w:w="420" w:type="pct"/>
            <w:tcBorders>
              <w:top w:val="nil"/>
              <w:left w:val="nil"/>
              <w:bottom w:val="single" w:sz="4" w:space="0" w:color="auto"/>
              <w:right w:val="single" w:sz="4" w:space="0" w:color="auto"/>
            </w:tcBorders>
            <w:shd w:val="clear" w:color="auto" w:fill="auto"/>
            <w:noWrap/>
            <w:vAlign w:val="center"/>
            <w:hideMark/>
          </w:tcPr>
          <w:p w14:paraId="266ABF76" w14:textId="77777777" w:rsidR="00A967F3" w:rsidRPr="004F469F" w:rsidRDefault="00A967F3" w:rsidP="003C6A19">
            <w:pPr>
              <w:jc w:val="center"/>
              <w:rPr>
                <w:sz w:val="20"/>
                <w:szCs w:val="20"/>
              </w:rPr>
            </w:pPr>
            <w:r w:rsidRPr="004F469F">
              <w:rPr>
                <w:sz w:val="20"/>
                <w:szCs w:val="20"/>
              </w:rPr>
              <w:t>27</w:t>
            </w:r>
          </w:p>
        </w:tc>
        <w:tc>
          <w:tcPr>
            <w:tcW w:w="395" w:type="pct"/>
            <w:tcBorders>
              <w:top w:val="nil"/>
              <w:left w:val="nil"/>
              <w:bottom w:val="single" w:sz="4" w:space="0" w:color="auto"/>
              <w:right w:val="single" w:sz="4" w:space="0" w:color="auto"/>
            </w:tcBorders>
            <w:shd w:val="clear" w:color="auto" w:fill="auto"/>
            <w:noWrap/>
            <w:vAlign w:val="center"/>
            <w:hideMark/>
          </w:tcPr>
          <w:p w14:paraId="683FDEE4" w14:textId="058ECE7C" w:rsidR="00A967F3" w:rsidRPr="004F469F" w:rsidRDefault="00A967F3" w:rsidP="003C6A19">
            <w:pPr>
              <w:jc w:val="center"/>
              <w:rPr>
                <w:sz w:val="20"/>
                <w:szCs w:val="20"/>
              </w:rPr>
            </w:pPr>
            <w:r w:rsidRPr="004F469F">
              <w:rPr>
                <w:sz w:val="20"/>
                <w:szCs w:val="20"/>
              </w:rPr>
              <w:t>-</w:t>
            </w:r>
          </w:p>
        </w:tc>
        <w:tc>
          <w:tcPr>
            <w:tcW w:w="402" w:type="pct"/>
            <w:tcBorders>
              <w:top w:val="nil"/>
              <w:left w:val="nil"/>
              <w:bottom w:val="single" w:sz="4" w:space="0" w:color="auto"/>
              <w:right w:val="single" w:sz="4" w:space="0" w:color="auto"/>
            </w:tcBorders>
            <w:shd w:val="clear" w:color="auto" w:fill="auto"/>
            <w:noWrap/>
            <w:vAlign w:val="center"/>
            <w:hideMark/>
          </w:tcPr>
          <w:p w14:paraId="7556C68A" w14:textId="1807A4FC" w:rsidR="00A967F3" w:rsidRPr="004F469F" w:rsidRDefault="00A967F3"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1D0B83B0" w14:textId="77777777" w:rsidR="00A967F3" w:rsidRPr="004F469F" w:rsidRDefault="00A967F3" w:rsidP="003C6A19">
            <w:pPr>
              <w:jc w:val="center"/>
              <w:rPr>
                <w:sz w:val="20"/>
                <w:szCs w:val="20"/>
              </w:rPr>
            </w:pPr>
            <w:r w:rsidRPr="004F469F">
              <w:rPr>
                <w:sz w:val="20"/>
                <w:szCs w:val="20"/>
              </w:rPr>
              <w:t>8,872</w:t>
            </w:r>
          </w:p>
        </w:tc>
        <w:tc>
          <w:tcPr>
            <w:tcW w:w="420" w:type="pct"/>
            <w:tcBorders>
              <w:top w:val="nil"/>
              <w:left w:val="nil"/>
              <w:bottom w:val="single" w:sz="4" w:space="0" w:color="auto"/>
              <w:right w:val="single" w:sz="4" w:space="0" w:color="auto"/>
            </w:tcBorders>
            <w:shd w:val="clear" w:color="auto" w:fill="auto"/>
            <w:noWrap/>
            <w:vAlign w:val="center"/>
            <w:hideMark/>
          </w:tcPr>
          <w:p w14:paraId="5DC7AB9C" w14:textId="77777777" w:rsidR="00A967F3" w:rsidRPr="004F469F" w:rsidRDefault="00A967F3" w:rsidP="003C6A19">
            <w:pPr>
              <w:jc w:val="center"/>
              <w:rPr>
                <w:sz w:val="20"/>
                <w:szCs w:val="20"/>
              </w:rPr>
            </w:pPr>
            <w:r w:rsidRPr="004F469F">
              <w:rPr>
                <w:sz w:val="20"/>
                <w:szCs w:val="20"/>
              </w:rPr>
              <w:t>37.3</w:t>
            </w:r>
          </w:p>
        </w:tc>
        <w:tc>
          <w:tcPr>
            <w:tcW w:w="395" w:type="pct"/>
            <w:tcBorders>
              <w:top w:val="nil"/>
              <w:left w:val="nil"/>
              <w:bottom w:val="single" w:sz="4" w:space="0" w:color="auto"/>
              <w:right w:val="single" w:sz="4" w:space="0" w:color="auto"/>
            </w:tcBorders>
            <w:shd w:val="clear" w:color="auto" w:fill="auto"/>
            <w:noWrap/>
            <w:vAlign w:val="center"/>
            <w:hideMark/>
          </w:tcPr>
          <w:p w14:paraId="500F741C" w14:textId="77777777" w:rsidR="00A967F3" w:rsidRPr="004F469F" w:rsidRDefault="00A967F3" w:rsidP="003C6A19">
            <w:pPr>
              <w:jc w:val="center"/>
              <w:rPr>
                <w:sz w:val="20"/>
                <w:szCs w:val="20"/>
              </w:rPr>
            </w:pPr>
            <w:r w:rsidRPr="004F469F">
              <w:rPr>
                <w:sz w:val="20"/>
                <w:szCs w:val="20"/>
              </w:rPr>
              <w:t>1.2</w:t>
            </w:r>
          </w:p>
        </w:tc>
        <w:tc>
          <w:tcPr>
            <w:tcW w:w="399" w:type="pct"/>
            <w:tcBorders>
              <w:top w:val="nil"/>
              <w:left w:val="nil"/>
              <w:bottom w:val="single" w:sz="4" w:space="0" w:color="auto"/>
              <w:right w:val="single" w:sz="4" w:space="0" w:color="auto"/>
            </w:tcBorders>
            <w:shd w:val="clear" w:color="auto" w:fill="auto"/>
            <w:noWrap/>
            <w:vAlign w:val="center"/>
            <w:hideMark/>
          </w:tcPr>
          <w:p w14:paraId="7BE63A59" w14:textId="785105D9" w:rsidR="00A967F3" w:rsidRPr="004F469F" w:rsidRDefault="00A967F3" w:rsidP="003C6A19">
            <w:pPr>
              <w:jc w:val="center"/>
              <w:rPr>
                <w:sz w:val="20"/>
                <w:szCs w:val="20"/>
              </w:rPr>
            </w:pPr>
            <w:r w:rsidRPr="004F469F">
              <w:rPr>
                <w:sz w:val="20"/>
                <w:szCs w:val="20"/>
              </w:rPr>
              <w:t>1.4*</w:t>
            </w:r>
          </w:p>
        </w:tc>
      </w:tr>
      <w:tr w:rsidR="00494669" w:rsidRPr="004F469F" w14:paraId="2D78794F"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62348B24" w14:textId="575A5FC6" w:rsidR="00A967F3" w:rsidRPr="004F469F" w:rsidRDefault="00A967F3" w:rsidP="003C6A19">
            <w:pPr>
              <w:jc w:val="center"/>
              <w:rPr>
                <w:rFonts w:eastAsia="Arial Unicode MS"/>
                <w:sz w:val="20"/>
                <w:szCs w:val="20"/>
              </w:rPr>
            </w:pPr>
            <w:r w:rsidRPr="004F469F">
              <w:rPr>
                <w:rFonts w:eastAsia="Arial Unicode MS"/>
                <w:sz w:val="20"/>
                <w:szCs w:val="20"/>
              </w:rPr>
              <w:t>SE</w:t>
            </w:r>
          </w:p>
        </w:tc>
        <w:tc>
          <w:tcPr>
            <w:tcW w:w="178" w:type="pct"/>
            <w:tcBorders>
              <w:top w:val="nil"/>
              <w:left w:val="nil"/>
              <w:bottom w:val="single" w:sz="4" w:space="0" w:color="auto"/>
              <w:right w:val="single" w:sz="4" w:space="0" w:color="auto"/>
            </w:tcBorders>
            <w:shd w:val="clear" w:color="auto" w:fill="auto"/>
            <w:noWrap/>
            <w:vAlign w:val="center"/>
            <w:hideMark/>
          </w:tcPr>
          <w:p w14:paraId="14CABFA5" w14:textId="77777777" w:rsidR="00A967F3" w:rsidRPr="004F469F" w:rsidRDefault="00A967F3" w:rsidP="003C6A19">
            <w:pPr>
              <w:jc w:val="center"/>
              <w:rPr>
                <w:sz w:val="20"/>
                <w:szCs w:val="20"/>
              </w:rPr>
            </w:pPr>
            <w:r w:rsidRPr="004F469F">
              <w:rPr>
                <w:sz w:val="20"/>
                <w:szCs w:val="20"/>
              </w:rPr>
              <w:t>14</w:t>
            </w:r>
          </w:p>
        </w:tc>
        <w:tc>
          <w:tcPr>
            <w:tcW w:w="437" w:type="pct"/>
            <w:tcBorders>
              <w:top w:val="nil"/>
              <w:left w:val="nil"/>
              <w:bottom w:val="single" w:sz="4" w:space="0" w:color="auto"/>
              <w:right w:val="single" w:sz="4" w:space="0" w:color="auto"/>
            </w:tcBorders>
            <w:shd w:val="clear" w:color="auto" w:fill="auto"/>
            <w:noWrap/>
            <w:vAlign w:val="center"/>
            <w:hideMark/>
          </w:tcPr>
          <w:p w14:paraId="4126CF12" w14:textId="77777777" w:rsidR="00A967F3" w:rsidRPr="004F469F" w:rsidRDefault="00A967F3" w:rsidP="003C6A19">
            <w:pPr>
              <w:jc w:val="center"/>
              <w:rPr>
                <w:sz w:val="20"/>
                <w:szCs w:val="20"/>
              </w:rPr>
            </w:pPr>
            <w:r w:rsidRPr="004F469F">
              <w:rPr>
                <w:sz w:val="20"/>
                <w:szCs w:val="20"/>
              </w:rPr>
              <w:t>1,198</w:t>
            </w:r>
          </w:p>
        </w:tc>
        <w:tc>
          <w:tcPr>
            <w:tcW w:w="361" w:type="pct"/>
            <w:tcBorders>
              <w:top w:val="nil"/>
              <w:left w:val="nil"/>
              <w:bottom w:val="single" w:sz="4" w:space="0" w:color="auto"/>
              <w:right w:val="single" w:sz="4" w:space="0" w:color="auto"/>
            </w:tcBorders>
            <w:shd w:val="clear" w:color="auto" w:fill="auto"/>
            <w:noWrap/>
            <w:vAlign w:val="center"/>
            <w:hideMark/>
          </w:tcPr>
          <w:p w14:paraId="08E2ACE0" w14:textId="77777777" w:rsidR="00A967F3" w:rsidRPr="004F469F" w:rsidRDefault="00A967F3" w:rsidP="003C6A19">
            <w:pPr>
              <w:jc w:val="center"/>
              <w:rPr>
                <w:sz w:val="20"/>
                <w:szCs w:val="20"/>
              </w:rPr>
            </w:pPr>
            <w:r w:rsidRPr="004F469F">
              <w:rPr>
                <w:sz w:val="20"/>
                <w:szCs w:val="20"/>
              </w:rPr>
              <w:t>55.1</w:t>
            </w:r>
          </w:p>
        </w:tc>
        <w:tc>
          <w:tcPr>
            <w:tcW w:w="540" w:type="pct"/>
            <w:tcBorders>
              <w:top w:val="nil"/>
              <w:left w:val="nil"/>
              <w:bottom w:val="single" w:sz="4" w:space="0" w:color="auto"/>
              <w:right w:val="single" w:sz="4" w:space="0" w:color="auto"/>
            </w:tcBorders>
            <w:shd w:val="clear" w:color="auto" w:fill="auto"/>
            <w:noWrap/>
            <w:vAlign w:val="center"/>
            <w:hideMark/>
          </w:tcPr>
          <w:p w14:paraId="7B0EBDDA" w14:textId="77777777" w:rsidR="00A967F3" w:rsidRPr="004F469F" w:rsidRDefault="00A967F3" w:rsidP="003C6A19">
            <w:pPr>
              <w:jc w:val="center"/>
              <w:rPr>
                <w:sz w:val="20"/>
                <w:szCs w:val="20"/>
              </w:rPr>
            </w:pPr>
            <w:r w:rsidRPr="004F469F">
              <w:rPr>
                <w:sz w:val="20"/>
                <w:szCs w:val="20"/>
              </w:rPr>
              <w:t>3,565</w:t>
            </w:r>
          </w:p>
        </w:tc>
        <w:tc>
          <w:tcPr>
            <w:tcW w:w="420" w:type="pct"/>
            <w:tcBorders>
              <w:top w:val="nil"/>
              <w:left w:val="nil"/>
              <w:bottom w:val="single" w:sz="4" w:space="0" w:color="auto"/>
              <w:right w:val="single" w:sz="4" w:space="0" w:color="auto"/>
            </w:tcBorders>
            <w:shd w:val="clear" w:color="auto" w:fill="auto"/>
            <w:noWrap/>
            <w:vAlign w:val="center"/>
            <w:hideMark/>
          </w:tcPr>
          <w:p w14:paraId="7F964209" w14:textId="77777777" w:rsidR="00A967F3" w:rsidRPr="004F469F" w:rsidRDefault="00A967F3" w:rsidP="003C6A19">
            <w:pPr>
              <w:jc w:val="center"/>
              <w:rPr>
                <w:sz w:val="20"/>
                <w:szCs w:val="20"/>
              </w:rPr>
            </w:pPr>
            <w:r w:rsidRPr="004F469F">
              <w:rPr>
                <w:sz w:val="20"/>
                <w:szCs w:val="20"/>
              </w:rPr>
              <w:t>38.9</w:t>
            </w:r>
          </w:p>
        </w:tc>
        <w:tc>
          <w:tcPr>
            <w:tcW w:w="395" w:type="pct"/>
            <w:tcBorders>
              <w:top w:val="nil"/>
              <w:left w:val="nil"/>
              <w:bottom w:val="single" w:sz="4" w:space="0" w:color="auto"/>
              <w:right w:val="single" w:sz="4" w:space="0" w:color="auto"/>
            </w:tcBorders>
            <w:shd w:val="clear" w:color="auto" w:fill="auto"/>
            <w:noWrap/>
            <w:vAlign w:val="center"/>
            <w:hideMark/>
          </w:tcPr>
          <w:p w14:paraId="42705E90" w14:textId="7AC26498" w:rsidR="00A967F3" w:rsidRPr="004F469F" w:rsidRDefault="00A967F3" w:rsidP="003C6A19">
            <w:pPr>
              <w:jc w:val="center"/>
              <w:rPr>
                <w:sz w:val="20"/>
                <w:szCs w:val="20"/>
              </w:rPr>
            </w:pPr>
            <w:r w:rsidRPr="004F469F">
              <w:rPr>
                <w:sz w:val="20"/>
                <w:szCs w:val="20"/>
              </w:rPr>
              <w:t>-</w:t>
            </w:r>
          </w:p>
        </w:tc>
        <w:tc>
          <w:tcPr>
            <w:tcW w:w="402" w:type="pct"/>
            <w:tcBorders>
              <w:top w:val="nil"/>
              <w:left w:val="nil"/>
              <w:bottom w:val="single" w:sz="4" w:space="0" w:color="auto"/>
              <w:right w:val="single" w:sz="4" w:space="0" w:color="auto"/>
            </w:tcBorders>
            <w:shd w:val="clear" w:color="auto" w:fill="auto"/>
            <w:noWrap/>
            <w:vAlign w:val="center"/>
            <w:hideMark/>
          </w:tcPr>
          <w:p w14:paraId="6BE88790" w14:textId="484BD94B" w:rsidR="00A967F3" w:rsidRPr="004F469F" w:rsidRDefault="00A967F3"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52A58391" w14:textId="77777777" w:rsidR="00A967F3" w:rsidRPr="004F469F" w:rsidRDefault="00A967F3" w:rsidP="003C6A19">
            <w:pPr>
              <w:jc w:val="center"/>
              <w:rPr>
                <w:sz w:val="20"/>
                <w:szCs w:val="20"/>
              </w:rPr>
            </w:pPr>
            <w:r w:rsidRPr="004F469F">
              <w:rPr>
                <w:sz w:val="20"/>
                <w:szCs w:val="20"/>
              </w:rPr>
              <w:t>13,337</w:t>
            </w:r>
          </w:p>
        </w:tc>
        <w:tc>
          <w:tcPr>
            <w:tcW w:w="420" w:type="pct"/>
            <w:tcBorders>
              <w:top w:val="nil"/>
              <w:left w:val="nil"/>
              <w:bottom w:val="single" w:sz="4" w:space="0" w:color="auto"/>
              <w:right w:val="single" w:sz="4" w:space="0" w:color="auto"/>
            </w:tcBorders>
            <w:shd w:val="clear" w:color="auto" w:fill="auto"/>
            <w:noWrap/>
            <w:vAlign w:val="center"/>
            <w:hideMark/>
          </w:tcPr>
          <w:p w14:paraId="32B52D04" w14:textId="77777777" w:rsidR="00A967F3" w:rsidRPr="004F469F" w:rsidRDefault="00A967F3" w:rsidP="003C6A19">
            <w:pPr>
              <w:jc w:val="center"/>
              <w:rPr>
                <w:sz w:val="20"/>
                <w:szCs w:val="20"/>
              </w:rPr>
            </w:pPr>
            <w:r w:rsidRPr="004F469F">
              <w:rPr>
                <w:sz w:val="20"/>
                <w:szCs w:val="20"/>
              </w:rPr>
              <w:t>43.7</w:t>
            </w:r>
          </w:p>
        </w:tc>
        <w:tc>
          <w:tcPr>
            <w:tcW w:w="395" w:type="pct"/>
            <w:tcBorders>
              <w:top w:val="nil"/>
              <w:left w:val="nil"/>
              <w:bottom w:val="single" w:sz="4" w:space="0" w:color="auto"/>
              <w:right w:val="single" w:sz="4" w:space="0" w:color="auto"/>
            </w:tcBorders>
            <w:shd w:val="clear" w:color="auto" w:fill="auto"/>
            <w:noWrap/>
            <w:vAlign w:val="center"/>
            <w:hideMark/>
          </w:tcPr>
          <w:p w14:paraId="6B8CB609" w14:textId="77777777" w:rsidR="00A967F3" w:rsidRPr="004F469F" w:rsidRDefault="00A967F3" w:rsidP="003C6A19">
            <w:pPr>
              <w:jc w:val="center"/>
              <w:rPr>
                <w:sz w:val="20"/>
                <w:szCs w:val="20"/>
              </w:rPr>
            </w:pPr>
            <w:r w:rsidRPr="004F469F">
              <w:rPr>
                <w:sz w:val="20"/>
                <w:szCs w:val="20"/>
              </w:rPr>
              <w:t>8.4</w:t>
            </w:r>
          </w:p>
        </w:tc>
        <w:tc>
          <w:tcPr>
            <w:tcW w:w="399" w:type="pct"/>
            <w:tcBorders>
              <w:top w:val="nil"/>
              <w:left w:val="nil"/>
              <w:bottom w:val="single" w:sz="4" w:space="0" w:color="auto"/>
              <w:right w:val="single" w:sz="4" w:space="0" w:color="auto"/>
            </w:tcBorders>
            <w:shd w:val="clear" w:color="auto" w:fill="auto"/>
            <w:noWrap/>
            <w:vAlign w:val="center"/>
            <w:hideMark/>
          </w:tcPr>
          <w:p w14:paraId="10307155" w14:textId="77777777" w:rsidR="00A967F3" w:rsidRPr="004F469F" w:rsidRDefault="00A967F3" w:rsidP="003C6A19">
            <w:pPr>
              <w:jc w:val="center"/>
              <w:rPr>
                <w:sz w:val="20"/>
                <w:szCs w:val="20"/>
              </w:rPr>
            </w:pPr>
            <w:r w:rsidRPr="004F469F">
              <w:rPr>
                <w:sz w:val="20"/>
                <w:szCs w:val="20"/>
              </w:rPr>
              <w:t>1.3</w:t>
            </w:r>
          </w:p>
        </w:tc>
      </w:tr>
      <w:tr w:rsidR="00494669" w:rsidRPr="004F469F" w14:paraId="43914F69" w14:textId="77777777" w:rsidTr="003C6A19">
        <w:trPr>
          <w:trHeight w:val="288"/>
        </w:trPr>
        <w:tc>
          <w:tcPr>
            <w:tcW w:w="512" w:type="pct"/>
            <w:tcBorders>
              <w:top w:val="nil"/>
              <w:left w:val="single" w:sz="4" w:space="0" w:color="auto"/>
              <w:bottom w:val="single" w:sz="12" w:space="0" w:color="auto"/>
              <w:right w:val="single" w:sz="4" w:space="0" w:color="auto"/>
            </w:tcBorders>
            <w:shd w:val="clear" w:color="auto" w:fill="auto"/>
            <w:noWrap/>
            <w:vAlign w:val="center"/>
            <w:hideMark/>
          </w:tcPr>
          <w:p w14:paraId="01D2A4B8" w14:textId="20DBE86A" w:rsidR="00A967F3" w:rsidRPr="004F469F" w:rsidRDefault="00A967F3" w:rsidP="003C6A19">
            <w:pPr>
              <w:jc w:val="center"/>
              <w:rPr>
                <w:rFonts w:eastAsia="Arial Unicode MS"/>
                <w:sz w:val="20"/>
                <w:szCs w:val="20"/>
              </w:rPr>
            </w:pPr>
            <w:r w:rsidRPr="004F469F">
              <w:rPr>
                <w:rFonts w:eastAsia="Arial Unicode MS"/>
                <w:sz w:val="20"/>
                <w:szCs w:val="20"/>
              </w:rPr>
              <w:t>SP</w:t>
            </w:r>
          </w:p>
        </w:tc>
        <w:tc>
          <w:tcPr>
            <w:tcW w:w="178" w:type="pct"/>
            <w:tcBorders>
              <w:top w:val="nil"/>
              <w:left w:val="nil"/>
              <w:bottom w:val="single" w:sz="12" w:space="0" w:color="auto"/>
              <w:right w:val="single" w:sz="4" w:space="0" w:color="auto"/>
            </w:tcBorders>
            <w:shd w:val="clear" w:color="auto" w:fill="auto"/>
            <w:noWrap/>
            <w:vAlign w:val="center"/>
            <w:hideMark/>
          </w:tcPr>
          <w:p w14:paraId="0905D23B" w14:textId="77777777" w:rsidR="00A967F3" w:rsidRPr="004F469F" w:rsidRDefault="00A967F3" w:rsidP="003C6A19">
            <w:pPr>
              <w:jc w:val="center"/>
              <w:rPr>
                <w:sz w:val="20"/>
                <w:szCs w:val="20"/>
              </w:rPr>
            </w:pPr>
            <w:r w:rsidRPr="004F469F">
              <w:rPr>
                <w:sz w:val="20"/>
                <w:szCs w:val="20"/>
              </w:rPr>
              <w:t>8</w:t>
            </w:r>
          </w:p>
        </w:tc>
        <w:tc>
          <w:tcPr>
            <w:tcW w:w="437" w:type="pct"/>
            <w:tcBorders>
              <w:top w:val="nil"/>
              <w:left w:val="nil"/>
              <w:bottom w:val="single" w:sz="12" w:space="0" w:color="auto"/>
              <w:right w:val="single" w:sz="4" w:space="0" w:color="auto"/>
            </w:tcBorders>
            <w:shd w:val="clear" w:color="auto" w:fill="auto"/>
            <w:noWrap/>
            <w:vAlign w:val="center"/>
            <w:hideMark/>
          </w:tcPr>
          <w:p w14:paraId="3F5EDB6E" w14:textId="77777777" w:rsidR="00A967F3" w:rsidRPr="004F469F" w:rsidRDefault="00A967F3" w:rsidP="003C6A19">
            <w:pPr>
              <w:jc w:val="center"/>
              <w:rPr>
                <w:sz w:val="20"/>
                <w:szCs w:val="20"/>
              </w:rPr>
            </w:pPr>
            <w:r w:rsidRPr="004F469F">
              <w:rPr>
                <w:sz w:val="20"/>
                <w:szCs w:val="20"/>
              </w:rPr>
              <w:t>492</w:t>
            </w:r>
          </w:p>
        </w:tc>
        <w:tc>
          <w:tcPr>
            <w:tcW w:w="361" w:type="pct"/>
            <w:tcBorders>
              <w:top w:val="nil"/>
              <w:left w:val="nil"/>
              <w:bottom w:val="single" w:sz="12" w:space="0" w:color="auto"/>
              <w:right w:val="single" w:sz="4" w:space="0" w:color="auto"/>
            </w:tcBorders>
            <w:shd w:val="clear" w:color="auto" w:fill="auto"/>
            <w:noWrap/>
            <w:vAlign w:val="center"/>
            <w:hideMark/>
          </w:tcPr>
          <w:p w14:paraId="3514EC0F" w14:textId="77777777" w:rsidR="00A967F3" w:rsidRPr="004F469F" w:rsidRDefault="00A967F3" w:rsidP="003C6A19">
            <w:pPr>
              <w:jc w:val="center"/>
              <w:rPr>
                <w:sz w:val="20"/>
                <w:szCs w:val="20"/>
              </w:rPr>
            </w:pPr>
            <w:r w:rsidRPr="004F469F">
              <w:rPr>
                <w:sz w:val="20"/>
                <w:szCs w:val="20"/>
              </w:rPr>
              <w:t>26.3</w:t>
            </w:r>
          </w:p>
        </w:tc>
        <w:tc>
          <w:tcPr>
            <w:tcW w:w="540" w:type="pct"/>
            <w:tcBorders>
              <w:top w:val="nil"/>
              <w:left w:val="nil"/>
              <w:bottom w:val="single" w:sz="12" w:space="0" w:color="auto"/>
              <w:right w:val="single" w:sz="4" w:space="0" w:color="auto"/>
            </w:tcBorders>
            <w:shd w:val="clear" w:color="auto" w:fill="auto"/>
            <w:noWrap/>
            <w:vAlign w:val="center"/>
            <w:hideMark/>
          </w:tcPr>
          <w:p w14:paraId="7EB0D596" w14:textId="77777777" w:rsidR="00A967F3" w:rsidRPr="004F469F" w:rsidRDefault="00A967F3" w:rsidP="003C6A19">
            <w:pPr>
              <w:jc w:val="center"/>
              <w:rPr>
                <w:sz w:val="20"/>
                <w:szCs w:val="20"/>
              </w:rPr>
            </w:pPr>
            <w:r w:rsidRPr="004F469F">
              <w:rPr>
                <w:sz w:val="20"/>
                <w:szCs w:val="20"/>
              </w:rPr>
              <w:t>3,386</w:t>
            </w:r>
          </w:p>
        </w:tc>
        <w:tc>
          <w:tcPr>
            <w:tcW w:w="420" w:type="pct"/>
            <w:tcBorders>
              <w:top w:val="nil"/>
              <w:left w:val="nil"/>
              <w:bottom w:val="single" w:sz="12" w:space="0" w:color="auto"/>
              <w:right w:val="single" w:sz="4" w:space="0" w:color="auto"/>
            </w:tcBorders>
            <w:shd w:val="clear" w:color="auto" w:fill="auto"/>
            <w:noWrap/>
            <w:vAlign w:val="center"/>
            <w:hideMark/>
          </w:tcPr>
          <w:p w14:paraId="60FEC909" w14:textId="77777777" w:rsidR="00A967F3" w:rsidRPr="004F469F" w:rsidRDefault="00A967F3" w:rsidP="003C6A19">
            <w:pPr>
              <w:jc w:val="center"/>
              <w:rPr>
                <w:sz w:val="20"/>
                <w:szCs w:val="20"/>
              </w:rPr>
            </w:pPr>
            <w:r w:rsidRPr="004F469F">
              <w:rPr>
                <w:sz w:val="20"/>
                <w:szCs w:val="20"/>
              </w:rPr>
              <w:t>30.9</w:t>
            </w:r>
          </w:p>
        </w:tc>
        <w:tc>
          <w:tcPr>
            <w:tcW w:w="395" w:type="pct"/>
            <w:tcBorders>
              <w:top w:val="nil"/>
              <w:left w:val="nil"/>
              <w:bottom w:val="single" w:sz="12" w:space="0" w:color="auto"/>
              <w:right w:val="single" w:sz="4" w:space="0" w:color="auto"/>
            </w:tcBorders>
            <w:shd w:val="clear" w:color="auto" w:fill="auto"/>
            <w:noWrap/>
            <w:vAlign w:val="center"/>
            <w:hideMark/>
          </w:tcPr>
          <w:p w14:paraId="29734DB1" w14:textId="76BCE380" w:rsidR="00A967F3" w:rsidRPr="004F469F" w:rsidRDefault="00A967F3" w:rsidP="003C6A19">
            <w:pPr>
              <w:jc w:val="center"/>
              <w:rPr>
                <w:sz w:val="20"/>
                <w:szCs w:val="20"/>
              </w:rPr>
            </w:pPr>
            <w:r w:rsidRPr="004F469F">
              <w:rPr>
                <w:sz w:val="20"/>
                <w:szCs w:val="20"/>
              </w:rPr>
              <w:t>-</w:t>
            </w:r>
          </w:p>
        </w:tc>
        <w:tc>
          <w:tcPr>
            <w:tcW w:w="402" w:type="pct"/>
            <w:tcBorders>
              <w:top w:val="nil"/>
              <w:left w:val="nil"/>
              <w:bottom w:val="single" w:sz="12" w:space="0" w:color="auto"/>
              <w:right w:val="single" w:sz="4" w:space="0" w:color="auto"/>
            </w:tcBorders>
            <w:shd w:val="clear" w:color="auto" w:fill="auto"/>
            <w:noWrap/>
            <w:vAlign w:val="center"/>
            <w:hideMark/>
          </w:tcPr>
          <w:p w14:paraId="47783699" w14:textId="48D3ADA7" w:rsidR="00A967F3" w:rsidRPr="004F469F" w:rsidRDefault="00A967F3" w:rsidP="003C6A19">
            <w:pPr>
              <w:jc w:val="center"/>
              <w:rPr>
                <w:sz w:val="20"/>
                <w:szCs w:val="20"/>
              </w:rPr>
            </w:pPr>
            <w:r w:rsidRPr="004F469F">
              <w:rPr>
                <w:sz w:val="20"/>
                <w:szCs w:val="20"/>
              </w:rPr>
              <w:t>-</w:t>
            </w:r>
          </w:p>
        </w:tc>
        <w:tc>
          <w:tcPr>
            <w:tcW w:w="541" w:type="pct"/>
            <w:tcBorders>
              <w:top w:val="nil"/>
              <w:left w:val="nil"/>
              <w:bottom w:val="single" w:sz="12" w:space="0" w:color="auto"/>
              <w:right w:val="single" w:sz="4" w:space="0" w:color="auto"/>
            </w:tcBorders>
            <w:shd w:val="clear" w:color="auto" w:fill="auto"/>
            <w:noWrap/>
            <w:vAlign w:val="center"/>
            <w:hideMark/>
          </w:tcPr>
          <w:p w14:paraId="69D3675E" w14:textId="77777777" w:rsidR="00A967F3" w:rsidRPr="004F469F" w:rsidRDefault="00A967F3" w:rsidP="003C6A19">
            <w:pPr>
              <w:jc w:val="center"/>
              <w:rPr>
                <w:sz w:val="20"/>
                <w:szCs w:val="20"/>
              </w:rPr>
            </w:pPr>
            <w:r w:rsidRPr="004F469F">
              <w:rPr>
                <w:sz w:val="20"/>
                <w:szCs w:val="20"/>
              </w:rPr>
              <w:t>7,677</w:t>
            </w:r>
          </w:p>
        </w:tc>
        <w:tc>
          <w:tcPr>
            <w:tcW w:w="420" w:type="pct"/>
            <w:tcBorders>
              <w:top w:val="nil"/>
              <w:left w:val="nil"/>
              <w:bottom w:val="single" w:sz="12" w:space="0" w:color="auto"/>
              <w:right w:val="single" w:sz="4" w:space="0" w:color="auto"/>
            </w:tcBorders>
            <w:shd w:val="clear" w:color="auto" w:fill="auto"/>
            <w:noWrap/>
            <w:vAlign w:val="center"/>
            <w:hideMark/>
          </w:tcPr>
          <w:p w14:paraId="6E316E8B" w14:textId="77777777" w:rsidR="00A967F3" w:rsidRPr="004F469F" w:rsidRDefault="00A967F3" w:rsidP="003C6A19">
            <w:pPr>
              <w:jc w:val="center"/>
              <w:rPr>
                <w:sz w:val="20"/>
                <w:szCs w:val="20"/>
              </w:rPr>
            </w:pPr>
            <w:r w:rsidRPr="004F469F">
              <w:rPr>
                <w:sz w:val="20"/>
                <w:szCs w:val="20"/>
              </w:rPr>
              <w:t>30.1</w:t>
            </w:r>
          </w:p>
        </w:tc>
        <w:tc>
          <w:tcPr>
            <w:tcW w:w="395" w:type="pct"/>
            <w:tcBorders>
              <w:top w:val="nil"/>
              <w:left w:val="nil"/>
              <w:bottom w:val="single" w:sz="12" w:space="0" w:color="auto"/>
              <w:right w:val="single" w:sz="4" w:space="0" w:color="auto"/>
            </w:tcBorders>
            <w:shd w:val="clear" w:color="auto" w:fill="auto"/>
            <w:noWrap/>
            <w:vAlign w:val="center"/>
            <w:hideMark/>
          </w:tcPr>
          <w:p w14:paraId="796AABD3" w14:textId="77777777" w:rsidR="00A967F3" w:rsidRPr="004F469F" w:rsidRDefault="00A967F3" w:rsidP="003C6A19">
            <w:pPr>
              <w:jc w:val="center"/>
              <w:rPr>
                <w:sz w:val="20"/>
                <w:szCs w:val="20"/>
              </w:rPr>
            </w:pPr>
            <w:r w:rsidRPr="004F469F">
              <w:rPr>
                <w:sz w:val="20"/>
                <w:szCs w:val="20"/>
              </w:rPr>
              <w:t>0.5</w:t>
            </w:r>
          </w:p>
        </w:tc>
        <w:tc>
          <w:tcPr>
            <w:tcW w:w="399" w:type="pct"/>
            <w:tcBorders>
              <w:top w:val="nil"/>
              <w:left w:val="nil"/>
              <w:bottom w:val="single" w:sz="12" w:space="0" w:color="auto"/>
              <w:right w:val="single" w:sz="4" w:space="0" w:color="auto"/>
            </w:tcBorders>
            <w:shd w:val="clear" w:color="auto" w:fill="auto"/>
            <w:noWrap/>
            <w:vAlign w:val="center"/>
            <w:hideMark/>
          </w:tcPr>
          <w:p w14:paraId="0C4EBC0F" w14:textId="7BB9BED3" w:rsidR="00A967F3" w:rsidRPr="004F469F" w:rsidRDefault="00A967F3" w:rsidP="003C6A19">
            <w:pPr>
              <w:jc w:val="center"/>
              <w:rPr>
                <w:sz w:val="20"/>
                <w:szCs w:val="20"/>
              </w:rPr>
            </w:pPr>
            <w:r w:rsidRPr="004F469F">
              <w:rPr>
                <w:sz w:val="20"/>
                <w:szCs w:val="20"/>
              </w:rPr>
              <w:t>1.1*</w:t>
            </w:r>
          </w:p>
        </w:tc>
      </w:tr>
      <w:tr w:rsidR="00494669" w:rsidRPr="004F469F" w14:paraId="0229558A" w14:textId="77777777" w:rsidTr="003C6A19">
        <w:trPr>
          <w:trHeight w:val="288"/>
        </w:trPr>
        <w:tc>
          <w:tcPr>
            <w:tcW w:w="512"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8A03F52" w14:textId="1FDA98B8" w:rsidR="00A967F3" w:rsidRPr="004F469F" w:rsidRDefault="00A967F3" w:rsidP="003C6A19">
            <w:pPr>
              <w:jc w:val="center"/>
              <w:rPr>
                <w:rFonts w:eastAsia="Arial Unicode MS"/>
                <w:sz w:val="20"/>
                <w:szCs w:val="20"/>
              </w:rPr>
            </w:pPr>
            <w:r w:rsidRPr="004F469F">
              <w:rPr>
                <w:rFonts w:eastAsia="Arial Unicode MS"/>
                <w:sz w:val="20"/>
                <w:szCs w:val="20"/>
              </w:rPr>
              <w:t>US</w:t>
            </w:r>
          </w:p>
        </w:tc>
        <w:tc>
          <w:tcPr>
            <w:tcW w:w="178" w:type="pct"/>
            <w:tcBorders>
              <w:top w:val="single" w:sz="12" w:space="0" w:color="auto"/>
              <w:left w:val="nil"/>
              <w:bottom w:val="single" w:sz="12" w:space="0" w:color="auto"/>
              <w:right w:val="single" w:sz="4" w:space="0" w:color="auto"/>
            </w:tcBorders>
            <w:shd w:val="clear" w:color="auto" w:fill="auto"/>
            <w:noWrap/>
            <w:vAlign w:val="center"/>
            <w:hideMark/>
          </w:tcPr>
          <w:p w14:paraId="76A9EDE6" w14:textId="77777777" w:rsidR="00A967F3" w:rsidRPr="004F469F" w:rsidRDefault="00A967F3" w:rsidP="003C6A19">
            <w:pPr>
              <w:jc w:val="center"/>
              <w:rPr>
                <w:sz w:val="20"/>
                <w:szCs w:val="20"/>
              </w:rPr>
            </w:pPr>
            <w:r w:rsidRPr="004F469F">
              <w:rPr>
                <w:sz w:val="20"/>
                <w:szCs w:val="20"/>
              </w:rPr>
              <w:t>38</w:t>
            </w:r>
          </w:p>
        </w:tc>
        <w:tc>
          <w:tcPr>
            <w:tcW w:w="437" w:type="pct"/>
            <w:tcBorders>
              <w:top w:val="single" w:sz="12" w:space="0" w:color="auto"/>
              <w:left w:val="nil"/>
              <w:bottom w:val="single" w:sz="12" w:space="0" w:color="auto"/>
              <w:right w:val="single" w:sz="4" w:space="0" w:color="auto"/>
            </w:tcBorders>
            <w:shd w:val="clear" w:color="auto" w:fill="auto"/>
            <w:noWrap/>
            <w:vAlign w:val="center"/>
            <w:hideMark/>
          </w:tcPr>
          <w:p w14:paraId="70188AD6" w14:textId="77777777" w:rsidR="00A967F3" w:rsidRPr="004F469F" w:rsidRDefault="00A967F3" w:rsidP="003C6A19">
            <w:pPr>
              <w:jc w:val="center"/>
              <w:rPr>
                <w:sz w:val="20"/>
                <w:szCs w:val="20"/>
              </w:rPr>
            </w:pPr>
            <w:r w:rsidRPr="004F469F">
              <w:rPr>
                <w:sz w:val="20"/>
                <w:szCs w:val="20"/>
              </w:rPr>
              <w:t>647</w:t>
            </w:r>
          </w:p>
        </w:tc>
        <w:tc>
          <w:tcPr>
            <w:tcW w:w="361" w:type="pct"/>
            <w:tcBorders>
              <w:top w:val="single" w:sz="12" w:space="0" w:color="auto"/>
              <w:left w:val="nil"/>
              <w:bottom w:val="single" w:sz="12" w:space="0" w:color="auto"/>
              <w:right w:val="single" w:sz="4" w:space="0" w:color="auto"/>
            </w:tcBorders>
            <w:shd w:val="clear" w:color="auto" w:fill="auto"/>
            <w:noWrap/>
            <w:vAlign w:val="center"/>
            <w:hideMark/>
          </w:tcPr>
          <w:p w14:paraId="78931E5D" w14:textId="77777777" w:rsidR="00A967F3" w:rsidRPr="004F469F" w:rsidRDefault="00A967F3" w:rsidP="003C6A19">
            <w:pPr>
              <w:jc w:val="center"/>
              <w:rPr>
                <w:sz w:val="20"/>
                <w:szCs w:val="20"/>
              </w:rPr>
            </w:pPr>
            <w:r w:rsidRPr="004F469F">
              <w:rPr>
                <w:sz w:val="20"/>
                <w:szCs w:val="20"/>
              </w:rPr>
              <w:t>37.5</w:t>
            </w:r>
          </w:p>
        </w:tc>
        <w:tc>
          <w:tcPr>
            <w:tcW w:w="540" w:type="pct"/>
            <w:tcBorders>
              <w:top w:val="single" w:sz="12" w:space="0" w:color="auto"/>
              <w:left w:val="nil"/>
              <w:bottom w:val="single" w:sz="12" w:space="0" w:color="auto"/>
              <w:right w:val="single" w:sz="4" w:space="0" w:color="auto"/>
            </w:tcBorders>
            <w:shd w:val="clear" w:color="auto" w:fill="auto"/>
            <w:noWrap/>
            <w:vAlign w:val="center"/>
            <w:hideMark/>
          </w:tcPr>
          <w:p w14:paraId="3F00C1E8" w14:textId="77777777" w:rsidR="00A967F3" w:rsidRPr="004F469F" w:rsidRDefault="00A967F3" w:rsidP="003C6A19">
            <w:pPr>
              <w:jc w:val="center"/>
              <w:rPr>
                <w:sz w:val="20"/>
                <w:szCs w:val="20"/>
              </w:rPr>
            </w:pPr>
            <w:r w:rsidRPr="004F469F">
              <w:rPr>
                <w:sz w:val="20"/>
                <w:szCs w:val="20"/>
              </w:rPr>
              <w:t>3,142</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1B1BBF52" w14:textId="77777777" w:rsidR="00A967F3" w:rsidRPr="004F469F" w:rsidRDefault="00A967F3" w:rsidP="003C6A19">
            <w:pPr>
              <w:jc w:val="center"/>
              <w:rPr>
                <w:sz w:val="20"/>
                <w:szCs w:val="20"/>
              </w:rPr>
            </w:pPr>
            <w:r w:rsidRPr="004F469F">
              <w:rPr>
                <w:sz w:val="20"/>
                <w:szCs w:val="20"/>
              </w:rPr>
              <w:t>31.8</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12875EB2" w14:textId="420E8968" w:rsidR="00A967F3" w:rsidRPr="004F469F" w:rsidRDefault="00A967F3" w:rsidP="003C6A19">
            <w:pPr>
              <w:jc w:val="center"/>
              <w:rPr>
                <w:sz w:val="20"/>
                <w:szCs w:val="20"/>
              </w:rPr>
            </w:pPr>
            <w:r w:rsidRPr="004F469F">
              <w:rPr>
                <w:sz w:val="20"/>
                <w:szCs w:val="20"/>
              </w:rPr>
              <w:t>-</w:t>
            </w:r>
          </w:p>
        </w:tc>
        <w:tc>
          <w:tcPr>
            <w:tcW w:w="402" w:type="pct"/>
            <w:tcBorders>
              <w:top w:val="single" w:sz="12" w:space="0" w:color="auto"/>
              <w:left w:val="nil"/>
              <w:bottom w:val="single" w:sz="12" w:space="0" w:color="auto"/>
              <w:right w:val="single" w:sz="4" w:space="0" w:color="auto"/>
            </w:tcBorders>
            <w:shd w:val="clear" w:color="auto" w:fill="auto"/>
            <w:noWrap/>
            <w:vAlign w:val="center"/>
            <w:hideMark/>
          </w:tcPr>
          <w:p w14:paraId="6E488517" w14:textId="7C8D08EA" w:rsidR="00A967F3" w:rsidRPr="004F469F" w:rsidRDefault="00A967F3" w:rsidP="003C6A19">
            <w:pPr>
              <w:jc w:val="center"/>
              <w:rPr>
                <w:sz w:val="20"/>
                <w:szCs w:val="20"/>
              </w:rPr>
            </w:pPr>
            <w:r w:rsidRPr="004F469F">
              <w:rPr>
                <w:sz w:val="20"/>
                <w:szCs w:val="20"/>
              </w:rPr>
              <w:t>-</w:t>
            </w:r>
          </w:p>
        </w:tc>
        <w:tc>
          <w:tcPr>
            <w:tcW w:w="541" w:type="pct"/>
            <w:tcBorders>
              <w:top w:val="single" w:sz="12" w:space="0" w:color="auto"/>
              <w:left w:val="nil"/>
              <w:bottom w:val="single" w:sz="12" w:space="0" w:color="auto"/>
              <w:right w:val="single" w:sz="4" w:space="0" w:color="auto"/>
            </w:tcBorders>
            <w:shd w:val="clear" w:color="auto" w:fill="auto"/>
            <w:noWrap/>
            <w:vAlign w:val="center"/>
            <w:hideMark/>
          </w:tcPr>
          <w:p w14:paraId="6F26A68F" w14:textId="77777777" w:rsidR="00A967F3" w:rsidRPr="004F469F" w:rsidRDefault="00A967F3" w:rsidP="003C6A19">
            <w:pPr>
              <w:jc w:val="center"/>
              <w:rPr>
                <w:sz w:val="20"/>
                <w:szCs w:val="20"/>
              </w:rPr>
            </w:pPr>
            <w:r w:rsidRPr="004F469F">
              <w:rPr>
                <w:sz w:val="20"/>
                <w:szCs w:val="20"/>
              </w:rPr>
              <w:t>9,234</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38D0A8AC" w14:textId="77777777" w:rsidR="00A967F3" w:rsidRPr="004F469F" w:rsidRDefault="00A967F3" w:rsidP="003C6A19">
            <w:pPr>
              <w:jc w:val="center"/>
              <w:rPr>
                <w:sz w:val="20"/>
                <w:szCs w:val="20"/>
              </w:rPr>
            </w:pPr>
            <w:r w:rsidRPr="004F469F">
              <w:rPr>
                <w:sz w:val="20"/>
                <w:szCs w:val="20"/>
              </w:rPr>
              <w:t>40</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37E3978A" w14:textId="77777777" w:rsidR="00A967F3" w:rsidRPr="004F469F" w:rsidRDefault="00A967F3" w:rsidP="003C6A19">
            <w:pPr>
              <w:jc w:val="center"/>
              <w:rPr>
                <w:sz w:val="20"/>
                <w:szCs w:val="20"/>
              </w:rPr>
            </w:pPr>
            <w:r w:rsidRPr="004F469F">
              <w:rPr>
                <w:sz w:val="20"/>
                <w:szCs w:val="20"/>
              </w:rPr>
              <w:t>1.9</w:t>
            </w:r>
          </w:p>
        </w:tc>
        <w:tc>
          <w:tcPr>
            <w:tcW w:w="399" w:type="pct"/>
            <w:tcBorders>
              <w:top w:val="single" w:sz="12" w:space="0" w:color="auto"/>
              <w:left w:val="nil"/>
              <w:bottom w:val="single" w:sz="12" w:space="0" w:color="auto"/>
              <w:right w:val="single" w:sz="4" w:space="0" w:color="auto"/>
            </w:tcBorders>
            <w:shd w:val="clear" w:color="auto" w:fill="auto"/>
            <w:noWrap/>
            <w:vAlign w:val="center"/>
            <w:hideMark/>
          </w:tcPr>
          <w:p w14:paraId="313966CB" w14:textId="77777777" w:rsidR="00A967F3" w:rsidRPr="004F469F" w:rsidRDefault="00A967F3" w:rsidP="003C6A19">
            <w:pPr>
              <w:jc w:val="center"/>
              <w:rPr>
                <w:sz w:val="20"/>
                <w:szCs w:val="20"/>
              </w:rPr>
            </w:pPr>
            <w:r w:rsidRPr="004F469F">
              <w:rPr>
                <w:sz w:val="20"/>
                <w:szCs w:val="20"/>
              </w:rPr>
              <w:t>1.3</w:t>
            </w:r>
          </w:p>
        </w:tc>
      </w:tr>
      <w:tr w:rsidR="00494669" w:rsidRPr="004F469F" w14:paraId="090DACCF" w14:textId="77777777" w:rsidTr="003C6A19">
        <w:trPr>
          <w:trHeight w:val="144"/>
        </w:trPr>
        <w:tc>
          <w:tcPr>
            <w:tcW w:w="5000" w:type="pct"/>
            <w:gridSpan w:val="12"/>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6C32FCE" w14:textId="499BE847" w:rsidR="00A967F3" w:rsidRPr="004F469F" w:rsidRDefault="00A967F3" w:rsidP="003C6A19">
            <w:pPr>
              <w:jc w:val="center"/>
              <w:rPr>
                <w:rFonts w:eastAsia="Arial Unicode MS"/>
                <w:sz w:val="20"/>
                <w:szCs w:val="20"/>
              </w:rPr>
            </w:pPr>
          </w:p>
        </w:tc>
      </w:tr>
      <w:tr w:rsidR="00494669" w:rsidRPr="004F469F" w14:paraId="023AE212" w14:textId="77777777" w:rsidTr="003C6A19">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B49CB" w14:textId="77777777" w:rsidR="00A967F3" w:rsidRPr="004F469F" w:rsidRDefault="00A967F3" w:rsidP="003C6A19">
            <w:pPr>
              <w:rPr>
                <w:rFonts w:eastAsia="Arial Unicode MS"/>
                <w:i/>
                <w:iCs/>
                <w:sz w:val="20"/>
                <w:szCs w:val="20"/>
              </w:rPr>
            </w:pPr>
            <w:r w:rsidRPr="004F469F">
              <w:rPr>
                <w:rFonts w:eastAsia="Arial Unicode MS"/>
                <w:i/>
                <w:iCs/>
                <w:sz w:val="20"/>
                <w:szCs w:val="20"/>
              </w:rPr>
              <w:t>Near-Misses</w:t>
            </w:r>
          </w:p>
        </w:tc>
      </w:tr>
      <w:tr w:rsidR="00494669" w:rsidRPr="004F469F" w14:paraId="6DF101F1"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27FF79B9" w14:textId="7D2ABB97" w:rsidR="003C6A19" w:rsidRPr="004F469F" w:rsidRDefault="003C6A19" w:rsidP="003C6A19">
            <w:pPr>
              <w:jc w:val="center"/>
              <w:rPr>
                <w:rFonts w:eastAsia="Arial Unicode MS"/>
                <w:sz w:val="20"/>
                <w:szCs w:val="20"/>
              </w:rPr>
            </w:pPr>
          </w:p>
        </w:tc>
        <w:tc>
          <w:tcPr>
            <w:tcW w:w="178" w:type="pct"/>
            <w:tcBorders>
              <w:top w:val="nil"/>
              <w:left w:val="nil"/>
              <w:bottom w:val="single" w:sz="4" w:space="0" w:color="auto"/>
              <w:right w:val="single" w:sz="4" w:space="0" w:color="auto"/>
            </w:tcBorders>
            <w:shd w:val="clear" w:color="auto" w:fill="auto"/>
            <w:noWrap/>
            <w:vAlign w:val="center"/>
            <w:hideMark/>
          </w:tcPr>
          <w:p w14:paraId="0EED75FE" w14:textId="6B6B7ADA" w:rsidR="003C6A19" w:rsidRPr="004F469F" w:rsidRDefault="003C6A19" w:rsidP="003C6A19">
            <w:pPr>
              <w:jc w:val="center"/>
              <w:rPr>
                <w:sz w:val="20"/>
                <w:szCs w:val="20"/>
              </w:rPr>
            </w:pPr>
          </w:p>
        </w:tc>
        <w:tc>
          <w:tcPr>
            <w:tcW w:w="437" w:type="pct"/>
            <w:tcBorders>
              <w:top w:val="nil"/>
              <w:left w:val="nil"/>
              <w:bottom w:val="single" w:sz="4" w:space="0" w:color="auto"/>
              <w:right w:val="single" w:sz="4" w:space="0" w:color="auto"/>
            </w:tcBorders>
            <w:shd w:val="clear" w:color="auto" w:fill="auto"/>
            <w:noWrap/>
            <w:vAlign w:val="center"/>
            <w:hideMark/>
          </w:tcPr>
          <w:p w14:paraId="46D45C34" w14:textId="1554E5B9" w:rsidR="003C6A19" w:rsidRPr="004F469F" w:rsidRDefault="003C6A19" w:rsidP="003C6A19">
            <w:pPr>
              <w:jc w:val="center"/>
              <w:rPr>
                <w:sz w:val="20"/>
                <w:szCs w:val="20"/>
              </w:rPr>
            </w:pPr>
          </w:p>
        </w:tc>
        <w:tc>
          <w:tcPr>
            <w:tcW w:w="361" w:type="pct"/>
            <w:tcBorders>
              <w:top w:val="nil"/>
              <w:left w:val="nil"/>
              <w:bottom w:val="single" w:sz="4" w:space="0" w:color="auto"/>
              <w:right w:val="single" w:sz="4" w:space="0" w:color="auto"/>
            </w:tcBorders>
            <w:shd w:val="clear" w:color="auto" w:fill="auto"/>
            <w:noWrap/>
            <w:vAlign w:val="center"/>
            <w:hideMark/>
          </w:tcPr>
          <w:p w14:paraId="5BE202F1" w14:textId="74FDACAA" w:rsidR="003C6A19" w:rsidRPr="004F469F" w:rsidRDefault="003C6A19" w:rsidP="003C6A19">
            <w:pPr>
              <w:jc w:val="center"/>
              <w:rPr>
                <w:sz w:val="20"/>
                <w:szCs w:val="20"/>
              </w:rPr>
            </w:pPr>
          </w:p>
        </w:tc>
        <w:tc>
          <w:tcPr>
            <w:tcW w:w="1757" w:type="pct"/>
            <w:gridSpan w:val="4"/>
            <w:tcBorders>
              <w:top w:val="single" w:sz="4" w:space="0" w:color="auto"/>
              <w:left w:val="nil"/>
              <w:bottom w:val="single" w:sz="4" w:space="0" w:color="auto"/>
              <w:right w:val="single" w:sz="4" w:space="0" w:color="auto"/>
            </w:tcBorders>
            <w:shd w:val="clear" w:color="auto" w:fill="auto"/>
            <w:noWrap/>
            <w:vAlign w:val="center"/>
            <w:hideMark/>
          </w:tcPr>
          <w:p w14:paraId="0897BF68" w14:textId="046778BF" w:rsidR="003C6A19" w:rsidRPr="004F469F" w:rsidRDefault="003C6A19" w:rsidP="003C6A19">
            <w:pPr>
              <w:jc w:val="center"/>
              <w:rPr>
                <w:sz w:val="20"/>
                <w:szCs w:val="20"/>
              </w:rPr>
            </w:pPr>
            <w:r w:rsidRPr="004F469F">
              <w:rPr>
                <w:sz w:val="20"/>
                <w:szCs w:val="20"/>
              </w:rPr>
              <w:t>r = 10 km</w:t>
            </w:r>
          </w:p>
        </w:tc>
        <w:tc>
          <w:tcPr>
            <w:tcW w:w="17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4096A2D1" w14:textId="7CDB8A53" w:rsidR="003C6A19" w:rsidRPr="004F469F" w:rsidRDefault="003C6A19" w:rsidP="003C6A19">
            <w:pPr>
              <w:jc w:val="center"/>
              <w:rPr>
                <w:sz w:val="20"/>
                <w:szCs w:val="20"/>
              </w:rPr>
            </w:pPr>
            <w:r w:rsidRPr="004F469F">
              <w:rPr>
                <w:sz w:val="20"/>
                <w:szCs w:val="20"/>
              </w:rPr>
              <w:t>r = 40 km</w:t>
            </w:r>
          </w:p>
        </w:tc>
      </w:tr>
      <w:tr w:rsidR="00494669" w:rsidRPr="004F469F" w14:paraId="3B732E50"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51E46878" w14:textId="77777777" w:rsidR="003C6A19" w:rsidRPr="004F469F" w:rsidRDefault="003C6A19" w:rsidP="003C6A19">
            <w:pPr>
              <w:jc w:val="center"/>
              <w:rPr>
                <w:rFonts w:eastAsia="Arial Unicode MS"/>
                <w:b/>
                <w:bCs/>
                <w:sz w:val="20"/>
                <w:szCs w:val="20"/>
              </w:rPr>
            </w:pPr>
            <w:r w:rsidRPr="004F469F">
              <w:rPr>
                <w:rFonts w:eastAsia="Arial Unicode MS"/>
                <w:b/>
                <w:bCs/>
                <w:sz w:val="20"/>
                <w:szCs w:val="20"/>
              </w:rPr>
              <w:t>REGION</w:t>
            </w:r>
          </w:p>
        </w:tc>
        <w:tc>
          <w:tcPr>
            <w:tcW w:w="178" w:type="pct"/>
            <w:tcBorders>
              <w:top w:val="nil"/>
              <w:left w:val="nil"/>
              <w:bottom w:val="single" w:sz="4" w:space="0" w:color="auto"/>
              <w:right w:val="single" w:sz="4" w:space="0" w:color="auto"/>
            </w:tcBorders>
            <w:shd w:val="clear" w:color="auto" w:fill="auto"/>
            <w:noWrap/>
            <w:vAlign w:val="center"/>
            <w:hideMark/>
          </w:tcPr>
          <w:p w14:paraId="4288AF6A" w14:textId="77777777" w:rsidR="003C6A19" w:rsidRPr="004F469F" w:rsidRDefault="003C6A19" w:rsidP="003C6A19">
            <w:pPr>
              <w:jc w:val="center"/>
              <w:rPr>
                <w:b/>
                <w:bCs/>
                <w:sz w:val="20"/>
                <w:szCs w:val="20"/>
              </w:rPr>
            </w:pPr>
            <w:r w:rsidRPr="004F469F">
              <w:rPr>
                <w:b/>
                <w:bCs/>
                <w:sz w:val="20"/>
                <w:szCs w:val="20"/>
              </w:rPr>
              <w:t>n</w:t>
            </w:r>
          </w:p>
        </w:tc>
        <w:tc>
          <w:tcPr>
            <w:tcW w:w="437" w:type="pct"/>
            <w:tcBorders>
              <w:top w:val="nil"/>
              <w:left w:val="nil"/>
              <w:bottom w:val="single" w:sz="4" w:space="0" w:color="auto"/>
              <w:right w:val="single" w:sz="4" w:space="0" w:color="auto"/>
            </w:tcBorders>
            <w:shd w:val="clear" w:color="auto" w:fill="auto"/>
            <w:noWrap/>
            <w:vAlign w:val="center"/>
            <w:hideMark/>
          </w:tcPr>
          <w:p w14:paraId="10BE5DF6" w14:textId="77777777" w:rsidR="003C6A19" w:rsidRPr="004F469F" w:rsidRDefault="003C6A19" w:rsidP="003C6A19">
            <w:pPr>
              <w:jc w:val="center"/>
              <w:rPr>
                <w:b/>
                <w:bCs/>
                <w:sz w:val="20"/>
                <w:szCs w:val="20"/>
              </w:rPr>
            </w:pPr>
            <w:r w:rsidRPr="004F469F">
              <w:rPr>
                <w:b/>
                <w:bCs/>
                <w:sz w:val="20"/>
                <w:szCs w:val="20"/>
              </w:rPr>
              <w:t>OBS</w:t>
            </w:r>
          </w:p>
        </w:tc>
        <w:tc>
          <w:tcPr>
            <w:tcW w:w="361" w:type="pct"/>
            <w:tcBorders>
              <w:top w:val="nil"/>
              <w:left w:val="nil"/>
              <w:bottom w:val="single" w:sz="4" w:space="0" w:color="auto"/>
              <w:right w:val="single" w:sz="4" w:space="0" w:color="auto"/>
            </w:tcBorders>
            <w:shd w:val="clear" w:color="auto" w:fill="auto"/>
            <w:noWrap/>
            <w:vAlign w:val="center"/>
            <w:hideMark/>
          </w:tcPr>
          <w:p w14:paraId="722761C8" w14:textId="77777777" w:rsidR="003C6A19" w:rsidRPr="004F469F" w:rsidRDefault="003C6A19" w:rsidP="003C6A19">
            <w:pPr>
              <w:jc w:val="center"/>
              <w:rPr>
                <w:b/>
                <w:bCs/>
                <w:sz w:val="20"/>
                <w:szCs w:val="20"/>
              </w:rPr>
            </w:pPr>
            <w:r w:rsidRPr="004F469F">
              <w:rPr>
                <w:b/>
                <w:bCs/>
                <w:sz w:val="20"/>
                <w:szCs w:val="20"/>
              </w:rPr>
              <w:t>AREA</w:t>
            </w:r>
          </w:p>
        </w:tc>
        <w:tc>
          <w:tcPr>
            <w:tcW w:w="540" w:type="pct"/>
            <w:tcBorders>
              <w:top w:val="nil"/>
              <w:left w:val="nil"/>
              <w:bottom w:val="single" w:sz="4" w:space="0" w:color="auto"/>
              <w:right w:val="single" w:sz="4" w:space="0" w:color="auto"/>
            </w:tcBorders>
            <w:shd w:val="clear" w:color="auto" w:fill="auto"/>
            <w:noWrap/>
            <w:vAlign w:val="center"/>
            <w:hideMark/>
          </w:tcPr>
          <w:p w14:paraId="6BDF376E" w14:textId="77777777" w:rsidR="003C6A19" w:rsidRPr="004F469F" w:rsidRDefault="003C6A19"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6D5E67E0" w14:textId="77777777" w:rsidR="003C6A19" w:rsidRPr="004F469F" w:rsidRDefault="003C6A19"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59C3F263" w14:textId="77777777" w:rsidR="003C6A19" w:rsidRPr="004F469F" w:rsidRDefault="003C6A19" w:rsidP="003C6A19">
            <w:pPr>
              <w:jc w:val="center"/>
              <w:rPr>
                <w:b/>
                <w:bCs/>
                <w:sz w:val="20"/>
                <w:szCs w:val="20"/>
              </w:rPr>
            </w:pPr>
            <w:r w:rsidRPr="004F469F">
              <w:rPr>
                <w:b/>
                <w:bCs/>
                <w:sz w:val="20"/>
                <w:szCs w:val="20"/>
              </w:rPr>
              <w:t>EP5K</w:t>
            </w:r>
          </w:p>
        </w:tc>
        <w:tc>
          <w:tcPr>
            <w:tcW w:w="402" w:type="pct"/>
            <w:tcBorders>
              <w:top w:val="nil"/>
              <w:left w:val="nil"/>
              <w:bottom w:val="single" w:sz="4" w:space="0" w:color="auto"/>
              <w:right w:val="single" w:sz="4" w:space="0" w:color="auto"/>
            </w:tcBorders>
            <w:shd w:val="clear" w:color="auto" w:fill="auto"/>
            <w:noWrap/>
            <w:vAlign w:val="center"/>
            <w:hideMark/>
          </w:tcPr>
          <w:p w14:paraId="4D369D1A" w14:textId="77777777" w:rsidR="003C6A19" w:rsidRPr="004F469F" w:rsidRDefault="003C6A19" w:rsidP="003C6A19">
            <w:pPr>
              <w:jc w:val="center"/>
              <w:rPr>
                <w:b/>
                <w:bCs/>
                <w:sz w:val="20"/>
                <w:szCs w:val="20"/>
              </w:rPr>
            </w:pPr>
            <w:r w:rsidRPr="004F469F">
              <w:rPr>
                <w:b/>
                <w:bCs/>
                <w:sz w:val="20"/>
                <w:szCs w:val="20"/>
              </w:rPr>
              <w:t>EP20K</w:t>
            </w:r>
          </w:p>
        </w:tc>
        <w:tc>
          <w:tcPr>
            <w:tcW w:w="541" w:type="pct"/>
            <w:tcBorders>
              <w:top w:val="nil"/>
              <w:left w:val="nil"/>
              <w:bottom w:val="single" w:sz="4" w:space="0" w:color="auto"/>
              <w:right w:val="single" w:sz="4" w:space="0" w:color="auto"/>
            </w:tcBorders>
            <w:shd w:val="clear" w:color="auto" w:fill="auto"/>
            <w:noWrap/>
            <w:vAlign w:val="center"/>
            <w:hideMark/>
          </w:tcPr>
          <w:p w14:paraId="4335BFD1" w14:textId="77777777" w:rsidR="003C6A19" w:rsidRPr="004F469F" w:rsidRDefault="003C6A19"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000C98CF" w14:textId="77777777" w:rsidR="003C6A19" w:rsidRPr="004F469F" w:rsidRDefault="003C6A19"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7E4EF58B" w14:textId="77777777" w:rsidR="003C6A19" w:rsidRPr="004F469F" w:rsidRDefault="003C6A19" w:rsidP="003C6A19">
            <w:pPr>
              <w:jc w:val="center"/>
              <w:rPr>
                <w:b/>
                <w:bCs/>
                <w:sz w:val="20"/>
                <w:szCs w:val="20"/>
              </w:rPr>
            </w:pPr>
            <w:r w:rsidRPr="004F469F">
              <w:rPr>
                <w:b/>
                <w:bCs/>
                <w:sz w:val="20"/>
                <w:szCs w:val="20"/>
              </w:rPr>
              <w:t>EP5K</w:t>
            </w:r>
          </w:p>
        </w:tc>
        <w:tc>
          <w:tcPr>
            <w:tcW w:w="399" w:type="pct"/>
            <w:tcBorders>
              <w:top w:val="nil"/>
              <w:left w:val="nil"/>
              <w:bottom w:val="single" w:sz="4" w:space="0" w:color="auto"/>
              <w:right w:val="single" w:sz="4" w:space="0" w:color="auto"/>
            </w:tcBorders>
            <w:shd w:val="clear" w:color="auto" w:fill="auto"/>
            <w:noWrap/>
            <w:vAlign w:val="center"/>
            <w:hideMark/>
          </w:tcPr>
          <w:p w14:paraId="362EC61E" w14:textId="77777777" w:rsidR="003C6A19" w:rsidRPr="004F469F" w:rsidRDefault="003C6A19" w:rsidP="003C6A19">
            <w:pPr>
              <w:jc w:val="center"/>
              <w:rPr>
                <w:b/>
                <w:bCs/>
                <w:sz w:val="20"/>
                <w:szCs w:val="20"/>
              </w:rPr>
            </w:pPr>
            <w:r w:rsidRPr="004F469F">
              <w:rPr>
                <w:b/>
                <w:bCs/>
                <w:sz w:val="20"/>
                <w:szCs w:val="20"/>
              </w:rPr>
              <w:t>EP20K</w:t>
            </w:r>
          </w:p>
        </w:tc>
      </w:tr>
      <w:tr w:rsidR="00494669" w:rsidRPr="004F469F" w14:paraId="6B2B8977"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4CC47C7E" w14:textId="42D5FA62" w:rsidR="003C6A19" w:rsidRPr="004F469F" w:rsidRDefault="003C6A19" w:rsidP="003C6A19">
            <w:pPr>
              <w:jc w:val="center"/>
              <w:rPr>
                <w:rFonts w:eastAsia="Arial Unicode MS"/>
                <w:sz w:val="20"/>
                <w:szCs w:val="20"/>
              </w:rPr>
            </w:pPr>
            <w:r w:rsidRPr="004F469F">
              <w:rPr>
                <w:rFonts w:eastAsia="Arial Unicode MS"/>
                <w:sz w:val="20"/>
                <w:szCs w:val="20"/>
              </w:rPr>
              <w:t>GL</w:t>
            </w:r>
          </w:p>
        </w:tc>
        <w:tc>
          <w:tcPr>
            <w:tcW w:w="178" w:type="pct"/>
            <w:tcBorders>
              <w:top w:val="nil"/>
              <w:left w:val="nil"/>
              <w:bottom w:val="single" w:sz="4" w:space="0" w:color="auto"/>
              <w:right w:val="single" w:sz="4" w:space="0" w:color="auto"/>
            </w:tcBorders>
            <w:shd w:val="clear" w:color="auto" w:fill="auto"/>
            <w:noWrap/>
            <w:vAlign w:val="center"/>
            <w:hideMark/>
          </w:tcPr>
          <w:p w14:paraId="28E8C7EA" w14:textId="77777777" w:rsidR="003C6A19" w:rsidRPr="004F469F" w:rsidRDefault="003C6A19" w:rsidP="003C6A19">
            <w:pPr>
              <w:jc w:val="center"/>
              <w:rPr>
                <w:sz w:val="20"/>
                <w:szCs w:val="20"/>
              </w:rPr>
            </w:pPr>
            <w:r w:rsidRPr="004F469F">
              <w:rPr>
                <w:sz w:val="20"/>
                <w:szCs w:val="20"/>
              </w:rPr>
              <w:t>5</w:t>
            </w:r>
          </w:p>
        </w:tc>
        <w:tc>
          <w:tcPr>
            <w:tcW w:w="437" w:type="pct"/>
            <w:tcBorders>
              <w:top w:val="nil"/>
              <w:left w:val="nil"/>
              <w:bottom w:val="single" w:sz="4" w:space="0" w:color="auto"/>
              <w:right w:val="single" w:sz="4" w:space="0" w:color="auto"/>
            </w:tcBorders>
            <w:shd w:val="clear" w:color="auto" w:fill="auto"/>
            <w:noWrap/>
            <w:vAlign w:val="center"/>
            <w:hideMark/>
          </w:tcPr>
          <w:p w14:paraId="054A2332" w14:textId="77777777" w:rsidR="003C6A19" w:rsidRPr="004F469F" w:rsidRDefault="003C6A19" w:rsidP="003C6A19">
            <w:pPr>
              <w:jc w:val="center"/>
              <w:rPr>
                <w:sz w:val="20"/>
                <w:szCs w:val="20"/>
              </w:rPr>
            </w:pPr>
            <w:r w:rsidRPr="004F469F">
              <w:rPr>
                <w:sz w:val="20"/>
                <w:szCs w:val="20"/>
              </w:rPr>
              <w:t>1,969</w:t>
            </w:r>
          </w:p>
        </w:tc>
        <w:tc>
          <w:tcPr>
            <w:tcW w:w="361" w:type="pct"/>
            <w:tcBorders>
              <w:top w:val="nil"/>
              <w:left w:val="nil"/>
              <w:bottom w:val="single" w:sz="4" w:space="0" w:color="auto"/>
              <w:right w:val="single" w:sz="4" w:space="0" w:color="auto"/>
            </w:tcBorders>
            <w:shd w:val="clear" w:color="auto" w:fill="auto"/>
            <w:noWrap/>
            <w:vAlign w:val="center"/>
            <w:hideMark/>
          </w:tcPr>
          <w:p w14:paraId="0834D7B6" w14:textId="77777777" w:rsidR="003C6A19" w:rsidRPr="004F469F" w:rsidRDefault="003C6A19" w:rsidP="003C6A19">
            <w:pPr>
              <w:jc w:val="center"/>
              <w:rPr>
                <w:sz w:val="20"/>
                <w:szCs w:val="20"/>
              </w:rPr>
            </w:pPr>
            <w:r w:rsidRPr="004F469F">
              <w:rPr>
                <w:sz w:val="20"/>
                <w:szCs w:val="20"/>
              </w:rPr>
              <w:t>7.8</w:t>
            </w:r>
          </w:p>
        </w:tc>
        <w:tc>
          <w:tcPr>
            <w:tcW w:w="540" w:type="pct"/>
            <w:tcBorders>
              <w:top w:val="nil"/>
              <w:left w:val="nil"/>
              <w:bottom w:val="single" w:sz="4" w:space="0" w:color="auto"/>
              <w:right w:val="single" w:sz="4" w:space="0" w:color="auto"/>
            </w:tcBorders>
            <w:shd w:val="clear" w:color="auto" w:fill="auto"/>
            <w:noWrap/>
            <w:vAlign w:val="center"/>
            <w:hideMark/>
          </w:tcPr>
          <w:p w14:paraId="6E440A7A" w14:textId="77777777" w:rsidR="003C6A19" w:rsidRPr="004F469F" w:rsidRDefault="003C6A19" w:rsidP="003C6A19">
            <w:pPr>
              <w:jc w:val="center"/>
              <w:rPr>
                <w:sz w:val="20"/>
                <w:szCs w:val="20"/>
              </w:rPr>
            </w:pPr>
            <w:r w:rsidRPr="004F469F">
              <w:rPr>
                <w:sz w:val="20"/>
                <w:szCs w:val="20"/>
              </w:rPr>
              <w:t>10,012</w:t>
            </w:r>
          </w:p>
        </w:tc>
        <w:tc>
          <w:tcPr>
            <w:tcW w:w="420" w:type="pct"/>
            <w:tcBorders>
              <w:top w:val="nil"/>
              <w:left w:val="nil"/>
              <w:bottom w:val="single" w:sz="4" w:space="0" w:color="auto"/>
              <w:right w:val="single" w:sz="4" w:space="0" w:color="auto"/>
            </w:tcBorders>
            <w:shd w:val="clear" w:color="auto" w:fill="auto"/>
            <w:noWrap/>
            <w:vAlign w:val="center"/>
            <w:hideMark/>
          </w:tcPr>
          <w:p w14:paraId="4352CE5A" w14:textId="77777777" w:rsidR="003C6A19" w:rsidRPr="004F469F" w:rsidRDefault="003C6A19" w:rsidP="003C6A19">
            <w:pPr>
              <w:jc w:val="center"/>
              <w:rPr>
                <w:sz w:val="20"/>
                <w:szCs w:val="20"/>
              </w:rPr>
            </w:pPr>
            <w:r w:rsidRPr="004F469F">
              <w:rPr>
                <w:sz w:val="20"/>
                <w:szCs w:val="20"/>
              </w:rPr>
              <w:t>31.1</w:t>
            </w:r>
          </w:p>
        </w:tc>
        <w:tc>
          <w:tcPr>
            <w:tcW w:w="395" w:type="pct"/>
            <w:tcBorders>
              <w:top w:val="nil"/>
              <w:left w:val="nil"/>
              <w:bottom w:val="single" w:sz="4" w:space="0" w:color="auto"/>
              <w:right w:val="single" w:sz="4" w:space="0" w:color="auto"/>
            </w:tcBorders>
            <w:shd w:val="clear" w:color="auto" w:fill="auto"/>
            <w:noWrap/>
            <w:vAlign w:val="center"/>
            <w:hideMark/>
          </w:tcPr>
          <w:p w14:paraId="5AC3190D" w14:textId="77777777" w:rsidR="003C6A19" w:rsidRPr="004F469F" w:rsidRDefault="003C6A19" w:rsidP="003C6A19">
            <w:pPr>
              <w:jc w:val="center"/>
              <w:rPr>
                <w:sz w:val="20"/>
                <w:szCs w:val="20"/>
              </w:rPr>
            </w:pPr>
            <w:r w:rsidRPr="004F469F">
              <w:rPr>
                <w:sz w:val="20"/>
                <w:szCs w:val="20"/>
              </w:rPr>
              <w:t>2.9</w:t>
            </w:r>
          </w:p>
        </w:tc>
        <w:tc>
          <w:tcPr>
            <w:tcW w:w="402" w:type="pct"/>
            <w:tcBorders>
              <w:top w:val="nil"/>
              <w:left w:val="nil"/>
              <w:bottom w:val="single" w:sz="4" w:space="0" w:color="auto"/>
              <w:right w:val="single" w:sz="4" w:space="0" w:color="auto"/>
            </w:tcBorders>
            <w:shd w:val="clear" w:color="auto" w:fill="auto"/>
            <w:noWrap/>
            <w:vAlign w:val="center"/>
            <w:hideMark/>
          </w:tcPr>
          <w:p w14:paraId="09A4F712" w14:textId="01337051" w:rsidR="003C6A19" w:rsidRPr="004F469F" w:rsidRDefault="003C6A19"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18A71DDF" w14:textId="77777777" w:rsidR="003C6A19" w:rsidRPr="004F469F" w:rsidRDefault="003C6A19" w:rsidP="003C6A19">
            <w:pPr>
              <w:jc w:val="center"/>
              <w:rPr>
                <w:sz w:val="20"/>
                <w:szCs w:val="20"/>
              </w:rPr>
            </w:pPr>
            <w:r w:rsidRPr="004F469F">
              <w:rPr>
                <w:sz w:val="20"/>
                <w:szCs w:val="20"/>
              </w:rPr>
              <w:t>14,123</w:t>
            </w:r>
          </w:p>
        </w:tc>
        <w:tc>
          <w:tcPr>
            <w:tcW w:w="420" w:type="pct"/>
            <w:tcBorders>
              <w:top w:val="nil"/>
              <w:left w:val="nil"/>
              <w:bottom w:val="single" w:sz="4" w:space="0" w:color="auto"/>
              <w:right w:val="single" w:sz="4" w:space="0" w:color="auto"/>
            </w:tcBorders>
            <w:shd w:val="clear" w:color="auto" w:fill="auto"/>
            <w:noWrap/>
            <w:vAlign w:val="center"/>
            <w:hideMark/>
          </w:tcPr>
          <w:p w14:paraId="5E31AD8E" w14:textId="77777777" w:rsidR="003C6A19" w:rsidRPr="004F469F" w:rsidRDefault="003C6A19" w:rsidP="003C6A19">
            <w:pPr>
              <w:jc w:val="center"/>
              <w:rPr>
                <w:sz w:val="20"/>
                <w:szCs w:val="20"/>
              </w:rPr>
            </w:pPr>
            <w:r w:rsidRPr="004F469F">
              <w:rPr>
                <w:sz w:val="20"/>
                <w:szCs w:val="20"/>
              </w:rPr>
              <w:t>33.6</w:t>
            </w:r>
          </w:p>
        </w:tc>
        <w:tc>
          <w:tcPr>
            <w:tcW w:w="395" w:type="pct"/>
            <w:tcBorders>
              <w:top w:val="nil"/>
              <w:left w:val="nil"/>
              <w:bottom w:val="single" w:sz="4" w:space="0" w:color="auto"/>
              <w:right w:val="single" w:sz="4" w:space="0" w:color="auto"/>
            </w:tcBorders>
            <w:shd w:val="clear" w:color="auto" w:fill="auto"/>
            <w:noWrap/>
            <w:vAlign w:val="center"/>
            <w:hideMark/>
          </w:tcPr>
          <w:p w14:paraId="32DC0D9C" w14:textId="77777777" w:rsidR="003C6A19" w:rsidRPr="004F469F" w:rsidRDefault="003C6A19" w:rsidP="003C6A19">
            <w:pPr>
              <w:jc w:val="center"/>
              <w:rPr>
                <w:sz w:val="20"/>
                <w:szCs w:val="20"/>
              </w:rPr>
            </w:pPr>
            <w:r w:rsidRPr="004F469F">
              <w:rPr>
                <w:sz w:val="20"/>
                <w:szCs w:val="20"/>
              </w:rPr>
              <w:t>7.2</w:t>
            </w:r>
          </w:p>
        </w:tc>
        <w:tc>
          <w:tcPr>
            <w:tcW w:w="399" w:type="pct"/>
            <w:tcBorders>
              <w:top w:val="nil"/>
              <w:left w:val="nil"/>
              <w:bottom w:val="single" w:sz="4" w:space="0" w:color="auto"/>
              <w:right w:val="single" w:sz="4" w:space="0" w:color="auto"/>
            </w:tcBorders>
            <w:shd w:val="clear" w:color="auto" w:fill="auto"/>
            <w:noWrap/>
            <w:vAlign w:val="center"/>
            <w:hideMark/>
          </w:tcPr>
          <w:p w14:paraId="3F02D82A" w14:textId="2D688927" w:rsidR="003C6A19" w:rsidRPr="004F469F" w:rsidRDefault="003C6A19" w:rsidP="003C6A19">
            <w:pPr>
              <w:jc w:val="center"/>
              <w:rPr>
                <w:sz w:val="20"/>
                <w:szCs w:val="20"/>
              </w:rPr>
            </w:pPr>
            <w:r w:rsidRPr="004F469F">
              <w:rPr>
                <w:sz w:val="20"/>
                <w:szCs w:val="20"/>
              </w:rPr>
              <w:t>11.7*</w:t>
            </w:r>
          </w:p>
        </w:tc>
      </w:tr>
      <w:tr w:rsidR="00494669" w:rsidRPr="004F469F" w14:paraId="7C20C434"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00457BA4" w14:textId="1E6259B7" w:rsidR="003C6A19" w:rsidRPr="004F469F" w:rsidRDefault="003C6A19" w:rsidP="003C6A19">
            <w:pPr>
              <w:jc w:val="center"/>
              <w:rPr>
                <w:rFonts w:eastAsia="Arial Unicode MS"/>
                <w:sz w:val="20"/>
                <w:szCs w:val="20"/>
              </w:rPr>
            </w:pPr>
            <w:r w:rsidRPr="004F469F">
              <w:rPr>
                <w:rFonts w:eastAsia="Arial Unicode MS"/>
                <w:sz w:val="20"/>
                <w:szCs w:val="20"/>
              </w:rPr>
              <w:t>NP</w:t>
            </w:r>
          </w:p>
        </w:tc>
        <w:tc>
          <w:tcPr>
            <w:tcW w:w="178" w:type="pct"/>
            <w:tcBorders>
              <w:top w:val="nil"/>
              <w:left w:val="nil"/>
              <w:bottom w:val="single" w:sz="4" w:space="0" w:color="auto"/>
              <w:right w:val="single" w:sz="4" w:space="0" w:color="auto"/>
            </w:tcBorders>
            <w:shd w:val="clear" w:color="auto" w:fill="auto"/>
            <w:noWrap/>
            <w:vAlign w:val="center"/>
            <w:hideMark/>
          </w:tcPr>
          <w:p w14:paraId="04A4FB27" w14:textId="77777777" w:rsidR="003C6A19" w:rsidRPr="004F469F" w:rsidRDefault="003C6A19" w:rsidP="003C6A19">
            <w:pPr>
              <w:jc w:val="center"/>
              <w:rPr>
                <w:sz w:val="20"/>
                <w:szCs w:val="20"/>
              </w:rPr>
            </w:pPr>
            <w:r w:rsidRPr="004F469F">
              <w:rPr>
                <w:sz w:val="20"/>
                <w:szCs w:val="20"/>
              </w:rPr>
              <w:t>5</w:t>
            </w:r>
          </w:p>
        </w:tc>
        <w:tc>
          <w:tcPr>
            <w:tcW w:w="437" w:type="pct"/>
            <w:tcBorders>
              <w:top w:val="nil"/>
              <w:left w:val="nil"/>
              <w:bottom w:val="single" w:sz="4" w:space="0" w:color="auto"/>
              <w:right w:val="single" w:sz="4" w:space="0" w:color="auto"/>
            </w:tcBorders>
            <w:shd w:val="clear" w:color="auto" w:fill="auto"/>
            <w:noWrap/>
            <w:vAlign w:val="center"/>
            <w:hideMark/>
          </w:tcPr>
          <w:p w14:paraId="4843BFF7" w14:textId="77777777" w:rsidR="003C6A19" w:rsidRPr="004F469F" w:rsidRDefault="003C6A19" w:rsidP="003C6A19">
            <w:pPr>
              <w:jc w:val="center"/>
              <w:rPr>
                <w:sz w:val="20"/>
                <w:szCs w:val="20"/>
              </w:rPr>
            </w:pPr>
            <w:r w:rsidRPr="004F469F">
              <w:rPr>
                <w:sz w:val="20"/>
                <w:szCs w:val="20"/>
              </w:rPr>
              <w:t>813</w:t>
            </w:r>
          </w:p>
        </w:tc>
        <w:tc>
          <w:tcPr>
            <w:tcW w:w="361" w:type="pct"/>
            <w:tcBorders>
              <w:top w:val="nil"/>
              <w:left w:val="nil"/>
              <w:bottom w:val="single" w:sz="4" w:space="0" w:color="auto"/>
              <w:right w:val="single" w:sz="4" w:space="0" w:color="auto"/>
            </w:tcBorders>
            <w:shd w:val="clear" w:color="auto" w:fill="auto"/>
            <w:noWrap/>
            <w:vAlign w:val="center"/>
            <w:hideMark/>
          </w:tcPr>
          <w:p w14:paraId="6A2842CD" w14:textId="77777777" w:rsidR="003C6A19" w:rsidRPr="004F469F" w:rsidRDefault="003C6A19" w:rsidP="003C6A19">
            <w:pPr>
              <w:jc w:val="center"/>
              <w:rPr>
                <w:sz w:val="20"/>
                <w:szCs w:val="20"/>
              </w:rPr>
            </w:pPr>
            <w:r w:rsidRPr="004F469F">
              <w:rPr>
                <w:sz w:val="20"/>
                <w:szCs w:val="20"/>
              </w:rPr>
              <w:t>103</w:t>
            </w:r>
          </w:p>
        </w:tc>
        <w:tc>
          <w:tcPr>
            <w:tcW w:w="540" w:type="pct"/>
            <w:tcBorders>
              <w:top w:val="nil"/>
              <w:left w:val="nil"/>
              <w:bottom w:val="single" w:sz="4" w:space="0" w:color="auto"/>
              <w:right w:val="single" w:sz="4" w:space="0" w:color="auto"/>
            </w:tcBorders>
            <w:shd w:val="clear" w:color="auto" w:fill="auto"/>
            <w:noWrap/>
            <w:vAlign w:val="center"/>
            <w:hideMark/>
          </w:tcPr>
          <w:p w14:paraId="2597A4E4" w14:textId="77777777" w:rsidR="003C6A19" w:rsidRPr="004F469F" w:rsidRDefault="003C6A19" w:rsidP="003C6A19">
            <w:pPr>
              <w:jc w:val="center"/>
              <w:rPr>
                <w:sz w:val="20"/>
                <w:szCs w:val="20"/>
              </w:rPr>
            </w:pPr>
            <w:r w:rsidRPr="004F469F">
              <w:rPr>
                <w:sz w:val="20"/>
                <w:szCs w:val="20"/>
              </w:rPr>
              <w:t>6,394</w:t>
            </w:r>
          </w:p>
        </w:tc>
        <w:tc>
          <w:tcPr>
            <w:tcW w:w="420" w:type="pct"/>
            <w:tcBorders>
              <w:top w:val="nil"/>
              <w:left w:val="nil"/>
              <w:bottom w:val="single" w:sz="4" w:space="0" w:color="auto"/>
              <w:right w:val="single" w:sz="4" w:space="0" w:color="auto"/>
            </w:tcBorders>
            <w:shd w:val="clear" w:color="auto" w:fill="auto"/>
            <w:noWrap/>
            <w:vAlign w:val="center"/>
            <w:hideMark/>
          </w:tcPr>
          <w:p w14:paraId="459D8051" w14:textId="77777777" w:rsidR="003C6A19" w:rsidRPr="004F469F" w:rsidRDefault="003C6A19" w:rsidP="003C6A19">
            <w:pPr>
              <w:jc w:val="center"/>
              <w:rPr>
                <w:sz w:val="20"/>
                <w:szCs w:val="20"/>
              </w:rPr>
            </w:pPr>
            <w:r w:rsidRPr="004F469F">
              <w:rPr>
                <w:sz w:val="20"/>
                <w:szCs w:val="20"/>
              </w:rPr>
              <w:t>69.6</w:t>
            </w:r>
          </w:p>
        </w:tc>
        <w:tc>
          <w:tcPr>
            <w:tcW w:w="395" w:type="pct"/>
            <w:tcBorders>
              <w:top w:val="nil"/>
              <w:left w:val="nil"/>
              <w:bottom w:val="single" w:sz="4" w:space="0" w:color="auto"/>
              <w:right w:val="single" w:sz="4" w:space="0" w:color="auto"/>
            </w:tcBorders>
            <w:shd w:val="clear" w:color="auto" w:fill="auto"/>
            <w:noWrap/>
            <w:vAlign w:val="center"/>
            <w:hideMark/>
          </w:tcPr>
          <w:p w14:paraId="465073D3" w14:textId="77777777" w:rsidR="003C6A19" w:rsidRPr="004F469F" w:rsidRDefault="003C6A19" w:rsidP="003C6A19">
            <w:pPr>
              <w:jc w:val="center"/>
              <w:rPr>
                <w:sz w:val="20"/>
                <w:szCs w:val="20"/>
              </w:rPr>
            </w:pPr>
            <w:r w:rsidRPr="004F469F">
              <w:rPr>
                <w:sz w:val="20"/>
                <w:szCs w:val="20"/>
              </w:rPr>
              <w:t>5.1</w:t>
            </w:r>
          </w:p>
        </w:tc>
        <w:tc>
          <w:tcPr>
            <w:tcW w:w="402" w:type="pct"/>
            <w:tcBorders>
              <w:top w:val="nil"/>
              <w:left w:val="nil"/>
              <w:bottom w:val="single" w:sz="4" w:space="0" w:color="auto"/>
              <w:right w:val="single" w:sz="4" w:space="0" w:color="auto"/>
            </w:tcBorders>
            <w:shd w:val="clear" w:color="auto" w:fill="auto"/>
            <w:noWrap/>
            <w:vAlign w:val="center"/>
            <w:hideMark/>
          </w:tcPr>
          <w:p w14:paraId="17783BAC" w14:textId="4BABF858" w:rsidR="003C6A19" w:rsidRPr="004F469F" w:rsidRDefault="003C6A19" w:rsidP="003C6A19">
            <w:pPr>
              <w:jc w:val="center"/>
              <w:rPr>
                <w:sz w:val="20"/>
                <w:szCs w:val="20"/>
              </w:rPr>
            </w:pPr>
            <w:r w:rsidRPr="004F469F">
              <w:rPr>
                <w:sz w:val="20"/>
                <w:szCs w:val="20"/>
              </w:rPr>
              <w:t>7.0*</w:t>
            </w:r>
          </w:p>
        </w:tc>
        <w:tc>
          <w:tcPr>
            <w:tcW w:w="541" w:type="pct"/>
            <w:tcBorders>
              <w:top w:val="nil"/>
              <w:left w:val="nil"/>
              <w:bottom w:val="single" w:sz="4" w:space="0" w:color="auto"/>
              <w:right w:val="single" w:sz="4" w:space="0" w:color="auto"/>
            </w:tcBorders>
            <w:shd w:val="clear" w:color="auto" w:fill="auto"/>
            <w:noWrap/>
            <w:vAlign w:val="center"/>
            <w:hideMark/>
          </w:tcPr>
          <w:p w14:paraId="7A95FD0A" w14:textId="77777777" w:rsidR="003C6A19" w:rsidRPr="004F469F" w:rsidRDefault="003C6A19" w:rsidP="003C6A19">
            <w:pPr>
              <w:jc w:val="center"/>
              <w:rPr>
                <w:sz w:val="20"/>
                <w:szCs w:val="20"/>
              </w:rPr>
            </w:pPr>
            <w:r w:rsidRPr="004F469F">
              <w:rPr>
                <w:sz w:val="20"/>
                <w:szCs w:val="20"/>
              </w:rPr>
              <w:t>21,130</w:t>
            </w:r>
          </w:p>
        </w:tc>
        <w:tc>
          <w:tcPr>
            <w:tcW w:w="420" w:type="pct"/>
            <w:tcBorders>
              <w:top w:val="nil"/>
              <w:left w:val="nil"/>
              <w:bottom w:val="single" w:sz="4" w:space="0" w:color="auto"/>
              <w:right w:val="single" w:sz="4" w:space="0" w:color="auto"/>
            </w:tcBorders>
            <w:shd w:val="clear" w:color="auto" w:fill="auto"/>
            <w:noWrap/>
            <w:vAlign w:val="center"/>
            <w:hideMark/>
          </w:tcPr>
          <w:p w14:paraId="67195461" w14:textId="77777777" w:rsidR="003C6A19" w:rsidRPr="004F469F" w:rsidRDefault="003C6A19" w:rsidP="003C6A19">
            <w:pPr>
              <w:jc w:val="center"/>
              <w:rPr>
                <w:sz w:val="20"/>
                <w:szCs w:val="20"/>
              </w:rPr>
            </w:pPr>
            <w:r w:rsidRPr="004F469F">
              <w:rPr>
                <w:sz w:val="20"/>
                <w:szCs w:val="20"/>
              </w:rPr>
              <w:t>58.2</w:t>
            </w:r>
          </w:p>
        </w:tc>
        <w:tc>
          <w:tcPr>
            <w:tcW w:w="395" w:type="pct"/>
            <w:tcBorders>
              <w:top w:val="nil"/>
              <w:left w:val="nil"/>
              <w:bottom w:val="single" w:sz="4" w:space="0" w:color="auto"/>
              <w:right w:val="single" w:sz="4" w:space="0" w:color="auto"/>
            </w:tcBorders>
            <w:shd w:val="clear" w:color="auto" w:fill="auto"/>
            <w:noWrap/>
            <w:vAlign w:val="center"/>
            <w:hideMark/>
          </w:tcPr>
          <w:p w14:paraId="51C6EEDE" w14:textId="77777777" w:rsidR="003C6A19" w:rsidRPr="004F469F" w:rsidRDefault="003C6A19" w:rsidP="003C6A19">
            <w:pPr>
              <w:jc w:val="center"/>
              <w:rPr>
                <w:sz w:val="20"/>
                <w:szCs w:val="20"/>
              </w:rPr>
            </w:pPr>
            <w:r w:rsidRPr="004F469F">
              <w:rPr>
                <w:sz w:val="20"/>
                <w:szCs w:val="20"/>
              </w:rPr>
              <w:t>8.2</w:t>
            </w:r>
          </w:p>
        </w:tc>
        <w:tc>
          <w:tcPr>
            <w:tcW w:w="399" w:type="pct"/>
            <w:tcBorders>
              <w:top w:val="nil"/>
              <w:left w:val="nil"/>
              <w:bottom w:val="single" w:sz="4" w:space="0" w:color="auto"/>
              <w:right w:val="single" w:sz="4" w:space="0" w:color="auto"/>
            </w:tcBorders>
            <w:shd w:val="clear" w:color="auto" w:fill="auto"/>
            <w:noWrap/>
            <w:vAlign w:val="center"/>
            <w:hideMark/>
          </w:tcPr>
          <w:p w14:paraId="57C6AE7D" w14:textId="77777777" w:rsidR="003C6A19" w:rsidRPr="004F469F" w:rsidRDefault="003C6A19" w:rsidP="003C6A19">
            <w:pPr>
              <w:jc w:val="center"/>
              <w:rPr>
                <w:sz w:val="20"/>
                <w:szCs w:val="20"/>
              </w:rPr>
            </w:pPr>
            <w:r w:rsidRPr="004F469F">
              <w:rPr>
                <w:sz w:val="20"/>
                <w:szCs w:val="20"/>
              </w:rPr>
              <w:t>6.4</w:t>
            </w:r>
          </w:p>
        </w:tc>
      </w:tr>
      <w:tr w:rsidR="00494669" w:rsidRPr="004F469F" w14:paraId="6D05EA86"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1013F415" w14:textId="1F631D8A" w:rsidR="003C6A19" w:rsidRPr="004F469F" w:rsidRDefault="003C6A19" w:rsidP="003C6A19">
            <w:pPr>
              <w:jc w:val="center"/>
              <w:rPr>
                <w:rFonts w:eastAsia="Arial Unicode MS"/>
                <w:sz w:val="20"/>
                <w:szCs w:val="20"/>
              </w:rPr>
            </w:pPr>
            <w:r w:rsidRPr="004F469F">
              <w:rPr>
                <w:rFonts w:eastAsia="Arial Unicode MS"/>
                <w:sz w:val="20"/>
                <w:szCs w:val="20"/>
              </w:rPr>
              <w:t>SE</w:t>
            </w:r>
          </w:p>
        </w:tc>
        <w:tc>
          <w:tcPr>
            <w:tcW w:w="178" w:type="pct"/>
            <w:tcBorders>
              <w:top w:val="nil"/>
              <w:left w:val="nil"/>
              <w:bottom w:val="single" w:sz="4" w:space="0" w:color="auto"/>
              <w:right w:val="single" w:sz="4" w:space="0" w:color="auto"/>
            </w:tcBorders>
            <w:shd w:val="clear" w:color="auto" w:fill="auto"/>
            <w:noWrap/>
            <w:vAlign w:val="center"/>
            <w:hideMark/>
          </w:tcPr>
          <w:p w14:paraId="68878066" w14:textId="77777777" w:rsidR="003C6A19" w:rsidRPr="004F469F" w:rsidRDefault="003C6A19" w:rsidP="003C6A19">
            <w:pPr>
              <w:jc w:val="center"/>
              <w:rPr>
                <w:sz w:val="20"/>
                <w:szCs w:val="20"/>
              </w:rPr>
            </w:pPr>
            <w:r w:rsidRPr="004F469F">
              <w:rPr>
                <w:sz w:val="20"/>
                <w:szCs w:val="20"/>
              </w:rPr>
              <w:t>6</w:t>
            </w:r>
          </w:p>
        </w:tc>
        <w:tc>
          <w:tcPr>
            <w:tcW w:w="437" w:type="pct"/>
            <w:tcBorders>
              <w:top w:val="nil"/>
              <w:left w:val="nil"/>
              <w:bottom w:val="single" w:sz="4" w:space="0" w:color="auto"/>
              <w:right w:val="single" w:sz="4" w:space="0" w:color="auto"/>
            </w:tcBorders>
            <w:shd w:val="clear" w:color="auto" w:fill="auto"/>
            <w:noWrap/>
            <w:vAlign w:val="center"/>
            <w:hideMark/>
          </w:tcPr>
          <w:p w14:paraId="3155C0CB" w14:textId="77777777" w:rsidR="003C6A19" w:rsidRPr="004F469F" w:rsidRDefault="003C6A19" w:rsidP="003C6A19">
            <w:pPr>
              <w:jc w:val="center"/>
              <w:rPr>
                <w:sz w:val="20"/>
                <w:szCs w:val="20"/>
              </w:rPr>
            </w:pPr>
            <w:r w:rsidRPr="004F469F">
              <w:rPr>
                <w:sz w:val="20"/>
                <w:szCs w:val="20"/>
              </w:rPr>
              <w:t>2,699</w:t>
            </w:r>
          </w:p>
        </w:tc>
        <w:tc>
          <w:tcPr>
            <w:tcW w:w="361" w:type="pct"/>
            <w:tcBorders>
              <w:top w:val="nil"/>
              <w:left w:val="nil"/>
              <w:bottom w:val="single" w:sz="4" w:space="0" w:color="auto"/>
              <w:right w:val="single" w:sz="4" w:space="0" w:color="auto"/>
            </w:tcBorders>
            <w:shd w:val="clear" w:color="auto" w:fill="auto"/>
            <w:noWrap/>
            <w:vAlign w:val="center"/>
            <w:hideMark/>
          </w:tcPr>
          <w:p w14:paraId="41D1E943" w14:textId="77777777" w:rsidR="003C6A19" w:rsidRPr="004F469F" w:rsidRDefault="003C6A19" w:rsidP="003C6A19">
            <w:pPr>
              <w:jc w:val="center"/>
              <w:rPr>
                <w:sz w:val="20"/>
                <w:szCs w:val="20"/>
              </w:rPr>
            </w:pPr>
            <w:r w:rsidRPr="004F469F">
              <w:rPr>
                <w:sz w:val="20"/>
                <w:szCs w:val="20"/>
              </w:rPr>
              <w:t>38.1</w:t>
            </w:r>
          </w:p>
        </w:tc>
        <w:tc>
          <w:tcPr>
            <w:tcW w:w="540" w:type="pct"/>
            <w:tcBorders>
              <w:top w:val="nil"/>
              <w:left w:val="nil"/>
              <w:bottom w:val="single" w:sz="4" w:space="0" w:color="auto"/>
              <w:right w:val="single" w:sz="4" w:space="0" w:color="auto"/>
            </w:tcBorders>
            <w:shd w:val="clear" w:color="auto" w:fill="auto"/>
            <w:noWrap/>
            <w:vAlign w:val="center"/>
            <w:hideMark/>
          </w:tcPr>
          <w:p w14:paraId="2CEE8E0D" w14:textId="77777777" w:rsidR="003C6A19" w:rsidRPr="004F469F" w:rsidRDefault="003C6A19" w:rsidP="003C6A19">
            <w:pPr>
              <w:jc w:val="center"/>
              <w:rPr>
                <w:sz w:val="20"/>
                <w:szCs w:val="20"/>
              </w:rPr>
            </w:pPr>
            <w:r w:rsidRPr="004F469F">
              <w:rPr>
                <w:sz w:val="20"/>
                <w:szCs w:val="20"/>
              </w:rPr>
              <w:t>8,915</w:t>
            </w:r>
          </w:p>
        </w:tc>
        <w:tc>
          <w:tcPr>
            <w:tcW w:w="420" w:type="pct"/>
            <w:tcBorders>
              <w:top w:val="nil"/>
              <w:left w:val="nil"/>
              <w:bottom w:val="single" w:sz="4" w:space="0" w:color="auto"/>
              <w:right w:val="single" w:sz="4" w:space="0" w:color="auto"/>
            </w:tcBorders>
            <w:shd w:val="clear" w:color="auto" w:fill="auto"/>
            <w:noWrap/>
            <w:vAlign w:val="center"/>
            <w:hideMark/>
          </w:tcPr>
          <w:p w14:paraId="56CC52FA" w14:textId="77777777" w:rsidR="003C6A19" w:rsidRPr="004F469F" w:rsidRDefault="003C6A19" w:rsidP="003C6A19">
            <w:pPr>
              <w:jc w:val="center"/>
              <w:rPr>
                <w:sz w:val="20"/>
                <w:szCs w:val="20"/>
              </w:rPr>
            </w:pPr>
            <w:r w:rsidRPr="004F469F">
              <w:rPr>
                <w:sz w:val="20"/>
                <w:szCs w:val="20"/>
              </w:rPr>
              <w:t>40.8</w:t>
            </w:r>
          </w:p>
        </w:tc>
        <w:tc>
          <w:tcPr>
            <w:tcW w:w="395" w:type="pct"/>
            <w:tcBorders>
              <w:top w:val="nil"/>
              <w:left w:val="nil"/>
              <w:bottom w:val="single" w:sz="4" w:space="0" w:color="auto"/>
              <w:right w:val="single" w:sz="4" w:space="0" w:color="auto"/>
            </w:tcBorders>
            <w:shd w:val="clear" w:color="auto" w:fill="auto"/>
            <w:noWrap/>
            <w:vAlign w:val="center"/>
            <w:hideMark/>
          </w:tcPr>
          <w:p w14:paraId="77981AE2" w14:textId="77777777" w:rsidR="003C6A19" w:rsidRPr="004F469F" w:rsidRDefault="003C6A19" w:rsidP="003C6A19">
            <w:pPr>
              <w:jc w:val="center"/>
              <w:rPr>
                <w:sz w:val="20"/>
                <w:szCs w:val="20"/>
              </w:rPr>
            </w:pPr>
            <w:r w:rsidRPr="004F469F">
              <w:rPr>
                <w:sz w:val="20"/>
                <w:szCs w:val="20"/>
              </w:rPr>
              <w:t>19.8</w:t>
            </w:r>
          </w:p>
        </w:tc>
        <w:tc>
          <w:tcPr>
            <w:tcW w:w="402" w:type="pct"/>
            <w:tcBorders>
              <w:top w:val="nil"/>
              <w:left w:val="nil"/>
              <w:bottom w:val="single" w:sz="4" w:space="0" w:color="auto"/>
              <w:right w:val="single" w:sz="4" w:space="0" w:color="auto"/>
            </w:tcBorders>
            <w:shd w:val="clear" w:color="auto" w:fill="auto"/>
            <w:noWrap/>
            <w:vAlign w:val="center"/>
            <w:hideMark/>
          </w:tcPr>
          <w:p w14:paraId="214C36AE" w14:textId="616357A2" w:rsidR="003C6A19" w:rsidRPr="004F469F" w:rsidRDefault="003C6A19" w:rsidP="003C6A19">
            <w:pPr>
              <w:jc w:val="center"/>
              <w:rPr>
                <w:sz w:val="20"/>
                <w:szCs w:val="20"/>
              </w:rPr>
            </w:pPr>
            <w:r w:rsidRPr="004F469F">
              <w:rPr>
                <w:sz w:val="20"/>
                <w:szCs w:val="20"/>
              </w:rPr>
              <w:t>9.2*</w:t>
            </w:r>
          </w:p>
        </w:tc>
        <w:tc>
          <w:tcPr>
            <w:tcW w:w="541" w:type="pct"/>
            <w:tcBorders>
              <w:top w:val="nil"/>
              <w:left w:val="nil"/>
              <w:bottom w:val="single" w:sz="4" w:space="0" w:color="auto"/>
              <w:right w:val="single" w:sz="4" w:space="0" w:color="auto"/>
            </w:tcBorders>
            <w:shd w:val="clear" w:color="auto" w:fill="auto"/>
            <w:noWrap/>
            <w:vAlign w:val="center"/>
            <w:hideMark/>
          </w:tcPr>
          <w:p w14:paraId="03DA7E51" w14:textId="77777777" w:rsidR="003C6A19" w:rsidRPr="004F469F" w:rsidRDefault="003C6A19" w:rsidP="003C6A19">
            <w:pPr>
              <w:jc w:val="center"/>
              <w:rPr>
                <w:sz w:val="20"/>
                <w:szCs w:val="20"/>
              </w:rPr>
            </w:pPr>
            <w:r w:rsidRPr="004F469F">
              <w:rPr>
                <w:sz w:val="20"/>
                <w:szCs w:val="20"/>
              </w:rPr>
              <w:t>11,190</w:t>
            </w:r>
          </w:p>
        </w:tc>
        <w:tc>
          <w:tcPr>
            <w:tcW w:w="420" w:type="pct"/>
            <w:tcBorders>
              <w:top w:val="nil"/>
              <w:left w:val="nil"/>
              <w:bottom w:val="single" w:sz="4" w:space="0" w:color="auto"/>
              <w:right w:val="single" w:sz="4" w:space="0" w:color="auto"/>
            </w:tcBorders>
            <w:shd w:val="clear" w:color="auto" w:fill="auto"/>
            <w:noWrap/>
            <w:vAlign w:val="center"/>
            <w:hideMark/>
          </w:tcPr>
          <w:p w14:paraId="702C9961" w14:textId="77777777" w:rsidR="003C6A19" w:rsidRPr="004F469F" w:rsidRDefault="003C6A19" w:rsidP="003C6A19">
            <w:pPr>
              <w:jc w:val="center"/>
              <w:rPr>
                <w:sz w:val="20"/>
                <w:szCs w:val="20"/>
              </w:rPr>
            </w:pPr>
            <w:r w:rsidRPr="004F469F">
              <w:rPr>
                <w:sz w:val="20"/>
                <w:szCs w:val="20"/>
              </w:rPr>
              <w:t>26.2</w:t>
            </w:r>
          </w:p>
        </w:tc>
        <w:tc>
          <w:tcPr>
            <w:tcW w:w="395" w:type="pct"/>
            <w:tcBorders>
              <w:top w:val="nil"/>
              <w:left w:val="nil"/>
              <w:bottom w:val="single" w:sz="4" w:space="0" w:color="auto"/>
              <w:right w:val="single" w:sz="4" w:space="0" w:color="auto"/>
            </w:tcBorders>
            <w:shd w:val="clear" w:color="auto" w:fill="auto"/>
            <w:noWrap/>
            <w:vAlign w:val="center"/>
            <w:hideMark/>
          </w:tcPr>
          <w:p w14:paraId="7A0501AA" w14:textId="77777777" w:rsidR="003C6A19" w:rsidRPr="004F469F" w:rsidRDefault="003C6A19" w:rsidP="003C6A19">
            <w:pPr>
              <w:jc w:val="center"/>
              <w:rPr>
                <w:sz w:val="20"/>
                <w:szCs w:val="20"/>
              </w:rPr>
            </w:pPr>
            <w:r w:rsidRPr="004F469F">
              <w:rPr>
                <w:sz w:val="20"/>
                <w:szCs w:val="20"/>
              </w:rPr>
              <w:t>10.1</w:t>
            </w:r>
          </w:p>
        </w:tc>
        <w:tc>
          <w:tcPr>
            <w:tcW w:w="399" w:type="pct"/>
            <w:tcBorders>
              <w:top w:val="nil"/>
              <w:left w:val="nil"/>
              <w:bottom w:val="single" w:sz="4" w:space="0" w:color="auto"/>
              <w:right w:val="single" w:sz="4" w:space="0" w:color="auto"/>
            </w:tcBorders>
            <w:shd w:val="clear" w:color="auto" w:fill="auto"/>
            <w:noWrap/>
            <w:vAlign w:val="center"/>
            <w:hideMark/>
          </w:tcPr>
          <w:p w14:paraId="2D1DD876" w14:textId="3B25C116" w:rsidR="003C6A19" w:rsidRPr="004F469F" w:rsidRDefault="003C6A19" w:rsidP="003C6A19">
            <w:pPr>
              <w:jc w:val="center"/>
              <w:rPr>
                <w:sz w:val="20"/>
                <w:szCs w:val="20"/>
              </w:rPr>
            </w:pPr>
            <w:r w:rsidRPr="004F469F">
              <w:rPr>
                <w:sz w:val="20"/>
                <w:szCs w:val="20"/>
              </w:rPr>
              <w:t>5.6*</w:t>
            </w:r>
          </w:p>
        </w:tc>
      </w:tr>
      <w:tr w:rsidR="00494669" w:rsidRPr="004F469F" w14:paraId="1CAC93E4" w14:textId="77777777" w:rsidTr="003C6A19">
        <w:trPr>
          <w:trHeight w:val="288"/>
        </w:trPr>
        <w:tc>
          <w:tcPr>
            <w:tcW w:w="512" w:type="pct"/>
            <w:tcBorders>
              <w:top w:val="nil"/>
              <w:left w:val="single" w:sz="4" w:space="0" w:color="auto"/>
              <w:bottom w:val="single" w:sz="12" w:space="0" w:color="auto"/>
              <w:right w:val="single" w:sz="4" w:space="0" w:color="auto"/>
            </w:tcBorders>
            <w:shd w:val="clear" w:color="auto" w:fill="auto"/>
            <w:noWrap/>
            <w:vAlign w:val="center"/>
            <w:hideMark/>
          </w:tcPr>
          <w:p w14:paraId="170317B6" w14:textId="326D3DAA" w:rsidR="003C6A19" w:rsidRPr="004F469F" w:rsidRDefault="003C6A19" w:rsidP="003C6A19">
            <w:pPr>
              <w:jc w:val="center"/>
              <w:rPr>
                <w:rFonts w:eastAsia="Arial Unicode MS"/>
                <w:sz w:val="20"/>
                <w:szCs w:val="20"/>
              </w:rPr>
            </w:pPr>
            <w:r w:rsidRPr="004F469F">
              <w:rPr>
                <w:rFonts w:eastAsia="Arial Unicode MS"/>
                <w:sz w:val="20"/>
                <w:szCs w:val="20"/>
              </w:rPr>
              <w:t>SP</w:t>
            </w:r>
          </w:p>
        </w:tc>
        <w:tc>
          <w:tcPr>
            <w:tcW w:w="178" w:type="pct"/>
            <w:tcBorders>
              <w:top w:val="nil"/>
              <w:left w:val="nil"/>
              <w:bottom w:val="single" w:sz="12" w:space="0" w:color="auto"/>
              <w:right w:val="single" w:sz="4" w:space="0" w:color="auto"/>
            </w:tcBorders>
            <w:shd w:val="clear" w:color="auto" w:fill="auto"/>
            <w:noWrap/>
            <w:vAlign w:val="center"/>
            <w:hideMark/>
          </w:tcPr>
          <w:p w14:paraId="6CB14C80" w14:textId="77777777" w:rsidR="003C6A19" w:rsidRPr="004F469F" w:rsidRDefault="003C6A19" w:rsidP="003C6A19">
            <w:pPr>
              <w:jc w:val="center"/>
              <w:rPr>
                <w:sz w:val="20"/>
                <w:szCs w:val="20"/>
              </w:rPr>
            </w:pPr>
            <w:r w:rsidRPr="004F469F">
              <w:rPr>
                <w:sz w:val="20"/>
                <w:szCs w:val="20"/>
              </w:rPr>
              <w:t>14</w:t>
            </w:r>
          </w:p>
        </w:tc>
        <w:tc>
          <w:tcPr>
            <w:tcW w:w="437" w:type="pct"/>
            <w:tcBorders>
              <w:top w:val="nil"/>
              <w:left w:val="nil"/>
              <w:bottom w:val="single" w:sz="12" w:space="0" w:color="auto"/>
              <w:right w:val="single" w:sz="4" w:space="0" w:color="auto"/>
            </w:tcBorders>
            <w:shd w:val="clear" w:color="auto" w:fill="auto"/>
            <w:noWrap/>
            <w:vAlign w:val="center"/>
            <w:hideMark/>
          </w:tcPr>
          <w:p w14:paraId="68D0AADB" w14:textId="77777777" w:rsidR="003C6A19" w:rsidRPr="004F469F" w:rsidRDefault="003C6A19" w:rsidP="003C6A19">
            <w:pPr>
              <w:jc w:val="center"/>
              <w:rPr>
                <w:sz w:val="20"/>
                <w:szCs w:val="20"/>
              </w:rPr>
            </w:pPr>
            <w:r w:rsidRPr="004F469F">
              <w:rPr>
                <w:sz w:val="20"/>
                <w:szCs w:val="20"/>
              </w:rPr>
              <w:t>2,412</w:t>
            </w:r>
          </w:p>
        </w:tc>
        <w:tc>
          <w:tcPr>
            <w:tcW w:w="361" w:type="pct"/>
            <w:tcBorders>
              <w:top w:val="nil"/>
              <w:left w:val="nil"/>
              <w:bottom w:val="single" w:sz="12" w:space="0" w:color="auto"/>
              <w:right w:val="single" w:sz="4" w:space="0" w:color="auto"/>
            </w:tcBorders>
            <w:shd w:val="clear" w:color="auto" w:fill="auto"/>
            <w:noWrap/>
            <w:vAlign w:val="center"/>
            <w:hideMark/>
          </w:tcPr>
          <w:p w14:paraId="2837842D" w14:textId="77777777" w:rsidR="003C6A19" w:rsidRPr="004F469F" w:rsidRDefault="003C6A19" w:rsidP="003C6A19">
            <w:pPr>
              <w:jc w:val="center"/>
              <w:rPr>
                <w:sz w:val="20"/>
                <w:szCs w:val="20"/>
              </w:rPr>
            </w:pPr>
            <w:r w:rsidRPr="004F469F">
              <w:rPr>
                <w:sz w:val="20"/>
                <w:szCs w:val="20"/>
              </w:rPr>
              <w:t>45.5</w:t>
            </w:r>
          </w:p>
        </w:tc>
        <w:tc>
          <w:tcPr>
            <w:tcW w:w="540" w:type="pct"/>
            <w:tcBorders>
              <w:top w:val="nil"/>
              <w:left w:val="nil"/>
              <w:bottom w:val="single" w:sz="12" w:space="0" w:color="auto"/>
              <w:right w:val="single" w:sz="4" w:space="0" w:color="auto"/>
            </w:tcBorders>
            <w:shd w:val="clear" w:color="auto" w:fill="auto"/>
            <w:noWrap/>
            <w:vAlign w:val="center"/>
            <w:hideMark/>
          </w:tcPr>
          <w:p w14:paraId="74D68C69" w14:textId="77777777" w:rsidR="003C6A19" w:rsidRPr="004F469F" w:rsidRDefault="003C6A19" w:rsidP="003C6A19">
            <w:pPr>
              <w:jc w:val="center"/>
              <w:rPr>
                <w:sz w:val="20"/>
                <w:szCs w:val="20"/>
              </w:rPr>
            </w:pPr>
            <w:r w:rsidRPr="004F469F">
              <w:rPr>
                <w:sz w:val="20"/>
                <w:szCs w:val="20"/>
              </w:rPr>
              <w:t>11,144</w:t>
            </w:r>
          </w:p>
        </w:tc>
        <w:tc>
          <w:tcPr>
            <w:tcW w:w="420" w:type="pct"/>
            <w:tcBorders>
              <w:top w:val="nil"/>
              <w:left w:val="nil"/>
              <w:bottom w:val="single" w:sz="12" w:space="0" w:color="auto"/>
              <w:right w:val="single" w:sz="4" w:space="0" w:color="auto"/>
            </w:tcBorders>
            <w:shd w:val="clear" w:color="auto" w:fill="auto"/>
            <w:noWrap/>
            <w:vAlign w:val="center"/>
            <w:hideMark/>
          </w:tcPr>
          <w:p w14:paraId="65D57EB8" w14:textId="77777777" w:rsidR="003C6A19" w:rsidRPr="004F469F" w:rsidRDefault="003C6A19" w:rsidP="003C6A19">
            <w:pPr>
              <w:jc w:val="center"/>
              <w:rPr>
                <w:sz w:val="20"/>
                <w:szCs w:val="20"/>
              </w:rPr>
            </w:pPr>
            <w:r w:rsidRPr="004F469F">
              <w:rPr>
                <w:sz w:val="20"/>
                <w:szCs w:val="20"/>
              </w:rPr>
              <w:t>51.1</w:t>
            </w:r>
          </w:p>
        </w:tc>
        <w:tc>
          <w:tcPr>
            <w:tcW w:w="395" w:type="pct"/>
            <w:tcBorders>
              <w:top w:val="nil"/>
              <w:left w:val="nil"/>
              <w:bottom w:val="single" w:sz="12" w:space="0" w:color="auto"/>
              <w:right w:val="single" w:sz="4" w:space="0" w:color="auto"/>
            </w:tcBorders>
            <w:shd w:val="clear" w:color="auto" w:fill="auto"/>
            <w:noWrap/>
            <w:vAlign w:val="center"/>
            <w:hideMark/>
          </w:tcPr>
          <w:p w14:paraId="4A6B4C4F" w14:textId="77777777" w:rsidR="003C6A19" w:rsidRPr="004F469F" w:rsidRDefault="003C6A19" w:rsidP="003C6A19">
            <w:pPr>
              <w:jc w:val="center"/>
              <w:rPr>
                <w:sz w:val="20"/>
                <w:szCs w:val="20"/>
              </w:rPr>
            </w:pPr>
            <w:r w:rsidRPr="004F469F">
              <w:rPr>
                <w:sz w:val="20"/>
                <w:szCs w:val="20"/>
              </w:rPr>
              <w:t>17.5</w:t>
            </w:r>
          </w:p>
        </w:tc>
        <w:tc>
          <w:tcPr>
            <w:tcW w:w="402" w:type="pct"/>
            <w:tcBorders>
              <w:top w:val="nil"/>
              <w:left w:val="nil"/>
              <w:bottom w:val="single" w:sz="12" w:space="0" w:color="auto"/>
              <w:right w:val="single" w:sz="4" w:space="0" w:color="auto"/>
            </w:tcBorders>
            <w:shd w:val="clear" w:color="auto" w:fill="auto"/>
            <w:noWrap/>
            <w:vAlign w:val="center"/>
            <w:hideMark/>
          </w:tcPr>
          <w:p w14:paraId="115B4905" w14:textId="64E5BCA8" w:rsidR="003C6A19" w:rsidRPr="004F469F" w:rsidRDefault="003C6A19" w:rsidP="003C6A19">
            <w:pPr>
              <w:jc w:val="center"/>
              <w:rPr>
                <w:sz w:val="20"/>
                <w:szCs w:val="20"/>
              </w:rPr>
            </w:pPr>
            <w:r w:rsidRPr="004F469F">
              <w:rPr>
                <w:sz w:val="20"/>
                <w:szCs w:val="20"/>
              </w:rPr>
              <w:t>16.6*</w:t>
            </w:r>
          </w:p>
        </w:tc>
        <w:tc>
          <w:tcPr>
            <w:tcW w:w="541" w:type="pct"/>
            <w:tcBorders>
              <w:top w:val="nil"/>
              <w:left w:val="nil"/>
              <w:bottom w:val="single" w:sz="12" w:space="0" w:color="auto"/>
              <w:right w:val="single" w:sz="4" w:space="0" w:color="auto"/>
            </w:tcBorders>
            <w:shd w:val="clear" w:color="auto" w:fill="auto"/>
            <w:noWrap/>
            <w:vAlign w:val="center"/>
            <w:hideMark/>
          </w:tcPr>
          <w:p w14:paraId="760D01E1" w14:textId="77777777" w:rsidR="003C6A19" w:rsidRPr="004F469F" w:rsidRDefault="003C6A19" w:rsidP="003C6A19">
            <w:pPr>
              <w:jc w:val="center"/>
              <w:rPr>
                <w:sz w:val="20"/>
                <w:szCs w:val="20"/>
              </w:rPr>
            </w:pPr>
            <w:r w:rsidRPr="004F469F">
              <w:rPr>
                <w:sz w:val="20"/>
                <w:szCs w:val="20"/>
              </w:rPr>
              <w:t>23,617</w:t>
            </w:r>
          </w:p>
        </w:tc>
        <w:tc>
          <w:tcPr>
            <w:tcW w:w="420" w:type="pct"/>
            <w:tcBorders>
              <w:top w:val="nil"/>
              <w:left w:val="nil"/>
              <w:bottom w:val="single" w:sz="12" w:space="0" w:color="auto"/>
              <w:right w:val="single" w:sz="4" w:space="0" w:color="auto"/>
            </w:tcBorders>
            <w:shd w:val="clear" w:color="auto" w:fill="auto"/>
            <w:noWrap/>
            <w:vAlign w:val="center"/>
            <w:hideMark/>
          </w:tcPr>
          <w:p w14:paraId="6C0E165D" w14:textId="77777777" w:rsidR="003C6A19" w:rsidRPr="004F469F" w:rsidRDefault="003C6A19" w:rsidP="003C6A19">
            <w:pPr>
              <w:jc w:val="center"/>
              <w:rPr>
                <w:sz w:val="20"/>
                <w:szCs w:val="20"/>
              </w:rPr>
            </w:pPr>
            <w:r w:rsidRPr="004F469F">
              <w:rPr>
                <w:sz w:val="20"/>
                <w:szCs w:val="20"/>
              </w:rPr>
              <w:t>40.5</w:t>
            </w:r>
          </w:p>
        </w:tc>
        <w:tc>
          <w:tcPr>
            <w:tcW w:w="395" w:type="pct"/>
            <w:tcBorders>
              <w:top w:val="nil"/>
              <w:left w:val="nil"/>
              <w:bottom w:val="single" w:sz="12" w:space="0" w:color="auto"/>
              <w:right w:val="single" w:sz="4" w:space="0" w:color="auto"/>
            </w:tcBorders>
            <w:shd w:val="clear" w:color="auto" w:fill="auto"/>
            <w:noWrap/>
            <w:vAlign w:val="center"/>
            <w:hideMark/>
          </w:tcPr>
          <w:p w14:paraId="737CD0EA" w14:textId="77777777" w:rsidR="003C6A19" w:rsidRPr="004F469F" w:rsidRDefault="003C6A19" w:rsidP="003C6A19">
            <w:pPr>
              <w:jc w:val="center"/>
              <w:rPr>
                <w:sz w:val="20"/>
                <w:szCs w:val="20"/>
              </w:rPr>
            </w:pPr>
            <w:r w:rsidRPr="004F469F">
              <w:rPr>
                <w:sz w:val="20"/>
                <w:szCs w:val="20"/>
              </w:rPr>
              <w:t>13.6</w:t>
            </w:r>
          </w:p>
        </w:tc>
        <w:tc>
          <w:tcPr>
            <w:tcW w:w="399" w:type="pct"/>
            <w:tcBorders>
              <w:top w:val="nil"/>
              <w:left w:val="nil"/>
              <w:bottom w:val="single" w:sz="12" w:space="0" w:color="auto"/>
              <w:right w:val="single" w:sz="4" w:space="0" w:color="auto"/>
            </w:tcBorders>
            <w:shd w:val="clear" w:color="auto" w:fill="auto"/>
            <w:noWrap/>
            <w:vAlign w:val="center"/>
            <w:hideMark/>
          </w:tcPr>
          <w:p w14:paraId="166786D7" w14:textId="77777777" w:rsidR="003C6A19" w:rsidRPr="004F469F" w:rsidRDefault="003C6A19" w:rsidP="003C6A19">
            <w:pPr>
              <w:jc w:val="center"/>
              <w:rPr>
                <w:sz w:val="20"/>
                <w:szCs w:val="20"/>
              </w:rPr>
            </w:pPr>
            <w:r w:rsidRPr="004F469F">
              <w:rPr>
                <w:sz w:val="20"/>
                <w:szCs w:val="20"/>
              </w:rPr>
              <w:t>2.1</w:t>
            </w:r>
          </w:p>
        </w:tc>
      </w:tr>
      <w:tr w:rsidR="00494669" w:rsidRPr="004F469F" w14:paraId="5D3CDE45" w14:textId="77777777" w:rsidTr="003C6A19">
        <w:trPr>
          <w:trHeight w:val="288"/>
        </w:trPr>
        <w:tc>
          <w:tcPr>
            <w:tcW w:w="512"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3B244A2" w14:textId="5C8353C5" w:rsidR="003C6A19" w:rsidRPr="004F469F" w:rsidRDefault="003C6A19" w:rsidP="003C6A19">
            <w:pPr>
              <w:jc w:val="center"/>
              <w:rPr>
                <w:rFonts w:eastAsia="Arial Unicode MS"/>
                <w:sz w:val="20"/>
                <w:szCs w:val="20"/>
              </w:rPr>
            </w:pPr>
            <w:r w:rsidRPr="004F469F">
              <w:rPr>
                <w:rFonts w:eastAsia="Arial Unicode MS"/>
                <w:sz w:val="20"/>
                <w:szCs w:val="20"/>
              </w:rPr>
              <w:t>US</w:t>
            </w:r>
          </w:p>
        </w:tc>
        <w:tc>
          <w:tcPr>
            <w:tcW w:w="178" w:type="pct"/>
            <w:tcBorders>
              <w:top w:val="single" w:sz="12" w:space="0" w:color="auto"/>
              <w:left w:val="nil"/>
              <w:bottom w:val="single" w:sz="12" w:space="0" w:color="auto"/>
              <w:right w:val="single" w:sz="4" w:space="0" w:color="auto"/>
            </w:tcBorders>
            <w:shd w:val="clear" w:color="auto" w:fill="auto"/>
            <w:noWrap/>
            <w:vAlign w:val="center"/>
            <w:hideMark/>
          </w:tcPr>
          <w:p w14:paraId="08FFB42D" w14:textId="77777777" w:rsidR="003C6A19" w:rsidRPr="004F469F" w:rsidRDefault="003C6A19" w:rsidP="003C6A19">
            <w:pPr>
              <w:jc w:val="center"/>
              <w:rPr>
                <w:sz w:val="20"/>
                <w:szCs w:val="20"/>
              </w:rPr>
            </w:pPr>
            <w:r w:rsidRPr="004F469F">
              <w:rPr>
                <w:sz w:val="20"/>
                <w:szCs w:val="20"/>
              </w:rPr>
              <w:t>30</w:t>
            </w:r>
          </w:p>
        </w:tc>
        <w:tc>
          <w:tcPr>
            <w:tcW w:w="437" w:type="pct"/>
            <w:tcBorders>
              <w:top w:val="single" w:sz="12" w:space="0" w:color="auto"/>
              <w:left w:val="nil"/>
              <w:bottom w:val="single" w:sz="12" w:space="0" w:color="auto"/>
              <w:right w:val="single" w:sz="4" w:space="0" w:color="auto"/>
            </w:tcBorders>
            <w:shd w:val="clear" w:color="auto" w:fill="auto"/>
            <w:noWrap/>
            <w:vAlign w:val="center"/>
            <w:hideMark/>
          </w:tcPr>
          <w:p w14:paraId="54AFD419" w14:textId="77777777" w:rsidR="003C6A19" w:rsidRPr="004F469F" w:rsidRDefault="003C6A19" w:rsidP="003C6A19">
            <w:pPr>
              <w:jc w:val="center"/>
              <w:rPr>
                <w:sz w:val="20"/>
                <w:szCs w:val="20"/>
              </w:rPr>
            </w:pPr>
            <w:r w:rsidRPr="004F469F">
              <w:rPr>
                <w:sz w:val="20"/>
                <w:szCs w:val="20"/>
              </w:rPr>
              <w:t>2,182</w:t>
            </w:r>
          </w:p>
        </w:tc>
        <w:tc>
          <w:tcPr>
            <w:tcW w:w="361" w:type="pct"/>
            <w:tcBorders>
              <w:top w:val="single" w:sz="12" w:space="0" w:color="auto"/>
              <w:left w:val="nil"/>
              <w:bottom w:val="single" w:sz="12" w:space="0" w:color="auto"/>
              <w:right w:val="single" w:sz="4" w:space="0" w:color="auto"/>
            </w:tcBorders>
            <w:shd w:val="clear" w:color="auto" w:fill="auto"/>
            <w:noWrap/>
            <w:vAlign w:val="center"/>
            <w:hideMark/>
          </w:tcPr>
          <w:p w14:paraId="7868B44C" w14:textId="77777777" w:rsidR="003C6A19" w:rsidRPr="004F469F" w:rsidRDefault="003C6A19" w:rsidP="003C6A19">
            <w:pPr>
              <w:jc w:val="center"/>
              <w:rPr>
                <w:sz w:val="20"/>
                <w:szCs w:val="20"/>
              </w:rPr>
            </w:pPr>
            <w:r w:rsidRPr="004F469F">
              <w:rPr>
                <w:sz w:val="20"/>
                <w:szCs w:val="20"/>
              </w:rPr>
              <w:t>49.2</w:t>
            </w:r>
          </w:p>
        </w:tc>
        <w:tc>
          <w:tcPr>
            <w:tcW w:w="540" w:type="pct"/>
            <w:tcBorders>
              <w:top w:val="single" w:sz="12" w:space="0" w:color="auto"/>
              <w:left w:val="nil"/>
              <w:bottom w:val="single" w:sz="12" w:space="0" w:color="auto"/>
              <w:right w:val="single" w:sz="4" w:space="0" w:color="auto"/>
            </w:tcBorders>
            <w:shd w:val="clear" w:color="auto" w:fill="auto"/>
            <w:noWrap/>
            <w:vAlign w:val="center"/>
            <w:hideMark/>
          </w:tcPr>
          <w:p w14:paraId="63D9B30E" w14:textId="77777777" w:rsidR="003C6A19" w:rsidRPr="004F469F" w:rsidRDefault="003C6A19" w:rsidP="003C6A19">
            <w:pPr>
              <w:jc w:val="center"/>
              <w:rPr>
                <w:sz w:val="20"/>
                <w:szCs w:val="20"/>
              </w:rPr>
            </w:pPr>
            <w:r w:rsidRPr="004F469F">
              <w:rPr>
                <w:sz w:val="20"/>
                <w:szCs w:val="20"/>
              </w:rPr>
              <w:t>9,415</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31B70C35" w14:textId="77777777" w:rsidR="003C6A19" w:rsidRPr="004F469F" w:rsidRDefault="003C6A19" w:rsidP="003C6A19">
            <w:pPr>
              <w:jc w:val="center"/>
              <w:rPr>
                <w:sz w:val="20"/>
                <w:szCs w:val="20"/>
              </w:rPr>
            </w:pPr>
            <w:r w:rsidRPr="004F469F">
              <w:rPr>
                <w:sz w:val="20"/>
                <w:szCs w:val="20"/>
              </w:rPr>
              <w:t>47.8</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565C2B37" w14:textId="77777777" w:rsidR="003C6A19" w:rsidRPr="004F469F" w:rsidRDefault="003C6A19" w:rsidP="003C6A19">
            <w:pPr>
              <w:jc w:val="center"/>
              <w:rPr>
                <w:sz w:val="20"/>
                <w:szCs w:val="20"/>
              </w:rPr>
            </w:pPr>
            <w:r w:rsidRPr="004F469F">
              <w:rPr>
                <w:sz w:val="20"/>
                <w:szCs w:val="20"/>
              </w:rPr>
              <w:t>8.1</w:t>
            </w:r>
          </w:p>
        </w:tc>
        <w:tc>
          <w:tcPr>
            <w:tcW w:w="402" w:type="pct"/>
            <w:tcBorders>
              <w:top w:val="single" w:sz="12" w:space="0" w:color="auto"/>
              <w:left w:val="nil"/>
              <w:bottom w:val="single" w:sz="12" w:space="0" w:color="auto"/>
              <w:right w:val="single" w:sz="4" w:space="0" w:color="auto"/>
            </w:tcBorders>
            <w:shd w:val="clear" w:color="auto" w:fill="auto"/>
            <w:noWrap/>
            <w:vAlign w:val="center"/>
            <w:hideMark/>
          </w:tcPr>
          <w:p w14:paraId="28F2AE48" w14:textId="77777777" w:rsidR="003C6A19" w:rsidRPr="004F469F" w:rsidRDefault="003C6A19" w:rsidP="003C6A19">
            <w:pPr>
              <w:jc w:val="center"/>
              <w:rPr>
                <w:sz w:val="20"/>
                <w:szCs w:val="20"/>
              </w:rPr>
            </w:pPr>
            <w:r w:rsidRPr="004F469F">
              <w:rPr>
                <w:sz w:val="20"/>
                <w:szCs w:val="20"/>
              </w:rPr>
              <w:t>9.2</w:t>
            </w:r>
          </w:p>
        </w:tc>
        <w:tc>
          <w:tcPr>
            <w:tcW w:w="541" w:type="pct"/>
            <w:tcBorders>
              <w:top w:val="single" w:sz="12" w:space="0" w:color="auto"/>
              <w:left w:val="nil"/>
              <w:bottom w:val="single" w:sz="12" w:space="0" w:color="auto"/>
              <w:right w:val="single" w:sz="4" w:space="0" w:color="auto"/>
            </w:tcBorders>
            <w:shd w:val="clear" w:color="auto" w:fill="auto"/>
            <w:noWrap/>
            <w:vAlign w:val="center"/>
            <w:hideMark/>
          </w:tcPr>
          <w:p w14:paraId="0114B6B5" w14:textId="77777777" w:rsidR="003C6A19" w:rsidRPr="004F469F" w:rsidRDefault="003C6A19" w:rsidP="003C6A19">
            <w:pPr>
              <w:jc w:val="center"/>
              <w:rPr>
                <w:sz w:val="20"/>
                <w:szCs w:val="20"/>
              </w:rPr>
            </w:pPr>
            <w:r w:rsidRPr="004F469F">
              <w:rPr>
                <w:sz w:val="20"/>
                <w:szCs w:val="20"/>
              </w:rPr>
              <w:t>19,611</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12B1FA39" w14:textId="77777777" w:rsidR="003C6A19" w:rsidRPr="004F469F" w:rsidRDefault="003C6A19" w:rsidP="003C6A19">
            <w:pPr>
              <w:jc w:val="center"/>
              <w:rPr>
                <w:sz w:val="20"/>
                <w:szCs w:val="20"/>
              </w:rPr>
            </w:pPr>
            <w:r w:rsidRPr="004F469F">
              <w:rPr>
                <w:sz w:val="20"/>
                <w:szCs w:val="20"/>
              </w:rPr>
              <w:t>36.3</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50D92696" w14:textId="77777777" w:rsidR="003C6A19" w:rsidRPr="004F469F" w:rsidRDefault="003C6A19" w:rsidP="003C6A19">
            <w:pPr>
              <w:jc w:val="center"/>
              <w:rPr>
                <w:sz w:val="20"/>
                <w:szCs w:val="20"/>
              </w:rPr>
            </w:pPr>
            <w:r w:rsidRPr="004F469F">
              <w:rPr>
                <w:sz w:val="20"/>
                <w:szCs w:val="20"/>
              </w:rPr>
              <w:t>12.3</w:t>
            </w:r>
          </w:p>
        </w:tc>
        <w:tc>
          <w:tcPr>
            <w:tcW w:w="399" w:type="pct"/>
            <w:tcBorders>
              <w:top w:val="single" w:sz="12" w:space="0" w:color="auto"/>
              <w:left w:val="nil"/>
              <w:bottom w:val="single" w:sz="12" w:space="0" w:color="auto"/>
              <w:right w:val="single" w:sz="4" w:space="0" w:color="auto"/>
            </w:tcBorders>
            <w:shd w:val="clear" w:color="auto" w:fill="auto"/>
            <w:noWrap/>
            <w:vAlign w:val="center"/>
            <w:hideMark/>
          </w:tcPr>
          <w:p w14:paraId="35AA3194" w14:textId="77777777" w:rsidR="003C6A19" w:rsidRPr="004F469F" w:rsidRDefault="003C6A19" w:rsidP="003C6A19">
            <w:pPr>
              <w:jc w:val="center"/>
              <w:rPr>
                <w:sz w:val="20"/>
                <w:szCs w:val="20"/>
              </w:rPr>
            </w:pPr>
            <w:r w:rsidRPr="004F469F">
              <w:rPr>
                <w:sz w:val="20"/>
                <w:szCs w:val="20"/>
              </w:rPr>
              <w:t>2.6</w:t>
            </w:r>
          </w:p>
        </w:tc>
      </w:tr>
      <w:tr w:rsidR="00494669" w:rsidRPr="004F469F" w14:paraId="2BAE4578" w14:textId="77777777" w:rsidTr="003C6A19">
        <w:trPr>
          <w:trHeight w:val="144"/>
        </w:trPr>
        <w:tc>
          <w:tcPr>
            <w:tcW w:w="5000" w:type="pct"/>
            <w:gridSpan w:val="12"/>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327DF4D" w14:textId="35318522" w:rsidR="003C6A19" w:rsidRPr="004F469F" w:rsidRDefault="003C6A19" w:rsidP="003C6A19">
            <w:pPr>
              <w:jc w:val="center"/>
              <w:rPr>
                <w:rFonts w:eastAsia="Arial Unicode MS"/>
                <w:sz w:val="20"/>
                <w:szCs w:val="20"/>
              </w:rPr>
            </w:pPr>
          </w:p>
        </w:tc>
      </w:tr>
      <w:tr w:rsidR="00494669" w:rsidRPr="004F469F" w14:paraId="7874DBD7" w14:textId="77777777" w:rsidTr="003C6A19">
        <w:trPr>
          <w:trHeight w:val="288"/>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BE4C9" w14:textId="77777777" w:rsidR="003C6A19" w:rsidRPr="004F469F" w:rsidRDefault="003C6A19" w:rsidP="003C6A19">
            <w:pPr>
              <w:rPr>
                <w:rFonts w:eastAsia="Arial Unicode MS"/>
                <w:i/>
                <w:iCs/>
                <w:sz w:val="20"/>
                <w:szCs w:val="20"/>
              </w:rPr>
            </w:pPr>
            <w:r w:rsidRPr="004F469F">
              <w:rPr>
                <w:rFonts w:eastAsia="Arial Unicode MS"/>
                <w:i/>
                <w:iCs/>
                <w:sz w:val="20"/>
                <w:szCs w:val="20"/>
              </w:rPr>
              <w:t>Hits</w:t>
            </w:r>
          </w:p>
        </w:tc>
      </w:tr>
      <w:tr w:rsidR="00494669" w:rsidRPr="004F469F" w14:paraId="2C611E4B"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3622CBBB" w14:textId="47CD37A7" w:rsidR="003C6A19" w:rsidRPr="004F469F" w:rsidRDefault="003C6A19" w:rsidP="003C6A19">
            <w:pPr>
              <w:jc w:val="center"/>
              <w:rPr>
                <w:rFonts w:eastAsia="Arial Unicode MS"/>
                <w:sz w:val="20"/>
                <w:szCs w:val="20"/>
              </w:rPr>
            </w:pPr>
          </w:p>
        </w:tc>
        <w:tc>
          <w:tcPr>
            <w:tcW w:w="178" w:type="pct"/>
            <w:tcBorders>
              <w:top w:val="nil"/>
              <w:left w:val="nil"/>
              <w:bottom w:val="single" w:sz="4" w:space="0" w:color="auto"/>
              <w:right w:val="single" w:sz="4" w:space="0" w:color="auto"/>
            </w:tcBorders>
            <w:shd w:val="clear" w:color="auto" w:fill="auto"/>
            <w:noWrap/>
            <w:vAlign w:val="center"/>
            <w:hideMark/>
          </w:tcPr>
          <w:p w14:paraId="6FEE8BE3" w14:textId="26DCD464" w:rsidR="003C6A19" w:rsidRPr="004F469F" w:rsidRDefault="003C6A19" w:rsidP="003C6A19">
            <w:pPr>
              <w:jc w:val="center"/>
              <w:rPr>
                <w:sz w:val="20"/>
                <w:szCs w:val="20"/>
              </w:rPr>
            </w:pPr>
          </w:p>
        </w:tc>
        <w:tc>
          <w:tcPr>
            <w:tcW w:w="437" w:type="pct"/>
            <w:tcBorders>
              <w:top w:val="nil"/>
              <w:left w:val="nil"/>
              <w:bottom w:val="single" w:sz="4" w:space="0" w:color="auto"/>
              <w:right w:val="single" w:sz="4" w:space="0" w:color="auto"/>
            </w:tcBorders>
            <w:shd w:val="clear" w:color="auto" w:fill="auto"/>
            <w:noWrap/>
            <w:vAlign w:val="center"/>
            <w:hideMark/>
          </w:tcPr>
          <w:p w14:paraId="2D798431" w14:textId="00CCC830" w:rsidR="003C6A19" w:rsidRPr="004F469F" w:rsidRDefault="003C6A19" w:rsidP="003C6A19">
            <w:pPr>
              <w:jc w:val="center"/>
              <w:rPr>
                <w:sz w:val="20"/>
                <w:szCs w:val="20"/>
              </w:rPr>
            </w:pPr>
          </w:p>
        </w:tc>
        <w:tc>
          <w:tcPr>
            <w:tcW w:w="361" w:type="pct"/>
            <w:tcBorders>
              <w:top w:val="nil"/>
              <w:left w:val="nil"/>
              <w:bottom w:val="single" w:sz="4" w:space="0" w:color="auto"/>
              <w:right w:val="single" w:sz="4" w:space="0" w:color="auto"/>
            </w:tcBorders>
            <w:shd w:val="clear" w:color="auto" w:fill="auto"/>
            <w:noWrap/>
            <w:vAlign w:val="center"/>
            <w:hideMark/>
          </w:tcPr>
          <w:p w14:paraId="29D1280A" w14:textId="4B289455" w:rsidR="003C6A19" w:rsidRPr="004F469F" w:rsidRDefault="003C6A19" w:rsidP="003C6A19">
            <w:pPr>
              <w:jc w:val="center"/>
              <w:rPr>
                <w:sz w:val="20"/>
                <w:szCs w:val="20"/>
              </w:rPr>
            </w:pPr>
          </w:p>
        </w:tc>
        <w:tc>
          <w:tcPr>
            <w:tcW w:w="1757" w:type="pct"/>
            <w:gridSpan w:val="4"/>
            <w:tcBorders>
              <w:top w:val="single" w:sz="4" w:space="0" w:color="auto"/>
              <w:left w:val="nil"/>
              <w:bottom w:val="single" w:sz="4" w:space="0" w:color="auto"/>
              <w:right w:val="single" w:sz="4" w:space="0" w:color="auto"/>
            </w:tcBorders>
            <w:shd w:val="clear" w:color="auto" w:fill="auto"/>
            <w:noWrap/>
            <w:vAlign w:val="center"/>
            <w:hideMark/>
          </w:tcPr>
          <w:p w14:paraId="57F9D21C" w14:textId="6DBE5AA2" w:rsidR="003C6A19" w:rsidRPr="004F469F" w:rsidRDefault="003C6A19" w:rsidP="003C6A19">
            <w:pPr>
              <w:jc w:val="center"/>
              <w:rPr>
                <w:sz w:val="20"/>
                <w:szCs w:val="20"/>
              </w:rPr>
            </w:pPr>
            <w:r w:rsidRPr="004F469F">
              <w:rPr>
                <w:sz w:val="20"/>
                <w:szCs w:val="20"/>
              </w:rPr>
              <w:t>r = 10 km</w:t>
            </w:r>
          </w:p>
        </w:tc>
        <w:tc>
          <w:tcPr>
            <w:tcW w:w="1755" w:type="pct"/>
            <w:gridSpan w:val="4"/>
            <w:tcBorders>
              <w:top w:val="single" w:sz="4" w:space="0" w:color="auto"/>
              <w:left w:val="nil"/>
              <w:bottom w:val="single" w:sz="4" w:space="0" w:color="auto"/>
              <w:right w:val="single" w:sz="4" w:space="0" w:color="auto"/>
            </w:tcBorders>
            <w:shd w:val="clear" w:color="auto" w:fill="auto"/>
            <w:noWrap/>
            <w:vAlign w:val="center"/>
            <w:hideMark/>
          </w:tcPr>
          <w:p w14:paraId="25FE6B25" w14:textId="56C2DA03" w:rsidR="003C6A19" w:rsidRPr="004F469F" w:rsidRDefault="003C6A19" w:rsidP="003C6A19">
            <w:pPr>
              <w:jc w:val="center"/>
              <w:rPr>
                <w:sz w:val="20"/>
                <w:szCs w:val="20"/>
              </w:rPr>
            </w:pPr>
            <w:r w:rsidRPr="004F469F">
              <w:rPr>
                <w:sz w:val="20"/>
                <w:szCs w:val="20"/>
              </w:rPr>
              <w:t>r = 40 km</w:t>
            </w:r>
          </w:p>
        </w:tc>
      </w:tr>
      <w:tr w:rsidR="00494669" w:rsidRPr="004F469F" w14:paraId="56E538C5"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24D3F166" w14:textId="77777777" w:rsidR="003C6A19" w:rsidRPr="004F469F" w:rsidRDefault="003C6A19" w:rsidP="003C6A19">
            <w:pPr>
              <w:jc w:val="center"/>
              <w:rPr>
                <w:rFonts w:eastAsia="Arial Unicode MS"/>
                <w:b/>
                <w:bCs/>
                <w:sz w:val="20"/>
                <w:szCs w:val="20"/>
              </w:rPr>
            </w:pPr>
            <w:r w:rsidRPr="004F469F">
              <w:rPr>
                <w:rFonts w:eastAsia="Arial Unicode MS"/>
                <w:b/>
                <w:bCs/>
                <w:sz w:val="20"/>
                <w:szCs w:val="20"/>
              </w:rPr>
              <w:t>REGION</w:t>
            </w:r>
          </w:p>
        </w:tc>
        <w:tc>
          <w:tcPr>
            <w:tcW w:w="178" w:type="pct"/>
            <w:tcBorders>
              <w:top w:val="nil"/>
              <w:left w:val="nil"/>
              <w:bottom w:val="single" w:sz="4" w:space="0" w:color="auto"/>
              <w:right w:val="single" w:sz="4" w:space="0" w:color="auto"/>
            </w:tcBorders>
            <w:shd w:val="clear" w:color="auto" w:fill="auto"/>
            <w:noWrap/>
            <w:vAlign w:val="center"/>
            <w:hideMark/>
          </w:tcPr>
          <w:p w14:paraId="71E09AD6" w14:textId="77777777" w:rsidR="003C6A19" w:rsidRPr="004F469F" w:rsidRDefault="003C6A19" w:rsidP="003C6A19">
            <w:pPr>
              <w:jc w:val="center"/>
              <w:rPr>
                <w:b/>
                <w:bCs/>
                <w:sz w:val="20"/>
                <w:szCs w:val="20"/>
              </w:rPr>
            </w:pPr>
            <w:r w:rsidRPr="004F469F">
              <w:rPr>
                <w:b/>
                <w:bCs/>
                <w:sz w:val="20"/>
                <w:szCs w:val="20"/>
              </w:rPr>
              <w:t>n</w:t>
            </w:r>
          </w:p>
        </w:tc>
        <w:tc>
          <w:tcPr>
            <w:tcW w:w="437" w:type="pct"/>
            <w:tcBorders>
              <w:top w:val="nil"/>
              <w:left w:val="nil"/>
              <w:bottom w:val="single" w:sz="4" w:space="0" w:color="auto"/>
              <w:right w:val="single" w:sz="4" w:space="0" w:color="auto"/>
            </w:tcBorders>
            <w:shd w:val="clear" w:color="auto" w:fill="auto"/>
            <w:noWrap/>
            <w:vAlign w:val="center"/>
            <w:hideMark/>
          </w:tcPr>
          <w:p w14:paraId="50A0FA34" w14:textId="77777777" w:rsidR="003C6A19" w:rsidRPr="004F469F" w:rsidRDefault="003C6A19" w:rsidP="003C6A19">
            <w:pPr>
              <w:jc w:val="center"/>
              <w:rPr>
                <w:b/>
                <w:bCs/>
                <w:sz w:val="20"/>
                <w:szCs w:val="20"/>
              </w:rPr>
            </w:pPr>
            <w:r w:rsidRPr="004F469F">
              <w:rPr>
                <w:b/>
                <w:bCs/>
                <w:sz w:val="20"/>
                <w:szCs w:val="20"/>
              </w:rPr>
              <w:t>OBS</w:t>
            </w:r>
          </w:p>
        </w:tc>
        <w:tc>
          <w:tcPr>
            <w:tcW w:w="361" w:type="pct"/>
            <w:tcBorders>
              <w:top w:val="nil"/>
              <w:left w:val="nil"/>
              <w:bottom w:val="single" w:sz="4" w:space="0" w:color="auto"/>
              <w:right w:val="single" w:sz="4" w:space="0" w:color="auto"/>
            </w:tcBorders>
            <w:shd w:val="clear" w:color="auto" w:fill="auto"/>
            <w:noWrap/>
            <w:vAlign w:val="center"/>
            <w:hideMark/>
          </w:tcPr>
          <w:p w14:paraId="4AAB7D79" w14:textId="77777777" w:rsidR="003C6A19" w:rsidRPr="004F469F" w:rsidRDefault="003C6A19" w:rsidP="003C6A19">
            <w:pPr>
              <w:jc w:val="center"/>
              <w:rPr>
                <w:b/>
                <w:bCs/>
                <w:sz w:val="20"/>
                <w:szCs w:val="20"/>
              </w:rPr>
            </w:pPr>
            <w:r w:rsidRPr="004F469F">
              <w:rPr>
                <w:b/>
                <w:bCs/>
                <w:sz w:val="20"/>
                <w:szCs w:val="20"/>
              </w:rPr>
              <w:t>AREA</w:t>
            </w:r>
          </w:p>
        </w:tc>
        <w:tc>
          <w:tcPr>
            <w:tcW w:w="540" w:type="pct"/>
            <w:tcBorders>
              <w:top w:val="nil"/>
              <w:left w:val="nil"/>
              <w:bottom w:val="single" w:sz="4" w:space="0" w:color="auto"/>
              <w:right w:val="single" w:sz="4" w:space="0" w:color="auto"/>
            </w:tcBorders>
            <w:shd w:val="clear" w:color="auto" w:fill="auto"/>
            <w:noWrap/>
            <w:vAlign w:val="center"/>
            <w:hideMark/>
          </w:tcPr>
          <w:p w14:paraId="2FF969F8" w14:textId="77777777" w:rsidR="003C6A19" w:rsidRPr="004F469F" w:rsidRDefault="003C6A19"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0E630EDC" w14:textId="77777777" w:rsidR="003C6A19" w:rsidRPr="004F469F" w:rsidRDefault="003C6A19"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093DD781" w14:textId="77777777" w:rsidR="003C6A19" w:rsidRPr="004F469F" w:rsidRDefault="003C6A19" w:rsidP="003C6A19">
            <w:pPr>
              <w:jc w:val="center"/>
              <w:rPr>
                <w:b/>
                <w:bCs/>
                <w:sz w:val="20"/>
                <w:szCs w:val="20"/>
              </w:rPr>
            </w:pPr>
            <w:r w:rsidRPr="004F469F">
              <w:rPr>
                <w:b/>
                <w:bCs/>
                <w:sz w:val="20"/>
                <w:szCs w:val="20"/>
              </w:rPr>
              <w:t>EP5K</w:t>
            </w:r>
          </w:p>
        </w:tc>
        <w:tc>
          <w:tcPr>
            <w:tcW w:w="402" w:type="pct"/>
            <w:tcBorders>
              <w:top w:val="nil"/>
              <w:left w:val="nil"/>
              <w:bottom w:val="single" w:sz="4" w:space="0" w:color="auto"/>
              <w:right w:val="single" w:sz="4" w:space="0" w:color="auto"/>
            </w:tcBorders>
            <w:shd w:val="clear" w:color="auto" w:fill="auto"/>
            <w:noWrap/>
            <w:vAlign w:val="center"/>
            <w:hideMark/>
          </w:tcPr>
          <w:p w14:paraId="24813194" w14:textId="77777777" w:rsidR="003C6A19" w:rsidRPr="004F469F" w:rsidRDefault="003C6A19" w:rsidP="003C6A19">
            <w:pPr>
              <w:jc w:val="center"/>
              <w:rPr>
                <w:b/>
                <w:bCs/>
                <w:sz w:val="20"/>
                <w:szCs w:val="20"/>
              </w:rPr>
            </w:pPr>
            <w:r w:rsidRPr="004F469F">
              <w:rPr>
                <w:b/>
                <w:bCs/>
                <w:sz w:val="20"/>
                <w:szCs w:val="20"/>
              </w:rPr>
              <w:t>EP20K</w:t>
            </w:r>
          </w:p>
        </w:tc>
        <w:tc>
          <w:tcPr>
            <w:tcW w:w="541" w:type="pct"/>
            <w:tcBorders>
              <w:top w:val="nil"/>
              <w:left w:val="nil"/>
              <w:bottom w:val="single" w:sz="4" w:space="0" w:color="auto"/>
              <w:right w:val="single" w:sz="4" w:space="0" w:color="auto"/>
            </w:tcBorders>
            <w:shd w:val="clear" w:color="auto" w:fill="auto"/>
            <w:noWrap/>
            <w:vAlign w:val="center"/>
            <w:hideMark/>
          </w:tcPr>
          <w:p w14:paraId="0B57B9B5" w14:textId="77777777" w:rsidR="003C6A19" w:rsidRPr="004F469F" w:rsidRDefault="003C6A19" w:rsidP="003C6A19">
            <w:pPr>
              <w:jc w:val="center"/>
              <w:rPr>
                <w:b/>
                <w:bCs/>
                <w:sz w:val="20"/>
                <w:szCs w:val="20"/>
              </w:rPr>
            </w:pPr>
            <w:r w:rsidRPr="004F469F">
              <w:rPr>
                <w:b/>
                <w:bCs/>
                <w:sz w:val="20"/>
                <w:szCs w:val="20"/>
              </w:rPr>
              <w:t>PPEMAX</w:t>
            </w:r>
          </w:p>
        </w:tc>
        <w:tc>
          <w:tcPr>
            <w:tcW w:w="420" w:type="pct"/>
            <w:tcBorders>
              <w:top w:val="nil"/>
              <w:left w:val="nil"/>
              <w:bottom w:val="single" w:sz="4" w:space="0" w:color="auto"/>
              <w:right w:val="single" w:sz="4" w:space="0" w:color="auto"/>
            </w:tcBorders>
            <w:shd w:val="clear" w:color="auto" w:fill="auto"/>
            <w:noWrap/>
            <w:vAlign w:val="center"/>
            <w:hideMark/>
          </w:tcPr>
          <w:p w14:paraId="3F7C1E69" w14:textId="77777777" w:rsidR="003C6A19" w:rsidRPr="004F469F" w:rsidRDefault="003C6A19" w:rsidP="003C6A19">
            <w:pPr>
              <w:jc w:val="center"/>
              <w:rPr>
                <w:b/>
                <w:bCs/>
                <w:sz w:val="20"/>
                <w:szCs w:val="20"/>
              </w:rPr>
            </w:pPr>
            <w:r w:rsidRPr="004F469F">
              <w:rPr>
                <w:b/>
                <w:bCs/>
                <w:sz w:val="20"/>
                <w:szCs w:val="20"/>
              </w:rPr>
              <w:t>EPOBS</w:t>
            </w:r>
          </w:p>
        </w:tc>
        <w:tc>
          <w:tcPr>
            <w:tcW w:w="395" w:type="pct"/>
            <w:tcBorders>
              <w:top w:val="nil"/>
              <w:left w:val="nil"/>
              <w:bottom w:val="single" w:sz="4" w:space="0" w:color="auto"/>
              <w:right w:val="single" w:sz="4" w:space="0" w:color="auto"/>
            </w:tcBorders>
            <w:shd w:val="clear" w:color="auto" w:fill="auto"/>
            <w:noWrap/>
            <w:vAlign w:val="center"/>
            <w:hideMark/>
          </w:tcPr>
          <w:p w14:paraId="17A76AD4" w14:textId="77777777" w:rsidR="003C6A19" w:rsidRPr="004F469F" w:rsidRDefault="003C6A19" w:rsidP="003C6A19">
            <w:pPr>
              <w:jc w:val="center"/>
              <w:rPr>
                <w:b/>
                <w:bCs/>
                <w:sz w:val="20"/>
                <w:szCs w:val="20"/>
              </w:rPr>
            </w:pPr>
            <w:r w:rsidRPr="004F469F">
              <w:rPr>
                <w:b/>
                <w:bCs/>
                <w:sz w:val="20"/>
                <w:szCs w:val="20"/>
              </w:rPr>
              <w:t>EP5K</w:t>
            </w:r>
          </w:p>
        </w:tc>
        <w:tc>
          <w:tcPr>
            <w:tcW w:w="399" w:type="pct"/>
            <w:tcBorders>
              <w:top w:val="nil"/>
              <w:left w:val="nil"/>
              <w:bottom w:val="single" w:sz="4" w:space="0" w:color="auto"/>
              <w:right w:val="single" w:sz="4" w:space="0" w:color="auto"/>
            </w:tcBorders>
            <w:shd w:val="clear" w:color="auto" w:fill="auto"/>
            <w:noWrap/>
            <w:vAlign w:val="center"/>
            <w:hideMark/>
          </w:tcPr>
          <w:p w14:paraId="0CBA01D6" w14:textId="77777777" w:rsidR="003C6A19" w:rsidRPr="004F469F" w:rsidRDefault="003C6A19" w:rsidP="003C6A19">
            <w:pPr>
              <w:jc w:val="center"/>
              <w:rPr>
                <w:b/>
                <w:bCs/>
                <w:sz w:val="20"/>
                <w:szCs w:val="20"/>
              </w:rPr>
            </w:pPr>
            <w:r w:rsidRPr="004F469F">
              <w:rPr>
                <w:b/>
                <w:bCs/>
                <w:sz w:val="20"/>
                <w:szCs w:val="20"/>
              </w:rPr>
              <w:t>EP20K</w:t>
            </w:r>
          </w:p>
        </w:tc>
      </w:tr>
      <w:tr w:rsidR="00494669" w:rsidRPr="004F469F" w14:paraId="788E405A"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32BFC917" w14:textId="6ECF51E0" w:rsidR="003C6A19" w:rsidRPr="004F469F" w:rsidRDefault="003C6A19" w:rsidP="003C6A19">
            <w:pPr>
              <w:jc w:val="center"/>
              <w:rPr>
                <w:rFonts w:eastAsia="Arial Unicode MS"/>
                <w:sz w:val="20"/>
                <w:szCs w:val="20"/>
              </w:rPr>
            </w:pPr>
            <w:r w:rsidRPr="004F469F">
              <w:rPr>
                <w:rFonts w:eastAsia="Arial Unicode MS"/>
                <w:sz w:val="20"/>
                <w:szCs w:val="20"/>
              </w:rPr>
              <w:t>GL</w:t>
            </w:r>
          </w:p>
        </w:tc>
        <w:tc>
          <w:tcPr>
            <w:tcW w:w="178" w:type="pct"/>
            <w:tcBorders>
              <w:top w:val="nil"/>
              <w:left w:val="nil"/>
              <w:bottom w:val="single" w:sz="4" w:space="0" w:color="auto"/>
              <w:right w:val="single" w:sz="4" w:space="0" w:color="auto"/>
            </w:tcBorders>
            <w:shd w:val="clear" w:color="auto" w:fill="auto"/>
            <w:noWrap/>
            <w:vAlign w:val="center"/>
            <w:hideMark/>
          </w:tcPr>
          <w:p w14:paraId="029243F0" w14:textId="77777777" w:rsidR="003C6A19" w:rsidRPr="004F469F" w:rsidRDefault="003C6A19" w:rsidP="003C6A19">
            <w:pPr>
              <w:jc w:val="center"/>
              <w:rPr>
                <w:sz w:val="20"/>
                <w:szCs w:val="20"/>
              </w:rPr>
            </w:pPr>
            <w:r w:rsidRPr="004F469F">
              <w:rPr>
                <w:sz w:val="20"/>
                <w:szCs w:val="20"/>
              </w:rPr>
              <w:t>0</w:t>
            </w:r>
          </w:p>
        </w:tc>
        <w:tc>
          <w:tcPr>
            <w:tcW w:w="437" w:type="pct"/>
            <w:tcBorders>
              <w:top w:val="nil"/>
              <w:left w:val="nil"/>
              <w:bottom w:val="single" w:sz="4" w:space="0" w:color="auto"/>
              <w:right w:val="single" w:sz="4" w:space="0" w:color="auto"/>
            </w:tcBorders>
            <w:shd w:val="clear" w:color="auto" w:fill="auto"/>
            <w:noWrap/>
            <w:vAlign w:val="center"/>
            <w:hideMark/>
          </w:tcPr>
          <w:p w14:paraId="4044F3BA" w14:textId="61279C88" w:rsidR="003C6A19" w:rsidRPr="004F469F" w:rsidRDefault="003C6A19" w:rsidP="003C6A19">
            <w:pPr>
              <w:jc w:val="center"/>
              <w:rPr>
                <w:sz w:val="20"/>
                <w:szCs w:val="20"/>
              </w:rPr>
            </w:pPr>
            <w:r w:rsidRPr="004F469F">
              <w:rPr>
                <w:sz w:val="20"/>
                <w:szCs w:val="20"/>
              </w:rPr>
              <w:t>-</w:t>
            </w:r>
          </w:p>
        </w:tc>
        <w:tc>
          <w:tcPr>
            <w:tcW w:w="361" w:type="pct"/>
            <w:tcBorders>
              <w:top w:val="nil"/>
              <w:left w:val="nil"/>
              <w:bottom w:val="single" w:sz="4" w:space="0" w:color="auto"/>
              <w:right w:val="single" w:sz="4" w:space="0" w:color="auto"/>
            </w:tcBorders>
            <w:shd w:val="clear" w:color="auto" w:fill="auto"/>
            <w:noWrap/>
            <w:vAlign w:val="center"/>
            <w:hideMark/>
          </w:tcPr>
          <w:p w14:paraId="3047007D" w14:textId="50DC7A4A" w:rsidR="003C6A19" w:rsidRPr="004F469F" w:rsidRDefault="003C6A19" w:rsidP="003C6A19">
            <w:pPr>
              <w:jc w:val="center"/>
              <w:rPr>
                <w:sz w:val="20"/>
                <w:szCs w:val="20"/>
              </w:rPr>
            </w:pPr>
            <w:r w:rsidRPr="004F469F">
              <w:rPr>
                <w:sz w:val="20"/>
                <w:szCs w:val="20"/>
              </w:rPr>
              <w:t>-</w:t>
            </w:r>
          </w:p>
        </w:tc>
        <w:tc>
          <w:tcPr>
            <w:tcW w:w="540" w:type="pct"/>
            <w:tcBorders>
              <w:top w:val="nil"/>
              <w:left w:val="nil"/>
              <w:bottom w:val="single" w:sz="4" w:space="0" w:color="auto"/>
              <w:right w:val="single" w:sz="4" w:space="0" w:color="auto"/>
            </w:tcBorders>
            <w:shd w:val="clear" w:color="auto" w:fill="auto"/>
            <w:noWrap/>
            <w:vAlign w:val="center"/>
            <w:hideMark/>
          </w:tcPr>
          <w:p w14:paraId="2EEA84B1" w14:textId="498EA60B" w:rsidR="003C6A19" w:rsidRPr="004F469F" w:rsidRDefault="003C6A19" w:rsidP="003C6A19">
            <w:pPr>
              <w:jc w:val="center"/>
              <w:rPr>
                <w:sz w:val="20"/>
                <w:szCs w:val="20"/>
              </w:rPr>
            </w:pPr>
            <w:r w:rsidRPr="004F469F">
              <w:rPr>
                <w:sz w:val="20"/>
                <w:szCs w:val="20"/>
              </w:rPr>
              <w:t>-</w:t>
            </w:r>
          </w:p>
        </w:tc>
        <w:tc>
          <w:tcPr>
            <w:tcW w:w="420" w:type="pct"/>
            <w:tcBorders>
              <w:top w:val="nil"/>
              <w:left w:val="nil"/>
              <w:bottom w:val="single" w:sz="4" w:space="0" w:color="auto"/>
              <w:right w:val="single" w:sz="4" w:space="0" w:color="auto"/>
            </w:tcBorders>
            <w:shd w:val="clear" w:color="auto" w:fill="auto"/>
            <w:noWrap/>
            <w:vAlign w:val="center"/>
            <w:hideMark/>
          </w:tcPr>
          <w:p w14:paraId="75F14680" w14:textId="01973F65" w:rsidR="003C6A19" w:rsidRPr="004F469F" w:rsidRDefault="003C6A19" w:rsidP="003C6A19">
            <w:pPr>
              <w:jc w:val="center"/>
              <w:rPr>
                <w:sz w:val="20"/>
                <w:szCs w:val="20"/>
              </w:rPr>
            </w:pPr>
            <w:r w:rsidRPr="004F469F">
              <w:rPr>
                <w:sz w:val="20"/>
                <w:szCs w:val="20"/>
              </w:rPr>
              <w:t>-</w:t>
            </w:r>
          </w:p>
        </w:tc>
        <w:tc>
          <w:tcPr>
            <w:tcW w:w="395" w:type="pct"/>
            <w:tcBorders>
              <w:top w:val="nil"/>
              <w:left w:val="nil"/>
              <w:bottom w:val="single" w:sz="4" w:space="0" w:color="auto"/>
              <w:right w:val="single" w:sz="4" w:space="0" w:color="auto"/>
            </w:tcBorders>
            <w:shd w:val="clear" w:color="auto" w:fill="auto"/>
            <w:noWrap/>
            <w:vAlign w:val="center"/>
            <w:hideMark/>
          </w:tcPr>
          <w:p w14:paraId="442A924A" w14:textId="7D1B479D" w:rsidR="003C6A19" w:rsidRPr="004F469F" w:rsidRDefault="003C6A19" w:rsidP="003C6A19">
            <w:pPr>
              <w:jc w:val="center"/>
              <w:rPr>
                <w:sz w:val="20"/>
                <w:szCs w:val="20"/>
              </w:rPr>
            </w:pPr>
            <w:r w:rsidRPr="004F469F">
              <w:rPr>
                <w:sz w:val="20"/>
                <w:szCs w:val="20"/>
              </w:rPr>
              <w:t>-</w:t>
            </w:r>
          </w:p>
        </w:tc>
        <w:tc>
          <w:tcPr>
            <w:tcW w:w="402" w:type="pct"/>
            <w:tcBorders>
              <w:top w:val="nil"/>
              <w:left w:val="nil"/>
              <w:bottom w:val="single" w:sz="4" w:space="0" w:color="auto"/>
              <w:right w:val="single" w:sz="4" w:space="0" w:color="auto"/>
            </w:tcBorders>
            <w:shd w:val="clear" w:color="auto" w:fill="auto"/>
            <w:noWrap/>
            <w:vAlign w:val="center"/>
            <w:hideMark/>
          </w:tcPr>
          <w:p w14:paraId="303AE90A" w14:textId="3781AF4F" w:rsidR="003C6A19" w:rsidRPr="004F469F" w:rsidRDefault="003C6A19"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5F0AFB66" w14:textId="7D482474" w:rsidR="003C6A19" w:rsidRPr="004F469F" w:rsidRDefault="003C6A19" w:rsidP="003C6A19">
            <w:pPr>
              <w:jc w:val="center"/>
              <w:rPr>
                <w:sz w:val="20"/>
                <w:szCs w:val="20"/>
              </w:rPr>
            </w:pPr>
            <w:r w:rsidRPr="004F469F">
              <w:rPr>
                <w:sz w:val="20"/>
                <w:szCs w:val="20"/>
              </w:rPr>
              <w:t>-</w:t>
            </w:r>
          </w:p>
        </w:tc>
        <w:tc>
          <w:tcPr>
            <w:tcW w:w="420" w:type="pct"/>
            <w:tcBorders>
              <w:top w:val="nil"/>
              <w:left w:val="nil"/>
              <w:bottom w:val="single" w:sz="4" w:space="0" w:color="auto"/>
              <w:right w:val="single" w:sz="4" w:space="0" w:color="auto"/>
            </w:tcBorders>
            <w:shd w:val="clear" w:color="auto" w:fill="auto"/>
            <w:noWrap/>
            <w:vAlign w:val="center"/>
            <w:hideMark/>
          </w:tcPr>
          <w:p w14:paraId="435B5EEE" w14:textId="7360C5B7" w:rsidR="003C6A19" w:rsidRPr="004F469F" w:rsidRDefault="003C6A19" w:rsidP="003C6A19">
            <w:pPr>
              <w:jc w:val="center"/>
              <w:rPr>
                <w:sz w:val="20"/>
                <w:szCs w:val="20"/>
              </w:rPr>
            </w:pPr>
            <w:r w:rsidRPr="004F469F">
              <w:rPr>
                <w:sz w:val="20"/>
                <w:szCs w:val="20"/>
              </w:rPr>
              <w:t>-</w:t>
            </w:r>
          </w:p>
        </w:tc>
        <w:tc>
          <w:tcPr>
            <w:tcW w:w="395" w:type="pct"/>
            <w:tcBorders>
              <w:top w:val="nil"/>
              <w:left w:val="nil"/>
              <w:bottom w:val="single" w:sz="4" w:space="0" w:color="auto"/>
              <w:right w:val="single" w:sz="4" w:space="0" w:color="auto"/>
            </w:tcBorders>
            <w:shd w:val="clear" w:color="auto" w:fill="auto"/>
            <w:noWrap/>
            <w:vAlign w:val="center"/>
            <w:hideMark/>
          </w:tcPr>
          <w:p w14:paraId="2355B95D" w14:textId="7C8091EF" w:rsidR="003C6A19" w:rsidRPr="004F469F" w:rsidRDefault="003C6A19" w:rsidP="003C6A19">
            <w:pPr>
              <w:jc w:val="center"/>
              <w:rPr>
                <w:sz w:val="20"/>
                <w:szCs w:val="20"/>
              </w:rPr>
            </w:pPr>
            <w:r w:rsidRPr="004F469F">
              <w:rPr>
                <w:sz w:val="20"/>
                <w:szCs w:val="20"/>
              </w:rPr>
              <w:t>-</w:t>
            </w:r>
          </w:p>
        </w:tc>
        <w:tc>
          <w:tcPr>
            <w:tcW w:w="399" w:type="pct"/>
            <w:tcBorders>
              <w:top w:val="nil"/>
              <w:left w:val="nil"/>
              <w:bottom w:val="single" w:sz="4" w:space="0" w:color="auto"/>
              <w:right w:val="single" w:sz="4" w:space="0" w:color="auto"/>
            </w:tcBorders>
            <w:shd w:val="clear" w:color="auto" w:fill="auto"/>
            <w:noWrap/>
            <w:vAlign w:val="center"/>
            <w:hideMark/>
          </w:tcPr>
          <w:p w14:paraId="2AB4E3A7" w14:textId="6B6B89F0" w:rsidR="003C6A19" w:rsidRPr="004F469F" w:rsidRDefault="003C6A19" w:rsidP="003C6A19">
            <w:pPr>
              <w:jc w:val="center"/>
              <w:rPr>
                <w:sz w:val="20"/>
                <w:szCs w:val="20"/>
              </w:rPr>
            </w:pPr>
            <w:r w:rsidRPr="004F469F">
              <w:rPr>
                <w:sz w:val="20"/>
                <w:szCs w:val="20"/>
              </w:rPr>
              <w:t>-</w:t>
            </w:r>
          </w:p>
        </w:tc>
      </w:tr>
      <w:tr w:rsidR="00494669" w:rsidRPr="004F469F" w14:paraId="2083DFBB"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0447AFDD" w14:textId="1797AFCE" w:rsidR="003C6A19" w:rsidRPr="004F469F" w:rsidRDefault="003C6A19" w:rsidP="003C6A19">
            <w:pPr>
              <w:jc w:val="center"/>
              <w:rPr>
                <w:rFonts w:eastAsia="Arial Unicode MS"/>
                <w:sz w:val="20"/>
                <w:szCs w:val="20"/>
              </w:rPr>
            </w:pPr>
            <w:r w:rsidRPr="004F469F">
              <w:rPr>
                <w:rFonts w:eastAsia="Arial Unicode MS"/>
                <w:sz w:val="20"/>
                <w:szCs w:val="20"/>
              </w:rPr>
              <w:t>NP</w:t>
            </w:r>
          </w:p>
        </w:tc>
        <w:tc>
          <w:tcPr>
            <w:tcW w:w="178" w:type="pct"/>
            <w:tcBorders>
              <w:top w:val="nil"/>
              <w:left w:val="nil"/>
              <w:bottom w:val="single" w:sz="4" w:space="0" w:color="auto"/>
              <w:right w:val="single" w:sz="4" w:space="0" w:color="auto"/>
            </w:tcBorders>
            <w:shd w:val="clear" w:color="auto" w:fill="auto"/>
            <w:noWrap/>
            <w:vAlign w:val="center"/>
            <w:hideMark/>
          </w:tcPr>
          <w:p w14:paraId="4D326BCE" w14:textId="77777777" w:rsidR="003C6A19" w:rsidRPr="004F469F" w:rsidRDefault="003C6A19" w:rsidP="003C6A19">
            <w:pPr>
              <w:jc w:val="center"/>
              <w:rPr>
                <w:sz w:val="20"/>
                <w:szCs w:val="20"/>
              </w:rPr>
            </w:pPr>
            <w:r w:rsidRPr="004F469F">
              <w:rPr>
                <w:sz w:val="20"/>
                <w:szCs w:val="20"/>
              </w:rPr>
              <w:t>2</w:t>
            </w:r>
          </w:p>
        </w:tc>
        <w:tc>
          <w:tcPr>
            <w:tcW w:w="437" w:type="pct"/>
            <w:tcBorders>
              <w:top w:val="nil"/>
              <w:left w:val="nil"/>
              <w:bottom w:val="single" w:sz="4" w:space="0" w:color="auto"/>
              <w:right w:val="single" w:sz="4" w:space="0" w:color="auto"/>
            </w:tcBorders>
            <w:shd w:val="clear" w:color="auto" w:fill="auto"/>
            <w:noWrap/>
            <w:vAlign w:val="center"/>
            <w:hideMark/>
          </w:tcPr>
          <w:p w14:paraId="225E925B" w14:textId="77777777" w:rsidR="003C6A19" w:rsidRPr="004F469F" w:rsidRDefault="003C6A19" w:rsidP="003C6A19">
            <w:pPr>
              <w:jc w:val="center"/>
              <w:rPr>
                <w:sz w:val="20"/>
                <w:szCs w:val="20"/>
              </w:rPr>
            </w:pPr>
            <w:r w:rsidRPr="004F469F">
              <w:rPr>
                <w:sz w:val="20"/>
                <w:szCs w:val="20"/>
              </w:rPr>
              <w:t>5,631</w:t>
            </w:r>
          </w:p>
        </w:tc>
        <w:tc>
          <w:tcPr>
            <w:tcW w:w="361" w:type="pct"/>
            <w:tcBorders>
              <w:top w:val="nil"/>
              <w:left w:val="nil"/>
              <w:bottom w:val="single" w:sz="4" w:space="0" w:color="auto"/>
              <w:right w:val="single" w:sz="4" w:space="0" w:color="auto"/>
            </w:tcBorders>
            <w:shd w:val="clear" w:color="auto" w:fill="auto"/>
            <w:noWrap/>
            <w:vAlign w:val="center"/>
            <w:hideMark/>
          </w:tcPr>
          <w:p w14:paraId="212182B4" w14:textId="77777777" w:rsidR="003C6A19" w:rsidRPr="004F469F" w:rsidRDefault="003C6A19" w:rsidP="003C6A19">
            <w:pPr>
              <w:jc w:val="center"/>
              <w:rPr>
                <w:sz w:val="20"/>
                <w:szCs w:val="20"/>
              </w:rPr>
            </w:pPr>
            <w:r w:rsidRPr="004F469F">
              <w:rPr>
                <w:sz w:val="20"/>
                <w:szCs w:val="20"/>
              </w:rPr>
              <w:t>204.8</w:t>
            </w:r>
          </w:p>
        </w:tc>
        <w:tc>
          <w:tcPr>
            <w:tcW w:w="540" w:type="pct"/>
            <w:tcBorders>
              <w:top w:val="nil"/>
              <w:left w:val="nil"/>
              <w:bottom w:val="single" w:sz="4" w:space="0" w:color="auto"/>
              <w:right w:val="single" w:sz="4" w:space="0" w:color="auto"/>
            </w:tcBorders>
            <w:shd w:val="clear" w:color="auto" w:fill="auto"/>
            <w:noWrap/>
            <w:vAlign w:val="center"/>
            <w:hideMark/>
          </w:tcPr>
          <w:p w14:paraId="1D9FFE79" w14:textId="77777777" w:rsidR="003C6A19" w:rsidRPr="004F469F" w:rsidRDefault="003C6A19" w:rsidP="003C6A19">
            <w:pPr>
              <w:jc w:val="center"/>
              <w:rPr>
                <w:sz w:val="20"/>
                <w:szCs w:val="20"/>
              </w:rPr>
            </w:pPr>
            <w:r w:rsidRPr="004F469F">
              <w:rPr>
                <w:sz w:val="20"/>
                <w:szCs w:val="20"/>
              </w:rPr>
              <w:t>12,327</w:t>
            </w:r>
          </w:p>
        </w:tc>
        <w:tc>
          <w:tcPr>
            <w:tcW w:w="420" w:type="pct"/>
            <w:tcBorders>
              <w:top w:val="nil"/>
              <w:left w:val="nil"/>
              <w:bottom w:val="single" w:sz="4" w:space="0" w:color="auto"/>
              <w:right w:val="single" w:sz="4" w:space="0" w:color="auto"/>
            </w:tcBorders>
            <w:shd w:val="clear" w:color="auto" w:fill="auto"/>
            <w:noWrap/>
            <w:vAlign w:val="center"/>
            <w:hideMark/>
          </w:tcPr>
          <w:p w14:paraId="1DF21B96" w14:textId="77777777" w:rsidR="003C6A19" w:rsidRPr="004F469F" w:rsidRDefault="003C6A19" w:rsidP="003C6A19">
            <w:pPr>
              <w:jc w:val="center"/>
              <w:rPr>
                <w:sz w:val="20"/>
                <w:szCs w:val="20"/>
              </w:rPr>
            </w:pPr>
            <w:r w:rsidRPr="004F469F">
              <w:rPr>
                <w:sz w:val="20"/>
                <w:szCs w:val="20"/>
              </w:rPr>
              <w:t>22.7</w:t>
            </w:r>
          </w:p>
        </w:tc>
        <w:tc>
          <w:tcPr>
            <w:tcW w:w="395" w:type="pct"/>
            <w:tcBorders>
              <w:top w:val="nil"/>
              <w:left w:val="nil"/>
              <w:bottom w:val="single" w:sz="4" w:space="0" w:color="auto"/>
              <w:right w:val="single" w:sz="4" w:space="0" w:color="auto"/>
            </w:tcBorders>
            <w:shd w:val="clear" w:color="auto" w:fill="auto"/>
            <w:noWrap/>
            <w:vAlign w:val="center"/>
            <w:hideMark/>
          </w:tcPr>
          <w:p w14:paraId="6C1902BC" w14:textId="0676ADA2" w:rsidR="003C6A19" w:rsidRPr="004F469F" w:rsidRDefault="003C6A19" w:rsidP="003C6A19">
            <w:pPr>
              <w:jc w:val="center"/>
              <w:rPr>
                <w:sz w:val="20"/>
                <w:szCs w:val="20"/>
              </w:rPr>
            </w:pPr>
            <w:r w:rsidRPr="004F469F">
              <w:rPr>
                <w:sz w:val="20"/>
                <w:szCs w:val="20"/>
              </w:rPr>
              <w:t>30.3*</w:t>
            </w:r>
          </w:p>
        </w:tc>
        <w:tc>
          <w:tcPr>
            <w:tcW w:w="402" w:type="pct"/>
            <w:tcBorders>
              <w:top w:val="nil"/>
              <w:left w:val="nil"/>
              <w:bottom w:val="single" w:sz="4" w:space="0" w:color="auto"/>
              <w:right w:val="single" w:sz="4" w:space="0" w:color="auto"/>
            </w:tcBorders>
            <w:shd w:val="clear" w:color="auto" w:fill="auto"/>
            <w:noWrap/>
            <w:vAlign w:val="center"/>
            <w:hideMark/>
          </w:tcPr>
          <w:p w14:paraId="168ADDCF" w14:textId="3840528D" w:rsidR="003C6A19" w:rsidRPr="004F469F" w:rsidRDefault="003C6A19" w:rsidP="003C6A19">
            <w:pPr>
              <w:jc w:val="center"/>
              <w:rPr>
                <w:sz w:val="20"/>
                <w:szCs w:val="20"/>
              </w:rPr>
            </w:pPr>
            <w:r w:rsidRPr="004F469F">
              <w:rPr>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686C1D3F" w14:textId="77777777" w:rsidR="003C6A19" w:rsidRPr="004F469F" w:rsidRDefault="003C6A19" w:rsidP="003C6A19">
            <w:pPr>
              <w:jc w:val="center"/>
              <w:rPr>
                <w:sz w:val="20"/>
                <w:szCs w:val="20"/>
              </w:rPr>
            </w:pPr>
            <w:r w:rsidRPr="004F469F">
              <w:rPr>
                <w:sz w:val="20"/>
                <w:szCs w:val="20"/>
              </w:rPr>
              <w:t>59,941</w:t>
            </w:r>
          </w:p>
        </w:tc>
        <w:tc>
          <w:tcPr>
            <w:tcW w:w="420" w:type="pct"/>
            <w:tcBorders>
              <w:top w:val="nil"/>
              <w:left w:val="nil"/>
              <w:bottom w:val="single" w:sz="4" w:space="0" w:color="auto"/>
              <w:right w:val="single" w:sz="4" w:space="0" w:color="auto"/>
            </w:tcBorders>
            <w:shd w:val="clear" w:color="auto" w:fill="auto"/>
            <w:noWrap/>
            <w:vAlign w:val="center"/>
            <w:hideMark/>
          </w:tcPr>
          <w:p w14:paraId="16AAEBEE" w14:textId="77777777" w:rsidR="003C6A19" w:rsidRPr="004F469F" w:rsidRDefault="003C6A19" w:rsidP="003C6A19">
            <w:pPr>
              <w:jc w:val="center"/>
              <w:rPr>
                <w:sz w:val="20"/>
                <w:szCs w:val="20"/>
              </w:rPr>
            </w:pPr>
            <w:r w:rsidRPr="004F469F">
              <w:rPr>
                <w:sz w:val="20"/>
                <w:szCs w:val="20"/>
              </w:rPr>
              <w:t>26.8</w:t>
            </w:r>
          </w:p>
        </w:tc>
        <w:tc>
          <w:tcPr>
            <w:tcW w:w="395" w:type="pct"/>
            <w:tcBorders>
              <w:top w:val="nil"/>
              <w:left w:val="nil"/>
              <w:bottom w:val="single" w:sz="4" w:space="0" w:color="auto"/>
              <w:right w:val="single" w:sz="4" w:space="0" w:color="auto"/>
            </w:tcBorders>
            <w:shd w:val="clear" w:color="auto" w:fill="auto"/>
            <w:noWrap/>
            <w:vAlign w:val="center"/>
            <w:hideMark/>
          </w:tcPr>
          <w:p w14:paraId="3629CE79" w14:textId="5571D6F8" w:rsidR="003C6A19" w:rsidRPr="004F469F" w:rsidRDefault="003C6A19" w:rsidP="003C6A19">
            <w:pPr>
              <w:jc w:val="center"/>
              <w:rPr>
                <w:sz w:val="20"/>
                <w:szCs w:val="20"/>
              </w:rPr>
            </w:pPr>
            <w:r w:rsidRPr="004F469F">
              <w:rPr>
                <w:sz w:val="20"/>
                <w:szCs w:val="20"/>
              </w:rPr>
              <w:t>29.6*</w:t>
            </w:r>
          </w:p>
        </w:tc>
        <w:tc>
          <w:tcPr>
            <w:tcW w:w="399" w:type="pct"/>
            <w:tcBorders>
              <w:top w:val="nil"/>
              <w:left w:val="nil"/>
              <w:bottom w:val="single" w:sz="4" w:space="0" w:color="auto"/>
              <w:right w:val="single" w:sz="4" w:space="0" w:color="auto"/>
            </w:tcBorders>
            <w:shd w:val="clear" w:color="auto" w:fill="auto"/>
            <w:noWrap/>
            <w:vAlign w:val="center"/>
            <w:hideMark/>
          </w:tcPr>
          <w:p w14:paraId="7CE2B698" w14:textId="0B50C2B0" w:rsidR="003C6A19" w:rsidRPr="004F469F" w:rsidRDefault="003C6A19" w:rsidP="003C6A19">
            <w:pPr>
              <w:jc w:val="center"/>
              <w:rPr>
                <w:sz w:val="20"/>
                <w:szCs w:val="20"/>
              </w:rPr>
            </w:pPr>
            <w:r w:rsidRPr="004F469F">
              <w:rPr>
                <w:sz w:val="20"/>
                <w:szCs w:val="20"/>
              </w:rPr>
              <w:t>18.0*</w:t>
            </w:r>
          </w:p>
        </w:tc>
      </w:tr>
      <w:tr w:rsidR="00494669" w:rsidRPr="004F469F" w14:paraId="763E2ACC" w14:textId="77777777" w:rsidTr="003C6A19">
        <w:trPr>
          <w:trHeight w:val="288"/>
        </w:trPr>
        <w:tc>
          <w:tcPr>
            <w:tcW w:w="512" w:type="pct"/>
            <w:tcBorders>
              <w:top w:val="nil"/>
              <w:left w:val="single" w:sz="4" w:space="0" w:color="auto"/>
              <w:bottom w:val="single" w:sz="4" w:space="0" w:color="auto"/>
              <w:right w:val="single" w:sz="4" w:space="0" w:color="auto"/>
            </w:tcBorders>
            <w:shd w:val="clear" w:color="auto" w:fill="auto"/>
            <w:noWrap/>
            <w:vAlign w:val="center"/>
            <w:hideMark/>
          </w:tcPr>
          <w:p w14:paraId="7E2ABBCE" w14:textId="34497E34" w:rsidR="003C6A19" w:rsidRPr="004F469F" w:rsidRDefault="003C6A19" w:rsidP="003C6A19">
            <w:pPr>
              <w:jc w:val="center"/>
              <w:rPr>
                <w:rFonts w:eastAsia="Arial Unicode MS"/>
                <w:sz w:val="20"/>
                <w:szCs w:val="20"/>
              </w:rPr>
            </w:pPr>
            <w:r w:rsidRPr="004F469F">
              <w:rPr>
                <w:rFonts w:eastAsia="Arial Unicode MS"/>
                <w:sz w:val="20"/>
                <w:szCs w:val="20"/>
              </w:rPr>
              <w:t>SE</w:t>
            </w:r>
          </w:p>
        </w:tc>
        <w:tc>
          <w:tcPr>
            <w:tcW w:w="178" w:type="pct"/>
            <w:tcBorders>
              <w:top w:val="nil"/>
              <w:left w:val="nil"/>
              <w:bottom w:val="single" w:sz="4" w:space="0" w:color="auto"/>
              <w:right w:val="single" w:sz="4" w:space="0" w:color="auto"/>
            </w:tcBorders>
            <w:shd w:val="clear" w:color="auto" w:fill="auto"/>
            <w:noWrap/>
            <w:vAlign w:val="center"/>
            <w:hideMark/>
          </w:tcPr>
          <w:p w14:paraId="4873DADA" w14:textId="77777777" w:rsidR="003C6A19" w:rsidRPr="004F469F" w:rsidRDefault="003C6A19" w:rsidP="003C6A19">
            <w:pPr>
              <w:jc w:val="center"/>
              <w:rPr>
                <w:sz w:val="20"/>
                <w:szCs w:val="20"/>
              </w:rPr>
            </w:pPr>
            <w:r w:rsidRPr="004F469F">
              <w:rPr>
                <w:sz w:val="20"/>
                <w:szCs w:val="20"/>
              </w:rPr>
              <w:t>9</w:t>
            </w:r>
          </w:p>
        </w:tc>
        <w:tc>
          <w:tcPr>
            <w:tcW w:w="437" w:type="pct"/>
            <w:tcBorders>
              <w:top w:val="nil"/>
              <w:left w:val="nil"/>
              <w:bottom w:val="single" w:sz="4" w:space="0" w:color="auto"/>
              <w:right w:val="single" w:sz="4" w:space="0" w:color="auto"/>
            </w:tcBorders>
            <w:shd w:val="clear" w:color="auto" w:fill="auto"/>
            <w:noWrap/>
            <w:vAlign w:val="center"/>
            <w:hideMark/>
          </w:tcPr>
          <w:p w14:paraId="1F9FB158" w14:textId="77777777" w:rsidR="003C6A19" w:rsidRPr="004F469F" w:rsidRDefault="003C6A19" w:rsidP="003C6A19">
            <w:pPr>
              <w:jc w:val="center"/>
              <w:rPr>
                <w:sz w:val="20"/>
                <w:szCs w:val="20"/>
              </w:rPr>
            </w:pPr>
            <w:r w:rsidRPr="004F469F">
              <w:rPr>
                <w:sz w:val="20"/>
                <w:szCs w:val="20"/>
              </w:rPr>
              <w:t>7,887</w:t>
            </w:r>
          </w:p>
        </w:tc>
        <w:tc>
          <w:tcPr>
            <w:tcW w:w="361" w:type="pct"/>
            <w:tcBorders>
              <w:top w:val="nil"/>
              <w:left w:val="nil"/>
              <w:bottom w:val="single" w:sz="4" w:space="0" w:color="auto"/>
              <w:right w:val="single" w:sz="4" w:space="0" w:color="auto"/>
            </w:tcBorders>
            <w:shd w:val="clear" w:color="auto" w:fill="auto"/>
            <w:noWrap/>
            <w:vAlign w:val="center"/>
            <w:hideMark/>
          </w:tcPr>
          <w:p w14:paraId="4C632FC5" w14:textId="77777777" w:rsidR="003C6A19" w:rsidRPr="004F469F" w:rsidRDefault="003C6A19" w:rsidP="003C6A19">
            <w:pPr>
              <w:jc w:val="center"/>
              <w:rPr>
                <w:sz w:val="20"/>
                <w:szCs w:val="20"/>
              </w:rPr>
            </w:pPr>
            <w:r w:rsidRPr="004F469F">
              <w:rPr>
                <w:sz w:val="20"/>
                <w:szCs w:val="20"/>
              </w:rPr>
              <w:t>87.1</w:t>
            </w:r>
          </w:p>
        </w:tc>
        <w:tc>
          <w:tcPr>
            <w:tcW w:w="540" w:type="pct"/>
            <w:tcBorders>
              <w:top w:val="nil"/>
              <w:left w:val="nil"/>
              <w:bottom w:val="single" w:sz="4" w:space="0" w:color="auto"/>
              <w:right w:val="single" w:sz="4" w:space="0" w:color="auto"/>
            </w:tcBorders>
            <w:shd w:val="clear" w:color="auto" w:fill="auto"/>
            <w:noWrap/>
            <w:vAlign w:val="center"/>
            <w:hideMark/>
          </w:tcPr>
          <w:p w14:paraId="142C7841" w14:textId="77777777" w:rsidR="003C6A19" w:rsidRPr="004F469F" w:rsidRDefault="003C6A19" w:rsidP="003C6A19">
            <w:pPr>
              <w:jc w:val="center"/>
              <w:rPr>
                <w:sz w:val="20"/>
                <w:szCs w:val="20"/>
              </w:rPr>
            </w:pPr>
            <w:r w:rsidRPr="004F469F">
              <w:rPr>
                <w:sz w:val="20"/>
                <w:szCs w:val="20"/>
              </w:rPr>
              <w:t>18,144</w:t>
            </w:r>
          </w:p>
        </w:tc>
        <w:tc>
          <w:tcPr>
            <w:tcW w:w="420" w:type="pct"/>
            <w:tcBorders>
              <w:top w:val="nil"/>
              <w:left w:val="nil"/>
              <w:bottom w:val="single" w:sz="4" w:space="0" w:color="auto"/>
              <w:right w:val="single" w:sz="4" w:space="0" w:color="auto"/>
            </w:tcBorders>
            <w:shd w:val="clear" w:color="auto" w:fill="auto"/>
            <w:noWrap/>
            <w:vAlign w:val="center"/>
            <w:hideMark/>
          </w:tcPr>
          <w:p w14:paraId="090E075F" w14:textId="77777777" w:rsidR="003C6A19" w:rsidRPr="004F469F" w:rsidRDefault="003C6A19" w:rsidP="003C6A19">
            <w:pPr>
              <w:jc w:val="center"/>
              <w:rPr>
                <w:sz w:val="20"/>
                <w:szCs w:val="20"/>
              </w:rPr>
            </w:pPr>
            <w:r w:rsidRPr="004F469F">
              <w:rPr>
                <w:sz w:val="20"/>
                <w:szCs w:val="20"/>
              </w:rPr>
              <w:t>52.2</w:t>
            </w:r>
          </w:p>
        </w:tc>
        <w:tc>
          <w:tcPr>
            <w:tcW w:w="395" w:type="pct"/>
            <w:tcBorders>
              <w:top w:val="nil"/>
              <w:left w:val="nil"/>
              <w:bottom w:val="single" w:sz="4" w:space="0" w:color="auto"/>
              <w:right w:val="single" w:sz="4" w:space="0" w:color="auto"/>
            </w:tcBorders>
            <w:shd w:val="clear" w:color="auto" w:fill="auto"/>
            <w:noWrap/>
            <w:vAlign w:val="center"/>
            <w:hideMark/>
          </w:tcPr>
          <w:p w14:paraId="7A3D6C00" w14:textId="77777777" w:rsidR="003C6A19" w:rsidRPr="004F469F" w:rsidRDefault="003C6A19" w:rsidP="003C6A19">
            <w:pPr>
              <w:jc w:val="center"/>
              <w:rPr>
                <w:sz w:val="20"/>
                <w:szCs w:val="20"/>
              </w:rPr>
            </w:pPr>
            <w:r w:rsidRPr="004F469F">
              <w:rPr>
                <w:sz w:val="20"/>
                <w:szCs w:val="20"/>
              </w:rPr>
              <w:t>82.5</w:t>
            </w:r>
          </w:p>
        </w:tc>
        <w:tc>
          <w:tcPr>
            <w:tcW w:w="402" w:type="pct"/>
            <w:tcBorders>
              <w:top w:val="nil"/>
              <w:left w:val="nil"/>
              <w:bottom w:val="single" w:sz="4" w:space="0" w:color="auto"/>
              <w:right w:val="single" w:sz="4" w:space="0" w:color="auto"/>
            </w:tcBorders>
            <w:shd w:val="clear" w:color="auto" w:fill="auto"/>
            <w:noWrap/>
            <w:vAlign w:val="center"/>
            <w:hideMark/>
          </w:tcPr>
          <w:p w14:paraId="21652773" w14:textId="77777777" w:rsidR="003C6A19" w:rsidRPr="004F469F" w:rsidRDefault="003C6A19" w:rsidP="003C6A19">
            <w:pPr>
              <w:jc w:val="center"/>
              <w:rPr>
                <w:sz w:val="20"/>
                <w:szCs w:val="20"/>
              </w:rPr>
            </w:pPr>
            <w:r w:rsidRPr="004F469F">
              <w:rPr>
                <w:sz w:val="20"/>
                <w:szCs w:val="20"/>
              </w:rPr>
              <w:t>63.3</w:t>
            </w:r>
          </w:p>
        </w:tc>
        <w:tc>
          <w:tcPr>
            <w:tcW w:w="541" w:type="pct"/>
            <w:tcBorders>
              <w:top w:val="nil"/>
              <w:left w:val="nil"/>
              <w:bottom w:val="single" w:sz="4" w:space="0" w:color="auto"/>
              <w:right w:val="single" w:sz="4" w:space="0" w:color="auto"/>
            </w:tcBorders>
            <w:shd w:val="clear" w:color="auto" w:fill="auto"/>
            <w:noWrap/>
            <w:vAlign w:val="center"/>
            <w:hideMark/>
          </w:tcPr>
          <w:p w14:paraId="40A72C89" w14:textId="77777777" w:rsidR="003C6A19" w:rsidRPr="004F469F" w:rsidRDefault="003C6A19" w:rsidP="003C6A19">
            <w:pPr>
              <w:jc w:val="center"/>
              <w:rPr>
                <w:sz w:val="20"/>
                <w:szCs w:val="20"/>
              </w:rPr>
            </w:pPr>
            <w:r w:rsidRPr="004F469F">
              <w:rPr>
                <w:sz w:val="20"/>
                <w:szCs w:val="20"/>
              </w:rPr>
              <w:t>40,943</w:t>
            </w:r>
          </w:p>
        </w:tc>
        <w:tc>
          <w:tcPr>
            <w:tcW w:w="420" w:type="pct"/>
            <w:tcBorders>
              <w:top w:val="nil"/>
              <w:left w:val="nil"/>
              <w:bottom w:val="single" w:sz="4" w:space="0" w:color="auto"/>
              <w:right w:val="single" w:sz="4" w:space="0" w:color="auto"/>
            </w:tcBorders>
            <w:shd w:val="clear" w:color="auto" w:fill="auto"/>
            <w:noWrap/>
            <w:vAlign w:val="center"/>
            <w:hideMark/>
          </w:tcPr>
          <w:p w14:paraId="686461BA" w14:textId="77777777" w:rsidR="003C6A19" w:rsidRPr="004F469F" w:rsidRDefault="003C6A19" w:rsidP="003C6A19">
            <w:pPr>
              <w:jc w:val="center"/>
              <w:rPr>
                <w:sz w:val="20"/>
                <w:szCs w:val="20"/>
              </w:rPr>
            </w:pPr>
            <w:r w:rsidRPr="004F469F">
              <w:rPr>
                <w:sz w:val="20"/>
                <w:szCs w:val="20"/>
              </w:rPr>
              <w:t>27.6</w:t>
            </w:r>
          </w:p>
        </w:tc>
        <w:tc>
          <w:tcPr>
            <w:tcW w:w="395" w:type="pct"/>
            <w:tcBorders>
              <w:top w:val="nil"/>
              <w:left w:val="nil"/>
              <w:bottom w:val="single" w:sz="4" w:space="0" w:color="auto"/>
              <w:right w:val="single" w:sz="4" w:space="0" w:color="auto"/>
            </w:tcBorders>
            <w:shd w:val="clear" w:color="auto" w:fill="auto"/>
            <w:noWrap/>
            <w:vAlign w:val="center"/>
            <w:hideMark/>
          </w:tcPr>
          <w:p w14:paraId="6E06143A" w14:textId="77777777" w:rsidR="003C6A19" w:rsidRPr="004F469F" w:rsidRDefault="003C6A19" w:rsidP="003C6A19">
            <w:pPr>
              <w:jc w:val="center"/>
              <w:rPr>
                <w:sz w:val="20"/>
                <w:szCs w:val="20"/>
              </w:rPr>
            </w:pPr>
            <w:r w:rsidRPr="004F469F">
              <w:rPr>
                <w:sz w:val="20"/>
                <w:szCs w:val="20"/>
              </w:rPr>
              <w:t>42.5</w:t>
            </w:r>
          </w:p>
        </w:tc>
        <w:tc>
          <w:tcPr>
            <w:tcW w:w="399" w:type="pct"/>
            <w:tcBorders>
              <w:top w:val="nil"/>
              <w:left w:val="nil"/>
              <w:bottom w:val="single" w:sz="4" w:space="0" w:color="auto"/>
              <w:right w:val="single" w:sz="4" w:space="0" w:color="auto"/>
            </w:tcBorders>
            <w:shd w:val="clear" w:color="auto" w:fill="auto"/>
            <w:noWrap/>
            <w:vAlign w:val="center"/>
            <w:hideMark/>
          </w:tcPr>
          <w:p w14:paraId="7A42F857" w14:textId="77777777" w:rsidR="003C6A19" w:rsidRPr="004F469F" w:rsidRDefault="003C6A19" w:rsidP="003C6A19">
            <w:pPr>
              <w:jc w:val="center"/>
              <w:rPr>
                <w:sz w:val="20"/>
                <w:szCs w:val="20"/>
              </w:rPr>
            </w:pPr>
            <w:r w:rsidRPr="004F469F">
              <w:rPr>
                <w:sz w:val="20"/>
                <w:szCs w:val="20"/>
              </w:rPr>
              <w:t>15.2</w:t>
            </w:r>
          </w:p>
        </w:tc>
      </w:tr>
      <w:tr w:rsidR="00494669" w:rsidRPr="004F469F" w14:paraId="4EE2974B" w14:textId="77777777" w:rsidTr="003C6A19">
        <w:trPr>
          <w:trHeight w:val="288"/>
        </w:trPr>
        <w:tc>
          <w:tcPr>
            <w:tcW w:w="512" w:type="pct"/>
            <w:tcBorders>
              <w:top w:val="nil"/>
              <w:left w:val="single" w:sz="4" w:space="0" w:color="auto"/>
              <w:bottom w:val="single" w:sz="12" w:space="0" w:color="auto"/>
              <w:right w:val="single" w:sz="4" w:space="0" w:color="auto"/>
            </w:tcBorders>
            <w:shd w:val="clear" w:color="auto" w:fill="auto"/>
            <w:noWrap/>
            <w:vAlign w:val="center"/>
            <w:hideMark/>
          </w:tcPr>
          <w:p w14:paraId="49FCC46D" w14:textId="027B6770" w:rsidR="003C6A19" w:rsidRPr="004F469F" w:rsidRDefault="003C6A19" w:rsidP="003C6A19">
            <w:pPr>
              <w:jc w:val="center"/>
              <w:rPr>
                <w:rFonts w:eastAsia="Arial Unicode MS"/>
                <w:sz w:val="20"/>
                <w:szCs w:val="20"/>
              </w:rPr>
            </w:pPr>
            <w:r w:rsidRPr="004F469F">
              <w:rPr>
                <w:rFonts w:eastAsia="Arial Unicode MS"/>
                <w:sz w:val="20"/>
                <w:szCs w:val="20"/>
              </w:rPr>
              <w:t>SP</w:t>
            </w:r>
          </w:p>
        </w:tc>
        <w:tc>
          <w:tcPr>
            <w:tcW w:w="178" w:type="pct"/>
            <w:tcBorders>
              <w:top w:val="nil"/>
              <w:left w:val="nil"/>
              <w:bottom w:val="single" w:sz="12" w:space="0" w:color="auto"/>
              <w:right w:val="single" w:sz="4" w:space="0" w:color="auto"/>
            </w:tcBorders>
            <w:shd w:val="clear" w:color="auto" w:fill="auto"/>
            <w:noWrap/>
            <w:vAlign w:val="center"/>
            <w:hideMark/>
          </w:tcPr>
          <w:p w14:paraId="01086E3B" w14:textId="77777777" w:rsidR="003C6A19" w:rsidRPr="004F469F" w:rsidRDefault="003C6A19" w:rsidP="003C6A19">
            <w:pPr>
              <w:jc w:val="center"/>
              <w:rPr>
                <w:sz w:val="20"/>
                <w:szCs w:val="20"/>
              </w:rPr>
            </w:pPr>
            <w:r w:rsidRPr="004F469F">
              <w:rPr>
                <w:sz w:val="20"/>
                <w:szCs w:val="20"/>
              </w:rPr>
              <w:t>10</w:t>
            </w:r>
          </w:p>
        </w:tc>
        <w:tc>
          <w:tcPr>
            <w:tcW w:w="437" w:type="pct"/>
            <w:tcBorders>
              <w:top w:val="nil"/>
              <w:left w:val="nil"/>
              <w:bottom w:val="single" w:sz="12" w:space="0" w:color="auto"/>
              <w:right w:val="single" w:sz="4" w:space="0" w:color="auto"/>
            </w:tcBorders>
            <w:shd w:val="clear" w:color="auto" w:fill="auto"/>
            <w:noWrap/>
            <w:vAlign w:val="center"/>
            <w:hideMark/>
          </w:tcPr>
          <w:p w14:paraId="3B797EBD" w14:textId="77777777" w:rsidR="003C6A19" w:rsidRPr="004F469F" w:rsidRDefault="003C6A19" w:rsidP="003C6A19">
            <w:pPr>
              <w:jc w:val="center"/>
              <w:rPr>
                <w:sz w:val="20"/>
                <w:szCs w:val="20"/>
              </w:rPr>
            </w:pPr>
            <w:r w:rsidRPr="004F469F">
              <w:rPr>
                <w:sz w:val="20"/>
                <w:szCs w:val="20"/>
              </w:rPr>
              <w:t>10,873</w:t>
            </w:r>
          </w:p>
        </w:tc>
        <w:tc>
          <w:tcPr>
            <w:tcW w:w="361" w:type="pct"/>
            <w:tcBorders>
              <w:top w:val="nil"/>
              <w:left w:val="nil"/>
              <w:bottom w:val="single" w:sz="12" w:space="0" w:color="auto"/>
              <w:right w:val="single" w:sz="4" w:space="0" w:color="auto"/>
            </w:tcBorders>
            <w:shd w:val="clear" w:color="auto" w:fill="auto"/>
            <w:noWrap/>
            <w:vAlign w:val="center"/>
            <w:hideMark/>
          </w:tcPr>
          <w:p w14:paraId="3EFFE012" w14:textId="77777777" w:rsidR="003C6A19" w:rsidRPr="004F469F" w:rsidRDefault="003C6A19" w:rsidP="003C6A19">
            <w:pPr>
              <w:jc w:val="center"/>
              <w:rPr>
                <w:sz w:val="20"/>
                <w:szCs w:val="20"/>
              </w:rPr>
            </w:pPr>
            <w:r w:rsidRPr="004F469F">
              <w:rPr>
                <w:sz w:val="20"/>
                <w:szCs w:val="20"/>
              </w:rPr>
              <w:t>34.9</w:t>
            </w:r>
          </w:p>
        </w:tc>
        <w:tc>
          <w:tcPr>
            <w:tcW w:w="540" w:type="pct"/>
            <w:tcBorders>
              <w:top w:val="nil"/>
              <w:left w:val="nil"/>
              <w:bottom w:val="single" w:sz="12" w:space="0" w:color="auto"/>
              <w:right w:val="single" w:sz="4" w:space="0" w:color="auto"/>
            </w:tcBorders>
            <w:shd w:val="clear" w:color="auto" w:fill="auto"/>
            <w:noWrap/>
            <w:vAlign w:val="center"/>
            <w:hideMark/>
          </w:tcPr>
          <w:p w14:paraId="7943D572" w14:textId="77777777" w:rsidR="003C6A19" w:rsidRPr="004F469F" w:rsidRDefault="003C6A19" w:rsidP="003C6A19">
            <w:pPr>
              <w:jc w:val="center"/>
              <w:rPr>
                <w:sz w:val="20"/>
                <w:szCs w:val="20"/>
              </w:rPr>
            </w:pPr>
            <w:r w:rsidRPr="004F469F">
              <w:rPr>
                <w:sz w:val="20"/>
                <w:szCs w:val="20"/>
              </w:rPr>
              <w:t>23,698</w:t>
            </w:r>
          </w:p>
        </w:tc>
        <w:tc>
          <w:tcPr>
            <w:tcW w:w="420" w:type="pct"/>
            <w:tcBorders>
              <w:top w:val="nil"/>
              <w:left w:val="nil"/>
              <w:bottom w:val="single" w:sz="12" w:space="0" w:color="auto"/>
              <w:right w:val="single" w:sz="4" w:space="0" w:color="auto"/>
            </w:tcBorders>
            <w:shd w:val="clear" w:color="auto" w:fill="auto"/>
            <w:noWrap/>
            <w:vAlign w:val="center"/>
            <w:hideMark/>
          </w:tcPr>
          <w:p w14:paraId="3A607E7C" w14:textId="77777777" w:rsidR="003C6A19" w:rsidRPr="004F469F" w:rsidRDefault="003C6A19" w:rsidP="003C6A19">
            <w:pPr>
              <w:jc w:val="center"/>
              <w:rPr>
                <w:sz w:val="20"/>
                <w:szCs w:val="20"/>
              </w:rPr>
            </w:pPr>
            <w:r w:rsidRPr="004F469F">
              <w:rPr>
                <w:sz w:val="20"/>
                <w:szCs w:val="20"/>
              </w:rPr>
              <w:t>42.1</w:t>
            </w:r>
          </w:p>
        </w:tc>
        <w:tc>
          <w:tcPr>
            <w:tcW w:w="395" w:type="pct"/>
            <w:tcBorders>
              <w:top w:val="nil"/>
              <w:left w:val="nil"/>
              <w:bottom w:val="single" w:sz="12" w:space="0" w:color="auto"/>
              <w:right w:val="single" w:sz="4" w:space="0" w:color="auto"/>
            </w:tcBorders>
            <w:shd w:val="clear" w:color="auto" w:fill="auto"/>
            <w:noWrap/>
            <w:vAlign w:val="center"/>
            <w:hideMark/>
          </w:tcPr>
          <w:p w14:paraId="22E12F7E" w14:textId="77777777" w:rsidR="003C6A19" w:rsidRPr="004F469F" w:rsidRDefault="003C6A19" w:rsidP="003C6A19">
            <w:pPr>
              <w:jc w:val="center"/>
              <w:rPr>
                <w:sz w:val="20"/>
                <w:szCs w:val="20"/>
              </w:rPr>
            </w:pPr>
            <w:r w:rsidRPr="004F469F">
              <w:rPr>
                <w:sz w:val="20"/>
                <w:szCs w:val="20"/>
              </w:rPr>
              <w:t>82.6</w:t>
            </w:r>
          </w:p>
        </w:tc>
        <w:tc>
          <w:tcPr>
            <w:tcW w:w="402" w:type="pct"/>
            <w:tcBorders>
              <w:top w:val="nil"/>
              <w:left w:val="nil"/>
              <w:bottom w:val="single" w:sz="12" w:space="0" w:color="auto"/>
              <w:right w:val="single" w:sz="4" w:space="0" w:color="auto"/>
            </w:tcBorders>
            <w:shd w:val="clear" w:color="auto" w:fill="auto"/>
            <w:noWrap/>
            <w:vAlign w:val="center"/>
            <w:hideMark/>
          </w:tcPr>
          <w:p w14:paraId="33E7C373" w14:textId="77777777" w:rsidR="003C6A19" w:rsidRPr="004F469F" w:rsidRDefault="003C6A19" w:rsidP="003C6A19">
            <w:pPr>
              <w:jc w:val="center"/>
              <w:rPr>
                <w:sz w:val="20"/>
                <w:szCs w:val="20"/>
              </w:rPr>
            </w:pPr>
            <w:r w:rsidRPr="004F469F">
              <w:rPr>
                <w:sz w:val="20"/>
                <w:szCs w:val="20"/>
              </w:rPr>
              <w:t>30.1</w:t>
            </w:r>
          </w:p>
        </w:tc>
        <w:tc>
          <w:tcPr>
            <w:tcW w:w="541" w:type="pct"/>
            <w:tcBorders>
              <w:top w:val="nil"/>
              <w:left w:val="nil"/>
              <w:bottom w:val="single" w:sz="12" w:space="0" w:color="auto"/>
              <w:right w:val="single" w:sz="4" w:space="0" w:color="auto"/>
            </w:tcBorders>
            <w:shd w:val="clear" w:color="auto" w:fill="auto"/>
            <w:noWrap/>
            <w:vAlign w:val="center"/>
            <w:hideMark/>
          </w:tcPr>
          <w:p w14:paraId="5D41E1FA" w14:textId="77777777" w:rsidR="003C6A19" w:rsidRPr="004F469F" w:rsidRDefault="003C6A19" w:rsidP="003C6A19">
            <w:pPr>
              <w:jc w:val="center"/>
              <w:rPr>
                <w:sz w:val="20"/>
                <w:szCs w:val="20"/>
              </w:rPr>
            </w:pPr>
            <w:r w:rsidRPr="004F469F">
              <w:rPr>
                <w:sz w:val="20"/>
                <w:szCs w:val="20"/>
              </w:rPr>
              <w:t>41,431</w:t>
            </w:r>
          </w:p>
        </w:tc>
        <w:tc>
          <w:tcPr>
            <w:tcW w:w="420" w:type="pct"/>
            <w:tcBorders>
              <w:top w:val="nil"/>
              <w:left w:val="nil"/>
              <w:bottom w:val="single" w:sz="12" w:space="0" w:color="auto"/>
              <w:right w:val="single" w:sz="4" w:space="0" w:color="auto"/>
            </w:tcBorders>
            <w:shd w:val="clear" w:color="auto" w:fill="auto"/>
            <w:noWrap/>
            <w:vAlign w:val="center"/>
            <w:hideMark/>
          </w:tcPr>
          <w:p w14:paraId="43870D6F" w14:textId="77777777" w:rsidR="003C6A19" w:rsidRPr="004F469F" w:rsidRDefault="003C6A19" w:rsidP="003C6A19">
            <w:pPr>
              <w:jc w:val="center"/>
              <w:rPr>
                <w:sz w:val="20"/>
                <w:szCs w:val="20"/>
              </w:rPr>
            </w:pPr>
            <w:r w:rsidRPr="004F469F">
              <w:rPr>
                <w:sz w:val="20"/>
                <w:szCs w:val="20"/>
              </w:rPr>
              <w:t>18.5</w:t>
            </w:r>
          </w:p>
        </w:tc>
        <w:tc>
          <w:tcPr>
            <w:tcW w:w="395" w:type="pct"/>
            <w:tcBorders>
              <w:top w:val="nil"/>
              <w:left w:val="nil"/>
              <w:bottom w:val="single" w:sz="12" w:space="0" w:color="auto"/>
              <w:right w:val="single" w:sz="4" w:space="0" w:color="auto"/>
            </w:tcBorders>
            <w:shd w:val="clear" w:color="auto" w:fill="auto"/>
            <w:noWrap/>
            <w:vAlign w:val="center"/>
            <w:hideMark/>
          </w:tcPr>
          <w:p w14:paraId="2F1B3E75" w14:textId="77777777" w:rsidR="003C6A19" w:rsidRPr="004F469F" w:rsidRDefault="003C6A19" w:rsidP="003C6A19">
            <w:pPr>
              <w:jc w:val="center"/>
              <w:rPr>
                <w:sz w:val="20"/>
                <w:szCs w:val="20"/>
              </w:rPr>
            </w:pPr>
            <w:r w:rsidRPr="004F469F">
              <w:rPr>
                <w:sz w:val="20"/>
                <w:szCs w:val="20"/>
              </w:rPr>
              <w:t>43.7</w:t>
            </w:r>
          </w:p>
        </w:tc>
        <w:tc>
          <w:tcPr>
            <w:tcW w:w="399" w:type="pct"/>
            <w:tcBorders>
              <w:top w:val="nil"/>
              <w:left w:val="nil"/>
              <w:bottom w:val="single" w:sz="12" w:space="0" w:color="auto"/>
              <w:right w:val="single" w:sz="4" w:space="0" w:color="auto"/>
            </w:tcBorders>
            <w:shd w:val="clear" w:color="auto" w:fill="auto"/>
            <w:noWrap/>
            <w:vAlign w:val="center"/>
            <w:hideMark/>
          </w:tcPr>
          <w:p w14:paraId="4337CDE5" w14:textId="77777777" w:rsidR="003C6A19" w:rsidRPr="004F469F" w:rsidRDefault="003C6A19" w:rsidP="003C6A19">
            <w:pPr>
              <w:jc w:val="center"/>
              <w:rPr>
                <w:sz w:val="20"/>
                <w:szCs w:val="20"/>
              </w:rPr>
            </w:pPr>
            <w:r w:rsidRPr="004F469F">
              <w:rPr>
                <w:sz w:val="20"/>
                <w:szCs w:val="20"/>
              </w:rPr>
              <w:t>10.7</w:t>
            </w:r>
          </w:p>
        </w:tc>
      </w:tr>
      <w:tr w:rsidR="003C6A19" w:rsidRPr="004F469F" w14:paraId="6B62AA56" w14:textId="77777777" w:rsidTr="003C6A19">
        <w:trPr>
          <w:trHeight w:val="340"/>
        </w:trPr>
        <w:tc>
          <w:tcPr>
            <w:tcW w:w="512"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5D2EE90" w14:textId="533BDF4C" w:rsidR="003C6A19" w:rsidRPr="004F469F" w:rsidRDefault="003C6A19" w:rsidP="003C6A19">
            <w:pPr>
              <w:jc w:val="center"/>
              <w:rPr>
                <w:rFonts w:eastAsia="Arial Unicode MS"/>
                <w:sz w:val="20"/>
                <w:szCs w:val="20"/>
              </w:rPr>
            </w:pPr>
            <w:r w:rsidRPr="004F469F">
              <w:rPr>
                <w:rFonts w:eastAsia="Arial Unicode MS"/>
                <w:sz w:val="20"/>
                <w:szCs w:val="20"/>
              </w:rPr>
              <w:t>US</w:t>
            </w:r>
          </w:p>
        </w:tc>
        <w:tc>
          <w:tcPr>
            <w:tcW w:w="178" w:type="pct"/>
            <w:tcBorders>
              <w:top w:val="single" w:sz="12" w:space="0" w:color="auto"/>
              <w:left w:val="nil"/>
              <w:bottom w:val="single" w:sz="12" w:space="0" w:color="auto"/>
              <w:right w:val="single" w:sz="4" w:space="0" w:color="auto"/>
            </w:tcBorders>
            <w:shd w:val="clear" w:color="auto" w:fill="auto"/>
            <w:noWrap/>
            <w:vAlign w:val="center"/>
            <w:hideMark/>
          </w:tcPr>
          <w:p w14:paraId="6816EDBD" w14:textId="77777777" w:rsidR="003C6A19" w:rsidRPr="004F469F" w:rsidRDefault="003C6A19" w:rsidP="003C6A19">
            <w:pPr>
              <w:jc w:val="center"/>
              <w:rPr>
                <w:sz w:val="20"/>
                <w:szCs w:val="20"/>
              </w:rPr>
            </w:pPr>
            <w:r w:rsidRPr="004F469F">
              <w:rPr>
                <w:sz w:val="20"/>
                <w:szCs w:val="20"/>
              </w:rPr>
              <w:t>21</w:t>
            </w:r>
          </w:p>
        </w:tc>
        <w:tc>
          <w:tcPr>
            <w:tcW w:w="437" w:type="pct"/>
            <w:tcBorders>
              <w:top w:val="single" w:sz="12" w:space="0" w:color="auto"/>
              <w:left w:val="nil"/>
              <w:bottom w:val="single" w:sz="12" w:space="0" w:color="auto"/>
              <w:right w:val="single" w:sz="4" w:space="0" w:color="auto"/>
            </w:tcBorders>
            <w:shd w:val="clear" w:color="auto" w:fill="auto"/>
            <w:noWrap/>
            <w:vAlign w:val="center"/>
            <w:hideMark/>
          </w:tcPr>
          <w:p w14:paraId="52AB6D49" w14:textId="77777777" w:rsidR="003C6A19" w:rsidRPr="004F469F" w:rsidRDefault="003C6A19" w:rsidP="003C6A19">
            <w:pPr>
              <w:jc w:val="center"/>
              <w:rPr>
                <w:sz w:val="20"/>
                <w:szCs w:val="20"/>
              </w:rPr>
            </w:pPr>
            <w:r w:rsidRPr="004F469F">
              <w:rPr>
                <w:sz w:val="20"/>
                <w:szCs w:val="20"/>
              </w:rPr>
              <w:t>8,848</w:t>
            </w:r>
          </w:p>
        </w:tc>
        <w:tc>
          <w:tcPr>
            <w:tcW w:w="361" w:type="pct"/>
            <w:tcBorders>
              <w:top w:val="single" w:sz="12" w:space="0" w:color="auto"/>
              <w:left w:val="nil"/>
              <w:bottom w:val="single" w:sz="12" w:space="0" w:color="auto"/>
              <w:right w:val="single" w:sz="4" w:space="0" w:color="auto"/>
            </w:tcBorders>
            <w:shd w:val="clear" w:color="auto" w:fill="auto"/>
            <w:noWrap/>
            <w:vAlign w:val="center"/>
            <w:hideMark/>
          </w:tcPr>
          <w:p w14:paraId="158C6C81" w14:textId="77777777" w:rsidR="003C6A19" w:rsidRPr="004F469F" w:rsidRDefault="003C6A19" w:rsidP="003C6A19">
            <w:pPr>
              <w:jc w:val="center"/>
              <w:rPr>
                <w:sz w:val="20"/>
                <w:szCs w:val="20"/>
              </w:rPr>
            </w:pPr>
            <w:r w:rsidRPr="004F469F">
              <w:rPr>
                <w:sz w:val="20"/>
                <w:szCs w:val="20"/>
              </w:rPr>
              <w:t>70.6</w:t>
            </w:r>
          </w:p>
        </w:tc>
        <w:tc>
          <w:tcPr>
            <w:tcW w:w="540" w:type="pct"/>
            <w:tcBorders>
              <w:top w:val="single" w:sz="12" w:space="0" w:color="auto"/>
              <w:left w:val="nil"/>
              <w:bottom w:val="single" w:sz="12" w:space="0" w:color="auto"/>
              <w:right w:val="single" w:sz="4" w:space="0" w:color="auto"/>
            </w:tcBorders>
            <w:shd w:val="clear" w:color="auto" w:fill="auto"/>
            <w:noWrap/>
            <w:vAlign w:val="center"/>
            <w:hideMark/>
          </w:tcPr>
          <w:p w14:paraId="472B4251" w14:textId="77777777" w:rsidR="003C6A19" w:rsidRPr="004F469F" w:rsidRDefault="003C6A19" w:rsidP="003C6A19">
            <w:pPr>
              <w:jc w:val="center"/>
              <w:rPr>
                <w:sz w:val="20"/>
                <w:szCs w:val="20"/>
              </w:rPr>
            </w:pPr>
            <w:r w:rsidRPr="004F469F">
              <w:rPr>
                <w:sz w:val="20"/>
                <w:szCs w:val="20"/>
              </w:rPr>
              <w:t>19,534</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619BF2C4" w14:textId="77777777" w:rsidR="003C6A19" w:rsidRPr="004F469F" w:rsidRDefault="003C6A19" w:rsidP="003C6A19">
            <w:pPr>
              <w:jc w:val="center"/>
              <w:rPr>
                <w:sz w:val="20"/>
                <w:szCs w:val="20"/>
              </w:rPr>
            </w:pPr>
            <w:r w:rsidRPr="004F469F">
              <w:rPr>
                <w:sz w:val="20"/>
                <w:szCs w:val="20"/>
              </w:rPr>
              <w:t>43</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36BD4523" w14:textId="77777777" w:rsidR="003C6A19" w:rsidRPr="004F469F" w:rsidRDefault="003C6A19" w:rsidP="003C6A19">
            <w:pPr>
              <w:jc w:val="center"/>
              <w:rPr>
                <w:sz w:val="20"/>
                <w:szCs w:val="20"/>
              </w:rPr>
            </w:pPr>
            <w:r w:rsidRPr="004F469F">
              <w:rPr>
                <w:sz w:val="20"/>
                <w:szCs w:val="20"/>
              </w:rPr>
              <w:t>82.5</w:t>
            </w:r>
          </w:p>
        </w:tc>
        <w:tc>
          <w:tcPr>
            <w:tcW w:w="402" w:type="pct"/>
            <w:tcBorders>
              <w:top w:val="single" w:sz="12" w:space="0" w:color="auto"/>
              <w:left w:val="nil"/>
              <w:bottom w:val="single" w:sz="12" w:space="0" w:color="auto"/>
              <w:right w:val="single" w:sz="4" w:space="0" w:color="auto"/>
            </w:tcBorders>
            <w:shd w:val="clear" w:color="auto" w:fill="auto"/>
            <w:noWrap/>
            <w:vAlign w:val="center"/>
            <w:hideMark/>
          </w:tcPr>
          <w:p w14:paraId="161213D4" w14:textId="77777777" w:rsidR="003C6A19" w:rsidRPr="004F469F" w:rsidRDefault="003C6A19" w:rsidP="003C6A19">
            <w:pPr>
              <w:jc w:val="center"/>
              <w:rPr>
                <w:sz w:val="20"/>
                <w:szCs w:val="20"/>
              </w:rPr>
            </w:pPr>
            <w:r w:rsidRPr="004F469F">
              <w:rPr>
                <w:sz w:val="20"/>
                <w:szCs w:val="20"/>
              </w:rPr>
              <w:t>34.6</w:t>
            </w:r>
          </w:p>
        </w:tc>
        <w:tc>
          <w:tcPr>
            <w:tcW w:w="541" w:type="pct"/>
            <w:tcBorders>
              <w:top w:val="single" w:sz="12" w:space="0" w:color="auto"/>
              <w:left w:val="nil"/>
              <w:bottom w:val="single" w:sz="12" w:space="0" w:color="auto"/>
              <w:right w:val="single" w:sz="4" w:space="0" w:color="auto"/>
            </w:tcBorders>
            <w:shd w:val="clear" w:color="auto" w:fill="auto"/>
            <w:noWrap/>
            <w:vAlign w:val="center"/>
            <w:hideMark/>
          </w:tcPr>
          <w:p w14:paraId="4E8F63C3" w14:textId="77777777" w:rsidR="003C6A19" w:rsidRPr="004F469F" w:rsidRDefault="003C6A19" w:rsidP="003C6A19">
            <w:pPr>
              <w:jc w:val="center"/>
              <w:rPr>
                <w:sz w:val="20"/>
                <w:szCs w:val="20"/>
              </w:rPr>
            </w:pPr>
            <w:r w:rsidRPr="004F469F">
              <w:rPr>
                <w:sz w:val="20"/>
                <w:szCs w:val="20"/>
              </w:rPr>
              <w:t>40,943</w:t>
            </w:r>
          </w:p>
        </w:tc>
        <w:tc>
          <w:tcPr>
            <w:tcW w:w="420" w:type="pct"/>
            <w:tcBorders>
              <w:top w:val="single" w:sz="12" w:space="0" w:color="auto"/>
              <w:left w:val="nil"/>
              <w:bottom w:val="single" w:sz="12" w:space="0" w:color="auto"/>
              <w:right w:val="single" w:sz="4" w:space="0" w:color="auto"/>
            </w:tcBorders>
            <w:shd w:val="clear" w:color="auto" w:fill="auto"/>
            <w:noWrap/>
            <w:vAlign w:val="center"/>
            <w:hideMark/>
          </w:tcPr>
          <w:p w14:paraId="6DF30F12" w14:textId="77777777" w:rsidR="003C6A19" w:rsidRPr="004F469F" w:rsidRDefault="003C6A19" w:rsidP="003C6A19">
            <w:pPr>
              <w:jc w:val="center"/>
              <w:rPr>
                <w:sz w:val="20"/>
                <w:szCs w:val="20"/>
              </w:rPr>
            </w:pPr>
            <w:r w:rsidRPr="004F469F">
              <w:rPr>
                <w:sz w:val="20"/>
                <w:szCs w:val="20"/>
              </w:rPr>
              <w:t>27.3</w:t>
            </w:r>
          </w:p>
        </w:tc>
        <w:tc>
          <w:tcPr>
            <w:tcW w:w="395" w:type="pct"/>
            <w:tcBorders>
              <w:top w:val="single" w:sz="12" w:space="0" w:color="auto"/>
              <w:left w:val="nil"/>
              <w:bottom w:val="single" w:sz="12" w:space="0" w:color="auto"/>
              <w:right w:val="single" w:sz="4" w:space="0" w:color="auto"/>
            </w:tcBorders>
            <w:shd w:val="clear" w:color="auto" w:fill="auto"/>
            <w:noWrap/>
            <w:vAlign w:val="center"/>
            <w:hideMark/>
          </w:tcPr>
          <w:p w14:paraId="20962093" w14:textId="77777777" w:rsidR="003C6A19" w:rsidRPr="004F469F" w:rsidRDefault="003C6A19" w:rsidP="003C6A19">
            <w:pPr>
              <w:jc w:val="center"/>
              <w:rPr>
                <w:sz w:val="20"/>
                <w:szCs w:val="20"/>
              </w:rPr>
            </w:pPr>
            <w:r w:rsidRPr="004F469F">
              <w:rPr>
                <w:sz w:val="20"/>
                <w:szCs w:val="20"/>
              </w:rPr>
              <w:t>42.5</w:t>
            </w:r>
          </w:p>
        </w:tc>
        <w:tc>
          <w:tcPr>
            <w:tcW w:w="399" w:type="pct"/>
            <w:tcBorders>
              <w:top w:val="single" w:sz="12" w:space="0" w:color="auto"/>
              <w:left w:val="nil"/>
              <w:bottom w:val="single" w:sz="12" w:space="0" w:color="auto"/>
              <w:right w:val="single" w:sz="4" w:space="0" w:color="auto"/>
            </w:tcBorders>
            <w:shd w:val="clear" w:color="auto" w:fill="auto"/>
            <w:noWrap/>
            <w:vAlign w:val="center"/>
            <w:hideMark/>
          </w:tcPr>
          <w:p w14:paraId="3A6C64C5" w14:textId="77777777" w:rsidR="003C6A19" w:rsidRPr="004F469F" w:rsidRDefault="003C6A19" w:rsidP="003C6A19">
            <w:pPr>
              <w:jc w:val="center"/>
              <w:rPr>
                <w:sz w:val="20"/>
                <w:szCs w:val="20"/>
              </w:rPr>
            </w:pPr>
            <w:r w:rsidRPr="004F469F">
              <w:rPr>
                <w:sz w:val="20"/>
                <w:szCs w:val="20"/>
              </w:rPr>
              <w:t>16.8</w:t>
            </w:r>
          </w:p>
        </w:tc>
      </w:tr>
    </w:tbl>
    <w:p w14:paraId="7A213DD5" w14:textId="3AECF3F8" w:rsidR="00A967F3" w:rsidRPr="004F469F" w:rsidRDefault="00A967F3" w:rsidP="005C4E5F">
      <w:pPr>
        <w:spacing w:after="120" w:line="480" w:lineRule="auto"/>
        <w:rPr>
          <w:sz w:val="20"/>
          <w:szCs w:val="20"/>
        </w:rPr>
      </w:pPr>
    </w:p>
    <w:p w14:paraId="49151215" w14:textId="083694C5" w:rsidR="00A967F3" w:rsidRPr="004F469F" w:rsidRDefault="00A967F3" w:rsidP="005C4E5F">
      <w:pPr>
        <w:spacing w:after="120" w:line="480" w:lineRule="auto"/>
        <w:rPr>
          <w:sz w:val="20"/>
          <w:szCs w:val="20"/>
        </w:rPr>
        <w:sectPr w:rsidR="00A967F3" w:rsidRPr="004F469F" w:rsidSect="003C6A19">
          <w:pgSz w:w="15840" w:h="12240" w:orient="landscape"/>
          <w:pgMar w:top="1440" w:right="1440" w:bottom="1440" w:left="1440" w:header="720" w:footer="720" w:gutter="0"/>
          <w:cols w:space="720"/>
          <w:docGrid w:linePitch="360"/>
        </w:sectPr>
      </w:pPr>
    </w:p>
    <w:p w14:paraId="1266159D" w14:textId="52262DF0" w:rsidR="003C6A19" w:rsidRPr="004F469F" w:rsidRDefault="003C6A19" w:rsidP="003C6A19">
      <w:pPr>
        <w:pStyle w:val="Caption"/>
        <w:keepNext/>
        <w:rPr>
          <w:rFonts w:ascii="Times New Roman" w:hAnsi="Times New Roman" w:cs="Times New Roman"/>
          <w:i w:val="0"/>
          <w:iCs w:val="0"/>
          <w:color w:val="auto"/>
          <w:sz w:val="24"/>
          <w:szCs w:val="24"/>
        </w:rPr>
      </w:pPr>
      <w:bookmarkStart w:id="37" w:name="_Toc22034994"/>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6</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Characteristics of all near-misses from 1995 to 2016. Characteristics include the date (DATE) and location (LOCATION) of the tornado, its magnitude on the EF scale (MAG), tornado footprint area (AREA) in km</w:t>
      </w:r>
      <w:r w:rsidRPr="002D58BB">
        <w:rPr>
          <w:rFonts w:ascii="Times New Roman" w:eastAsiaTheme="minorHAnsi" w:hAnsi="Times New Roman" w:cs="Times New Roman"/>
          <w:i w:val="0"/>
          <w:iCs w:val="0"/>
          <w:color w:val="auto"/>
          <w:sz w:val="24"/>
          <w:szCs w:val="24"/>
          <w:vertAlign w:val="superscript"/>
        </w:rPr>
        <w:t>2</w:t>
      </w:r>
      <w:r w:rsidRPr="004F469F">
        <w:rPr>
          <w:rFonts w:ascii="Times New Roman" w:eastAsiaTheme="minorHAnsi" w:hAnsi="Times New Roman" w:cs="Times New Roman"/>
          <w:i w:val="0"/>
          <w:iCs w:val="0"/>
          <w:color w:val="auto"/>
          <w:sz w:val="24"/>
          <w:szCs w:val="24"/>
        </w:rPr>
        <w:t>, fatalities (FAT), persons exposed (OBS), median (</w:t>
      </w:r>
      <w:r w:rsidRPr="004F469F">
        <w:rPr>
          <w:rFonts w:ascii="Times New Roman" w:eastAsiaTheme="minorHAnsi" w:hAnsi="Times New Roman" w:cs="Times New Roman"/>
          <w:i w:val="0"/>
          <w:iCs w:val="0"/>
          <w:color w:val="auto"/>
          <w:sz w:val="24"/>
          <w:szCs w:val="24"/>
          <w:u w:val="single"/>
        </w:rPr>
        <w:t>PPEMED</w:t>
      </w:r>
      <w:r w:rsidRPr="004F469F">
        <w:rPr>
          <w:rFonts w:ascii="Times New Roman" w:eastAsiaTheme="minorHAnsi" w:hAnsi="Times New Roman" w:cs="Times New Roman"/>
          <w:i w:val="0"/>
          <w:iCs w:val="0"/>
          <w:color w:val="auto"/>
          <w:sz w:val="24"/>
          <w:szCs w:val="24"/>
        </w:rPr>
        <w:t>) and maximum (</w:t>
      </w:r>
      <w:r w:rsidRPr="004F469F">
        <w:rPr>
          <w:rFonts w:ascii="Times New Roman" w:eastAsiaTheme="minorHAnsi" w:hAnsi="Times New Roman" w:cs="Times New Roman"/>
          <w:i w:val="0"/>
          <w:iCs w:val="0"/>
          <w:color w:val="auto"/>
          <w:sz w:val="24"/>
          <w:szCs w:val="24"/>
          <w:u w:val="single"/>
        </w:rPr>
        <w:t>PPEMAX</w:t>
      </w:r>
      <w:r w:rsidRPr="004F469F">
        <w:rPr>
          <w:rFonts w:ascii="Times New Roman" w:eastAsiaTheme="minorHAnsi" w:hAnsi="Times New Roman" w:cs="Times New Roman"/>
          <w:i w:val="0"/>
          <w:iCs w:val="0"/>
          <w:color w:val="auto"/>
          <w:sz w:val="24"/>
          <w:szCs w:val="24"/>
        </w:rPr>
        <w:t>) persons potentially exposed, and the probability that the persons potentially exposed exceeds the persons exposed (</w:t>
      </w:r>
      <w:r w:rsidRPr="004F469F">
        <w:rPr>
          <w:rFonts w:ascii="Times New Roman" w:eastAsiaTheme="minorHAnsi" w:hAnsi="Times New Roman" w:cs="Times New Roman"/>
          <w:i w:val="0"/>
          <w:iCs w:val="0"/>
          <w:color w:val="auto"/>
          <w:sz w:val="24"/>
          <w:szCs w:val="24"/>
          <w:u w:val="single"/>
        </w:rPr>
        <w:t>EPOBS</w:t>
      </w:r>
      <w:r w:rsidRPr="004F469F">
        <w:rPr>
          <w:rFonts w:ascii="Times New Roman" w:eastAsiaTheme="minorHAnsi" w:hAnsi="Times New Roman" w:cs="Times New Roman"/>
          <w:i w:val="0"/>
          <w:iCs w:val="0"/>
          <w:color w:val="auto"/>
          <w:sz w:val="24"/>
          <w:szCs w:val="24"/>
        </w:rPr>
        <w:t>), or 5,000 persons (</w:t>
      </w:r>
      <w:r w:rsidRPr="004F469F">
        <w:rPr>
          <w:rFonts w:ascii="Times New Roman" w:eastAsiaTheme="minorHAnsi" w:hAnsi="Times New Roman" w:cs="Times New Roman"/>
          <w:i w:val="0"/>
          <w:iCs w:val="0"/>
          <w:color w:val="auto"/>
          <w:sz w:val="24"/>
          <w:szCs w:val="24"/>
          <w:u w:val="single"/>
        </w:rPr>
        <w:t>EP5K</w:t>
      </w:r>
      <w:r w:rsidRPr="004F469F">
        <w:rPr>
          <w:rFonts w:ascii="Times New Roman" w:eastAsiaTheme="minorHAnsi" w:hAnsi="Times New Roman" w:cs="Times New Roman"/>
          <w:i w:val="0"/>
          <w:iCs w:val="0"/>
          <w:color w:val="auto"/>
          <w:sz w:val="24"/>
          <w:szCs w:val="24"/>
        </w:rPr>
        <w:t>) within 10 km. Table is sorted by the probability that the near-miss would have been a hit. Bolded rows have a maximum potential exposure (within 10 km) of 20,000 persons or more.</w:t>
      </w:r>
      <w:bookmarkEnd w:id="37"/>
    </w:p>
    <w:tbl>
      <w:tblPr>
        <w:tblW w:w="0" w:type="auto"/>
        <w:tblLook w:val="04A0" w:firstRow="1" w:lastRow="0" w:firstColumn="1" w:lastColumn="0" w:noHBand="0" w:noVBand="1"/>
      </w:tblPr>
      <w:tblGrid>
        <w:gridCol w:w="1305"/>
        <w:gridCol w:w="2899"/>
        <w:gridCol w:w="683"/>
        <w:gridCol w:w="761"/>
        <w:gridCol w:w="594"/>
        <w:gridCol w:w="666"/>
        <w:gridCol w:w="1006"/>
        <w:gridCol w:w="1028"/>
        <w:gridCol w:w="839"/>
        <w:gridCol w:w="694"/>
        <w:gridCol w:w="794"/>
      </w:tblGrid>
      <w:tr w:rsidR="00494669" w:rsidRPr="004F469F" w14:paraId="6AC8B838" w14:textId="77777777" w:rsidTr="003C6A19">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9F586" w14:textId="77777777" w:rsidR="003C6A19" w:rsidRPr="004F469F" w:rsidRDefault="003C6A19" w:rsidP="003C6A19">
            <w:pPr>
              <w:jc w:val="center"/>
              <w:rPr>
                <w:rFonts w:eastAsia="Arial Unicode MS"/>
                <w:sz w:val="20"/>
                <w:szCs w:val="20"/>
              </w:rPr>
            </w:pPr>
            <w:r w:rsidRPr="004F469F">
              <w:rPr>
                <w:rFonts w:eastAsia="Arial Unicode MS"/>
                <w:sz w:val="20"/>
                <w:szCs w:val="20"/>
              </w:rPr>
              <w:t>DATE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ACE148" w14:textId="77777777" w:rsidR="003C6A19" w:rsidRPr="004F469F" w:rsidRDefault="003C6A19" w:rsidP="003C6A19">
            <w:pPr>
              <w:jc w:val="center"/>
              <w:rPr>
                <w:sz w:val="20"/>
                <w:szCs w:val="20"/>
              </w:rPr>
            </w:pPr>
            <w:r w:rsidRPr="004F469F">
              <w:rPr>
                <w:sz w:val="20"/>
                <w:szCs w:val="20"/>
              </w:rPr>
              <w:t>LOCATION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4B6B90" w14:textId="77777777" w:rsidR="003C6A19" w:rsidRPr="004F469F" w:rsidRDefault="003C6A19" w:rsidP="003C6A19">
            <w:pPr>
              <w:jc w:val="center"/>
              <w:rPr>
                <w:sz w:val="20"/>
                <w:szCs w:val="20"/>
              </w:rPr>
            </w:pPr>
            <w:r w:rsidRPr="004F469F">
              <w:rPr>
                <w:sz w:val="20"/>
                <w:szCs w:val="20"/>
              </w:rPr>
              <w:t>MAG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6A3613" w14:textId="77777777" w:rsidR="003C6A19" w:rsidRPr="004F469F" w:rsidRDefault="003C6A19" w:rsidP="003C6A19">
            <w:pPr>
              <w:jc w:val="center"/>
              <w:rPr>
                <w:sz w:val="20"/>
                <w:szCs w:val="20"/>
              </w:rPr>
            </w:pPr>
            <w:r w:rsidRPr="004F469F">
              <w:rPr>
                <w:sz w:val="20"/>
                <w:szCs w:val="20"/>
              </w:rPr>
              <w:t>AREA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EA94AAC" w14:textId="77777777" w:rsidR="003C6A19" w:rsidRPr="004F469F" w:rsidRDefault="003C6A19" w:rsidP="003C6A19">
            <w:pPr>
              <w:jc w:val="center"/>
              <w:rPr>
                <w:sz w:val="20"/>
                <w:szCs w:val="20"/>
              </w:rPr>
            </w:pPr>
            <w:r w:rsidRPr="004F469F">
              <w:rPr>
                <w:sz w:val="20"/>
                <w:szCs w:val="20"/>
              </w:rPr>
              <w:t>FAT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A2852C" w14:textId="77777777" w:rsidR="003C6A19" w:rsidRPr="004F469F" w:rsidRDefault="003C6A19" w:rsidP="003C6A19">
            <w:pPr>
              <w:jc w:val="center"/>
              <w:rPr>
                <w:sz w:val="20"/>
                <w:szCs w:val="20"/>
              </w:rPr>
            </w:pPr>
            <w:r w:rsidRPr="004F469F">
              <w:rPr>
                <w:sz w:val="20"/>
                <w:szCs w:val="20"/>
              </w:rPr>
              <w:t>OBS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DBB6E9" w14:textId="77777777" w:rsidR="003C6A19" w:rsidRPr="004F469F" w:rsidRDefault="003C6A19" w:rsidP="003C6A19">
            <w:pPr>
              <w:jc w:val="center"/>
              <w:rPr>
                <w:sz w:val="20"/>
                <w:szCs w:val="20"/>
              </w:rPr>
            </w:pPr>
            <w:r w:rsidRPr="004F469F">
              <w:rPr>
                <w:sz w:val="20"/>
                <w:szCs w:val="20"/>
              </w:rPr>
              <w:t>PPEMED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04DEE3" w14:textId="77777777" w:rsidR="003C6A19" w:rsidRPr="004F469F" w:rsidRDefault="003C6A19" w:rsidP="003C6A19">
            <w:pPr>
              <w:jc w:val="center"/>
              <w:rPr>
                <w:sz w:val="20"/>
                <w:szCs w:val="20"/>
              </w:rPr>
            </w:pPr>
            <w:r w:rsidRPr="004F469F">
              <w:rPr>
                <w:sz w:val="20"/>
                <w:szCs w:val="20"/>
              </w:rPr>
              <w:t>PPEMAX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E786ED" w14:textId="77777777" w:rsidR="003C6A19" w:rsidRPr="004F469F" w:rsidRDefault="003C6A19" w:rsidP="003C6A19">
            <w:pPr>
              <w:jc w:val="center"/>
              <w:rPr>
                <w:sz w:val="20"/>
                <w:szCs w:val="20"/>
              </w:rPr>
            </w:pPr>
            <w:r w:rsidRPr="004F469F">
              <w:rPr>
                <w:sz w:val="20"/>
                <w:szCs w:val="20"/>
              </w:rPr>
              <w:t>EPOBS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E30117C" w14:textId="77777777" w:rsidR="003C6A19" w:rsidRPr="004F469F" w:rsidRDefault="003C6A19" w:rsidP="003C6A19">
            <w:pPr>
              <w:jc w:val="center"/>
              <w:rPr>
                <w:sz w:val="20"/>
                <w:szCs w:val="20"/>
              </w:rPr>
            </w:pPr>
            <w:r w:rsidRPr="004F469F">
              <w:rPr>
                <w:sz w:val="20"/>
                <w:szCs w:val="20"/>
              </w:rPr>
              <w:t>EP5K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1B7E4A" w14:textId="77777777" w:rsidR="003C6A19" w:rsidRPr="004F469F" w:rsidRDefault="003C6A19" w:rsidP="003C6A19">
            <w:pPr>
              <w:jc w:val="center"/>
              <w:rPr>
                <w:sz w:val="20"/>
                <w:szCs w:val="20"/>
              </w:rPr>
            </w:pPr>
            <w:r w:rsidRPr="004F469F">
              <w:rPr>
                <w:sz w:val="20"/>
                <w:szCs w:val="20"/>
              </w:rPr>
              <w:t>EP20K</w:t>
            </w:r>
          </w:p>
        </w:tc>
      </w:tr>
      <w:tr w:rsidR="00494669" w:rsidRPr="004F469F" w14:paraId="7962415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50264B" w14:textId="77777777" w:rsidR="003C6A19" w:rsidRPr="004F469F" w:rsidRDefault="003C6A19" w:rsidP="003C6A19">
            <w:pPr>
              <w:jc w:val="center"/>
              <w:rPr>
                <w:rFonts w:eastAsia="Arial Unicode MS"/>
                <w:sz w:val="20"/>
                <w:szCs w:val="20"/>
              </w:rPr>
            </w:pPr>
            <w:r w:rsidRPr="004F469F">
              <w:rPr>
                <w:rFonts w:eastAsia="Arial Unicode MS"/>
                <w:sz w:val="20"/>
                <w:szCs w:val="20"/>
              </w:rPr>
              <w:t>10 May 2008</w:t>
            </w:r>
          </w:p>
        </w:tc>
        <w:tc>
          <w:tcPr>
            <w:tcW w:w="0" w:type="auto"/>
            <w:tcBorders>
              <w:top w:val="nil"/>
              <w:left w:val="nil"/>
              <w:bottom w:val="single" w:sz="4" w:space="0" w:color="auto"/>
              <w:right w:val="single" w:sz="4" w:space="0" w:color="auto"/>
            </w:tcBorders>
            <w:shd w:val="clear" w:color="auto" w:fill="auto"/>
            <w:noWrap/>
            <w:vAlign w:val="center"/>
            <w:hideMark/>
          </w:tcPr>
          <w:p w14:paraId="6AD9DF17" w14:textId="78FBB755" w:rsidR="003C6A19" w:rsidRPr="004F469F" w:rsidRDefault="003C6A19" w:rsidP="003C6A19">
            <w:pPr>
              <w:jc w:val="center"/>
              <w:rPr>
                <w:sz w:val="20"/>
                <w:szCs w:val="20"/>
              </w:rPr>
            </w:pPr>
            <w:r w:rsidRPr="004F469F">
              <w:rPr>
                <w:sz w:val="20"/>
                <w:szCs w:val="20"/>
              </w:rPr>
              <w:t>Picher, OK</w:t>
            </w:r>
          </w:p>
        </w:tc>
        <w:tc>
          <w:tcPr>
            <w:tcW w:w="0" w:type="auto"/>
            <w:tcBorders>
              <w:top w:val="nil"/>
              <w:left w:val="nil"/>
              <w:bottom w:val="single" w:sz="4" w:space="0" w:color="auto"/>
              <w:right w:val="single" w:sz="4" w:space="0" w:color="auto"/>
            </w:tcBorders>
            <w:shd w:val="clear" w:color="auto" w:fill="auto"/>
            <w:noWrap/>
            <w:vAlign w:val="center"/>
            <w:hideMark/>
          </w:tcPr>
          <w:p w14:paraId="43505903"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7C73920A" w14:textId="77777777" w:rsidR="003C6A19" w:rsidRPr="004F469F" w:rsidRDefault="003C6A19" w:rsidP="003C6A19">
            <w:pPr>
              <w:jc w:val="center"/>
              <w:rPr>
                <w:sz w:val="20"/>
                <w:szCs w:val="20"/>
              </w:rPr>
            </w:pPr>
            <w:r w:rsidRPr="004F469F">
              <w:rPr>
                <w:sz w:val="20"/>
                <w:szCs w:val="20"/>
              </w:rPr>
              <w:t>195.6</w:t>
            </w:r>
          </w:p>
        </w:tc>
        <w:tc>
          <w:tcPr>
            <w:tcW w:w="0" w:type="auto"/>
            <w:tcBorders>
              <w:top w:val="nil"/>
              <w:left w:val="nil"/>
              <w:bottom w:val="single" w:sz="4" w:space="0" w:color="auto"/>
              <w:right w:val="single" w:sz="4" w:space="0" w:color="auto"/>
            </w:tcBorders>
            <w:shd w:val="clear" w:color="auto" w:fill="auto"/>
            <w:noWrap/>
            <w:vAlign w:val="center"/>
            <w:hideMark/>
          </w:tcPr>
          <w:p w14:paraId="78B6948C" w14:textId="77777777" w:rsidR="003C6A19" w:rsidRPr="004F469F" w:rsidRDefault="003C6A19" w:rsidP="003C6A19">
            <w:pPr>
              <w:jc w:val="center"/>
              <w:rPr>
                <w:sz w:val="20"/>
                <w:szCs w:val="20"/>
              </w:rPr>
            </w:pPr>
            <w:r w:rsidRPr="004F469F">
              <w:rPr>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0F6DB613" w14:textId="77777777" w:rsidR="003C6A19" w:rsidRPr="004F469F" w:rsidRDefault="003C6A19" w:rsidP="003C6A19">
            <w:pPr>
              <w:jc w:val="center"/>
              <w:rPr>
                <w:sz w:val="20"/>
                <w:szCs w:val="20"/>
              </w:rPr>
            </w:pPr>
            <w:r w:rsidRPr="004F469F">
              <w:rPr>
                <w:sz w:val="20"/>
                <w:szCs w:val="20"/>
              </w:rPr>
              <w:t>3,076</w:t>
            </w:r>
          </w:p>
        </w:tc>
        <w:tc>
          <w:tcPr>
            <w:tcW w:w="0" w:type="auto"/>
            <w:tcBorders>
              <w:top w:val="nil"/>
              <w:left w:val="nil"/>
              <w:bottom w:val="single" w:sz="4" w:space="0" w:color="auto"/>
              <w:right w:val="single" w:sz="4" w:space="0" w:color="auto"/>
            </w:tcBorders>
            <w:shd w:val="clear" w:color="auto" w:fill="auto"/>
            <w:noWrap/>
            <w:vAlign w:val="center"/>
            <w:hideMark/>
          </w:tcPr>
          <w:p w14:paraId="7EEEAA13" w14:textId="77777777" w:rsidR="003C6A19" w:rsidRPr="004F469F" w:rsidRDefault="003C6A19" w:rsidP="003C6A19">
            <w:pPr>
              <w:jc w:val="center"/>
              <w:rPr>
                <w:sz w:val="20"/>
                <w:szCs w:val="20"/>
              </w:rPr>
            </w:pPr>
            <w:r w:rsidRPr="004F469F">
              <w:rPr>
                <w:sz w:val="20"/>
                <w:szCs w:val="20"/>
              </w:rPr>
              <w:t>4,651</w:t>
            </w:r>
          </w:p>
        </w:tc>
        <w:tc>
          <w:tcPr>
            <w:tcW w:w="0" w:type="auto"/>
            <w:tcBorders>
              <w:top w:val="nil"/>
              <w:left w:val="nil"/>
              <w:bottom w:val="single" w:sz="4" w:space="0" w:color="auto"/>
              <w:right w:val="single" w:sz="4" w:space="0" w:color="auto"/>
            </w:tcBorders>
            <w:shd w:val="clear" w:color="auto" w:fill="auto"/>
            <w:noWrap/>
            <w:vAlign w:val="center"/>
            <w:hideMark/>
          </w:tcPr>
          <w:p w14:paraId="24FF9D6E" w14:textId="77777777" w:rsidR="003C6A19" w:rsidRPr="004F469F" w:rsidRDefault="003C6A19" w:rsidP="003C6A19">
            <w:pPr>
              <w:jc w:val="center"/>
              <w:rPr>
                <w:sz w:val="20"/>
                <w:szCs w:val="20"/>
              </w:rPr>
            </w:pPr>
            <w:r w:rsidRPr="004F469F">
              <w:rPr>
                <w:sz w:val="20"/>
                <w:szCs w:val="20"/>
              </w:rPr>
              <w:t>10,888</w:t>
            </w:r>
          </w:p>
        </w:tc>
        <w:tc>
          <w:tcPr>
            <w:tcW w:w="0" w:type="auto"/>
            <w:tcBorders>
              <w:top w:val="nil"/>
              <w:left w:val="nil"/>
              <w:bottom w:val="single" w:sz="4" w:space="0" w:color="auto"/>
              <w:right w:val="single" w:sz="4" w:space="0" w:color="auto"/>
            </w:tcBorders>
            <w:shd w:val="clear" w:color="auto" w:fill="auto"/>
            <w:noWrap/>
            <w:vAlign w:val="center"/>
            <w:hideMark/>
          </w:tcPr>
          <w:p w14:paraId="7D47489E" w14:textId="77777777" w:rsidR="003C6A19" w:rsidRPr="004F469F" w:rsidRDefault="003C6A19" w:rsidP="003C6A19">
            <w:pPr>
              <w:jc w:val="center"/>
              <w:rPr>
                <w:sz w:val="20"/>
                <w:szCs w:val="20"/>
              </w:rPr>
            </w:pPr>
            <w:r w:rsidRPr="004F469F">
              <w:rPr>
                <w:sz w:val="20"/>
                <w:szCs w:val="20"/>
              </w:rPr>
              <w:t>87.8</w:t>
            </w:r>
          </w:p>
        </w:tc>
        <w:tc>
          <w:tcPr>
            <w:tcW w:w="0" w:type="auto"/>
            <w:tcBorders>
              <w:top w:val="nil"/>
              <w:left w:val="nil"/>
              <w:bottom w:val="single" w:sz="4" w:space="0" w:color="auto"/>
              <w:right w:val="single" w:sz="4" w:space="0" w:color="auto"/>
            </w:tcBorders>
            <w:shd w:val="clear" w:color="auto" w:fill="auto"/>
            <w:noWrap/>
            <w:vAlign w:val="center"/>
            <w:hideMark/>
          </w:tcPr>
          <w:p w14:paraId="32B9D66D" w14:textId="77777777" w:rsidR="003C6A19" w:rsidRPr="004F469F" w:rsidRDefault="003C6A19" w:rsidP="003C6A19">
            <w:pPr>
              <w:jc w:val="center"/>
              <w:rPr>
                <w:sz w:val="20"/>
                <w:szCs w:val="20"/>
              </w:rPr>
            </w:pPr>
            <w:r w:rsidRPr="004F469F">
              <w:rPr>
                <w:sz w:val="20"/>
                <w:szCs w:val="20"/>
              </w:rPr>
              <w:t>44.9</w:t>
            </w:r>
          </w:p>
        </w:tc>
        <w:tc>
          <w:tcPr>
            <w:tcW w:w="0" w:type="auto"/>
            <w:tcBorders>
              <w:top w:val="nil"/>
              <w:left w:val="nil"/>
              <w:bottom w:val="single" w:sz="4" w:space="0" w:color="auto"/>
              <w:right w:val="single" w:sz="4" w:space="0" w:color="auto"/>
            </w:tcBorders>
            <w:shd w:val="clear" w:color="auto" w:fill="auto"/>
            <w:noWrap/>
            <w:vAlign w:val="center"/>
            <w:hideMark/>
          </w:tcPr>
          <w:p w14:paraId="1E63E559" w14:textId="6BB5226D" w:rsidR="003C6A19" w:rsidRPr="004F469F" w:rsidRDefault="003C6A19" w:rsidP="003C6A19">
            <w:pPr>
              <w:jc w:val="center"/>
              <w:rPr>
                <w:sz w:val="20"/>
                <w:szCs w:val="20"/>
              </w:rPr>
            </w:pPr>
            <w:r w:rsidRPr="004F469F">
              <w:rPr>
                <w:sz w:val="20"/>
                <w:szCs w:val="20"/>
              </w:rPr>
              <w:t>-</w:t>
            </w:r>
          </w:p>
        </w:tc>
      </w:tr>
      <w:tr w:rsidR="00494669" w:rsidRPr="004F469F" w14:paraId="664790D8"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0FD9F" w14:textId="1EF694D4" w:rsidR="003C6A19" w:rsidRPr="004F469F" w:rsidRDefault="003C6A19" w:rsidP="003C6A19">
            <w:pPr>
              <w:jc w:val="center"/>
              <w:rPr>
                <w:rFonts w:eastAsia="Arial Unicode MS"/>
                <w:b/>
                <w:bCs/>
                <w:sz w:val="20"/>
                <w:szCs w:val="20"/>
              </w:rPr>
            </w:pPr>
            <w:r w:rsidRPr="004F469F">
              <w:rPr>
                <w:rFonts w:eastAsia="Arial Unicode MS"/>
                <w:b/>
                <w:bCs/>
                <w:sz w:val="20"/>
                <w:szCs w:val="20"/>
              </w:rPr>
              <w:t>1 Mar 1997</w:t>
            </w:r>
          </w:p>
        </w:tc>
        <w:tc>
          <w:tcPr>
            <w:tcW w:w="0" w:type="auto"/>
            <w:tcBorders>
              <w:top w:val="nil"/>
              <w:left w:val="nil"/>
              <w:bottom w:val="single" w:sz="4" w:space="0" w:color="auto"/>
              <w:right w:val="single" w:sz="4" w:space="0" w:color="auto"/>
            </w:tcBorders>
            <w:shd w:val="clear" w:color="auto" w:fill="auto"/>
            <w:noWrap/>
            <w:vAlign w:val="center"/>
            <w:hideMark/>
          </w:tcPr>
          <w:p w14:paraId="0EBE88F8" w14:textId="5D3FE510" w:rsidR="003C6A19" w:rsidRPr="004F469F" w:rsidRDefault="003C6A19" w:rsidP="003C6A19">
            <w:pPr>
              <w:jc w:val="center"/>
              <w:rPr>
                <w:b/>
                <w:bCs/>
                <w:sz w:val="20"/>
                <w:szCs w:val="20"/>
              </w:rPr>
            </w:pPr>
            <w:r w:rsidRPr="004F469F">
              <w:rPr>
                <w:b/>
                <w:bCs/>
                <w:sz w:val="20"/>
                <w:szCs w:val="20"/>
              </w:rPr>
              <w:t>Little Rock, AR</w:t>
            </w:r>
          </w:p>
        </w:tc>
        <w:tc>
          <w:tcPr>
            <w:tcW w:w="0" w:type="auto"/>
            <w:tcBorders>
              <w:top w:val="nil"/>
              <w:left w:val="nil"/>
              <w:bottom w:val="single" w:sz="4" w:space="0" w:color="auto"/>
              <w:right w:val="single" w:sz="4" w:space="0" w:color="auto"/>
            </w:tcBorders>
            <w:shd w:val="clear" w:color="auto" w:fill="auto"/>
            <w:noWrap/>
            <w:vAlign w:val="center"/>
            <w:hideMark/>
          </w:tcPr>
          <w:p w14:paraId="3E993B28"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77F35B1" w14:textId="77777777" w:rsidR="003C6A19" w:rsidRPr="004F469F" w:rsidRDefault="003C6A19" w:rsidP="003C6A19">
            <w:pPr>
              <w:jc w:val="center"/>
              <w:rPr>
                <w:b/>
                <w:bCs/>
                <w:sz w:val="20"/>
                <w:szCs w:val="20"/>
              </w:rPr>
            </w:pPr>
            <w:r w:rsidRPr="004F469F">
              <w:rPr>
                <w:b/>
                <w:bCs/>
                <w:sz w:val="20"/>
                <w:szCs w:val="20"/>
              </w:rPr>
              <w:t>22.8</w:t>
            </w:r>
          </w:p>
        </w:tc>
        <w:tc>
          <w:tcPr>
            <w:tcW w:w="0" w:type="auto"/>
            <w:tcBorders>
              <w:top w:val="nil"/>
              <w:left w:val="nil"/>
              <w:bottom w:val="single" w:sz="4" w:space="0" w:color="auto"/>
              <w:right w:val="single" w:sz="4" w:space="0" w:color="auto"/>
            </w:tcBorders>
            <w:shd w:val="clear" w:color="auto" w:fill="auto"/>
            <w:noWrap/>
            <w:vAlign w:val="center"/>
            <w:hideMark/>
          </w:tcPr>
          <w:p w14:paraId="063B77B5"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326C1B45" w14:textId="77777777" w:rsidR="003C6A19" w:rsidRPr="004F469F" w:rsidRDefault="003C6A19" w:rsidP="003C6A19">
            <w:pPr>
              <w:jc w:val="center"/>
              <w:rPr>
                <w:b/>
                <w:bCs/>
                <w:sz w:val="20"/>
                <w:szCs w:val="20"/>
              </w:rPr>
            </w:pPr>
            <w:r w:rsidRPr="004F469F">
              <w:rPr>
                <w:b/>
                <w:bCs/>
                <w:sz w:val="20"/>
                <w:szCs w:val="20"/>
              </w:rPr>
              <w:t>3,269</w:t>
            </w:r>
          </w:p>
        </w:tc>
        <w:tc>
          <w:tcPr>
            <w:tcW w:w="0" w:type="auto"/>
            <w:tcBorders>
              <w:top w:val="nil"/>
              <w:left w:val="nil"/>
              <w:bottom w:val="single" w:sz="4" w:space="0" w:color="auto"/>
              <w:right w:val="single" w:sz="4" w:space="0" w:color="auto"/>
            </w:tcBorders>
            <w:shd w:val="clear" w:color="auto" w:fill="auto"/>
            <w:noWrap/>
            <w:vAlign w:val="center"/>
            <w:hideMark/>
          </w:tcPr>
          <w:p w14:paraId="785EE89A" w14:textId="77777777" w:rsidR="003C6A19" w:rsidRPr="004F469F" w:rsidRDefault="003C6A19" w:rsidP="003C6A19">
            <w:pPr>
              <w:jc w:val="center"/>
              <w:rPr>
                <w:b/>
                <w:bCs/>
                <w:sz w:val="20"/>
                <w:szCs w:val="20"/>
              </w:rPr>
            </w:pPr>
            <w:r w:rsidRPr="004F469F">
              <w:rPr>
                <w:b/>
                <w:bCs/>
                <w:sz w:val="20"/>
                <w:szCs w:val="20"/>
              </w:rPr>
              <w:t>3,420</w:t>
            </w:r>
          </w:p>
        </w:tc>
        <w:tc>
          <w:tcPr>
            <w:tcW w:w="0" w:type="auto"/>
            <w:tcBorders>
              <w:top w:val="nil"/>
              <w:left w:val="nil"/>
              <w:bottom w:val="single" w:sz="4" w:space="0" w:color="auto"/>
              <w:right w:val="single" w:sz="4" w:space="0" w:color="auto"/>
            </w:tcBorders>
            <w:shd w:val="clear" w:color="auto" w:fill="auto"/>
            <w:noWrap/>
            <w:vAlign w:val="center"/>
            <w:hideMark/>
          </w:tcPr>
          <w:p w14:paraId="6C0E412C" w14:textId="77777777" w:rsidR="003C6A19" w:rsidRPr="004F469F" w:rsidRDefault="003C6A19" w:rsidP="003C6A19">
            <w:pPr>
              <w:jc w:val="center"/>
              <w:rPr>
                <w:b/>
                <w:bCs/>
                <w:sz w:val="20"/>
                <w:szCs w:val="20"/>
              </w:rPr>
            </w:pPr>
            <w:r w:rsidRPr="004F469F">
              <w:rPr>
                <w:b/>
                <w:bCs/>
                <w:sz w:val="20"/>
                <w:szCs w:val="20"/>
              </w:rPr>
              <w:t>34,315</w:t>
            </w:r>
          </w:p>
        </w:tc>
        <w:tc>
          <w:tcPr>
            <w:tcW w:w="0" w:type="auto"/>
            <w:tcBorders>
              <w:top w:val="nil"/>
              <w:left w:val="nil"/>
              <w:bottom w:val="single" w:sz="4" w:space="0" w:color="auto"/>
              <w:right w:val="single" w:sz="4" w:space="0" w:color="auto"/>
            </w:tcBorders>
            <w:shd w:val="clear" w:color="auto" w:fill="auto"/>
            <w:noWrap/>
            <w:vAlign w:val="center"/>
            <w:hideMark/>
          </w:tcPr>
          <w:p w14:paraId="79E71E1B" w14:textId="77777777" w:rsidR="003C6A19" w:rsidRPr="004F469F" w:rsidRDefault="003C6A19" w:rsidP="003C6A19">
            <w:pPr>
              <w:jc w:val="center"/>
              <w:rPr>
                <w:b/>
                <w:bCs/>
                <w:sz w:val="20"/>
                <w:szCs w:val="20"/>
              </w:rPr>
            </w:pPr>
            <w:r w:rsidRPr="004F469F">
              <w:rPr>
                <w:b/>
                <w:bCs/>
                <w:sz w:val="20"/>
                <w:szCs w:val="20"/>
              </w:rPr>
              <w:t>52.5</w:t>
            </w:r>
          </w:p>
        </w:tc>
        <w:tc>
          <w:tcPr>
            <w:tcW w:w="0" w:type="auto"/>
            <w:tcBorders>
              <w:top w:val="nil"/>
              <w:left w:val="nil"/>
              <w:bottom w:val="single" w:sz="4" w:space="0" w:color="auto"/>
              <w:right w:val="single" w:sz="4" w:space="0" w:color="auto"/>
            </w:tcBorders>
            <w:shd w:val="clear" w:color="auto" w:fill="auto"/>
            <w:noWrap/>
            <w:vAlign w:val="center"/>
            <w:hideMark/>
          </w:tcPr>
          <w:p w14:paraId="327AEC05" w14:textId="77777777" w:rsidR="003C6A19" w:rsidRPr="004F469F" w:rsidRDefault="003C6A19" w:rsidP="003C6A19">
            <w:pPr>
              <w:jc w:val="center"/>
              <w:rPr>
                <w:b/>
                <w:bCs/>
                <w:sz w:val="20"/>
                <w:szCs w:val="20"/>
              </w:rPr>
            </w:pPr>
            <w:r w:rsidRPr="004F469F">
              <w:rPr>
                <w:b/>
                <w:bCs/>
                <w:sz w:val="20"/>
                <w:szCs w:val="20"/>
              </w:rPr>
              <w:t>44.5</w:t>
            </w:r>
          </w:p>
        </w:tc>
        <w:tc>
          <w:tcPr>
            <w:tcW w:w="0" w:type="auto"/>
            <w:tcBorders>
              <w:top w:val="nil"/>
              <w:left w:val="nil"/>
              <w:bottom w:val="single" w:sz="4" w:space="0" w:color="auto"/>
              <w:right w:val="single" w:sz="4" w:space="0" w:color="auto"/>
            </w:tcBorders>
            <w:shd w:val="clear" w:color="auto" w:fill="auto"/>
            <w:noWrap/>
            <w:vAlign w:val="center"/>
            <w:hideMark/>
          </w:tcPr>
          <w:p w14:paraId="30BD392F" w14:textId="77777777" w:rsidR="003C6A19" w:rsidRPr="004F469F" w:rsidRDefault="003C6A19" w:rsidP="003C6A19">
            <w:pPr>
              <w:jc w:val="center"/>
              <w:rPr>
                <w:b/>
                <w:bCs/>
                <w:sz w:val="20"/>
                <w:szCs w:val="20"/>
              </w:rPr>
            </w:pPr>
            <w:r w:rsidRPr="004F469F">
              <w:rPr>
                <w:b/>
                <w:bCs/>
                <w:sz w:val="20"/>
                <w:szCs w:val="20"/>
              </w:rPr>
              <w:t>16.6</w:t>
            </w:r>
          </w:p>
        </w:tc>
      </w:tr>
      <w:tr w:rsidR="00494669" w:rsidRPr="004F469F" w14:paraId="0463E239"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8CA754" w14:textId="774373A5" w:rsidR="003C6A19" w:rsidRPr="004F469F" w:rsidRDefault="003C6A19" w:rsidP="003C6A19">
            <w:pPr>
              <w:jc w:val="center"/>
              <w:rPr>
                <w:rFonts w:eastAsia="Arial Unicode MS"/>
                <w:sz w:val="20"/>
                <w:szCs w:val="20"/>
              </w:rPr>
            </w:pPr>
            <w:r w:rsidRPr="004F469F">
              <w:rPr>
                <w:rFonts w:eastAsia="Arial Unicode MS"/>
                <w:sz w:val="20"/>
                <w:szCs w:val="20"/>
              </w:rPr>
              <w:t>22 May 2011</w:t>
            </w:r>
          </w:p>
        </w:tc>
        <w:tc>
          <w:tcPr>
            <w:tcW w:w="0" w:type="auto"/>
            <w:tcBorders>
              <w:top w:val="nil"/>
              <w:left w:val="nil"/>
              <w:bottom w:val="single" w:sz="4" w:space="0" w:color="auto"/>
              <w:right w:val="single" w:sz="4" w:space="0" w:color="auto"/>
            </w:tcBorders>
            <w:shd w:val="clear" w:color="auto" w:fill="auto"/>
            <w:noWrap/>
            <w:vAlign w:val="center"/>
            <w:hideMark/>
          </w:tcPr>
          <w:p w14:paraId="48FC1AD4" w14:textId="4E8CD6C5" w:rsidR="003C6A19" w:rsidRPr="004F469F" w:rsidRDefault="003C6A19" w:rsidP="003C6A19">
            <w:pPr>
              <w:jc w:val="center"/>
              <w:rPr>
                <w:sz w:val="20"/>
                <w:szCs w:val="20"/>
              </w:rPr>
            </w:pPr>
            <w:r w:rsidRPr="004F469F">
              <w:rPr>
                <w:sz w:val="20"/>
                <w:szCs w:val="20"/>
              </w:rPr>
              <w:t>Joplin, MO</w:t>
            </w:r>
          </w:p>
        </w:tc>
        <w:tc>
          <w:tcPr>
            <w:tcW w:w="0" w:type="auto"/>
            <w:tcBorders>
              <w:top w:val="nil"/>
              <w:left w:val="nil"/>
              <w:bottom w:val="single" w:sz="4" w:space="0" w:color="auto"/>
              <w:right w:val="single" w:sz="4" w:space="0" w:color="auto"/>
            </w:tcBorders>
            <w:shd w:val="clear" w:color="auto" w:fill="auto"/>
            <w:noWrap/>
            <w:vAlign w:val="center"/>
            <w:hideMark/>
          </w:tcPr>
          <w:p w14:paraId="0A9E24A4" w14:textId="77777777" w:rsidR="003C6A19" w:rsidRPr="004F469F" w:rsidRDefault="003C6A19" w:rsidP="003C6A19">
            <w:pPr>
              <w:jc w:val="center"/>
              <w:rPr>
                <w:sz w:val="20"/>
                <w:szCs w:val="20"/>
              </w:rPr>
            </w:pPr>
            <w:r w:rsidRPr="004F469F">
              <w:rPr>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6FF05116" w14:textId="77777777" w:rsidR="003C6A19" w:rsidRPr="004F469F" w:rsidRDefault="003C6A19" w:rsidP="003C6A19">
            <w:pPr>
              <w:jc w:val="center"/>
              <w:rPr>
                <w:sz w:val="20"/>
                <w:szCs w:val="20"/>
              </w:rPr>
            </w:pPr>
            <w:r w:rsidRPr="004F469F">
              <w:rPr>
                <w:sz w:val="20"/>
                <w:szCs w:val="20"/>
              </w:rPr>
              <w:t>50.9</w:t>
            </w:r>
          </w:p>
        </w:tc>
        <w:tc>
          <w:tcPr>
            <w:tcW w:w="0" w:type="auto"/>
            <w:tcBorders>
              <w:top w:val="nil"/>
              <w:left w:val="nil"/>
              <w:bottom w:val="single" w:sz="4" w:space="0" w:color="auto"/>
              <w:right w:val="single" w:sz="4" w:space="0" w:color="auto"/>
            </w:tcBorders>
            <w:shd w:val="clear" w:color="auto" w:fill="auto"/>
            <w:noWrap/>
            <w:vAlign w:val="center"/>
            <w:hideMark/>
          </w:tcPr>
          <w:p w14:paraId="7163AAF5" w14:textId="77777777" w:rsidR="003C6A19" w:rsidRPr="004F469F" w:rsidRDefault="003C6A19" w:rsidP="003C6A19">
            <w:pPr>
              <w:jc w:val="center"/>
              <w:rPr>
                <w:sz w:val="20"/>
                <w:szCs w:val="20"/>
              </w:rPr>
            </w:pPr>
            <w:r w:rsidRPr="004F469F">
              <w:rPr>
                <w:sz w:val="20"/>
                <w:szCs w:val="20"/>
              </w:rPr>
              <w:t>158</w:t>
            </w:r>
          </w:p>
        </w:tc>
        <w:tc>
          <w:tcPr>
            <w:tcW w:w="0" w:type="auto"/>
            <w:tcBorders>
              <w:top w:val="nil"/>
              <w:left w:val="nil"/>
              <w:bottom w:val="single" w:sz="4" w:space="0" w:color="auto"/>
              <w:right w:val="single" w:sz="4" w:space="0" w:color="auto"/>
            </w:tcBorders>
            <w:shd w:val="clear" w:color="auto" w:fill="auto"/>
            <w:noWrap/>
            <w:vAlign w:val="center"/>
            <w:hideMark/>
          </w:tcPr>
          <w:p w14:paraId="17A25D7C" w14:textId="77777777" w:rsidR="003C6A19" w:rsidRPr="004F469F" w:rsidRDefault="003C6A19" w:rsidP="003C6A19">
            <w:pPr>
              <w:jc w:val="center"/>
              <w:rPr>
                <w:sz w:val="20"/>
                <w:szCs w:val="20"/>
              </w:rPr>
            </w:pPr>
            <w:r w:rsidRPr="004F469F">
              <w:rPr>
                <w:sz w:val="20"/>
                <w:szCs w:val="20"/>
              </w:rPr>
              <w:t>4,474</w:t>
            </w:r>
          </w:p>
        </w:tc>
        <w:tc>
          <w:tcPr>
            <w:tcW w:w="0" w:type="auto"/>
            <w:tcBorders>
              <w:top w:val="nil"/>
              <w:left w:val="nil"/>
              <w:bottom w:val="single" w:sz="4" w:space="0" w:color="auto"/>
              <w:right w:val="single" w:sz="4" w:space="0" w:color="auto"/>
            </w:tcBorders>
            <w:shd w:val="clear" w:color="auto" w:fill="auto"/>
            <w:noWrap/>
            <w:vAlign w:val="center"/>
            <w:hideMark/>
          </w:tcPr>
          <w:p w14:paraId="4AE927DA" w14:textId="77777777" w:rsidR="003C6A19" w:rsidRPr="004F469F" w:rsidRDefault="003C6A19" w:rsidP="003C6A19">
            <w:pPr>
              <w:jc w:val="center"/>
              <w:rPr>
                <w:sz w:val="20"/>
                <w:szCs w:val="20"/>
              </w:rPr>
            </w:pPr>
            <w:r w:rsidRPr="004F469F">
              <w:rPr>
                <w:sz w:val="20"/>
                <w:szCs w:val="20"/>
              </w:rPr>
              <w:t>3,851</w:t>
            </w:r>
          </w:p>
        </w:tc>
        <w:tc>
          <w:tcPr>
            <w:tcW w:w="0" w:type="auto"/>
            <w:tcBorders>
              <w:top w:val="nil"/>
              <w:left w:val="nil"/>
              <w:bottom w:val="single" w:sz="4" w:space="0" w:color="auto"/>
              <w:right w:val="single" w:sz="4" w:space="0" w:color="auto"/>
            </w:tcBorders>
            <w:shd w:val="clear" w:color="auto" w:fill="auto"/>
            <w:noWrap/>
            <w:vAlign w:val="center"/>
            <w:hideMark/>
          </w:tcPr>
          <w:p w14:paraId="6DAAACCF" w14:textId="77777777" w:rsidR="003C6A19" w:rsidRPr="004F469F" w:rsidRDefault="003C6A19" w:rsidP="003C6A19">
            <w:pPr>
              <w:jc w:val="center"/>
              <w:rPr>
                <w:sz w:val="20"/>
                <w:szCs w:val="20"/>
              </w:rPr>
            </w:pPr>
            <w:r w:rsidRPr="004F469F">
              <w:rPr>
                <w:sz w:val="20"/>
                <w:szCs w:val="20"/>
              </w:rPr>
              <w:t>14,449</w:t>
            </w:r>
          </w:p>
        </w:tc>
        <w:tc>
          <w:tcPr>
            <w:tcW w:w="0" w:type="auto"/>
            <w:tcBorders>
              <w:top w:val="nil"/>
              <w:left w:val="nil"/>
              <w:bottom w:val="single" w:sz="4" w:space="0" w:color="auto"/>
              <w:right w:val="single" w:sz="4" w:space="0" w:color="auto"/>
            </w:tcBorders>
            <w:shd w:val="clear" w:color="auto" w:fill="auto"/>
            <w:noWrap/>
            <w:vAlign w:val="center"/>
            <w:hideMark/>
          </w:tcPr>
          <w:p w14:paraId="47B48081" w14:textId="77777777" w:rsidR="003C6A19" w:rsidRPr="004F469F" w:rsidRDefault="003C6A19" w:rsidP="003C6A19">
            <w:pPr>
              <w:jc w:val="center"/>
              <w:rPr>
                <w:sz w:val="20"/>
                <w:szCs w:val="20"/>
              </w:rPr>
            </w:pPr>
            <w:r w:rsidRPr="004F469F">
              <w:rPr>
                <w:sz w:val="20"/>
                <w:szCs w:val="20"/>
              </w:rPr>
              <w:t>46.7</w:t>
            </w:r>
          </w:p>
        </w:tc>
        <w:tc>
          <w:tcPr>
            <w:tcW w:w="0" w:type="auto"/>
            <w:tcBorders>
              <w:top w:val="nil"/>
              <w:left w:val="nil"/>
              <w:bottom w:val="single" w:sz="4" w:space="0" w:color="auto"/>
              <w:right w:val="single" w:sz="4" w:space="0" w:color="auto"/>
            </w:tcBorders>
            <w:shd w:val="clear" w:color="auto" w:fill="auto"/>
            <w:noWrap/>
            <w:vAlign w:val="center"/>
            <w:hideMark/>
          </w:tcPr>
          <w:p w14:paraId="72B29FB7" w14:textId="77777777" w:rsidR="003C6A19" w:rsidRPr="004F469F" w:rsidRDefault="003C6A19" w:rsidP="003C6A19">
            <w:pPr>
              <w:jc w:val="center"/>
              <w:rPr>
                <w:sz w:val="20"/>
                <w:szCs w:val="20"/>
              </w:rPr>
            </w:pPr>
            <w:r w:rsidRPr="004F469F">
              <w:rPr>
                <w:sz w:val="20"/>
                <w:szCs w:val="20"/>
              </w:rPr>
              <w:t>44.5</w:t>
            </w:r>
          </w:p>
        </w:tc>
        <w:tc>
          <w:tcPr>
            <w:tcW w:w="0" w:type="auto"/>
            <w:tcBorders>
              <w:top w:val="nil"/>
              <w:left w:val="nil"/>
              <w:bottom w:val="single" w:sz="4" w:space="0" w:color="auto"/>
              <w:right w:val="single" w:sz="4" w:space="0" w:color="auto"/>
            </w:tcBorders>
            <w:shd w:val="clear" w:color="auto" w:fill="auto"/>
            <w:noWrap/>
            <w:vAlign w:val="center"/>
            <w:hideMark/>
          </w:tcPr>
          <w:p w14:paraId="49A61AED" w14:textId="0C182ECB" w:rsidR="003C6A19" w:rsidRPr="004F469F" w:rsidRDefault="003C6A19" w:rsidP="003C6A19">
            <w:pPr>
              <w:jc w:val="center"/>
              <w:rPr>
                <w:sz w:val="20"/>
                <w:szCs w:val="20"/>
              </w:rPr>
            </w:pPr>
            <w:r w:rsidRPr="004F469F">
              <w:rPr>
                <w:sz w:val="20"/>
                <w:szCs w:val="20"/>
              </w:rPr>
              <w:t>-</w:t>
            </w:r>
          </w:p>
        </w:tc>
      </w:tr>
      <w:tr w:rsidR="00494669" w:rsidRPr="004F469F" w14:paraId="211178F1"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EA5C4F" w14:textId="16C7D274" w:rsidR="003C6A19" w:rsidRPr="004F469F" w:rsidRDefault="003C6A19" w:rsidP="003C6A19">
            <w:pPr>
              <w:jc w:val="center"/>
              <w:rPr>
                <w:rFonts w:eastAsia="Arial Unicode MS"/>
                <w:b/>
                <w:bCs/>
                <w:sz w:val="20"/>
                <w:szCs w:val="20"/>
              </w:rPr>
            </w:pPr>
            <w:r w:rsidRPr="004F469F">
              <w:rPr>
                <w:rFonts w:eastAsia="Arial Unicode MS"/>
                <w:b/>
                <w:bCs/>
                <w:sz w:val="20"/>
                <w:szCs w:val="20"/>
              </w:rPr>
              <w:t>8 Apr 1998</w:t>
            </w:r>
          </w:p>
        </w:tc>
        <w:tc>
          <w:tcPr>
            <w:tcW w:w="0" w:type="auto"/>
            <w:tcBorders>
              <w:top w:val="nil"/>
              <w:left w:val="nil"/>
              <w:bottom w:val="single" w:sz="4" w:space="0" w:color="auto"/>
              <w:right w:val="single" w:sz="4" w:space="0" w:color="auto"/>
            </w:tcBorders>
            <w:shd w:val="clear" w:color="auto" w:fill="auto"/>
            <w:noWrap/>
            <w:vAlign w:val="center"/>
            <w:hideMark/>
          </w:tcPr>
          <w:p w14:paraId="67E3EDA2" w14:textId="037FBDAD" w:rsidR="003C6A19" w:rsidRPr="004F469F" w:rsidRDefault="003C6A19" w:rsidP="003C6A19">
            <w:pPr>
              <w:jc w:val="center"/>
              <w:rPr>
                <w:b/>
                <w:bCs/>
                <w:sz w:val="20"/>
                <w:szCs w:val="20"/>
              </w:rPr>
            </w:pPr>
            <w:r w:rsidRPr="004F469F">
              <w:rPr>
                <w:b/>
                <w:bCs/>
                <w:sz w:val="20"/>
                <w:szCs w:val="20"/>
              </w:rPr>
              <w:t>Oak Grove-Rock Creek, AL</w:t>
            </w:r>
          </w:p>
        </w:tc>
        <w:tc>
          <w:tcPr>
            <w:tcW w:w="0" w:type="auto"/>
            <w:tcBorders>
              <w:top w:val="nil"/>
              <w:left w:val="nil"/>
              <w:bottom w:val="single" w:sz="4" w:space="0" w:color="auto"/>
              <w:right w:val="single" w:sz="4" w:space="0" w:color="auto"/>
            </w:tcBorders>
            <w:shd w:val="clear" w:color="auto" w:fill="auto"/>
            <w:noWrap/>
            <w:vAlign w:val="center"/>
            <w:hideMark/>
          </w:tcPr>
          <w:p w14:paraId="2E203CC4"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25C7E7AC" w14:textId="77777777" w:rsidR="003C6A19" w:rsidRPr="004F469F" w:rsidRDefault="003C6A19" w:rsidP="003C6A19">
            <w:pPr>
              <w:jc w:val="center"/>
              <w:rPr>
                <w:b/>
                <w:bCs/>
                <w:sz w:val="20"/>
                <w:szCs w:val="20"/>
              </w:rPr>
            </w:pPr>
            <w:r w:rsidRPr="004F469F">
              <w:rPr>
                <w:b/>
                <w:bCs/>
                <w:sz w:val="20"/>
                <w:szCs w:val="20"/>
              </w:rPr>
              <w:t>58.9</w:t>
            </w:r>
          </w:p>
        </w:tc>
        <w:tc>
          <w:tcPr>
            <w:tcW w:w="0" w:type="auto"/>
            <w:tcBorders>
              <w:top w:val="nil"/>
              <w:left w:val="nil"/>
              <w:bottom w:val="single" w:sz="4" w:space="0" w:color="auto"/>
              <w:right w:val="single" w:sz="4" w:space="0" w:color="auto"/>
            </w:tcBorders>
            <w:shd w:val="clear" w:color="auto" w:fill="auto"/>
            <w:noWrap/>
            <w:vAlign w:val="center"/>
            <w:hideMark/>
          </w:tcPr>
          <w:p w14:paraId="010F7B5E" w14:textId="77777777" w:rsidR="003C6A19" w:rsidRPr="004F469F" w:rsidRDefault="003C6A19" w:rsidP="003C6A19">
            <w:pPr>
              <w:jc w:val="center"/>
              <w:rPr>
                <w:b/>
                <w:bCs/>
                <w:sz w:val="20"/>
                <w:szCs w:val="20"/>
              </w:rPr>
            </w:pPr>
            <w:r w:rsidRPr="004F469F">
              <w:rPr>
                <w:b/>
                <w:bCs/>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49FC7C5F" w14:textId="77777777" w:rsidR="003C6A19" w:rsidRPr="004F469F" w:rsidRDefault="003C6A19" w:rsidP="003C6A19">
            <w:pPr>
              <w:jc w:val="center"/>
              <w:rPr>
                <w:b/>
                <w:bCs/>
                <w:sz w:val="20"/>
                <w:szCs w:val="20"/>
              </w:rPr>
            </w:pPr>
            <w:r w:rsidRPr="004F469F">
              <w:rPr>
                <w:b/>
                <w:bCs/>
                <w:sz w:val="20"/>
                <w:szCs w:val="20"/>
              </w:rPr>
              <w:t>4,251</w:t>
            </w:r>
          </w:p>
        </w:tc>
        <w:tc>
          <w:tcPr>
            <w:tcW w:w="0" w:type="auto"/>
            <w:tcBorders>
              <w:top w:val="nil"/>
              <w:left w:val="nil"/>
              <w:bottom w:val="single" w:sz="4" w:space="0" w:color="auto"/>
              <w:right w:val="single" w:sz="4" w:space="0" w:color="auto"/>
            </w:tcBorders>
            <w:shd w:val="clear" w:color="auto" w:fill="auto"/>
            <w:noWrap/>
            <w:vAlign w:val="center"/>
            <w:hideMark/>
          </w:tcPr>
          <w:p w14:paraId="763C1D54" w14:textId="77777777" w:rsidR="003C6A19" w:rsidRPr="004F469F" w:rsidRDefault="003C6A19" w:rsidP="003C6A19">
            <w:pPr>
              <w:jc w:val="center"/>
              <w:rPr>
                <w:b/>
                <w:bCs/>
                <w:sz w:val="20"/>
                <w:szCs w:val="20"/>
              </w:rPr>
            </w:pPr>
            <w:r w:rsidRPr="004F469F">
              <w:rPr>
                <w:b/>
                <w:bCs/>
                <w:sz w:val="20"/>
                <w:szCs w:val="20"/>
              </w:rPr>
              <w:t>4,227</w:t>
            </w:r>
          </w:p>
        </w:tc>
        <w:tc>
          <w:tcPr>
            <w:tcW w:w="0" w:type="auto"/>
            <w:tcBorders>
              <w:top w:val="nil"/>
              <w:left w:val="nil"/>
              <w:bottom w:val="single" w:sz="4" w:space="0" w:color="auto"/>
              <w:right w:val="single" w:sz="4" w:space="0" w:color="auto"/>
            </w:tcBorders>
            <w:shd w:val="clear" w:color="auto" w:fill="auto"/>
            <w:noWrap/>
            <w:vAlign w:val="center"/>
            <w:hideMark/>
          </w:tcPr>
          <w:p w14:paraId="7B3E1C7E" w14:textId="77777777" w:rsidR="003C6A19" w:rsidRPr="004F469F" w:rsidRDefault="003C6A19" w:rsidP="003C6A19">
            <w:pPr>
              <w:jc w:val="center"/>
              <w:rPr>
                <w:b/>
                <w:bCs/>
                <w:sz w:val="20"/>
                <w:szCs w:val="20"/>
              </w:rPr>
            </w:pPr>
            <w:r w:rsidRPr="004F469F">
              <w:rPr>
                <w:b/>
                <w:bCs/>
                <w:sz w:val="20"/>
                <w:szCs w:val="20"/>
              </w:rPr>
              <w:t>32,927</w:t>
            </w:r>
          </w:p>
        </w:tc>
        <w:tc>
          <w:tcPr>
            <w:tcW w:w="0" w:type="auto"/>
            <w:tcBorders>
              <w:top w:val="nil"/>
              <w:left w:val="nil"/>
              <w:bottom w:val="single" w:sz="4" w:space="0" w:color="auto"/>
              <w:right w:val="single" w:sz="4" w:space="0" w:color="auto"/>
            </w:tcBorders>
            <w:shd w:val="clear" w:color="auto" w:fill="auto"/>
            <w:noWrap/>
            <w:vAlign w:val="center"/>
            <w:hideMark/>
          </w:tcPr>
          <w:p w14:paraId="18D80D14" w14:textId="77777777" w:rsidR="003C6A19" w:rsidRPr="004F469F" w:rsidRDefault="003C6A19" w:rsidP="003C6A19">
            <w:pPr>
              <w:jc w:val="center"/>
              <w:rPr>
                <w:b/>
                <w:bCs/>
                <w:sz w:val="20"/>
                <w:szCs w:val="20"/>
              </w:rPr>
            </w:pPr>
            <w:r w:rsidRPr="004F469F">
              <w:rPr>
                <w:b/>
                <w:bCs/>
                <w:sz w:val="20"/>
                <w:szCs w:val="20"/>
              </w:rPr>
              <w:t>49</w:t>
            </w:r>
          </w:p>
        </w:tc>
        <w:tc>
          <w:tcPr>
            <w:tcW w:w="0" w:type="auto"/>
            <w:tcBorders>
              <w:top w:val="nil"/>
              <w:left w:val="nil"/>
              <w:bottom w:val="single" w:sz="4" w:space="0" w:color="auto"/>
              <w:right w:val="single" w:sz="4" w:space="0" w:color="auto"/>
            </w:tcBorders>
            <w:shd w:val="clear" w:color="auto" w:fill="auto"/>
            <w:noWrap/>
            <w:vAlign w:val="center"/>
            <w:hideMark/>
          </w:tcPr>
          <w:p w14:paraId="337A831F" w14:textId="77777777" w:rsidR="003C6A19" w:rsidRPr="004F469F" w:rsidRDefault="003C6A19" w:rsidP="003C6A19">
            <w:pPr>
              <w:jc w:val="center"/>
              <w:rPr>
                <w:b/>
                <w:bCs/>
                <w:sz w:val="20"/>
                <w:szCs w:val="20"/>
              </w:rPr>
            </w:pPr>
            <w:r w:rsidRPr="004F469F">
              <w:rPr>
                <w:b/>
                <w:bCs/>
                <w:sz w:val="20"/>
                <w:szCs w:val="20"/>
              </w:rPr>
              <w:t>40.3</w:t>
            </w:r>
          </w:p>
        </w:tc>
        <w:tc>
          <w:tcPr>
            <w:tcW w:w="0" w:type="auto"/>
            <w:tcBorders>
              <w:top w:val="nil"/>
              <w:left w:val="nil"/>
              <w:bottom w:val="single" w:sz="4" w:space="0" w:color="auto"/>
              <w:right w:val="single" w:sz="4" w:space="0" w:color="auto"/>
            </w:tcBorders>
            <w:shd w:val="clear" w:color="auto" w:fill="auto"/>
            <w:noWrap/>
            <w:vAlign w:val="center"/>
            <w:hideMark/>
          </w:tcPr>
          <w:p w14:paraId="7E050158" w14:textId="77777777" w:rsidR="003C6A19" w:rsidRPr="004F469F" w:rsidRDefault="003C6A19" w:rsidP="003C6A19">
            <w:pPr>
              <w:jc w:val="center"/>
              <w:rPr>
                <w:b/>
                <w:bCs/>
                <w:sz w:val="20"/>
                <w:szCs w:val="20"/>
              </w:rPr>
            </w:pPr>
            <w:r w:rsidRPr="004F469F">
              <w:rPr>
                <w:b/>
                <w:bCs/>
                <w:sz w:val="20"/>
                <w:szCs w:val="20"/>
              </w:rPr>
              <w:t>9.2</w:t>
            </w:r>
          </w:p>
        </w:tc>
      </w:tr>
      <w:tr w:rsidR="00494669" w:rsidRPr="004F469F" w14:paraId="50B78DF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985A6" w14:textId="569C5636" w:rsidR="003C6A19" w:rsidRPr="004F469F" w:rsidRDefault="003C6A19" w:rsidP="003C6A19">
            <w:pPr>
              <w:jc w:val="center"/>
              <w:rPr>
                <w:rFonts w:eastAsia="Arial Unicode MS"/>
                <w:sz w:val="20"/>
                <w:szCs w:val="20"/>
              </w:rPr>
            </w:pPr>
            <w:r w:rsidRPr="004F469F">
              <w:rPr>
                <w:rFonts w:eastAsia="Arial Unicode MS"/>
                <w:sz w:val="20"/>
                <w:szCs w:val="20"/>
              </w:rPr>
              <w:t>1 Mar 1997</w:t>
            </w:r>
          </w:p>
        </w:tc>
        <w:tc>
          <w:tcPr>
            <w:tcW w:w="0" w:type="auto"/>
            <w:tcBorders>
              <w:top w:val="nil"/>
              <w:left w:val="nil"/>
              <w:bottom w:val="single" w:sz="4" w:space="0" w:color="auto"/>
              <w:right w:val="single" w:sz="4" w:space="0" w:color="auto"/>
            </w:tcBorders>
            <w:shd w:val="clear" w:color="auto" w:fill="auto"/>
            <w:noWrap/>
            <w:vAlign w:val="center"/>
            <w:hideMark/>
          </w:tcPr>
          <w:p w14:paraId="236911D0" w14:textId="23E88B3D" w:rsidR="003C6A19" w:rsidRPr="004F469F" w:rsidRDefault="003C6A19" w:rsidP="003C6A19">
            <w:pPr>
              <w:jc w:val="center"/>
              <w:rPr>
                <w:sz w:val="20"/>
                <w:szCs w:val="20"/>
              </w:rPr>
            </w:pPr>
            <w:r w:rsidRPr="004F469F">
              <w:rPr>
                <w:sz w:val="20"/>
                <w:szCs w:val="20"/>
              </w:rPr>
              <w:t>Vimy Ridge-Shannon Hills, AR</w:t>
            </w:r>
          </w:p>
        </w:tc>
        <w:tc>
          <w:tcPr>
            <w:tcW w:w="0" w:type="auto"/>
            <w:tcBorders>
              <w:top w:val="nil"/>
              <w:left w:val="nil"/>
              <w:bottom w:val="single" w:sz="4" w:space="0" w:color="auto"/>
              <w:right w:val="single" w:sz="4" w:space="0" w:color="auto"/>
            </w:tcBorders>
            <w:shd w:val="clear" w:color="auto" w:fill="auto"/>
            <w:noWrap/>
            <w:vAlign w:val="center"/>
            <w:hideMark/>
          </w:tcPr>
          <w:p w14:paraId="10DD309B"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09E6E32" w14:textId="77777777" w:rsidR="003C6A19" w:rsidRPr="004F469F" w:rsidRDefault="003C6A19" w:rsidP="003C6A19">
            <w:pPr>
              <w:jc w:val="center"/>
              <w:rPr>
                <w:sz w:val="20"/>
                <w:szCs w:val="20"/>
              </w:rPr>
            </w:pPr>
            <w:r w:rsidRPr="004F469F">
              <w:rPr>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28F63D5F" w14:textId="77777777" w:rsidR="003C6A19" w:rsidRPr="004F469F" w:rsidRDefault="003C6A19" w:rsidP="003C6A19">
            <w:pPr>
              <w:jc w:val="center"/>
              <w:rPr>
                <w:sz w:val="20"/>
                <w:szCs w:val="20"/>
              </w:rPr>
            </w:pPr>
            <w:r w:rsidRPr="004F469F">
              <w:rPr>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099D2AC0" w14:textId="77777777" w:rsidR="003C6A19" w:rsidRPr="004F469F" w:rsidRDefault="003C6A19" w:rsidP="003C6A19">
            <w:pPr>
              <w:jc w:val="center"/>
              <w:rPr>
                <w:sz w:val="20"/>
                <w:szCs w:val="20"/>
              </w:rPr>
            </w:pPr>
            <w:r w:rsidRPr="004F469F">
              <w:rPr>
                <w:sz w:val="20"/>
                <w:szCs w:val="20"/>
              </w:rPr>
              <w:t>3,625</w:t>
            </w:r>
          </w:p>
        </w:tc>
        <w:tc>
          <w:tcPr>
            <w:tcW w:w="0" w:type="auto"/>
            <w:tcBorders>
              <w:top w:val="nil"/>
              <w:left w:val="nil"/>
              <w:bottom w:val="single" w:sz="4" w:space="0" w:color="auto"/>
              <w:right w:val="single" w:sz="4" w:space="0" w:color="auto"/>
            </w:tcBorders>
            <w:shd w:val="clear" w:color="auto" w:fill="auto"/>
            <w:noWrap/>
            <w:vAlign w:val="center"/>
            <w:hideMark/>
          </w:tcPr>
          <w:p w14:paraId="6D7DB4EE" w14:textId="77777777" w:rsidR="003C6A19" w:rsidRPr="004F469F" w:rsidRDefault="003C6A19" w:rsidP="003C6A19">
            <w:pPr>
              <w:jc w:val="center"/>
              <w:rPr>
                <w:sz w:val="20"/>
                <w:szCs w:val="20"/>
              </w:rPr>
            </w:pPr>
            <w:r w:rsidRPr="004F469F">
              <w:rPr>
                <w:sz w:val="20"/>
                <w:szCs w:val="20"/>
              </w:rPr>
              <w:t>2,806</w:t>
            </w:r>
          </w:p>
        </w:tc>
        <w:tc>
          <w:tcPr>
            <w:tcW w:w="0" w:type="auto"/>
            <w:tcBorders>
              <w:top w:val="nil"/>
              <w:left w:val="nil"/>
              <w:bottom w:val="single" w:sz="4" w:space="0" w:color="auto"/>
              <w:right w:val="single" w:sz="4" w:space="0" w:color="auto"/>
            </w:tcBorders>
            <w:shd w:val="clear" w:color="auto" w:fill="auto"/>
            <w:noWrap/>
            <w:vAlign w:val="center"/>
            <w:hideMark/>
          </w:tcPr>
          <w:p w14:paraId="0A92FC9C" w14:textId="77777777" w:rsidR="003C6A19" w:rsidRPr="004F469F" w:rsidRDefault="003C6A19" w:rsidP="003C6A19">
            <w:pPr>
              <w:jc w:val="center"/>
              <w:rPr>
                <w:sz w:val="20"/>
                <w:szCs w:val="20"/>
              </w:rPr>
            </w:pPr>
            <w:r w:rsidRPr="004F469F">
              <w:rPr>
                <w:sz w:val="20"/>
                <w:szCs w:val="20"/>
              </w:rPr>
              <w:t>17,352</w:t>
            </w:r>
          </w:p>
        </w:tc>
        <w:tc>
          <w:tcPr>
            <w:tcW w:w="0" w:type="auto"/>
            <w:tcBorders>
              <w:top w:val="nil"/>
              <w:left w:val="nil"/>
              <w:bottom w:val="single" w:sz="4" w:space="0" w:color="auto"/>
              <w:right w:val="single" w:sz="4" w:space="0" w:color="auto"/>
            </w:tcBorders>
            <w:shd w:val="clear" w:color="auto" w:fill="auto"/>
            <w:noWrap/>
            <w:vAlign w:val="center"/>
            <w:hideMark/>
          </w:tcPr>
          <w:p w14:paraId="43F1A0BF" w14:textId="77777777" w:rsidR="003C6A19" w:rsidRPr="004F469F" w:rsidRDefault="003C6A19" w:rsidP="003C6A19">
            <w:pPr>
              <w:jc w:val="center"/>
              <w:rPr>
                <w:sz w:val="20"/>
                <w:szCs w:val="20"/>
              </w:rPr>
            </w:pPr>
            <w:r w:rsidRPr="004F469F">
              <w:rPr>
                <w:sz w:val="20"/>
                <w:szCs w:val="20"/>
              </w:rPr>
              <w:t>42.8</w:t>
            </w:r>
          </w:p>
        </w:tc>
        <w:tc>
          <w:tcPr>
            <w:tcW w:w="0" w:type="auto"/>
            <w:tcBorders>
              <w:top w:val="nil"/>
              <w:left w:val="nil"/>
              <w:bottom w:val="single" w:sz="4" w:space="0" w:color="auto"/>
              <w:right w:val="single" w:sz="4" w:space="0" w:color="auto"/>
            </w:tcBorders>
            <w:shd w:val="clear" w:color="auto" w:fill="auto"/>
            <w:noWrap/>
            <w:vAlign w:val="center"/>
            <w:hideMark/>
          </w:tcPr>
          <w:p w14:paraId="27B0A272" w14:textId="77777777" w:rsidR="003C6A19" w:rsidRPr="004F469F" w:rsidRDefault="003C6A19" w:rsidP="003C6A19">
            <w:pPr>
              <w:jc w:val="center"/>
              <w:rPr>
                <w:sz w:val="20"/>
                <w:szCs w:val="20"/>
              </w:rPr>
            </w:pPr>
            <w:r w:rsidRPr="004F469F">
              <w:rPr>
                <w:sz w:val="20"/>
                <w:szCs w:val="20"/>
              </w:rPr>
              <w:t>35.2</w:t>
            </w:r>
          </w:p>
        </w:tc>
        <w:tc>
          <w:tcPr>
            <w:tcW w:w="0" w:type="auto"/>
            <w:tcBorders>
              <w:top w:val="nil"/>
              <w:left w:val="nil"/>
              <w:bottom w:val="single" w:sz="4" w:space="0" w:color="auto"/>
              <w:right w:val="single" w:sz="4" w:space="0" w:color="auto"/>
            </w:tcBorders>
            <w:shd w:val="clear" w:color="auto" w:fill="auto"/>
            <w:noWrap/>
            <w:vAlign w:val="center"/>
            <w:hideMark/>
          </w:tcPr>
          <w:p w14:paraId="3E54A7D6" w14:textId="2B326519" w:rsidR="003C6A19" w:rsidRPr="004F469F" w:rsidRDefault="003C6A19" w:rsidP="003C6A19">
            <w:pPr>
              <w:jc w:val="center"/>
              <w:rPr>
                <w:sz w:val="20"/>
                <w:szCs w:val="20"/>
              </w:rPr>
            </w:pPr>
            <w:r w:rsidRPr="004F469F">
              <w:rPr>
                <w:sz w:val="20"/>
                <w:szCs w:val="20"/>
              </w:rPr>
              <w:t>-</w:t>
            </w:r>
          </w:p>
        </w:tc>
      </w:tr>
      <w:tr w:rsidR="00494669" w:rsidRPr="004F469F" w14:paraId="5AE0986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CE12AD" w14:textId="77777777" w:rsidR="003C6A19" w:rsidRPr="004F469F" w:rsidRDefault="003C6A19" w:rsidP="003C6A19">
            <w:pPr>
              <w:jc w:val="center"/>
              <w:rPr>
                <w:rFonts w:eastAsia="Arial Unicode MS"/>
                <w:sz w:val="20"/>
                <w:szCs w:val="20"/>
              </w:rPr>
            </w:pPr>
            <w:r w:rsidRPr="004F469F">
              <w:rPr>
                <w:rFonts w:eastAsia="Arial Unicode MS"/>
                <w:sz w:val="20"/>
                <w:szCs w:val="20"/>
              </w:rPr>
              <w:t>10 Apr 2009</w:t>
            </w:r>
          </w:p>
        </w:tc>
        <w:tc>
          <w:tcPr>
            <w:tcW w:w="0" w:type="auto"/>
            <w:tcBorders>
              <w:top w:val="nil"/>
              <w:left w:val="nil"/>
              <w:bottom w:val="single" w:sz="4" w:space="0" w:color="auto"/>
              <w:right w:val="single" w:sz="4" w:space="0" w:color="auto"/>
            </w:tcBorders>
            <w:shd w:val="clear" w:color="auto" w:fill="auto"/>
            <w:noWrap/>
            <w:vAlign w:val="center"/>
            <w:hideMark/>
          </w:tcPr>
          <w:p w14:paraId="78AF376F" w14:textId="6003BEC0" w:rsidR="003C6A19" w:rsidRPr="004F469F" w:rsidRDefault="003C6A19" w:rsidP="003C6A19">
            <w:pPr>
              <w:jc w:val="center"/>
              <w:rPr>
                <w:sz w:val="20"/>
                <w:szCs w:val="20"/>
              </w:rPr>
            </w:pPr>
            <w:r w:rsidRPr="004F469F">
              <w:rPr>
                <w:sz w:val="20"/>
                <w:szCs w:val="20"/>
              </w:rPr>
              <w:t>Murfreesboro, TN</w:t>
            </w:r>
          </w:p>
        </w:tc>
        <w:tc>
          <w:tcPr>
            <w:tcW w:w="0" w:type="auto"/>
            <w:tcBorders>
              <w:top w:val="nil"/>
              <w:left w:val="nil"/>
              <w:bottom w:val="single" w:sz="4" w:space="0" w:color="auto"/>
              <w:right w:val="single" w:sz="4" w:space="0" w:color="auto"/>
            </w:tcBorders>
            <w:shd w:val="clear" w:color="auto" w:fill="auto"/>
            <w:noWrap/>
            <w:vAlign w:val="center"/>
            <w:hideMark/>
          </w:tcPr>
          <w:p w14:paraId="74EE8D30"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7EAB71FB" w14:textId="77777777" w:rsidR="003C6A19" w:rsidRPr="004F469F" w:rsidRDefault="003C6A19" w:rsidP="003C6A19">
            <w:pPr>
              <w:jc w:val="center"/>
              <w:rPr>
                <w:sz w:val="20"/>
                <w:szCs w:val="20"/>
              </w:rPr>
            </w:pPr>
            <w:r w:rsidRPr="004F469F">
              <w:rPr>
                <w:sz w:val="20"/>
                <w:szCs w:val="20"/>
              </w:rPr>
              <w:t>25.7</w:t>
            </w:r>
          </w:p>
        </w:tc>
        <w:tc>
          <w:tcPr>
            <w:tcW w:w="0" w:type="auto"/>
            <w:tcBorders>
              <w:top w:val="nil"/>
              <w:left w:val="nil"/>
              <w:bottom w:val="single" w:sz="4" w:space="0" w:color="auto"/>
              <w:right w:val="single" w:sz="4" w:space="0" w:color="auto"/>
            </w:tcBorders>
            <w:shd w:val="clear" w:color="auto" w:fill="auto"/>
            <w:noWrap/>
            <w:vAlign w:val="center"/>
            <w:hideMark/>
          </w:tcPr>
          <w:p w14:paraId="12409AA7" w14:textId="77777777" w:rsidR="003C6A19" w:rsidRPr="004F469F" w:rsidRDefault="003C6A19" w:rsidP="003C6A19">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5379C4DF" w14:textId="77777777" w:rsidR="003C6A19" w:rsidRPr="004F469F" w:rsidRDefault="003C6A19" w:rsidP="003C6A19">
            <w:pPr>
              <w:jc w:val="center"/>
              <w:rPr>
                <w:sz w:val="20"/>
                <w:szCs w:val="20"/>
              </w:rPr>
            </w:pPr>
            <w:r w:rsidRPr="004F469F">
              <w:rPr>
                <w:sz w:val="20"/>
                <w:szCs w:val="20"/>
              </w:rPr>
              <w:t>4,996</w:t>
            </w:r>
          </w:p>
        </w:tc>
        <w:tc>
          <w:tcPr>
            <w:tcW w:w="0" w:type="auto"/>
            <w:tcBorders>
              <w:top w:val="nil"/>
              <w:left w:val="nil"/>
              <w:bottom w:val="single" w:sz="4" w:space="0" w:color="auto"/>
              <w:right w:val="single" w:sz="4" w:space="0" w:color="auto"/>
            </w:tcBorders>
            <w:shd w:val="clear" w:color="auto" w:fill="auto"/>
            <w:noWrap/>
            <w:vAlign w:val="center"/>
            <w:hideMark/>
          </w:tcPr>
          <w:p w14:paraId="01826E71" w14:textId="77777777" w:rsidR="003C6A19" w:rsidRPr="004F469F" w:rsidRDefault="003C6A19" w:rsidP="003C6A19">
            <w:pPr>
              <w:jc w:val="center"/>
              <w:rPr>
                <w:sz w:val="20"/>
                <w:szCs w:val="20"/>
              </w:rPr>
            </w:pPr>
            <w:r w:rsidRPr="004F469F">
              <w:rPr>
                <w:sz w:val="20"/>
                <w:szCs w:val="20"/>
              </w:rPr>
              <w:t>4,592</w:t>
            </w:r>
          </w:p>
        </w:tc>
        <w:tc>
          <w:tcPr>
            <w:tcW w:w="0" w:type="auto"/>
            <w:tcBorders>
              <w:top w:val="nil"/>
              <w:left w:val="nil"/>
              <w:bottom w:val="single" w:sz="4" w:space="0" w:color="auto"/>
              <w:right w:val="single" w:sz="4" w:space="0" w:color="auto"/>
            </w:tcBorders>
            <w:shd w:val="clear" w:color="auto" w:fill="auto"/>
            <w:noWrap/>
            <w:vAlign w:val="center"/>
            <w:hideMark/>
          </w:tcPr>
          <w:p w14:paraId="03D386D9" w14:textId="77777777" w:rsidR="003C6A19" w:rsidRPr="004F469F" w:rsidRDefault="003C6A19" w:rsidP="003C6A19">
            <w:pPr>
              <w:jc w:val="center"/>
              <w:rPr>
                <w:sz w:val="20"/>
                <w:szCs w:val="20"/>
              </w:rPr>
            </w:pPr>
            <w:r w:rsidRPr="004F469F">
              <w:rPr>
                <w:sz w:val="20"/>
                <w:szCs w:val="20"/>
              </w:rPr>
              <w:t>8,168</w:t>
            </w:r>
          </w:p>
        </w:tc>
        <w:tc>
          <w:tcPr>
            <w:tcW w:w="0" w:type="auto"/>
            <w:tcBorders>
              <w:top w:val="nil"/>
              <w:left w:val="nil"/>
              <w:bottom w:val="single" w:sz="4" w:space="0" w:color="auto"/>
              <w:right w:val="single" w:sz="4" w:space="0" w:color="auto"/>
            </w:tcBorders>
            <w:shd w:val="clear" w:color="auto" w:fill="auto"/>
            <w:noWrap/>
            <w:vAlign w:val="center"/>
            <w:hideMark/>
          </w:tcPr>
          <w:p w14:paraId="64E8E33C" w14:textId="77777777" w:rsidR="003C6A19" w:rsidRPr="004F469F" w:rsidRDefault="003C6A19" w:rsidP="003C6A19">
            <w:pPr>
              <w:jc w:val="center"/>
              <w:rPr>
                <w:sz w:val="20"/>
                <w:szCs w:val="20"/>
              </w:rPr>
            </w:pPr>
            <w:r w:rsidRPr="004F469F">
              <w:rPr>
                <w:sz w:val="20"/>
                <w:szCs w:val="20"/>
              </w:rPr>
              <w:t>32.7</w:t>
            </w:r>
          </w:p>
        </w:tc>
        <w:tc>
          <w:tcPr>
            <w:tcW w:w="0" w:type="auto"/>
            <w:tcBorders>
              <w:top w:val="nil"/>
              <w:left w:val="nil"/>
              <w:bottom w:val="single" w:sz="4" w:space="0" w:color="auto"/>
              <w:right w:val="single" w:sz="4" w:space="0" w:color="auto"/>
            </w:tcBorders>
            <w:shd w:val="clear" w:color="auto" w:fill="auto"/>
            <w:noWrap/>
            <w:vAlign w:val="center"/>
            <w:hideMark/>
          </w:tcPr>
          <w:p w14:paraId="5562672B" w14:textId="77777777" w:rsidR="003C6A19" w:rsidRPr="004F469F" w:rsidRDefault="003C6A19" w:rsidP="003C6A19">
            <w:pPr>
              <w:jc w:val="center"/>
              <w:rPr>
                <w:sz w:val="20"/>
                <w:szCs w:val="20"/>
              </w:rPr>
            </w:pPr>
            <w:r w:rsidRPr="004F469F">
              <w:rPr>
                <w:sz w:val="20"/>
                <w:szCs w:val="20"/>
              </w:rPr>
              <w:t>32.6</w:t>
            </w:r>
          </w:p>
        </w:tc>
        <w:tc>
          <w:tcPr>
            <w:tcW w:w="0" w:type="auto"/>
            <w:tcBorders>
              <w:top w:val="nil"/>
              <w:left w:val="nil"/>
              <w:bottom w:val="single" w:sz="4" w:space="0" w:color="auto"/>
              <w:right w:val="single" w:sz="4" w:space="0" w:color="auto"/>
            </w:tcBorders>
            <w:shd w:val="clear" w:color="auto" w:fill="auto"/>
            <w:noWrap/>
            <w:vAlign w:val="center"/>
            <w:hideMark/>
          </w:tcPr>
          <w:p w14:paraId="3B1CCC91" w14:textId="0AB9BBEC" w:rsidR="003C6A19" w:rsidRPr="004F469F" w:rsidRDefault="003C6A19" w:rsidP="003C6A19">
            <w:pPr>
              <w:jc w:val="center"/>
              <w:rPr>
                <w:sz w:val="20"/>
                <w:szCs w:val="20"/>
              </w:rPr>
            </w:pPr>
            <w:r w:rsidRPr="004F469F">
              <w:rPr>
                <w:sz w:val="20"/>
                <w:szCs w:val="20"/>
              </w:rPr>
              <w:t>-</w:t>
            </w:r>
          </w:p>
        </w:tc>
      </w:tr>
      <w:tr w:rsidR="00494669" w:rsidRPr="004F469F" w14:paraId="20616425"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42F344" w14:textId="126AFCFE" w:rsidR="003C6A19" w:rsidRPr="004F469F" w:rsidRDefault="003C6A19" w:rsidP="003C6A19">
            <w:pPr>
              <w:jc w:val="center"/>
              <w:rPr>
                <w:rFonts w:eastAsia="Arial Unicode MS"/>
                <w:sz w:val="20"/>
                <w:szCs w:val="20"/>
              </w:rPr>
            </w:pPr>
            <w:r w:rsidRPr="004F469F">
              <w:rPr>
                <w:rFonts w:eastAsia="Arial Unicode MS"/>
                <w:sz w:val="20"/>
                <w:szCs w:val="20"/>
              </w:rPr>
              <w:t>16 Dec 2000</w:t>
            </w:r>
          </w:p>
        </w:tc>
        <w:tc>
          <w:tcPr>
            <w:tcW w:w="0" w:type="auto"/>
            <w:tcBorders>
              <w:top w:val="nil"/>
              <w:left w:val="nil"/>
              <w:bottom w:val="single" w:sz="4" w:space="0" w:color="auto"/>
              <w:right w:val="single" w:sz="4" w:space="0" w:color="auto"/>
            </w:tcBorders>
            <w:shd w:val="clear" w:color="auto" w:fill="auto"/>
            <w:noWrap/>
            <w:vAlign w:val="center"/>
            <w:hideMark/>
          </w:tcPr>
          <w:p w14:paraId="247B67B9" w14:textId="7B75CBF8" w:rsidR="003C6A19" w:rsidRPr="004F469F" w:rsidRDefault="003C6A19" w:rsidP="003C6A19">
            <w:pPr>
              <w:jc w:val="center"/>
              <w:rPr>
                <w:sz w:val="20"/>
                <w:szCs w:val="20"/>
              </w:rPr>
            </w:pPr>
            <w:r w:rsidRPr="004F469F">
              <w:rPr>
                <w:sz w:val="20"/>
                <w:szCs w:val="20"/>
              </w:rPr>
              <w:t>Tuscaloosa, AL</w:t>
            </w:r>
          </w:p>
        </w:tc>
        <w:tc>
          <w:tcPr>
            <w:tcW w:w="0" w:type="auto"/>
            <w:tcBorders>
              <w:top w:val="nil"/>
              <w:left w:val="nil"/>
              <w:bottom w:val="single" w:sz="4" w:space="0" w:color="auto"/>
              <w:right w:val="single" w:sz="4" w:space="0" w:color="auto"/>
            </w:tcBorders>
            <w:shd w:val="clear" w:color="auto" w:fill="auto"/>
            <w:noWrap/>
            <w:vAlign w:val="center"/>
            <w:hideMark/>
          </w:tcPr>
          <w:p w14:paraId="2D46ECF7"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4FD8185" w14:textId="77777777" w:rsidR="003C6A19" w:rsidRPr="004F469F" w:rsidRDefault="003C6A19" w:rsidP="003C6A19">
            <w:pPr>
              <w:jc w:val="center"/>
              <w:rPr>
                <w:sz w:val="20"/>
                <w:szCs w:val="20"/>
              </w:rPr>
            </w:pPr>
            <w:r w:rsidRPr="004F469F">
              <w:rPr>
                <w:sz w:val="20"/>
                <w:szCs w:val="20"/>
              </w:rPr>
              <w:t>19.9</w:t>
            </w:r>
          </w:p>
        </w:tc>
        <w:tc>
          <w:tcPr>
            <w:tcW w:w="0" w:type="auto"/>
            <w:tcBorders>
              <w:top w:val="nil"/>
              <w:left w:val="nil"/>
              <w:bottom w:val="single" w:sz="4" w:space="0" w:color="auto"/>
              <w:right w:val="single" w:sz="4" w:space="0" w:color="auto"/>
            </w:tcBorders>
            <w:shd w:val="clear" w:color="auto" w:fill="auto"/>
            <w:noWrap/>
            <w:vAlign w:val="center"/>
            <w:hideMark/>
          </w:tcPr>
          <w:p w14:paraId="5C5E9139" w14:textId="77777777" w:rsidR="003C6A19" w:rsidRPr="004F469F" w:rsidRDefault="003C6A19" w:rsidP="003C6A19">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32F6239B" w14:textId="77777777" w:rsidR="003C6A19" w:rsidRPr="004F469F" w:rsidRDefault="003C6A19" w:rsidP="003C6A19">
            <w:pPr>
              <w:jc w:val="center"/>
              <w:rPr>
                <w:sz w:val="20"/>
                <w:szCs w:val="20"/>
              </w:rPr>
            </w:pPr>
            <w:r w:rsidRPr="004F469F">
              <w:rPr>
                <w:sz w:val="20"/>
                <w:szCs w:val="20"/>
              </w:rPr>
              <w:t>2,558</w:t>
            </w:r>
          </w:p>
        </w:tc>
        <w:tc>
          <w:tcPr>
            <w:tcW w:w="0" w:type="auto"/>
            <w:tcBorders>
              <w:top w:val="nil"/>
              <w:left w:val="nil"/>
              <w:bottom w:val="single" w:sz="4" w:space="0" w:color="auto"/>
              <w:right w:val="single" w:sz="4" w:space="0" w:color="auto"/>
            </w:tcBorders>
            <w:shd w:val="clear" w:color="auto" w:fill="auto"/>
            <w:noWrap/>
            <w:vAlign w:val="center"/>
            <w:hideMark/>
          </w:tcPr>
          <w:p w14:paraId="27C0BA5E" w14:textId="77777777" w:rsidR="003C6A19" w:rsidRPr="004F469F" w:rsidRDefault="003C6A19" w:rsidP="003C6A19">
            <w:pPr>
              <w:jc w:val="center"/>
              <w:rPr>
                <w:sz w:val="20"/>
                <w:szCs w:val="20"/>
              </w:rPr>
            </w:pPr>
            <w:r w:rsidRPr="004F469F">
              <w:rPr>
                <w:sz w:val="20"/>
                <w:szCs w:val="20"/>
              </w:rPr>
              <w:t>2,423</w:t>
            </w:r>
          </w:p>
        </w:tc>
        <w:tc>
          <w:tcPr>
            <w:tcW w:w="0" w:type="auto"/>
            <w:tcBorders>
              <w:top w:val="nil"/>
              <w:left w:val="nil"/>
              <w:bottom w:val="single" w:sz="4" w:space="0" w:color="auto"/>
              <w:right w:val="single" w:sz="4" w:space="0" w:color="auto"/>
            </w:tcBorders>
            <w:shd w:val="clear" w:color="auto" w:fill="auto"/>
            <w:noWrap/>
            <w:vAlign w:val="center"/>
            <w:hideMark/>
          </w:tcPr>
          <w:p w14:paraId="27BA5F73" w14:textId="77777777" w:rsidR="003C6A19" w:rsidRPr="004F469F" w:rsidRDefault="003C6A19" w:rsidP="003C6A19">
            <w:pPr>
              <w:jc w:val="center"/>
              <w:rPr>
                <w:sz w:val="20"/>
                <w:szCs w:val="20"/>
              </w:rPr>
            </w:pPr>
            <w:r w:rsidRPr="004F469F">
              <w:rPr>
                <w:sz w:val="20"/>
                <w:szCs w:val="20"/>
              </w:rPr>
              <w:t>9,662</w:t>
            </w:r>
          </w:p>
        </w:tc>
        <w:tc>
          <w:tcPr>
            <w:tcW w:w="0" w:type="auto"/>
            <w:tcBorders>
              <w:top w:val="nil"/>
              <w:left w:val="nil"/>
              <w:bottom w:val="single" w:sz="4" w:space="0" w:color="auto"/>
              <w:right w:val="single" w:sz="4" w:space="0" w:color="auto"/>
            </w:tcBorders>
            <w:shd w:val="clear" w:color="auto" w:fill="auto"/>
            <w:noWrap/>
            <w:vAlign w:val="center"/>
            <w:hideMark/>
          </w:tcPr>
          <w:p w14:paraId="33EC7434" w14:textId="77777777" w:rsidR="003C6A19" w:rsidRPr="004F469F" w:rsidRDefault="003C6A19" w:rsidP="003C6A19">
            <w:pPr>
              <w:jc w:val="center"/>
              <w:rPr>
                <w:sz w:val="20"/>
                <w:szCs w:val="20"/>
              </w:rPr>
            </w:pPr>
            <w:r w:rsidRPr="004F469F">
              <w:rPr>
                <w:sz w:val="20"/>
                <w:szCs w:val="20"/>
              </w:rPr>
              <w:t>49.6</w:t>
            </w:r>
          </w:p>
        </w:tc>
        <w:tc>
          <w:tcPr>
            <w:tcW w:w="0" w:type="auto"/>
            <w:tcBorders>
              <w:top w:val="nil"/>
              <w:left w:val="nil"/>
              <w:bottom w:val="single" w:sz="4" w:space="0" w:color="auto"/>
              <w:right w:val="single" w:sz="4" w:space="0" w:color="auto"/>
            </w:tcBorders>
            <w:shd w:val="clear" w:color="auto" w:fill="auto"/>
            <w:noWrap/>
            <w:vAlign w:val="center"/>
            <w:hideMark/>
          </w:tcPr>
          <w:p w14:paraId="1132B5ED" w14:textId="77777777" w:rsidR="003C6A19" w:rsidRPr="004F469F" w:rsidRDefault="003C6A19" w:rsidP="003C6A19">
            <w:pPr>
              <w:jc w:val="center"/>
              <w:rPr>
                <w:sz w:val="20"/>
                <w:szCs w:val="20"/>
              </w:rPr>
            </w:pPr>
            <w:r w:rsidRPr="004F469F">
              <w:rPr>
                <w:sz w:val="20"/>
                <w:szCs w:val="20"/>
              </w:rPr>
              <w:t>30.3</w:t>
            </w:r>
          </w:p>
        </w:tc>
        <w:tc>
          <w:tcPr>
            <w:tcW w:w="0" w:type="auto"/>
            <w:tcBorders>
              <w:top w:val="nil"/>
              <w:left w:val="nil"/>
              <w:bottom w:val="single" w:sz="4" w:space="0" w:color="auto"/>
              <w:right w:val="single" w:sz="4" w:space="0" w:color="auto"/>
            </w:tcBorders>
            <w:shd w:val="clear" w:color="auto" w:fill="auto"/>
            <w:noWrap/>
            <w:vAlign w:val="center"/>
            <w:hideMark/>
          </w:tcPr>
          <w:p w14:paraId="617A0011" w14:textId="711EF3EF" w:rsidR="003C6A19" w:rsidRPr="004F469F" w:rsidRDefault="003C6A19" w:rsidP="003C6A19">
            <w:pPr>
              <w:jc w:val="center"/>
              <w:rPr>
                <w:sz w:val="20"/>
                <w:szCs w:val="20"/>
              </w:rPr>
            </w:pPr>
            <w:r w:rsidRPr="004F469F">
              <w:rPr>
                <w:sz w:val="20"/>
                <w:szCs w:val="20"/>
              </w:rPr>
              <w:t>-</w:t>
            </w:r>
          </w:p>
        </w:tc>
      </w:tr>
      <w:tr w:rsidR="00494669" w:rsidRPr="004F469F" w14:paraId="0475C5B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B9C5B" w14:textId="4B8107FE" w:rsidR="003C6A19" w:rsidRPr="004F469F" w:rsidRDefault="003C6A19" w:rsidP="003C6A19">
            <w:pPr>
              <w:jc w:val="center"/>
              <w:rPr>
                <w:rFonts w:eastAsia="Arial Unicode MS"/>
                <w:sz w:val="20"/>
                <w:szCs w:val="20"/>
              </w:rPr>
            </w:pPr>
            <w:r w:rsidRPr="004F469F">
              <w:rPr>
                <w:rFonts w:eastAsia="Arial Unicode MS"/>
                <w:sz w:val="20"/>
                <w:szCs w:val="20"/>
              </w:rPr>
              <w:t>27 Apr 2014</w:t>
            </w:r>
          </w:p>
        </w:tc>
        <w:tc>
          <w:tcPr>
            <w:tcW w:w="0" w:type="auto"/>
            <w:tcBorders>
              <w:top w:val="nil"/>
              <w:left w:val="nil"/>
              <w:bottom w:val="single" w:sz="4" w:space="0" w:color="auto"/>
              <w:right w:val="single" w:sz="4" w:space="0" w:color="auto"/>
            </w:tcBorders>
            <w:shd w:val="clear" w:color="auto" w:fill="auto"/>
            <w:noWrap/>
            <w:vAlign w:val="center"/>
            <w:hideMark/>
          </w:tcPr>
          <w:p w14:paraId="16BA42C0" w14:textId="4E4CF0A3" w:rsidR="003C6A19" w:rsidRPr="004F469F" w:rsidRDefault="003C6A19" w:rsidP="003C6A19">
            <w:pPr>
              <w:jc w:val="center"/>
              <w:rPr>
                <w:sz w:val="20"/>
                <w:szCs w:val="20"/>
              </w:rPr>
            </w:pPr>
            <w:r w:rsidRPr="004F469F">
              <w:rPr>
                <w:sz w:val="20"/>
                <w:szCs w:val="20"/>
              </w:rPr>
              <w:t>Mayflower-Vilonia, AR</w:t>
            </w:r>
          </w:p>
        </w:tc>
        <w:tc>
          <w:tcPr>
            <w:tcW w:w="0" w:type="auto"/>
            <w:tcBorders>
              <w:top w:val="nil"/>
              <w:left w:val="nil"/>
              <w:bottom w:val="single" w:sz="4" w:space="0" w:color="auto"/>
              <w:right w:val="single" w:sz="4" w:space="0" w:color="auto"/>
            </w:tcBorders>
            <w:shd w:val="clear" w:color="auto" w:fill="auto"/>
            <w:noWrap/>
            <w:vAlign w:val="center"/>
            <w:hideMark/>
          </w:tcPr>
          <w:p w14:paraId="029F849D"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CAF2BBD" w14:textId="77777777" w:rsidR="003C6A19" w:rsidRPr="004F469F" w:rsidRDefault="003C6A19" w:rsidP="003C6A19">
            <w:pPr>
              <w:jc w:val="center"/>
              <w:rPr>
                <w:sz w:val="20"/>
                <w:szCs w:val="20"/>
              </w:rPr>
            </w:pPr>
            <w:r w:rsidRPr="004F469F">
              <w:rPr>
                <w:sz w:val="20"/>
                <w:szCs w:val="20"/>
              </w:rPr>
              <w:t>79.8</w:t>
            </w:r>
          </w:p>
        </w:tc>
        <w:tc>
          <w:tcPr>
            <w:tcW w:w="0" w:type="auto"/>
            <w:tcBorders>
              <w:top w:val="nil"/>
              <w:left w:val="nil"/>
              <w:bottom w:val="single" w:sz="4" w:space="0" w:color="auto"/>
              <w:right w:val="single" w:sz="4" w:space="0" w:color="auto"/>
            </w:tcBorders>
            <w:shd w:val="clear" w:color="auto" w:fill="auto"/>
            <w:noWrap/>
            <w:vAlign w:val="center"/>
            <w:hideMark/>
          </w:tcPr>
          <w:p w14:paraId="272DCE0D" w14:textId="77777777" w:rsidR="003C6A19" w:rsidRPr="004F469F" w:rsidRDefault="003C6A19" w:rsidP="003C6A19">
            <w:pPr>
              <w:jc w:val="center"/>
              <w:rPr>
                <w:sz w:val="20"/>
                <w:szCs w:val="20"/>
              </w:rPr>
            </w:pPr>
            <w:r w:rsidRPr="004F469F">
              <w:rPr>
                <w:sz w:val="20"/>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14:paraId="234691C8" w14:textId="77777777" w:rsidR="003C6A19" w:rsidRPr="004F469F" w:rsidRDefault="003C6A19" w:rsidP="003C6A19">
            <w:pPr>
              <w:jc w:val="center"/>
              <w:rPr>
                <w:sz w:val="20"/>
                <w:szCs w:val="20"/>
              </w:rPr>
            </w:pPr>
            <w:r w:rsidRPr="004F469F">
              <w:rPr>
                <w:sz w:val="20"/>
                <w:szCs w:val="20"/>
              </w:rPr>
              <w:t>2,697</w:t>
            </w:r>
          </w:p>
        </w:tc>
        <w:tc>
          <w:tcPr>
            <w:tcW w:w="0" w:type="auto"/>
            <w:tcBorders>
              <w:top w:val="nil"/>
              <w:left w:val="nil"/>
              <w:bottom w:val="single" w:sz="4" w:space="0" w:color="auto"/>
              <w:right w:val="single" w:sz="4" w:space="0" w:color="auto"/>
            </w:tcBorders>
            <w:shd w:val="clear" w:color="auto" w:fill="auto"/>
            <w:noWrap/>
            <w:vAlign w:val="center"/>
            <w:hideMark/>
          </w:tcPr>
          <w:p w14:paraId="65535CF4" w14:textId="77777777" w:rsidR="003C6A19" w:rsidRPr="004F469F" w:rsidRDefault="003C6A19" w:rsidP="003C6A19">
            <w:pPr>
              <w:jc w:val="center"/>
              <w:rPr>
                <w:sz w:val="20"/>
                <w:szCs w:val="20"/>
              </w:rPr>
            </w:pPr>
            <w:r w:rsidRPr="004F469F">
              <w:rPr>
                <w:sz w:val="20"/>
                <w:szCs w:val="20"/>
              </w:rPr>
              <w:t>2,923</w:t>
            </w:r>
          </w:p>
        </w:tc>
        <w:tc>
          <w:tcPr>
            <w:tcW w:w="0" w:type="auto"/>
            <w:tcBorders>
              <w:top w:val="nil"/>
              <w:left w:val="nil"/>
              <w:bottom w:val="single" w:sz="4" w:space="0" w:color="auto"/>
              <w:right w:val="single" w:sz="4" w:space="0" w:color="auto"/>
            </w:tcBorders>
            <w:shd w:val="clear" w:color="auto" w:fill="auto"/>
            <w:noWrap/>
            <w:vAlign w:val="center"/>
            <w:hideMark/>
          </w:tcPr>
          <w:p w14:paraId="4A21D86D" w14:textId="77777777" w:rsidR="003C6A19" w:rsidRPr="004F469F" w:rsidRDefault="003C6A19" w:rsidP="003C6A19">
            <w:pPr>
              <w:jc w:val="center"/>
              <w:rPr>
                <w:sz w:val="20"/>
                <w:szCs w:val="20"/>
              </w:rPr>
            </w:pPr>
            <w:r w:rsidRPr="004F469F">
              <w:rPr>
                <w:sz w:val="20"/>
                <w:szCs w:val="20"/>
              </w:rPr>
              <w:t>12,313</w:t>
            </w:r>
          </w:p>
        </w:tc>
        <w:tc>
          <w:tcPr>
            <w:tcW w:w="0" w:type="auto"/>
            <w:tcBorders>
              <w:top w:val="nil"/>
              <w:left w:val="nil"/>
              <w:bottom w:val="single" w:sz="4" w:space="0" w:color="auto"/>
              <w:right w:val="single" w:sz="4" w:space="0" w:color="auto"/>
            </w:tcBorders>
            <w:shd w:val="clear" w:color="auto" w:fill="auto"/>
            <w:noWrap/>
            <w:vAlign w:val="center"/>
            <w:hideMark/>
          </w:tcPr>
          <w:p w14:paraId="0F78BAFF" w14:textId="77777777" w:rsidR="003C6A19" w:rsidRPr="004F469F" w:rsidRDefault="003C6A19" w:rsidP="003C6A19">
            <w:pPr>
              <w:jc w:val="center"/>
              <w:rPr>
                <w:sz w:val="20"/>
                <w:szCs w:val="20"/>
              </w:rPr>
            </w:pPr>
            <w:r w:rsidRPr="004F469F">
              <w:rPr>
                <w:sz w:val="20"/>
                <w:szCs w:val="20"/>
              </w:rPr>
              <w:t>67.4</w:t>
            </w:r>
          </w:p>
        </w:tc>
        <w:tc>
          <w:tcPr>
            <w:tcW w:w="0" w:type="auto"/>
            <w:tcBorders>
              <w:top w:val="nil"/>
              <w:left w:val="nil"/>
              <w:bottom w:val="single" w:sz="4" w:space="0" w:color="auto"/>
              <w:right w:val="single" w:sz="4" w:space="0" w:color="auto"/>
            </w:tcBorders>
            <w:shd w:val="clear" w:color="auto" w:fill="auto"/>
            <w:noWrap/>
            <w:vAlign w:val="center"/>
            <w:hideMark/>
          </w:tcPr>
          <w:p w14:paraId="25AA839B" w14:textId="77777777" w:rsidR="003C6A19" w:rsidRPr="004F469F" w:rsidRDefault="003C6A19" w:rsidP="003C6A19">
            <w:pPr>
              <w:jc w:val="center"/>
              <w:rPr>
                <w:sz w:val="20"/>
                <w:szCs w:val="20"/>
              </w:rPr>
            </w:pPr>
            <w:r w:rsidRPr="004F469F">
              <w:rPr>
                <w:sz w:val="20"/>
                <w:szCs w:val="20"/>
              </w:rPr>
              <w:t>23.7</w:t>
            </w:r>
          </w:p>
        </w:tc>
        <w:tc>
          <w:tcPr>
            <w:tcW w:w="0" w:type="auto"/>
            <w:tcBorders>
              <w:top w:val="nil"/>
              <w:left w:val="nil"/>
              <w:bottom w:val="single" w:sz="4" w:space="0" w:color="auto"/>
              <w:right w:val="single" w:sz="4" w:space="0" w:color="auto"/>
            </w:tcBorders>
            <w:shd w:val="clear" w:color="auto" w:fill="auto"/>
            <w:noWrap/>
            <w:vAlign w:val="center"/>
            <w:hideMark/>
          </w:tcPr>
          <w:p w14:paraId="1987A947" w14:textId="78B88A3B" w:rsidR="003C6A19" w:rsidRPr="004F469F" w:rsidRDefault="003C6A19" w:rsidP="003C6A19">
            <w:pPr>
              <w:jc w:val="center"/>
              <w:rPr>
                <w:sz w:val="20"/>
                <w:szCs w:val="20"/>
              </w:rPr>
            </w:pPr>
            <w:r w:rsidRPr="004F469F">
              <w:rPr>
                <w:sz w:val="20"/>
                <w:szCs w:val="20"/>
              </w:rPr>
              <w:t>-</w:t>
            </w:r>
          </w:p>
        </w:tc>
      </w:tr>
      <w:tr w:rsidR="00494669" w:rsidRPr="004F469F" w14:paraId="1A2D26B4"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2EA472" w14:textId="5A9C04A6" w:rsidR="003C6A19" w:rsidRPr="004F469F" w:rsidRDefault="003C6A19" w:rsidP="003C6A19">
            <w:pPr>
              <w:jc w:val="center"/>
              <w:rPr>
                <w:rFonts w:eastAsia="Arial Unicode MS"/>
                <w:b/>
                <w:bCs/>
                <w:sz w:val="20"/>
                <w:szCs w:val="20"/>
              </w:rPr>
            </w:pPr>
            <w:r w:rsidRPr="004F469F">
              <w:rPr>
                <w:rFonts w:eastAsia="Arial Unicode MS"/>
                <w:b/>
                <w:bCs/>
                <w:sz w:val="20"/>
                <w:szCs w:val="20"/>
              </w:rPr>
              <w:t>25 May 2008</w:t>
            </w:r>
          </w:p>
        </w:tc>
        <w:tc>
          <w:tcPr>
            <w:tcW w:w="0" w:type="auto"/>
            <w:tcBorders>
              <w:top w:val="nil"/>
              <w:left w:val="nil"/>
              <w:bottom w:val="single" w:sz="4" w:space="0" w:color="auto"/>
              <w:right w:val="single" w:sz="4" w:space="0" w:color="auto"/>
            </w:tcBorders>
            <w:shd w:val="clear" w:color="auto" w:fill="auto"/>
            <w:noWrap/>
            <w:vAlign w:val="center"/>
            <w:hideMark/>
          </w:tcPr>
          <w:p w14:paraId="59676E46" w14:textId="63AA7285" w:rsidR="003C6A19" w:rsidRPr="004F469F" w:rsidRDefault="003C6A19" w:rsidP="003C6A19">
            <w:pPr>
              <w:jc w:val="center"/>
              <w:rPr>
                <w:b/>
                <w:bCs/>
                <w:sz w:val="20"/>
                <w:szCs w:val="20"/>
              </w:rPr>
            </w:pPr>
            <w:r w:rsidRPr="004F469F">
              <w:rPr>
                <w:b/>
                <w:bCs/>
                <w:sz w:val="20"/>
                <w:szCs w:val="20"/>
              </w:rPr>
              <w:t>Parkersburg-New Hartford, IA</w:t>
            </w:r>
          </w:p>
        </w:tc>
        <w:tc>
          <w:tcPr>
            <w:tcW w:w="0" w:type="auto"/>
            <w:tcBorders>
              <w:top w:val="nil"/>
              <w:left w:val="nil"/>
              <w:bottom w:val="single" w:sz="4" w:space="0" w:color="auto"/>
              <w:right w:val="single" w:sz="4" w:space="0" w:color="auto"/>
            </w:tcBorders>
            <w:shd w:val="clear" w:color="auto" w:fill="auto"/>
            <w:noWrap/>
            <w:vAlign w:val="center"/>
            <w:hideMark/>
          </w:tcPr>
          <w:p w14:paraId="6FFE4A7E"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097CC687" w14:textId="77777777" w:rsidR="003C6A19" w:rsidRPr="004F469F" w:rsidRDefault="003C6A19" w:rsidP="003C6A19">
            <w:pPr>
              <w:jc w:val="center"/>
              <w:rPr>
                <w:b/>
                <w:bCs/>
                <w:sz w:val="20"/>
                <w:szCs w:val="20"/>
              </w:rPr>
            </w:pPr>
            <w:r w:rsidRPr="004F469F">
              <w:rPr>
                <w:b/>
                <w:bCs/>
                <w:sz w:val="20"/>
                <w:szCs w:val="20"/>
              </w:rPr>
              <w:t>126.6</w:t>
            </w:r>
          </w:p>
        </w:tc>
        <w:tc>
          <w:tcPr>
            <w:tcW w:w="0" w:type="auto"/>
            <w:tcBorders>
              <w:top w:val="nil"/>
              <w:left w:val="nil"/>
              <w:bottom w:val="single" w:sz="4" w:space="0" w:color="auto"/>
              <w:right w:val="single" w:sz="4" w:space="0" w:color="auto"/>
            </w:tcBorders>
            <w:shd w:val="clear" w:color="auto" w:fill="auto"/>
            <w:noWrap/>
            <w:vAlign w:val="center"/>
            <w:hideMark/>
          </w:tcPr>
          <w:p w14:paraId="12D8DB2C" w14:textId="77777777" w:rsidR="003C6A19" w:rsidRPr="004F469F" w:rsidRDefault="003C6A19" w:rsidP="003C6A19">
            <w:pPr>
              <w:jc w:val="center"/>
              <w:rPr>
                <w:b/>
                <w:bCs/>
                <w:sz w:val="20"/>
                <w:szCs w:val="20"/>
              </w:rPr>
            </w:pPr>
            <w:r w:rsidRPr="004F469F">
              <w:rPr>
                <w:b/>
                <w:bCs/>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14:paraId="245CEE51" w14:textId="77777777" w:rsidR="003C6A19" w:rsidRPr="004F469F" w:rsidRDefault="003C6A19" w:rsidP="003C6A19">
            <w:pPr>
              <w:jc w:val="center"/>
              <w:rPr>
                <w:b/>
                <w:bCs/>
                <w:sz w:val="20"/>
                <w:szCs w:val="20"/>
              </w:rPr>
            </w:pPr>
            <w:r w:rsidRPr="004F469F">
              <w:rPr>
                <w:b/>
                <w:bCs/>
                <w:sz w:val="20"/>
                <w:szCs w:val="20"/>
              </w:rPr>
              <w:t>1,665</w:t>
            </w:r>
          </w:p>
        </w:tc>
        <w:tc>
          <w:tcPr>
            <w:tcW w:w="0" w:type="auto"/>
            <w:tcBorders>
              <w:top w:val="nil"/>
              <w:left w:val="nil"/>
              <w:bottom w:val="single" w:sz="4" w:space="0" w:color="auto"/>
              <w:right w:val="single" w:sz="4" w:space="0" w:color="auto"/>
            </w:tcBorders>
            <w:shd w:val="clear" w:color="auto" w:fill="auto"/>
            <w:noWrap/>
            <w:vAlign w:val="center"/>
            <w:hideMark/>
          </w:tcPr>
          <w:p w14:paraId="1C2F7045" w14:textId="77777777" w:rsidR="003C6A19" w:rsidRPr="004F469F" w:rsidRDefault="003C6A19" w:rsidP="003C6A19">
            <w:pPr>
              <w:jc w:val="center"/>
              <w:rPr>
                <w:b/>
                <w:bCs/>
                <w:sz w:val="20"/>
                <w:szCs w:val="20"/>
              </w:rPr>
            </w:pPr>
            <w:r w:rsidRPr="004F469F">
              <w:rPr>
                <w:b/>
                <w:bCs/>
                <w:sz w:val="20"/>
                <w:szCs w:val="20"/>
              </w:rPr>
              <w:t>2,498</w:t>
            </w:r>
          </w:p>
        </w:tc>
        <w:tc>
          <w:tcPr>
            <w:tcW w:w="0" w:type="auto"/>
            <w:tcBorders>
              <w:top w:val="nil"/>
              <w:left w:val="nil"/>
              <w:bottom w:val="single" w:sz="4" w:space="0" w:color="auto"/>
              <w:right w:val="single" w:sz="4" w:space="0" w:color="auto"/>
            </w:tcBorders>
            <w:shd w:val="clear" w:color="auto" w:fill="auto"/>
            <w:noWrap/>
            <w:vAlign w:val="center"/>
            <w:hideMark/>
          </w:tcPr>
          <w:p w14:paraId="62F2CE8C" w14:textId="77777777" w:rsidR="003C6A19" w:rsidRPr="004F469F" w:rsidRDefault="003C6A19" w:rsidP="003C6A19">
            <w:pPr>
              <w:jc w:val="center"/>
              <w:rPr>
                <w:b/>
                <w:bCs/>
                <w:sz w:val="20"/>
                <w:szCs w:val="20"/>
              </w:rPr>
            </w:pPr>
            <w:r w:rsidRPr="004F469F">
              <w:rPr>
                <w:b/>
                <w:bCs/>
                <w:sz w:val="20"/>
                <w:szCs w:val="20"/>
              </w:rPr>
              <w:t>25,321</w:t>
            </w:r>
          </w:p>
        </w:tc>
        <w:tc>
          <w:tcPr>
            <w:tcW w:w="0" w:type="auto"/>
            <w:tcBorders>
              <w:top w:val="nil"/>
              <w:left w:val="nil"/>
              <w:bottom w:val="single" w:sz="4" w:space="0" w:color="auto"/>
              <w:right w:val="single" w:sz="4" w:space="0" w:color="auto"/>
            </w:tcBorders>
            <w:shd w:val="clear" w:color="auto" w:fill="auto"/>
            <w:noWrap/>
            <w:vAlign w:val="center"/>
            <w:hideMark/>
          </w:tcPr>
          <w:p w14:paraId="17EAB5A4" w14:textId="77777777" w:rsidR="003C6A19" w:rsidRPr="004F469F" w:rsidRDefault="003C6A19" w:rsidP="003C6A19">
            <w:pPr>
              <w:jc w:val="center"/>
              <w:rPr>
                <w:b/>
                <w:bCs/>
                <w:sz w:val="20"/>
                <w:szCs w:val="20"/>
              </w:rPr>
            </w:pPr>
            <w:r w:rsidRPr="004F469F">
              <w:rPr>
                <w:b/>
                <w:bCs/>
                <w:sz w:val="20"/>
                <w:szCs w:val="20"/>
              </w:rPr>
              <w:t>85.4</w:t>
            </w:r>
          </w:p>
        </w:tc>
        <w:tc>
          <w:tcPr>
            <w:tcW w:w="0" w:type="auto"/>
            <w:tcBorders>
              <w:top w:val="nil"/>
              <w:left w:val="nil"/>
              <w:bottom w:val="single" w:sz="4" w:space="0" w:color="auto"/>
              <w:right w:val="single" w:sz="4" w:space="0" w:color="auto"/>
            </w:tcBorders>
            <w:shd w:val="clear" w:color="auto" w:fill="auto"/>
            <w:noWrap/>
            <w:vAlign w:val="center"/>
            <w:hideMark/>
          </w:tcPr>
          <w:p w14:paraId="224713D2" w14:textId="77777777" w:rsidR="003C6A19" w:rsidRPr="004F469F" w:rsidRDefault="003C6A19" w:rsidP="003C6A19">
            <w:pPr>
              <w:jc w:val="center"/>
              <w:rPr>
                <w:b/>
                <w:bCs/>
                <w:sz w:val="20"/>
                <w:szCs w:val="20"/>
              </w:rPr>
            </w:pPr>
            <w:r w:rsidRPr="004F469F">
              <w:rPr>
                <w:b/>
                <w:bCs/>
                <w:sz w:val="20"/>
                <w:szCs w:val="20"/>
              </w:rPr>
              <w:t>23.1</w:t>
            </w:r>
          </w:p>
        </w:tc>
        <w:tc>
          <w:tcPr>
            <w:tcW w:w="0" w:type="auto"/>
            <w:tcBorders>
              <w:top w:val="nil"/>
              <w:left w:val="nil"/>
              <w:bottom w:val="single" w:sz="4" w:space="0" w:color="auto"/>
              <w:right w:val="single" w:sz="4" w:space="0" w:color="auto"/>
            </w:tcBorders>
            <w:shd w:val="clear" w:color="auto" w:fill="auto"/>
            <w:noWrap/>
            <w:vAlign w:val="center"/>
            <w:hideMark/>
          </w:tcPr>
          <w:p w14:paraId="1BD01E75" w14:textId="77777777" w:rsidR="003C6A19" w:rsidRPr="004F469F" w:rsidRDefault="003C6A19" w:rsidP="003C6A19">
            <w:pPr>
              <w:jc w:val="center"/>
              <w:rPr>
                <w:b/>
                <w:bCs/>
                <w:sz w:val="20"/>
                <w:szCs w:val="20"/>
              </w:rPr>
            </w:pPr>
            <w:r w:rsidRPr="004F469F">
              <w:rPr>
                <w:b/>
                <w:bCs/>
                <w:sz w:val="20"/>
                <w:szCs w:val="20"/>
              </w:rPr>
              <w:t>7</w:t>
            </w:r>
          </w:p>
        </w:tc>
      </w:tr>
      <w:tr w:rsidR="00494669" w:rsidRPr="004F469F" w14:paraId="03B42AE1"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3283B5" w14:textId="1CF85560" w:rsidR="003C6A19" w:rsidRPr="004F469F" w:rsidRDefault="003C6A19" w:rsidP="003C6A19">
            <w:pPr>
              <w:jc w:val="center"/>
              <w:rPr>
                <w:rFonts w:eastAsia="Arial Unicode MS"/>
                <w:sz w:val="20"/>
                <w:szCs w:val="20"/>
              </w:rPr>
            </w:pPr>
            <w:r w:rsidRPr="004F469F">
              <w:rPr>
                <w:rFonts w:eastAsia="Arial Unicode MS"/>
                <w:sz w:val="20"/>
                <w:szCs w:val="20"/>
              </w:rPr>
              <w:t>10 May 2010</w:t>
            </w:r>
          </w:p>
        </w:tc>
        <w:tc>
          <w:tcPr>
            <w:tcW w:w="0" w:type="auto"/>
            <w:tcBorders>
              <w:top w:val="nil"/>
              <w:left w:val="nil"/>
              <w:bottom w:val="single" w:sz="4" w:space="0" w:color="auto"/>
              <w:right w:val="single" w:sz="4" w:space="0" w:color="auto"/>
            </w:tcBorders>
            <w:shd w:val="clear" w:color="auto" w:fill="auto"/>
            <w:noWrap/>
            <w:vAlign w:val="center"/>
            <w:hideMark/>
          </w:tcPr>
          <w:p w14:paraId="19F39910" w14:textId="7AD9DEE3" w:rsidR="003C6A19" w:rsidRPr="004F469F" w:rsidRDefault="003C6A19" w:rsidP="003C6A19">
            <w:pPr>
              <w:jc w:val="center"/>
              <w:rPr>
                <w:sz w:val="20"/>
                <w:szCs w:val="20"/>
              </w:rPr>
            </w:pPr>
            <w:r w:rsidRPr="004F469F">
              <w:rPr>
                <w:sz w:val="20"/>
                <w:szCs w:val="20"/>
              </w:rPr>
              <w:t>Norman-Little Axe, OK</w:t>
            </w:r>
          </w:p>
        </w:tc>
        <w:tc>
          <w:tcPr>
            <w:tcW w:w="0" w:type="auto"/>
            <w:tcBorders>
              <w:top w:val="nil"/>
              <w:left w:val="nil"/>
              <w:bottom w:val="single" w:sz="4" w:space="0" w:color="auto"/>
              <w:right w:val="single" w:sz="4" w:space="0" w:color="auto"/>
            </w:tcBorders>
            <w:shd w:val="clear" w:color="auto" w:fill="auto"/>
            <w:noWrap/>
            <w:vAlign w:val="center"/>
            <w:hideMark/>
          </w:tcPr>
          <w:p w14:paraId="3143BA47"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E4E09DE" w14:textId="77777777" w:rsidR="003C6A19" w:rsidRPr="004F469F" w:rsidRDefault="003C6A19" w:rsidP="003C6A19">
            <w:pPr>
              <w:jc w:val="center"/>
              <w:rPr>
                <w:sz w:val="20"/>
                <w:szCs w:val="20"/>
              </w:rPr>
            </w:pPr>
            <w:r w:rsidRPr="004F469F">
              <w:rPr>
                <w:sz w:val="20"/>
                <w:szCs w:val="20"/>
              </w:rPr>
              <w:t>28.8</w:t>
            </w:r>
          </w:p>
        </w:tc>
        <w:tc>
          <w:tcPr>
            <w:tcW w:w="0" w:type="auto"/>
            <w:tcBorders>
              <w:top w:val="nil"/>
              <w:left w:val="nil"/>
              <w:bottom w:val="single" w:sz="4" w:space="0" w:color="auto"/>
              <w:right w:val="single" w:sz="4" w:space="0" w:color="auto"/>
            </w:tcBorders>
            <w:shd w:val="clear" w:color="auto" w:fill="auto"/>
            <w:noWrap/>
            <w:vAlign w:val="center"/>
            <w:hideMark/>
          </w:tcPr>
          <w:p w14:paraId="62DD357B" w14:textId="77777777" w:rsidR="003C6A19" w:rsidRPr="004F469F" w:rsidRDefault="003C6A19" w:rsidP="003C6A19">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5B59937D" w14:textId="77777777" w:rsidR="003C6A19" w:rsidRPr="004F469F" w:rsidRDefault="003C6A19" w:rsidP="003C6A19">
            <w:pPr>
              <w:jc w:val="center"/>
              <w:rPr>
                <w:sz w:val="20"/>
                <w:szCs w:val="20"/>
              </w:rPr>
            </w:pPr>
            <w:r w:rsidRPr="004F469F">
              <w:rPr>
                <w:sz w:val="20"/>
                <w:szCs w:val="20"/>
              </w:rPr>
              <w:t>2,985</w:t>
            </w:r>
          </w:p>
        </w:tc>
        <w:tc>
          <w:tcPr>
            <w:tcW w:w="0" w:type="auto"/>
            <w:tcBorders>
              <w:top w:val="nil"/>
              <w:left w:val="nil"/>
              <w:bottom w:val="single" w:sz="4" w:space="0" w:color="auto"/>
              <w:right w:val="single" w:sz="4" w:space="0" w:color="auto"/>
            </w:tcBorders>
            <w:shd w:val="clear" w:color="auto" w:fill="auto"/>
            <w:noWrap/>
            <w:vAlign w:val="center"/>
            <w:hideMark/>
          </w:tcPr>
          <w:p w14:paraId="167BFA27" w14:textId="77777777" w:rsidR="003C6A19" w:rsidRPr="004F469F" w:rsidRDefault="003C6A19" w:rsidP="003C6A19">
            <w:pPr>
              <w:jc w:val="center"/>
              <w:rPr>
                <w:sz w:val="20"/>
                <w:szCs w:val="20"/>
              </w:rPr>
            </w:pPr>
            <w:r w:rsidRPr="004F469F">
              <w:rPr>
                <w:sz w:val="20"/>
                <w:szCs w:val="20"/>
              </w:rPr>
              <w:t>1,522</w:t>
            </w:r>
          </w:p>
        </w:tc>
        <w:tc>
          <w:tcPr>
            <w:tcW w:w="0" w:type="auto"/>
            <w:tcBorders>
              <w:top w:val="nil"/>
              <w:left w:val="nil"/>
              <w:bottom w:val="single" w:sz="4" w:space="0" w:color="auto"/>
              <w:right w:val="single" w:sz="4" w:space="0" w:color="auto"/>
            </w:tcBorders>
            <w:shd w:val="clear" w:color="auto" w:fill="auto"/>
            <w:noWrap/>
            <w:vAlign w:val="center"/>
            <w:hideMark/>
          </w:tcPr>
          <w:p w14:paraId="2D38788B" w14:textId="77777777" w:rsidR="003C6A19" w:rsidRPr="004F469F" w:rsidRDefault="003C6A19" w:rsidP="003C6A19">
            <w:pPr>
              <w:jc w:val="center"/>
              <w:rPr>
                <w:sz w:val="20"/>
                <w:szCs w:val="20"/>
              </w:rPr>
            </w:pPr>
            <w:r w:rsidRPr="004F469F">
              <w:rPr>
                <w:sz w:val="20"/>
                <w:szCs w:val="20"/>
              </w:rPr>
              <w:t>14,480</w:t>
            </w:r>
          </w:p>
        </w:tc>
        <w:tc>
          <w:tcPr>
            <w:tcW w:w="0" w:type="auto"/>
            <w:tcBorders>
              <w:top w:val="nil"/>
              <w:left w:val="nil"/>
              <w:bottom w:val="single" w:sz="4" w:space="0" w:color="auto"/>
              <w:right w:val="single" w:sz="4" w:space="0" w:color="auto"/>
            </w:tcBorders>
            <w:shd w:val="clear" w:color="auto" w:fill="auto"/>
            <w:noWrap/>
            <w:vAlign w:val="center"/>
            <w:hideMark/>
          </w:tcPr>
          <w:p w14:paraId="6A75462F" w14:textId="77777777" w:rsidR="003C6A19" w:rsidRPr="004F469F" w:rsidRDefault="003C6A19" w:rsidP="003C6A19">
            <w:pPr>
              <w:jc w:val="center"/>
              <w:rPr>
                <w:sz w:val="20"/>
                <w:szCs w:val="20"/>
              </w:rPr>
            </w:pPr>
            <w:r w:rsidRPr="004F469F">
              <w:rPr>
                <w:sz w:val="20"/>
                <w:szCs w:val="20"/>
              </w:rPr>
              <w:t>27.2</w:t>
            </w:r>
          </w:p>
        </w:tc>
        <w:tc>
          <w:tcPr>
            <w:tcW w:w="0" w:type="auto"/>
            <w:tcBorders>
              <w:top w:val="nil"/>
              <w:left w:val="nil"/>
              <w:bottom w:val="single" w:sz="4" w:space="0" w:color="auto"/>
              <w:right w:val="single" w:sz="4" w:space="0" w:color="auto"/>
            </w:tcBorders>
            <w:shd w:val="clear" w:color="auto" w:fill="auto"/>
            <w:noWrap/>
            <w:vAlign w:val="center"/>
            <w:hideMark/>
          </w:tcPr>
          <w:p w14:paraId="3012632D" w14:textId="77777777" w:rsidR="003C6A19" w:rsidRPr="004F469F" w:rsidRDefault="003C6A19" w:rsidP="003C6A19">
            <w:pPr>
              <w:jc w:val="center"/>
              <w:rPr>
                <w:sz w:val="20"/>
                <w:szCs w:val="20"/>
              </w:rPr>
            </w:pPr>
            <w:r w:rsidRPr="004F469F">
              <w:rPr>
                <w:sz w:val="20"/>
                <w:szCs w:val="20"/>
              </w:rPr>
              <w:t>18.4</w:t>
            </w:r>
          </w:p>
        </w:tc>
        <w:tc>
          <w:tcPr>
            <w:tcW w:w="0" w:type="auto"/>
            <w:tcBorders>
              <w:top w:val="nil"/>
              <w:left w:val="nil"/>
              <w:bottom w:val="single" w:sz="4" w:space="0" w:color="auto"/>
              <w:right w:val="single" w:sz="4" w:space="0" w:color="auto"/>
            </w:tcBorders>
            <w:shd w:val="clear" w:color="auto" w:fill="auto"/>
            <w:noWrap/>
            <w:vAlign w:val="center"/>
            <w:hideMark/>
          </w:tcPr>
          <w:p w14:paraId="4C73709E" w14:textId="1348B5C2" w:rsidR="003C6A19" w:rsidRPr="004F469F" w:rsidRDefault="003C6A19" w:rsidP="003C6A19">
            <w:pPr>
              <w:jc w:val="center"/>
              <w:rPr>
                <w:sz w:val="20"/>
                <w:szCs w:val="20"/>
              </w:rPr>
            </w:pPr>
            <w:r w:rsidRPr="004F469F">
              <w:rPr>
                <w:sz w:val="20"/>
                <w:szCs w:val="20"/>
              </w:rPr>
              <w:t>-</w:t>
            </w:r>
          </w:p>
        </w:tc>
      </w:tr>
      <w:tr w:rsidR="00494669" w:rsidRPr="004F469F" w14:paraId="1770C59B"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A62C" w14:textId="6771A0BA" w:rsidR="003C6A19" w:rsidRPr="004F469F" w:rsidRDefault="003C6A19" w:rsidP="003C6A19">
            <w:pPr>
              <w:jc w:val="center"/>
              <w:rPr>
                <w:rFonts w:eastAsia="Arial Unicode MS"/>
                <w:sz w:val="20"/>
                <w:szCs w:val="20"/>
              </w:rPr>
            </w:pPr>
            <w:r w:rsidRPr="004F469F">
              <w:rPr>
                <w:rFonts w:eastAsia="Arial Unicode MS"/>
                <w:sz w:val="20"/>
                <w:szCs w:val="20"/>
              </w:rPr>
              <w:t>24 May 2011</w:t>
            </w:r>
          </w:p>
        </w:tc>
        <w:tc>
          <w:tcPr>
            <w:tcW w:w="0" w:type="auto"/>
            <w:tcBorders>
              <w:top w:val="nil"/>
              <w:left w:val="nil"/>
              <w:bottom w:val="single" w:sz="4" w:space="0" w:color="auto"/>
              <w:right w:val="single" w:sz="4" w:space="0" w:color="auto"/>
            </w:tcBorders>
            <w:shd w:val="clear" w:color="auto" w:fill="auto"/>
            <w:noWrap/>
            <w:vAlign w:val="center"/>
            <w:hideMark/>
          </w:tcPr>
          <w:p w14:paraId="1F3CB4D0" w14:textId="0143F0D8" w:rsidR="003C6A19" w:rsidRPr="004F469F" w:rsidRDefault="003C6A19" w:rsidP="003C6A19">
            <w:pPr>
              <w:jc w:val="center"/>
              <w:rPr>
                <w:sz w:val="20"/>
                <w:szCs w:val="20"/>
              </w:rPr>
            </w:pPr>
            <w:r w:rsidRPr="004F469F">
              <w:rPr>
                <w:sz w:val="20"/>
                <w:szCs w:val="20"/>
              </w:rPr>
              <w:t>Chickasha-Oklahoma City, OK</w:t>
            </w:r>
          </w:p>
        </w:tc>
        <w:tc>
          <w:tcPr>
            <w:tcW w:w="0" w:type="auto"/>
            <w:tcBorders>
              <w:top w:val="nil"/>
              <w:left w:val="nil"/>
              <w:bottom w:val="single" w:sz="4" w:space="0" w:color="auto"/>
              <w:right w:val="single" w:sz="4" w:space="0" w:color="auto"/>
            </w:tcBorders>
            <w:shd w:val="clear" w:color="auto" w:fill="auto"/>
            <w:noWrap/>
            <w:vAlign w:val="center"/>
            <w:hideMark/>
          </w:tcPr>
          <w:p w14:paraId="76F14655"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124229E" w14:textId="77777777" w:rsidR="003C6A19" w:rsidRPr="004F469F" w:rsidRDefault="003C6A19" w:rsidP="003C6A19">
            <w:pPr>
              <w:jc w:val="center"/>
              <w:rPr>
                <w:sz w:val="20"/>
                <w:szCs w:val="20"/>
              </w:rPr>
            </w:pPr>
            <w:r w:rsidRPr="004F469F">
              <w:rPr>
                <w:sz w:val="20"/>
                <w:szCs w:val="20"/>
              </w:rPr>
              <w:t>43.1</w:t>
            </w:r>
          </w:p>
        </w:tc>
        <w:tc>
          <w:tcPr>
            <w:tcW w:w="0" w:type="auto"/>
            <w:tcBorders>
              <w:top w:val="nil"/>
              <w:left w:val="nil"/>
              <w:bottom w:val="single" w:sz="4" w:space="0" w:color="auto"/>
              <w:right w:val="single" w:sz="4" w:space="0" w:color="auto"/>
            </w:tcBorders>
            <w:shd w:val="clear" w:color="auto" w:fill="auto"/>
            <w:noWrap/>
            <w:vAlign w:val="center"/>
            <w:hideMark/>
          </w:tcPr>
          <w:p w14:paraId="0250C512" w14:textId="77777777" w:rsidR="003C6A19" w:rsidRPr="004F469F" w:rsidRDefault="003C6A19" w:rsidP="003C6A19">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6FA4E375" w14:textId="77777777" w:rsidR="003C6A19" w:rsidRPr="004F469F" w:rsidRDefault="003C6A19" w:rsidP="003C6A19">
            <w:pPr>
              <w:jc w:val="center"/>
              <w:rPr>
                <w:sz w:val="20"/>
                <w:szCs w:val="20"/>
              </w:rPr>
            </w:pPr>
            <w:r w:rsidRPr="004F469F">
              <w:rPr>
                <w:sz w:val="20"/>
                <w:szCs w:val="20"/>
              </w:rPr>
              <w:t>2,564</w:t>
            </w:r>
          </w:p>
        </w:tc>
        <w:tc>
          <w:tcPr>
            <w:tcW w:w="0" w:type="auto"/>
            <w:tcBorders>
              <w:top w:val="nil"/>
              <w:left w:val="nil"/>
              <w:bottom w:val="single" w:sz="4" w:space="0" w:color="auto"/>
              <w:right w:val="single" w:sz="4" w:space="0" w:color="auto"/>
            </w:tcBorders>
            <w:shd w:val="clear" w:color="auto" w:fill="auto"/>
            <w:noWrap/>
            <w:vAlign w:val="center"/>
            <w:hideMark/>
          </w:tcPr>
          <w:p w14:paraId="23B6E7E2" w14:textId="77777777" w:rsidR="003C6A19" w:rsidRPr="004F469F" w:rsidRDefault="003C6A19" w:rsidP="003C6A19">
            <w:pPr>
              <w:jc w:val="center"/>
              <w:rPr>
                <w:sz w:val="20"/>
                <w:szCs w:val="20"/>
              </w:rPr>
            </w:pPr>
            <w:r w:rsidRPr="004F469F">
              <w:rPr>
                <w:sz w:val="20"/>
                <w:szCs w:val="20"/>
              </w:rPr>
              <w:t>2,057</w:t>
            </w:r>
          </w:p>
        </w:tc>
        <w:tc>
          <w:tcPr>
            <w:tcW w:w="0" w:type="auto"/>
            <w:tcBorders>
              <w:top w:val="nil"/>
              <w:left w:val="nil"/>
              <w:bottom w:val="single" w:sz="4" w:space="0" w:color="auto"/>
              <w:right w:val="single" w:sz="4" w:space="0" w:color="auto"/>
            </w:tcBorders>
            <w:shd w:val="clear" w:color="auto" w:fill="auto"/>
            <w:noWrap/>
            <w:vAlign w:val="center"/>
            <w:hideMark/>
          </w:tcPr>
          <w:p w14:paraId="3AEA948E" w14:textId="77777777" w:rsidR="003C6A19" w:rsidRPr="004F469F" w:rsidRDefault="003C6A19" w:rsidP="003C6A19">
            <w:pPr>
              <w:jc w:val="center"/>
              <w:rPr>
                <w:sz w:val="20"/>
                <w:szCs w:val="20"/>
              </w:rPr>
            </w:pPr>
            <w:r w:rsidRPr="004F469F">
              <w:rPr>
                <w:sz w:val="20"/>
                <w:szCs w:val="20"/>
              </w:rPr>
              <w:t>11,401</w:t>
            </w:r>
          </w:p>
        </w:tc>
        <w:tc>
          <w:tcPr>
            <w:tcW w:w="0" w:type="auto"/>
            <w:tcBorders>
              <w:top w:val="nil"/>
              <w:left w:val="nil"/>
              <w:bottom w:val="single" w:sz="4" w:space="0" w:color="auto"/>
              <w:right w:val="single" w:sz="4" w:space="0" w:color="auto"/>
            </w:tcBorders>
            <w:shd w:val="clear" w:color="auto" w:fill="auto"/>
            <w:noWrap/>
            <w:vAlign w:val="center"/>
            <w:hideMark/>
          </w:tcPr>
          <w:p w14:paraId="5451E20D" w14:textId="77777777" w:rsidR="003C6A19" w:rsidRPr="004F469F" w:rsidRDefault="003C6A19" w:rsidP="003C6A19">
            <w:pPr>
              <w:jc w:val="center"/>
              <w:rPr>
                <w:sz w:val="20"/>
                <w:szCs w:val="20"/>
              </w:rPr>
            </w:pPr>
            <w:r w:rsidRPr="004F469F">
              <w:rPr>
                <w:sz w:val="20"/>
                <w:szCs w:val="20"/>
              </w:rPr>
              <w:t>40</w:t>
            </w:r>
          </w:p>
        </w:tc>
        <w:tc>
          <w:tcPr>
            <w:tcW w:w="0" w:type="auto"/>
            <w:tcBorders>
              <w:top w:val="nil"/>
              <w:left w:val="nil"/>
              <w:bottom w:val="single" w:sz="4" w:space="0" w:color="auto"/>
              <w:right w:val="single" w:sz="4" w:space="0" w:color="auto"/>
            </w:tcBorders>
            <w:shd w:val="clear" w:color="auto" w:fill="auto"/>
            <w:noWrap/>
            <w:vAlign w:val="center"/>
            <w:hideMark/>
          </w:tcPr>
          <w:p w14:paraId="6459FE16" w14:textId="77777777" w:rsidR="003C6A19" w:rsidRPr="004F469F" w:rsidRDefault="003C6A19" w:rsidP="003C6A19">
            <w:pPr>
              <w:jc w:val="center"/>
              <w:rPr>
                <w:sz w:val="20"/>
                <w:szCs w:val="20"/>
              </w:rPr>
            </w:pPr>
            <w:r w:rsidRPr="004F469F">
              <w:rPr>
                <w:sz w:val="20"/>
                <w:szCs w:val="20"/>
              </w:rPr>
              <w:t>18.1</w:t>
            </w:r>
          </w:p>
        </w:tc>
        <w:tc>
          <w:tcPr>
            <w:tcW w:w="0" w:type="auto"/>
            <w:tcBorders>
              <w:top w:val="nil"/>
              <w:left w:val="nil"/>
              <w:bottom w:val="single" w:sz="4" w:space="0" w:color="auto"/>
              <w:right w:val="single" w:sz="4" w:space="0" w:color="auto"/>
            </w:tcBorders>
            <w:shd w:val="clear" w:color="auto" w:fill="auto"/>
            <w:noWrap/>
            <w:vAlign w:val="center"/>
            <w:hideMark/>
          </w:tcPr>
          <w:p w14:paraId="6B758B60" w14:textId="267B441F" w:rsidR="003C6A19" w:rsidRPr="004F469F" w:rsidRDefault="003C6A19" w:rsidP="003C6A19">
            <w:pPr>
              <w:jc w:val="center"/>
              <w:rPr>
                <w:sz w:val="20"/>
                <w:szCs w:val="20"/>
              </w:rPr>
            </w:pPr>
            <w:r w:rsidRPr="004F469F">
              <w:rPr>
                <w:sz w:val="20"/>
                <w:szCs w:val="20"/>
              </w:rPr>
              <w:t>-</w:t>
            </w:r>
          </w:p>
        </w:tc>
      </w:tr>
      <w:tr w:rsidR="00494669" w:rsidRPr="004F469F" w14:paraId="71983BC5"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599C28" w14:textId="61F10ED6" w:rsidR="003C6A19" w:rsidRPr="004F469F" w:rsidRDefault="003C6A19" w:rsidP="003C6A19">
            <w:pPr>
              <w:jc w:val="center"/>
              <w:rPr>
                <w:rFonts w:eastAsia="Arial Unicode MS"/>
                <w:sz w:val="20"/>
                <w:szCs w:val="20"/>
              </w:rPr>
            </w:pPr>
            <w:r w:rsidRPr="004F469F">
              <w:rPr>
                <w:rFonts w:eastAsia="Arial Unicode MS"/>
                <w:sz w:val="20"/>
                <w:szCs w:val="20"/>
              </w:rPr>
              <w:t>2 Jun 1998</w:t>
            </w:r>
          </w:p>
        </w:tc>
        <w:tc>
          <w:tcPr>
            <w:tcW w:w="0" w:type="auto"/>
            <w:tcBorders>
              <w:top w:val="nil"/>
              <w:left w:val="nil"/>
              <w:bottom w:val="single" w:sz="4" w:space="0" w:color="auto"/>
              <w:right w:val="single" w:sz="4" w:space="0" w:color="auto"/>
            </w:tcBorders>
            <w:shd w:val="clear" w:color="auto" w:fill="auto"/>
            <w:noWrap/>
            <w:vAlign w:val="center"/>
            <w:hideMark/>
          </w:tcPr>
          <w:p w14:paraId="74C883FE" w14:textId="75EEE751" w:rsidR="003C6A19" w:rsidRPr="004F469F" w:rsidRDefault="003C6A19" w:rsidP="003C6A19">
            <w:pPr>
              <w:jc w:val="center"/>
              <w:rPr>
                <w:sz w:val="20"/>
                <w:szCs w:val="20"/>
              </w:rPr>
            </w:pPr>
            <w:r w:rsidRPr="004F469F">
              <w:rPr>
                <w:sz w:val="20"/>
                <w:szCs w:val="20"/>
              </w:rPr>
              <w:t>Frostburg, MD</w:t>
            </w:r>
          </w:p>
        </w:tc>
        <w:tc>
          <w:tcPr>
            <w:tcW w:w="0" w:type="auto"/>
            <w:tcBorders>
              <w:top w:val="nil"/>
              <w:left w:val="nil"/>
              <w:bottom w:val="single" w:sz="4" w:space="0" w:color="auto"/>
              <w:right w:val="single" w:sz="4" w:space="0" w:color="auto"/>
            </w:tcBorders>
            <w:shd w:val="clear" w:color="auto" w:fill="auto"/>
            <w:noWrap/>
            <w:vAlign w:val="center"/>
            <w:hideMark/>
          </w:tcPr>
          <w:p w14:paraId="4B7CA2D4"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77F8D17" w14:textId="77777777" w:rsidR="003C6A19" w:rsidRPr="004F469F" w:rsidRDefault="003C6A19" w:rsidP="003C6A19">
            <w:pPr>
              <w:jc w:val="center"/>
              <w:rPr>
                <w:sz w:val="20"/>
                <w:szCs w:val="20"/>
              </w:rPr>
            </w:pPr>
            <w:r w:rsidRPr="004F469F">
              <w:rPr>
                <w:sz w:val="20"/>
                <w:szCs w:val="20"/>
              </w:rPr>
              <w:t>64.5</w:t>
            </w:r>
          </w:p>
        </w:tc>
        <w:tc>
          <w:tcPr>
            <w:tcW w:w="0" w:type="auto"/>
            <w:tcBorders>
              <w:top w:val="nil"/>
              <w:left w:val="nil"/>
              <w:bottom w:val="single" w:sz="4" w:space="0" w:color="auto"/>
              <w:right w:val="single" w:sz="4" w:space="0" w:color="auto"/>
            </w:tcBorders>
            <w:shd w:val="clear" w:color="auto" w:fill="auto"/>
            <w:noWrap/>
            <w:vAlign w:val="center"/>
            <w:hideMark/>
          </w:tcPr>
          <w:p w14:paraId="43545850" w14:textId="77777777" w:rsidR="003C6A19" w:rsidRPr="004F469F" w:rsidRDefault="003C6A19" w:rsidP="003C6A19">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5CCCE4E" w14:textId="77777777" w:rsidR="003C6A19" w:rsidRPr="004F469F" w:rsidRDefault="003C6A19" w:rsidP="003C6A19">
            <w:pPr>
              <w:jc w:val="center"/>
              <w:rPr>
                <w:sz w:val="20"/>
                <w:szCs w:val="20"/>
              </w:rPr>
            </w:pPr>
            <w:r w:rsidRPr="004F469F">
              <w:rPr>
                <w:sz w:val="20"/>
                <w:szCs w:val="20"/>
              </w:rPr>
              <w:t>2,095</w:t>
            </w:r>
          </w:p>
        </w:tc>
        <w:tc>
          <w:tcPr>
            <w:tcW w:w="0" w:type="auto"/>
            <w:tcBorders>
              <w:top w:val="nil"/>
              <w:left w:val="nil"/>
              <w:bottom w:val="single" w:sz="4" w:space="0" w:color="auto"/>
              <w:right w:val="single" w:sz="4" w:space="0" w:color="auto"/>
            </w:tcBorders>
            <w:shd w:val="clear" w:color="auto" w:fill="auto"/>
            <w:noWrap/>
            <w:vAlign w:val="center"/>
            <w:hideMark/>
          </w:tcPr>
          <w:p w14:paraId="6D13469F" w14:textId="77777777" w:rsidR="003C6A19" w:rsidRPr="004F469F" w:rsidRDefault="003C6A19" w:rsidP="003C6A19">
            <w:pPr>
              <w:jc w:val="center"/>
              <w:rPr>
                <w:sz w:val="20"/>
                <w:szCs w:val="20"/>
              </w:rPr>
            </w:pPr>
            <w:r w:rsidRPr="004F469F">
              <w:rPr>
                <w:sz w:val="20"/>
                <w:szCs w:val="20"/>
              </w:rPr>
              <w:t>3,166</w:t>
            </w:r>
          </w:p>
        </w:tc>
        <w:tc>
          <w:tcPr>
            <w:tcW w:w="0" w:type="auto"/>
            <w:tcBorders>
              <w:top w:val="nil"/>
              <w:left w:val="nil"/>
              <w:bottom w:val="single" w:sz="4" w:space="0" w:color="auto"/>
              <w:right w:val="single" w:sz="4" w:space="0" w:color="auto"/>
            </w:tcBorders>
            <w:shd w:val="clear" w:color="auto" w:fill="auto"/>
            <w:noWrap/>
            <w:vAlign w:val="center"/>
            <w:hideMark/>
          </w:tcPr>
          <w:p w14:paraId="17893C1F" w14:textId="77777777" w:rsidR="003C6A19" w:rsidRPr="004F469F" w:rsidRDefault="003C6A19" w:rsidP="003C6A19">
            <w:pPr>
              <w:jc w:val="center"/>
              <w:rPr>
                <w:sz w:val="20"/>
                <w:szCs w:val="20"/>
              </w:rPr>
            </w:pPr>
            <w:r w:rsidRPr="004F469F">
              <w:rPr>
                <w:sz w:val="20"/>
                <w:szCs w:val="20"/>
              </w:rPr>
              <w:t>13,766</w:t>
            </w:r>
          </w:p>
        </w:tc>
        <w:tc>
          <w:tcPr>
            <w:tcW w:w="0" w:type="auto"/>
            <w:tcBorders>
              <w:top w:val="nil"/>
              <w:left w:val="nil"/>
              <w:bottom w:val="single" w:sz="4" w:space="0" w:color="auto"/>
              <w:right w:val="single" w:sz="4" w:space="0" w:color="auto"/>
            </w:tcBorders>
            <w:shd w:val="clear" w:color="auto" w:fill="auto"/>
            <w:noWrap/>
            <w:vAlign w:val="center"/>
            <w:hideMark/>
          </w:tcPr>
          <w:p w14:paraId="06D43C92" w14:textId="77777777" w:rsidR="003C6A19" w:rsidRPr="004F469F" w:rsidRDefault="003C6A19" w:rsidP="003C6A19">
            <w:pPr>
              <w:jc w:val="center"/>
              <w:rPr>
                <w:sz w:val="20"/>
                <w:szCs w:val="20"/>
              </w:rPr>
            </w:pPr>
            <w:r w:rsidRPr="004F469F">
              <w:rPr>
                <w:sz w:val="20"/>
                <w:szCs w:val="20"/>
              </w:rPr>
              <w:t>70.5</w:t>
            </w:r>
          </w:p>
        </w:tc>
        <w:tc>
          <w:tcPr>
            <w:tcW w:w="0" w:type="auto"/>
            <w:tcBorders>
              <w:top w:val="nil"/>
              <w:left w:val="nil"/>
              <w:bottom w:val="single" w:sz="4" w:space="0" w:color="auto"/>
              <w:right w:val="single" w:sz="4" w:space="0" w:color="auto"/>
            </w:tcBorders>
            <w:shd w:val="clear" w:color="auto" w:fill="auto"/>
            <w:noWrap/>
            <w:vAlign w:val="center"/>
            <w:hideMark/>
          </w:tcPr>
          <w:p w14:paraId="17244F36" w14:textId="77777777" w:rsidR="003C6A19" w:rsidRPr="004F469F" w:rsidRDefault="003C6A19" w:rsidP="003C6A19">
            <w:pPr>
              <w:jc w:val="center"/>
              <w:rPr>
                <w:sz w:val="20"/>
                <w:szCs w:val="20"/>
              </w:rPr>
            </w:pPr>
            <w:r w:rsidRPr="004F469F">
              <w:rPr>
                <w:sz w:val="20"/>
                <w:szCs w:val="20"/>
              </w:rPr>
              <w:t>17.4</w:t>
            </w:r>
          </w:p>
        </w:tc>
        <w:tc>
          <w:tcPr>
            <w:tcW w:w="0" w:type="auto"/>
            <w:tcBorders>
              <w:top w:val="nil"/>
              <w:left w:val="nil"/>
              <w:bottom w:val="single" w:sz="4" w:space="0" w:color="auto"/>
              <w:right w:val="single" w:sz="4" w:space="0" w:color="auto"/>
            </w:tcBorders>
            <w:shd w:val="clear" w:color="auto" w:fill="auto"/>
            <w:noWrap/>
            <w:vAlign w:val="center"/>
            <w:hideMark/>
          </w:tcPr>
          <w:p w14:paraId="66FF777F" w14:textId="692CF740" w:rsidR="003C6A19" w:rsidRPr="004F469F" w:rsidRDefault="003C6A19" w:rsidP="003C6A19">
            <w:pPr>
              <w:jc w:val="center"/>
              <w:rPr>
                <w:sz w:val="20"/>
                <w:szCs w:val="20"/>
              </w:rPr>
            </w:pPr>
            <w:r w:rsidRPr="004F469F">
              <w:rPr>
                <w:sz w:val="20"/>
                <w:szCs w:val="20"/>
              </w:rPr>
              <w:t>-</w:t>
            </w:r>
          </w:p>
        </w:tc>
      </w:tr>
      <w:tr w:rsidR="00494669" w:rsidRPr="004F469F" w14:paraId="36839954"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39DF56" w14:textId="7D163095" w:rsidR="003C6A19" w:rsidRPr="004F469F" w:rsidRDefault="003C6A19" w:rsidP="003C6A19">
            <w:pPr>
              <w:jc w:val="center"/>
              <w:rPr>
                <w:rFonts w:eastAsia="Arial Unicode MS"/>
                <w:sz w:val="20"/>
                <w:szCs w:val="20"/>
              </w:rPr>
            </w:pPr>
            <w:r w:rsidRPr="004F469F">
              <w:rPr>
                <w:rFonts w:eastAsia="Arial Unicode MS"/>
                <w:sz w:val="20"/>
                <w:szCs w:val="20"/>
              </w:rPr>
              <w:t>24 Nov 2001</w:t>
            </w:r>
          </w:p>
        </w:tc>
        <w:tc>
          <w:tcPr>
            <w:tcW w:w="0" w:type="auto"/>
            <w:tcBorders>
              <w:top w:val="nil"/>
              <w:left w:val="nil"/>
              <w:bottom w:val="single" w:sz="4" w:space="0" w:color="auto"/>
              <w:right w:val="single" w:sz="4" w:space="0" w:color="auto"/>
            </w:tcBorders>
            <w:shd w:val="clear" w:color="auto" w:fill="auto"/>
            <w:noWrap/>
            <w:vAlign w:val="center"/>
            <w:hideMark/>
          </w:tcPr>
          <w:p w14:paraId="5F39E04C" w14:textId="1B73F786" w:rsidR="003C6A19" w:rsidRPr="004F469F" w:rsidRDefault="003C6A19" w:rsidP="003C6A19">
            <w:pPr>
              <w:jc w:val="center"/>
              <w:rPr>
                <w:sz w:val="20"/>
                <w:szCs w:val="20"/>
              </w:rPr>
            </w:pPr>
            <w:r w:rsidRPr="004F469F">
              <w:rPr>
                <w:sz w:val="20"/>
                <w:szCs w:val="20"/>
              </w:rPr>
              <w:t>Madison, MS</w:t>
            </w:r>
          </w:p>
        </w:tc>
        <w:tc>
          <w:tcPr>
            <w:tcW w:w="0" w:type="auto"/>
            <w:tcBorders>
              <w:top w:val="nil"/>
              <w:left w:val="nil"/>
              <w:bottom w:val="single" w:sz="4" w:space="0" w:color="auto"/>
              <w:right w:val="single" w:sz="4" w:space="0" w:color="auto"/>
            </w:tcBorders>
            <w:shd w:val="clear" w:color="auto" w:fill="auto"/>
            <w:noWrap/>
            <w:vAlign w:val="center"/>
            <w:hideMark/>
          </w:tcPr>
          <w:p w14:paraId="4A5EBFC4"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FEF9B38" w14:textId="77777777" w:rsidR="003C6A19" w:rsidRPr="004F469F" w:rsidRDefault="003C6A19" w:rsidP="003C6A19">
            <w:pPr>
              <w:jc w:val="center"/>
              <w:rPr>
                <w:sz w:val="20"/>
                <w:szCs w:val="20"/>
              </w:rPr>
            </w:pPr>
            <w:r w:rsidRPr="004F469F">
              <w:rPr>
                <w:sz w:val="20"/>
                <w:szCs w:val="20"/>
              </w:rPr>
              <w:t>14.9</w:t>
            </w:r>
          </w:p>
        </w:tc>
        <w:tc>
          <w:tcPr>
            <w:tcW w:w="0" w:type="auto"/>
            <w:tcBorders>
              <w:top w:val="nil"/>
              <w:left w:val="nil"/>
              <w:bottom w:val="single" w:sz="4" w:space="0" w:color="auto"/>
              <w:right w:val="single" w:sz="4" w:space="0" w:color="auto"/>
            </w:tcBorders>
            <w:shd w:val="clear" w:color="auto" w:fill="auto"/>
            <w:noWrap/>
            <w:vAlign w:val="center"/>
            <w:hideMark/>
          </w:tcPr>
          <w:p w14:paraId="16228518" w14:textId="77777777" w:rsidR="003C6A19" w:rsidRPr="004F469F" w:rsidRDefault="003C6A19" w:rsidP="003C6A19">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4558A3B7" w14:textId="77777777" w:rsidR="003C6A19" w:rsidRPr="004F469F" w:rsidRDefault="003C6A19" w:rsidP="003C6A19">
            <w:pPr>
              <w:jc w:val="center"/>
              <w:rPr>
                <w:sz w:val="20"/>
                <w:szCs w:val="20"/>
              </w:rPr>
            </w:pPr>
            <w:r w:rsidRPr="004F469F">
              <w:rPr>
                <w:sz w:val="20"/>
                <w:szCs w:val="20"/>
              </w:rPr>
              <w:t>2,259</w:t>
            </w:r>
          </w:p>
        </w:tc>
        <w:tc>
          <w:tcPr>
            <w:tcW w:w="0" w:type="auto"/>
            <w:tcBorders>
              <w:top w:val="nil"/>
              <w:left w:val="nil"/>
              <w:bottom w:val="single" w:sz="4" w:space="0" w:color="auto"/>
              <w:right w:val="single" w:sz="4" w:space="0" w:color="auto"/>
            </w:tcBorders>
            <w:shd w:val="clear" w:color="auto" w:fill="auto"/>
            <w:noWrap/>
            <w:vAlign w:val="center"/>
            <w:hideMark/>
          </w:tcPr>
          <w:p w14:paraId="748D6D95" w14:textId="77777777" w:rsidR="003C6A19" w:rsidRPr="004F469F" w:rsidRDefault="003C6A19" w:rsidP="003C6A19">
            <w:pPr>
              <w:jc w:val="center"/>
              <w:rPr>
                <w:sz w:val="20"/>
                <w:szCs w:val="20"/>
              </w:rPr>
            </w:pPr>
            <w:r w:rsidRPr="004F469F">
              <w:rPr>
                <w:sz w:val="20"/>
                <w:szCs w:val="20"/>
              </w:rPr>
              <w:t>2,173</w:t>
            </w:r>
          </w:p>
        </w:tc>
        <w:tc>
          <w:tcPr>
            <w:tcW w:w="0" w:type="auto"/>
            <w:tcBorders>
              <w:top w:val="nil"/>
              <w:left w:val="nil"/>
              <w:bottom w:val="single" w:sz="4" w:space="0" w:color="auto"/>
              <w:right w:val="single" w:sz="4" w:space="0" w:color="auto"/>
            </w:tcBorders>
            <w:shd w:val="clear" w:color="auto" w:fill="auto"/>
            <w:noWrap/>
            <w:vAlign w:val="center"/>
            <w:hideMark/>
          </w:tcPr>
          <w:p w14:paraId="70B1DF9E" w14:textId="77777777" w:rsidR="003C6A19" w:rsidRPr="004F469F" w:rsidRDefault="003C6A19" w:rsidP="003C6A19">
            <w:pPr>
              <w:jc w:val="center"/>
              <w:rPr>
                <w:sz w:val="20"/>
                <w:szCs w:val="20"/>
              </w:rPr>
            </w:pPr>
            <w:r w:rsidRPr="004F469F">
              <w:rPr>
                <w:sz w:val="20"/>
                <w:szCs w:val="20"/>
              </w:rPr>
              <w:t>15,674</w:t>
            </w:r>
          </w:p>
        </w:tc>
        <w:tc>
          <w:tcPr>
            <w:tcW w:w="0" w:type="auto"/>
            <w:tcBorders>
              <w:top w:val="nil"/>
              <w:left w:val="nil"/>
              <w:bottom w:val="single" w:sz="4" w:space="0" w:color="auto"/>
              <w:right w:val="single" w:sz="4" w:space="0" w:color="auto"/>
            </w:tcBorders>
            <w:shd w:val="clear" w:color="auto" w:fill="auto"/>
            <w:noWrap/>
            <w:vAlign w:val="center"/>
            <w:hideMark/>
          </w:tcPr>
          <w:p w14:paraId="72DC9F37" w14:textId="77777777" w:rsidR="003C6A19" w:rsidRPr="004F469F" w:rsidRDefault="003C6A19" w:rsidP="003C6A19">
            <w:pPr>
              <w:jc w:val="center"/>
              <w:rPr>
                <w:sz w:val="20"/>
                <w:szCs w:val="20"/>
              </w:rPr>
            </w:pPr>
            <w:r w:rsidRPr="004F469F">
              <w:rPr>
                <w:sz w:val="20"/>
                <w:szCs w:val="20"/>
              </w:rPr>
              <w:t>46.5</w:t>
            </w:r>
          </w:p>
        </w:tc>
        <w:tc>
          <w:tcPr>
            <w:tcW w:w="0" w:type="auto"/>
            <w:tcBorders>
              <w:top w:val="nil"/>
              <w:left w:val="nil"/>
              <w:bottom w:val="single" w:sz="4" w:space="0" w:color="auto"/>
              <w:right w:val="single" w:sz="4" w:space="0" w:color="auto"/>
            </w:tcBorders>
            <w:shd w:val="clear" w:color="auto" w:fill="auto"/>
            <w:noWrap/>
            <w:vAlign w:val="center"/>
            <w:hideMark/>
          </w:tcPr>
          <w:p w14:paraId="14D4F3B3" w14:textId="77777777" w:rsidR="003C6A19" w:rsidRPr="004F469F" w:rsidRDefault="003C6A19" w:rsidP="003C6A19">
            <w:pPr>
              <w:jc w:val="center"/>
              <w:rPr>
                <w:sz w:val="20"/>
                <w:szCs w:val="20"/>
              </w:rPr>
            </w:pPr>
            <w:r w:rsidRPr="004F469F">
              <w:rPr>
                <w:sz w:val="20"/>
                <w:szCs w:val="20"/>
              </w:rPr>
              <w:t>16.9</w:t>
            </w:r>
          </w:p>
        </w:tc>
        <w:tc>
          <w:tcPr>
            <w:tcW w:w="0" w:type="auto"/>
            <w:tcBorders>
              <w:top w:val="nil"/>
              <w:left w:val="nil"/>
              <w:bottom w:val="single" w:sz="4" w:space="0" w:color="auto"/>
              <w:right w:val="single" w:sz="4" w:space="0" w:color="auto"/>
            </w:tcBorders>
            <w:shd w:val="clear" w:color="auto" w:fill="auto"/>
            <w:noWrap/>
            <w:vAlign w:val="center"/>
            <w:hideMark/>
          </w:tcPr>
          <w:p w14:paraId="4895D119" w14:textId="4AEB9BF5" w:rsidR="003C6A19" w:rsidRPr="004F469F" w:rsidRDefault="003C6A19" w:rsidP="003C6A19">
            <w:pPr>
              <w:jc w:val="center"/>
              <w:rPr>
                <w:sz w:val="20"/>
                <w:szCs w:val="20"/>
              </w:rPr>
            </w:pPr>
            <w:r w:rsidRPr="004F469F">
              <w:rPr>
                <w:sz w:val="20"/>
                <w:szCs w:val="20"/>
              </w:rPr>
              <w:t>-</w:t>
            </w:r>
          </w:p>
        </w:tc>
      </w:tr>
      <w:tr w:rsidR="00494669" w:rsidRPr="004F469F" w14:paraId="12A17CD5"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9DFEE8" w14:textId="4BCADC65" w:rsidR="003C6A19" w:rsidRPr="004F469F" w:rsidRDefault="003C6A19" w:rsidP="003C6A19">
            <w:pPr>
              <w:jc w:val="center"/>
              <w:rPr>
                <w:rFonts w:eastAsia="Arial Unicode MS"/>
                <w:sz w:val="20"/>
                <w:szCs w:val="20"/>
              </w:rPr>
            </w:pPr>
            <w:r w:rsidRPr="004F469F">
              <w:rPr>
                <w:rFonts w:eastAsia="Arial Unicode MS"/>
                <w:sz w:val="20"/>
                <w:szCs w:val="20"/>
              </w:rPr>
              <w:t>4 May 2003</w:t>
            </w:r>
          </w:p>
        </w:tc>
        <w:tc>
          <w:tcPr>
            <w:tcW w:w="0" w:type="auto"/>
            <w:tcBorders>
              <w:top w:val="nil"/>
              <w:left w:val="nil"/>
              <w:bottom w:val="single" w:sz="4" w:space="0" w:color="auto"/>
              <w:right w:val="single" w:sz="4" w:space="0" w:color="auto"/>
            </w:tcBorders>
            <w:shd w:val="clear" w:color="auto" w:fill="auto"/>
            <w:noWrap/>
            <w:vAlign w:val="center"/>
            <w:hideMark/>
          </w:tcPr>
          <w:p w14:paraId="554910DA" w14:textId="08E1BE80" w:rsidR="003C6A19" w:rsidRPr="004F469F" w:rsidRDefault="003C6A19" w:rsidP="003C6A19">
            <w:pPr>
              <w:jc w:val="center"/>
              <w:rPr>
                <w:sz w:val="20"/>
                <w:szCs w:val="20"/>
              </w:rPr>
            </w:pPr>
            <w:r w:rsidRPr="004F469F">
              <w:rPr>
                <w:sz w:val="20"/>
                <w:szCs w:val="20"/>
              </w:rPr>
              <w:t>Jackson, TN</w:t>
            </w:r>
          </w:p>
        </w:tc>
        <w:tc>
          <w:tcPr>
            <w:tcW w:w="0" w:type="auto"/>
            <w:tcBorders>
              <w:top w:val="nil"/>
              <w:left w:val="nil"/>
              <w:bottom w:val="single" w:sz="4" w:space="0" w:color="auto"/>
              <w:right w:val="single" w:sz="4" w:space="0" w:color="auto"/>
            </w:tcBorders>
            <w:shd w:val="clear" w:color="auto" w:fill="auto"/>
            <w:noWrap/>
            <w:vAlign w:val="center"/>
            <w:hideMark/>
          </w:tcPr>
          <w:p w14:paraId="6F185DB9"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4D07CF1" w14:textId="77777777" w:rsidR="003C6A19" w:rsidRPr="004F469F" w:rsidRDefault="003C6A19" w:rsidP="003C6A19">
            <w:pPr>
              <w:jc w:val="center"/>
              <w:rPr>
                <w:sz w:val="20"/>
                <w:szCs w:val="20"/>
              </w:rPr>
            </w:pPr>
            <w:r w:rsidRPr="004F469F">
              <w:rPr>
                <w:sz w:val="20"/>
                <w:szCs w:val="20"/>
              </w:rPr>
              <w:t>50.5</w:t>
            </w:r>
          </w:p>
        </w:tc>
        <w:tc>
          <w:tcPr>
            <w:tcW w:w="0" w:type="auto"/>
            <w:tcBorders>
              <w:top w:val="nil"/>
              <w:left w:val="nil"/>
              <w:bottom w:val="single" w:sz="4" w:space="0" w:color="auto"/>
              <w:right w:val="single" w:sz="4" w:space="0" w:color="auto"/>
            </w:tcBorders>
            <w:shd w:val="clear" w:color="auto" w:fill="auto"/>
            <w:noWrap/>
            <w:vAlign w:val="center"/>
            <w:hideMark/>
          </w:tcPr>
          <w:p w14:paraId="1D55F169" w14:textId="77777777" w:rsidR="003C6A19" w:rsidRPr="004F469F" w:rsidRDefault="003C6A19" w:rsidP="003C6A19">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051B040B" w14:textId="77777777" w:rsidR="003C6A19" w:rsidRPr="004F469F" w:rsidRDefault="003C6A19" w:rsidP="003C6A19">
            <w:pPr>
              <w:jc w:val="center"/>
              <w:rPr>
                <w:sz w:val="20"/>
                <w:szCs w:val="20"/>
              </w:rPr>
            </w:pPr>
            <w:r w:rsidRPr="004F469F">
              <w:rPr>
                <w:sz w:val="20"/>
                <w:szCs w:val="20"/>
              </w:rPr>
              <w:t>2,780</w:t>
            </w:r>
          </w:p>
        </w:tc>
        <w:tc>
          <w:tcPr>
            <w:tcW w:w="0" w:type="auto"/>
            <w:tcBorders>
              <w:top w:val="nil"/>
              <w:left w:val="nil"/>
              <w:bottom w:val="single" w:sz="4" w:space="0" w:color="auto"/>
              <w:right w:val="single" w:sz="4" w:space="0" w:color="auto"/>
            </w:tcBorders>
            <w:shd w:val="clear" w:color="auto" w:fill="auto"/>
            <w:noWrap/>
            <w:vAlign w:val="center"/>
            <w:hideMark/>
          </w:tcPr>
          <w:p w14:paraId="7876C4A1" w14:textId="77777777" w:rsidR="003C6A19" w:rsidRPr="004F469F" w:rsidRDefault="003C6A19" w:rsidP="003C6A19">
            <w:pPr>
              <w:jc w:val="center"/>
              <w:rPr>
                <w:sz w:val="20"/>
                <w:szCs w:val="20"/>
              </w:rPr>
            </w:pPr>
            <w:r w:rsidRPr="004F469F">
              <w:rPr>
                <w:sz w:val="20"/>
                <w:szCs w:val="20"/>
              </w:rPr>
              <w:t>1,846</w:t>
            </w:r>
          </w:p>
        </w:tc>
        <w:tc>
          <w:tcPr>
            <w:tcW w:w="0" w:type="auto"/>
            <w:tcBorders>
              <w:top w:val="nil"/>
              <w:left w:val="nil"/>
              <w:bottom w:val="single" w:sz="4" w:space="0" w:color="auto"/>
              <w:right w:val="single" w:sz="4" w:space="0" w:color="auto"/>
            </w:tcBorders>
            <w:shd w:val="clear" w:color="auto" w:fill="auto"/>
            <w:noWrap/>
            <w:vAlign w:val="center"/>
            <w:hideMark/>
          </w:tcPr>
          <w:p w14:paraId="7F623BE3" w14:textId="77777777" w:rsidR="003C6A19" w:rsidRPr="004F469F" w:rsidRDefault="003C6A19" w:rsidP="003C6A19">
            <w:pPr>
              <w:jc w:val="center"/>
              <w:rPr>
                <w:sz w:val="20"/>
                <w:szCs w:val="20"/>
              </w:rPr>
            </w:pPr>
            <w:r w:rsidRPr="004F469F">
              <w:rPr>
                <w:sz w:val="20"/>
                <w:szCs w:val="20"/>
              </w:rPr>
              <w:t>6,988</w:t>
            </w:r>
          </w:p>
        </w:tc>
        <w:tc>
          <w:tcPr>
            <w:tcW w:w="0" w:type="auto"/>
            <w:tcBorders>
              <w:top w:val="nil"/>
              <w:left w:val="nil"/>
              <w:bottom w:val="single" w:sz="4" w:space="0" w:color="auto"/>
              <w:right w:val="single" w:sz="4" w:space="0" w:color="auto"/>
            </w:tcBorders>
            <w:shd w:val="clear" w:color="auto" w:fill="auto"/>
            <w:noWrap/>
            <w:vAlign w:val="center"/>
            <w:hideMark/>
          </w:tcPr>
          <w:p w14:paraId="76A066C7" w14:textId="77777777" w:rsidR="003C6A19" w:rsidRPr="004F469F" w:rsidRDefault="003C6A19" w:rsidP="003C6A19">
            <w:pPr>
              <w:jc w:val="center"/>
              <w:rPr>
                <w:sz w:val="20"/>
                <w:szCs w:val="20"/>
              </w:rPr>
            </w:pPr>
            <w:r w:rsidRPr="004F469F">
              <w:rPr>
                <w:sz w:val="20"/>
                <w:szCs w:val="20"/>
              </w:rPr>
              <w:t>30.5</w:t>
            </w:r>
          </w:p>
        </w:tc>
        <w:tc>
          <w:tcPr>
            <w:tcW w:w="0" w:type="auto"/>
            <w:tcBorders>
              <w:top w:val="nil"/>
              <w:left w:val="nil"/>
              <w:bottom w:val="single" w:sz="4" w:space="0" w:color="auto"/>
              <w:right w:val="single" w:sz="4" w:space="0" w:color="auto"/>
            </w:tcBorders>
            <w:shd w:val="clear" w:color="auto" w:fill="auto"/>
            <w:noWrap/>
            <w:vAlign w:val="center"/>
            <w:hideMark/>
          </w:tcPr>
          <w:p w14:paraId="0293CF1E" w14:textId="77777777" w:rsidR="003C6A19" w:rsidRPr="004F469F" w:rsidRDefault="003C6A19" w:rsidP="003C6A19">
            <w:pPr>
              <w:jc w:val="center"/>
              <w:rPr>
                <w:sz w:val="20"/>
                <w:szCs w:val="20"/>
              </w:rPr>
            </w:pPr>
            <w:r w:rsidRPr="004F469F">
              <w:rPr>
                <w:sz w:val="20"/>
                <w:szCs w:val="20"/>
              </w:rPr>
              <w:t>9.3</w:t>
            </w:r>
          </w:p>
        </w:tc>
        <w:tc>
          <w:tcPr>
            <w:tcW w:w="0" w:type="auto"/>
            <w:tcBorders>
              <w:top w:val="nil"/>
              <w:left w:val="nil"/>
              <w:bottom w:val="single" w:sz="4" w:space="0" w:color="auto"/>
              <w:right w:val="single" w:sz="4" w:space="0" w:color="auto"/>
            </w:tcBorders>
            <w:shd w:val="clear" w:color="auto" w:fill="auto"/>
            <w:noWrap/>
            <w:vAlign w:val="center"/>
            <w:hideMark/>
          </w:tcPr>
          <w:p w14:paraId="7B7D57E2" w14:textId="5755F17E" w:rsidR="003C6A19" w:rsidRPr="004F469F" w:rsidRDefault="003C6A19" w:rsidP="003C6A19">
            <w:pPr>
              <w:jc w:val="center"/>
              <w:rPr>
                <w:sz w:val="20"/>
                <w:szCs w:val="20"/>
              </w:rPr>
            </w:pPr>
            <w:r w:rsidRPr="004F469F">
              <w:rPr>
                <w:sz w:val="20"/>
                <w:szCs w:val="20"/>
              </w:rPr>
              <w:t>-</w:t>
            </w:r>
          </w:p>
        </w:tc>
      </w:tr>
      <w:tr w:rsidR="00494669" w:rsidRPr="004F469F" w14:paraId="5A4969BE"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3EA802" w14:textId="171E4312" w:rsidR="003C6A19" w:rsidRPr="004F469F" w:rsidRDefault="003C6A19" w:rsidP="003C6A19">
            <w:pPr>
              <w:jc w:val="center"/>
              <w:rPr>
                <w:rFonts w:eastAsia="Arial Unicode MS"/>
                <w:sz w:val="20"/>
                <w:szCs w:val="20"/>
              </w:rPr>
            </w:pPr>
            <w:r w:rsidRPr="004F469F">
              <w:rPr>
                <w:rFonts w:eastAsia="Arial Unicode MS"/>
                <w:sz w:val="20"/>
                <w:szCs w:val="20"/>
              </w:rPr>
              <w:t>5 Feb 2008</w:t>
            </w:r>
          </w:p>
        </w:tc>
        <w:tc>
          <w:tcPr>
            <w:tcW w:w="0" w:type="auto"/>
            <w:tcBorders>
              <w:top w:val="nil"/>
              <w:left w:val="nil"/>
              <w:bottom w:val="single" w:sz="4" w:space="0" w:color="auto"/>
              <w:right w:val="single" w:sz="4" w:space="0" w:color="auto"/>
            </w:tcBorders>
            <w:shd w:val="clear" w:color="auto" w:fill="auto"/>
            <w:noWrap/>
            <w:vAlign w:val="center"/>
            <w:hideMark/>
          </w:tcPr>
          <w:p w14:paraId="76C02A24" w14:textId="35FFDD3C" w:rsidR="003C6A19" w:rsidRPr="004F469F" w:rsidRDefault="003C6A19" w:rsidP="003C6A19">
            <w:pPr>
              <w:jc w:val="center"/>
              <w:rPr>
                <w:sz w:val="20"/>
                <w:szCs w:val="20"/>
              </w:rPr>
            </w:pPr>
            <w:r w:rsidRPr="004F469F">
              <w:rPr>
                <w:sz w:val="20"/>
                <w:szCs w:val="20"/>
              </w:rPr>
              <w:t>Atkins-Clinton, AR</w:t>
            </w:r>
          </w:p>
        </w:tc>
        <w:tc>
          <w:tcPr>
            <w:tcW w:w="0" w:type="auto"/>
            <w:tcBorders>
              <w:top w:val="nil"/>
              <w:left w:val="nil"/>
              <w:bottom w:val="single" w:sz="4" w:space="0" w:color="auto"/>
              <w:right w:val="single" w:sz="4" w:space="0" w:color="auto"/>
            </w:tcBorders>
            <w:shd w:val="clear" w:color="auto" w:fill="auto"/>
            <w:noWrap/>
            <w:vAlign w:val="center"/>
            <w:hideMark/>
          </w:tcPr>
          <w:p w14:paraId="451DA9FA"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E0EC240" w14:textId="77777777" w:rsidR="003C6A19" w:rsidRPr="004F469F" w:rsidRDefault="003C6A19" w:rsidP="003C6A19">
            <w:pPr>
              <w:jc w:val="center"/>
              <w:rPr>
                <w:sz w:val="20"/>
                <w:szCs w:val="20"/>
              </w:rPr>
            </w:pPr>
            <w:r w:rsidRPr="004F469F">
              <w:rPr>
                <w:sz w:val="20"/>
                <w:szCs w:val="20"/>
              </w:rPr>
              <w:t>236.7</w:t>
            </w:r>
          </w:p>
        </w:tc>
        <w:tc>
          <w:tcPr>
            <w:tcW w:w="0" w:type="auto"/>
            <w:tcBorders>
              <w:top w:val="nil"/>
              <w:left w:val="nil"/>
              <w:bottom w:val="single" w:sz="4" w:space="0" w:color="auto"/>
              <w:right w:val="single" w:sz="4" w:space="0" w:color="auto"/>
            </w:tcBorders>
            <w:shd w:val="clear" w:color="auto" w:fill="auto"/>
            <w:noWrap/>
            <w:vAlign w:val="center"/>
            <w:hideMark/>
          </w:tcPr>
          <w:p w14:paraId="373ED057" w14:textId="77777777" w:rsidR="003C6A19" w:rsidRPr="004F469F" w:rsidRDefault="003C6A19" w:rsidP="003C6A19">
            <w:pPr>
              <w:jc w:val="center"/>
              <w:rPr>
                <w:sz w:val="20"/>
                <w:szCs w:val="20"/>
              </w:rPr>
            </w:pPr>
            <w:r w:rsidRPr="004F469F">
              <w:rPr>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14:paraId="7FCB7131" w14:textId="77777777" w:rsidR="003C6A19" w:rsidRPr="004F469F" w:rsidRDefault="003C6A19" w:rsidP="003C6A19">
            <w:pPr>
              <w:jc w:val="center"/>
              <w:rPr>
                <w:sz w:val="20"/>
                <w:szCs w:val="20"/>
              </w:rPr>
            </w:pPr>
            <w:r w:rsidRPr="004F469F">
              <w:rPr>
                <w:sz w:val="20"/>
                <w:szCs w:val="20"/>
              </w:rPr>
              <w:t>2,184</w:t>
            </w:r>
          </w:p>
        </w:tc>
        <w:tc>
          <w:tcPr>
            <w:tcW w:w="0" w:type="auto"/>
            <w:tcBorders>
              <w:top w:val="nil"/>
              <w:left w:val="nil"/>
              <w:bottom w:val="single" w:sz="4" w:space="0" w:color="auto"/>
              <w:right w:val="single" w:sz="4" w:space="0" w:color="auto"/>
            </w:tcBorders>
            <w:shd w:val="clear" w:color="auto" w:fill="auto"/>
            <w:noWrap/>
            <w:vAlign w:val="center"/>
            <w:hideMark/>
          </w:tcPr>
          <w:p w14:paraId="3AC271F7" w14:textId="77777777" w:rsidR="003C6A19" w:rsidRPr="004F469F" w:rsidRDefault="003C6A19" w:rsidP="003C6A19">
            <w:pPr>
              <w:jc w:val="center"/>
              <w:rPr>
                <w:sz w:val="20"/>
                <w:szCs w:val="20"/>
              </w:rPr>
            </w:pPr>
            <w:r w:rsidRPr="004F469F">
              <w:rPr>
                <w:sz w:val="20"/>
                <w:szCs w:val="20"/>
              </w:rPr>
              <w:t>2,456</w:t>
            </w:r>
          </w:p>
        </w:tc>
        <w:tc>
          <w:tcPr>
            <w:tcW w:w="0" w:type="auto"/>
            <w:tcBorders>
              <w:top w:val="nil"/>
              <w:left w:val="nil"/>
              <w:bottom w:val="single" w:sz="4" w:space="0" w:color="auto"/>
              <w:right w:val="single" w:sz="4" w:space="0" w:color="auto"/>
            </w:tcBorders>
            <w:shd w:val="clear" w:color="auto" w:fill="auto"/>
            <w:noWrap/>
            <w:vAlign w:val="center"/>
            <w:hideMark/>
          </w:tcPr>
          <w:p w14:paraId="509AF2A9" w14:textId="77777777" w:rsidR="003C6A19" w:rsidRPr="004F469F" w:rsidRDefault="003C6A19" w:rsidP="003C6A19">
            <w:pPr>
              <w:jc w:val="center"/>
              <w:rPr>
                <w:sz w:val="20"/>
                <w:szCs w:val="20"/>
              </w:rPr>
            </w:pPr>
            <w:r w:rsidRPr="004F469F">
              <w:rPr>
                <w:sz w:val="20"/>
                <w:szCs w:val="20"/>
              </w:rPr>
              <w:t>5,874</w:t>
            </w:r>
          </w:p>
        </w:tc>
        <w:tc>
          <w:tcPr>
            <w:tcW w:w="0" w:type="auto"/>
            <w:tcBorders>
              <w:top w:val="nil"/>
              <w:left w:val="nil"/>
              <w:bottom w:val="single" w:sz="4" w:space="0" w:color="auto"/>
              <w:right w:val="single" w:sz="4" w:space="0" w:color="auto"/>
            </w:tcBorders>
            <w:shd w:val="clear" w:color="auto" w:fill="auto"/>
            <w:noWrap/>
            <w:vAlign w:val="center"/>
            <w:hideMark/>
          </w:tcPr>
          <w:p w14:paraId="635C26BE" w14:textId="77777777" w:rsidR="003C6A19" w:rsidRPr="004F469F" w:rsidRDefault="003C6A19" w:rsidP="003C6A19">
            <w:pPr>
              <w:jc w:val="center"/>
              <w:rPr>
                <w:sz w:val="20"/>
                <w:szCs w:val="20"/>
              </w:rPr>
            </w:pPr>
            <w:r w:rsidRPr="004F469F">
              <w:rPr>
                <w:sz w:val="20"/>
                <w:szCs w:val="20"/>
              </w:rPr>
              <w:t>56.1</w:t>
            </w:r>
          </w:p>
        </w:tc>
        <w:tc>
          <w:tcPr>
            <w:tcW w:w="0" w:type="auto"/>
            <w:tcBorders>
              <w:top w:val="nil"/>
              <w:left w:val="nil"/>
              <w:bottom w:val="single" w:sz="4" w:space="0" w:color="auto"/>
              <w:right w:val="single" w:sz="4" w:space="0" w:color="auto"/>
            </w:tcBorders>
            <w:shd w:val="clear" w:color="auto" w:fill="auto"/>
            <w:noWrap/>
            <w:vAlign w:val="center"/>
            <w:hideMark/>
          </w:tcPr>
          <w:p w14:paraId="61472FB2" w14:textId="77777777" w:rsidR="003C6A19" w:rsidRPr="004F469F" w:rsidRDefault="003C6A19" w:rsidP="003C6A19">
            <w:pPr>
              <w:jc w:val="center"/>
              <w:rPr>
                <w:sz w:val="20"/>
                <w:szCs w:val="20"/>
              </w:rPr>
            </w:pPr>
            <w:r w:rsidRPr="004F469F">
              <w:rPr>
                <w:sz w:val="20"/>
                <w:szCs w:val="20"/>
              </w:rPr>
              <w:t>8.2</w:t>
            </w:r>
          </w:p>
        </w:tc>
        <w:tc>
          <w:tcPr>
            <w:tcW w:w="0" w:type="auto"/>
            <w:tcBorders>
              <w:top w:val="nil"/>
              <w:left w:val="nil"/>
              <w:bottom w:val="single" w:sz="4" w:space="0" w:color="auto"/>
              <w:right w:val="single" w:sz="4" w:space="0" w:color="auto"/>
            </w:tcBorders>
            <w:shd w:val="clear" w:color="auto" w:fill="auto"/>
            <w:noWrap/>
            <w:vAlign w:val="center"/>
            <w:hideMark/>
          </w:tcPr>
          <w:p w14:paraId="02FDB65B" w14:textId="33D71FBD" w:rsidR="003C6A19" w:rsidRPr="004F469F" w:rsidRDefault="003C6A19" w:rsidP="003C6A19">
            <w:pPr>
              <w:jc w:val="center"/>
              <w:rPr>
                <w:sz w:val="20"/>
                <w:szCs w:val="20"/>
              </w:rPr>
            </w:pPr>
            <w:r w:rsidRPr="004F469F">
              <w:rPr>
                <w:sz w:val="20"/>
                <w:szCs w:val="20"/>
              </w:rPr>
              <w:t>-</w:t>
            </w:r>
          </w:p>
        </w:tc>
      </w:tr>
      <w:tr w:rsidR="00494669" w:rsidRPr="004F469F" w14:paraId="0311D3A9"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6A9011" w14:textId="5EE96070" w:rsidR="003C6A19" w:rsidRPr="004F469F" w:rsidRDefault="003C6A19" w:rsidP="003C6A19">
            <w:pPr>
              <w:jc w:val="center"/>
              <w:rPr>
                <w:rFonts w:eastAsia="Arial Unicode MS"/>
                <w:sz w:val="20"/>
                <w:szCs w:val="20"/>
              </w:rPr>
            </w:pPr>
            <w:r w:rsidRPr="004F469F">
              <w:rPr>
                <w:rFonts w:eastAsia="Arial Unicode MS"/>
                <w:sz w:val="20"/>
                <w:szCs w:val="20"/>
              </w:rPr>
              <w:t>28 Apr 2002</w:t>
            </w:r>
          </w:p>
        </w:tc>
        <w:tc>
          <w:tcPr>
            <w:tcW w:w="0" w:type="auto"/>
            <w:tcBorders>
              <w:top w:val="nil"/>
              <w:left w:val="nil"/>
              <w:bottom w:val="single" w:sz="4" w:space="0" w:color="auto"/>
              <w:right w:val="single" w:sz="4" w:space="0" w:color="auto"/>
            </w:tcBorders>
            <w:shd w:val="clear" w:color="auto" w:fill="auto"/>
            <w:noWrap/>
            <w:vAlign w:val="center"/>
            <w:hideMark/>
          </w:tcPr>
          <w:p w14:paraId="0C25B831" w14:textId="4DA5745A" w:rsidR="003C6A19" w:rsidRPr="004F469F" w:rsidRDefault="003C6A19" w:rsidP="003C6A19">
            <w:pPr>
              <w:jc w:val="center"/>
              <w:rPr>
                <w:sz w:val="20"/>
                <w:szCs w:val="20"/>
              </w:rPr>
            </w:pPr>
            <w:r w:rsidRPr="004F469F">
              <w:rPr>
                <w:sz w:val="20"/>
                <w:szCs w:val="20"/>
              </w:rPr>
              <w:t>La Plata, MD</w:t>
            </w:r>
          </w:p>
        </w:tc>
        <w:tc>
          <w:tcPr>
            <w:tcW w:w="0" w:type="auto"/>
            <w:tcBorders>
              <w:top w:val="nil"/>
              <w:left w:val="nil"/>
              <w:bottom w:val="single" w:sz="4" w:space="0" w:color="auto"/>
              <w:right w:val="single" w:sz="4" w:space="0" w:color="auto"/>
            </w:tcBorders>
            <w:shd w:val="clear" w:color="auto" w:fill="auto"/>
            <w:noWrap/>
            <w:vAlign w:val="center"/>
            <w:hideMark/>
          </w:tcPr>
          <w:p w14:paraId="1E17E560"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5C768D9" w14:textId="77777777" w:rsidR="003C6A19" w:rsidRPr="004F469F" w:rsidRDefault="003C6A19" w:rsidP="003C6A19">
            <w:pPr>
              <w:jc w:val="center"/>
              <w:rPr>
                <w:sz w:val="20"/>
                <w:szCs w:val="20"/>
              </w:rPr>
            </w:pPr>
            <w:r w:rsidRPr="004F469F">
              <w:rPr>
                <w:sz w:val="20"/>
                <w:szCs w:val="20"/>
              </w:rPr>
              <w:t>36.3</w:t>
            </w:r>
          </w:p>
        </w:tc>
        <w:tc>
          <w:tcPr>
            <w:tcW w:w="0" w:type="auto"/>
            <w:tcBorders>
              <w:top w:val="nil"/>
              <w:left w:val="nil"/>
              <w:bottom w:val="single" w:sz="4" w:space="0" w:color="auto"/>
              <w:right w:val="single" w:sz="4" w:space="0" w:color="auto"/>
            </w:tcBorders>
            <w:shd w:val="clear" w:color="auto" w:fill="auto"/>
            <w:noWrap/>
            <w:vAlign w:val="center"/>
            <w:hideMark/>
          </w:tcPr>
          <w:p w14:paraId="1E0DFF90" w14:textId="77777777" w:rsidR="003C6A19" w:rsidRPr="004F469F" w:rsidRDefault="003C6A19" w:rsidP="003C6A19">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1A11E9AB" w14:textId="77777777" w:rsidR="003C6A19" w:rsidRPr="004F469F" w:rsidRDefault="003C6A19" w:rsidP="003C6A19">
            <w:pPr>
              <w:jc w:val="center"/>
              <w:rPr>
                <w:sz w:val="20"/>
                <w:szCs w:val="20"/>
              </w:rPr>
            </w:pPr>
            <w:r w:rsidRPr="004F469F">
              <w:rPr>
                <w:sz w:val="20"/>
                <w:szCs w:val="20"/>
              </w:rPr>
              <w:t>3,907</w:t>
            </w:r>
          </w:p>
        </w:tc>
        <w:tc>
          <w:tcPr>
            <w:tcW w:w="0" w:type="auto"/>
            <w:tcBorders>
              <w:top w:val="nil"/>
              <w:left w:val="nil"/>
              <w:bottom w:val="single" w:sz="4" w:space="0" w:color="auto"/>
              <w:right w:val="single" w:sz="4" w:space="0" w:color="auto"/>
            </w:tcBorders>
            <w:shd w:val="clear" w:color="auto" w:fill="auto"/>
            <w:noWrap/>
            <w:vAlign w:val="center"/>
            <w:hideMark/>
          </w:tcPr>
          <w:p w14:paraId="3C3DFAFF" w14:textId="77777777" w:rsidR="003C6A19" w:rsidRPr="004F469F" w:rsidRDefault="003C6A19" w:rsidP="003C6A19">
            <w:pPr>
              <w:jc w:val="center"/>
              <w:rPr>
                <w:sz w:val="20"/>
                <w:szCs w:val="20"/>
              </w:rPr>
            </w:pPr>
            <w:r w:rsidRPr="004F469F">
              <w:rPr>
                <w:sz w:val="20"/>
                <w:szCs w:val="20"/>
              </w:rPr>
              <w:t>2,348</w:t>
            </w:r>
          </w:p>
        </w:tc>
        <w:tc>
          <w:tcPr>
            <w:tcW w:w="0" w:type="auto"/>
            <w:tcBorders>
              <w:top w:val="nil"/>
              <w:left w:val="nil"/>
              <w:bottom w:val="single" w:sz="4" w:space="0" w:color="auto"/>
              <w:right w:val="single" w:sz="4" w:space="0" w:color="auto"/>
            </w:tcBorders>
            <w:shd w:val="clear" w:color="auto" w:fill="auto"/>
            <w:noWrap/>
            <w:vAlign w:val="center"/>
            <w:hideMark/>
          </w:tcPr>
          <w:p w14:paraId="30D2D31E" w14:textId="77777777" w:rsidR="003C6A19" w:rsidRPr="004F469F" w:rsidRDefault="003C6A19" w:rsidP="003C6A19">
            <w:pPr>
              <w:jc w:val="center"/>
              <w:rPr>
                <w:sz w:val="20"/>
                <w:szCs w:val="20"/>
              </w:rPr>
            </w:pPr>
            <w:r w:rsidRPr="004F469F">
              <w:rPr>
                <w:sz w:val="20"/>
                <w:szCs w:val="20"/>
              </w:rPr>
              <w:t>10,633</w:t>
            </w:r>
          </w:p>
        </w:tc>
        <w:tc>
          <w:tcPr>
            <w:tcW w:w="0" w:type="auto"/>
            <w:tcBorders>
              <w:top w:val="nil"/>
              <w:left w:val="nil"/>
              <w:bottom w:val="single" w:sz="4" w:space="0" w:color="auto"/>
              <w:right w:val="single" w:sz="4" w:space="0" w:color="auto"/>
            </w:tcBorders>
            <w:shd w:val="clear" w:color="auto" w:fill="auto"/>
            <w:noWrap/>
            <w:vAlign w:val="center"/>
            <w:hideMark/>
          </w:tcPr>
          <w:p w14:paraId="22F9EE82" w14:textId="77777777" w:rsidR="003C6A19" w:rsidRPr="004F469F" w:rsidRDefault="003C6A19" w:rsidP="003C6A19">
            <w:pPr>
              <w:jc w:val="center"/>
              <w:rPr>
                <w:sz w:val="20"/>
                <w:szCs w:val="20"/>
              </w:rPr>
            </w:pPr>
            <w:r w:rsidRPr="004F469F">
              <w:rPr>
                <w:sz w:val="20"/>
                <w:szCs w:val="20"/>
              </w:rPr>
              <w:t>25.2</w:t>
            </w:r>
          </w:p>
        </w:tc>
        <w:tc>
          <w:tcPr>
            <w:tcW w:w="0" w:type="auto"/>
            <w:tcBorders>
              <w:top w:val="nil"/>
              <w:left w:val="nil"/>
              <w:bottom w:val="single" w:sz="4" w:space="0" w:color="auto"/>
              <w:right w:val="single" w:sz="4" w:space="0" w:color="auto"/>
            </w:tcBorders>
            <w:shd w:val="clear" w:color="auto" w:fill="auto"/>
            <w:noWrap/>
            <w:vAlign w:val="center"/>
            <w:hideMark/>
          </w:tcPr>
          <w:p w14:paraId="693FA513" w14:textId="77777777" w:rsidR="003C6A19" w:rsidRPr="004F469F" w:rsidRDefault="003C6A19" w:rsidP="003C6A19">
            <w:pPr>
              <w:jc w:val="center"/>
              <w:rPr>
                <w:sz w:val="20"/>
                <w:szCs w:val="20"/>
              </w:rPr>
            </w:pPr>
            <w:r w:rsidRPr="004F469F">
              <w:rPr>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49ACBE6A" w14:textId="5F6D7058" w:rsidR="003C6A19" w:rsidRPr="004F469F" w:rsidRDefault="003C6A19" w:rsidP="003C6A19">
            <w:pPr>
              <w:jc w:val="center"/>
              <w:rPr>
                <w:sz w:val="20"/>
                <w:szCs w:val="20"/>
              </w:rPr>
            </w:pPr>
            <w:r w:rsidRPr="004F469F">
              <w:rPr>
                <w:sz w:val="20"/>
                <w:szCs w:val="20"/>
              </w:rPr>
              <w:t>-</w:t>
            </w:r>
          </w:p>
        </w:tc>
      </w:tr>
      <w:tr w:rsidR="00494669" w:rsidRPr="004F469F" w14:paraId="7F92FC49"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F1A421" w14:textId="047BBD09" w:rsidR="003C6A19" w:rsidRPr="004F469F" w:rsidRDefault="003C6A19" w:rsidP="003C6A19">
            <w:pPr>
              <w:jc w:val="center"/>
              <w:rPr>
                <w:rFonts w:eastAsia="Arial Unicode MS"/>
                <w:sz w:val="20"/>
                <w:szCs w:val="20"/>
              </w:rPr>
            </w:pPr>
            <w:r w:rsidRPr="004F469F">
              <w:rPr>
                <w:rFonts w:eastAsia="Arial Unicode MS"/>
                <w:sz w:val="20"/>
                <w:szCs w:val="20"/>
              </w:rPr>
              <w:t>16 Apr 1998</w:t>
            </w:r>
          </w:p>
        </w:tc>
        <w:tc>
          <w:tcPr>
            <w:tcW w:w="0" w:type="auto"/>
            <w:tcBorders>
              <w:top w:val="nil"/>
              <w:left w:val="nil"/>
              <w:bottom w:val="single" w:sz="4" w:space="0" w:color="auto"/>
              <w:right w:val="single" w:sz="4" w:space="0" w:color="auto"/>
            </w:tcBorders>
            <w:shd w:val="clear" w:color="auto" w:fill="auto"/>
            <w:noWrap/>
            <w:vAlign w:val="center"/>
            <w:hideMark/>
          </w:tcPr>
          <w:p w14:paraId="1A326680" w14:textId="656C0CB3" w:rsidR="003C6A19" w:rsidRPr="004F469F" w:rsidRDefault="003C6A19" w:rsidP="003C6A19">
            <w:pPr>
              <w:jc w:val="center"/>
              <w:rPr>
                <w:sz w:val="20"/>
                <w:szCs w:val="20"/>
              </w:rPr>
            </w:pPr>
            <w:r w:rsidRPr="004F469F">
              <w:rPr>
                <w:sz w:val="20"/>
                <w:szCs w:val="20"/>
              </w:rPr>
              <w:t>Lawrence County, TN</w:t>
            </w:r>
          </w:p>
        </w:tc>
        <w:tc>
          <w:tcPr>
            <w:tcW w:w="0" w:type="auto"/>
            <w:tcBorders>
              <w:top w:val="nil"/>
              <w:left w:val="nil"/>
              <w:bottom w:val="single" w:sz="4" w:space="0" w:color="auto"/>
              <w:right w:val="single" w:sz="4" w:space="0" w:color="auto"/>
            </w:tcBorders>
            <w:shd w:val="clear" w:color="auto" w:fill="auto"/>
            <w:noWrap/>
            <w:vAlign w:val="center"/>
            <w:hideMark/>
          </w:tcPr>
          <w:p w14:paraId="1A93052F" w14:textId="77777777" w:rsidR="003C6A19" w:rsidRPr="004F469F" w:rsidRDefault="003C6A19" w:rsidP="003C6A19">
            <w:pPr>
              <w:jc w:val="center"/>
              <w:rPr>
                <w:sz w:val="20"/>
                <w:szCs w:val="20"/>
              </w:rPr>
            </w:pPr>
            <w:r w:rsidRPr="004F469F">
              <w:rPr>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153A96E5" w14:textId="77777777" w:rsidR="003C6A19" w:rsidRPr="004F469F" w:rsidRDefault="003C6A19" w:rsidP="003C6A19">
            <w:pPr>
              <w:jc w:val="center"/>
              <w:rPr>
                <w:sz w:val="20"/>
                <w:szCs w:val="20"/>
              </w:rPr>
            </w:pPr>
            <w:r w:rsidRPr="004F469F">
              <w:rPr>
                <w:sz w:val="20"/>
                <w:szCs w:val="20"/>
              </w:rPr>
              <w:t>179.7</w:t>
            </w:r>
          </w:p>
        </w:tc>
        <w:tc>
          <w:tcPr>
            <w:tcW w:w="0" w:type="auto"/>
            <w:tcBorders>
              <w:top w:val="nil"/>
              <w:left w:val="nil"/>
              <w:bottom w:val="single" w:sz="4" w:space="0" w:color="auto"/>
              <w:right w:val="single" w:sz="4" w:space="0" w:color="auto"/>
            </w:tcBorders>
            <w:shd w:val="clear" w:color="auto" w:fill="auto"/>
            <w:noWrap/>
            <w:vAlign w:val="center"/>
            <w:hideMark/>
          </w:tcPr>
          <w:p w14:paraId="03BB9939" w14:textId="77777777" w:rsidR="003C6A19" w:rsidRPr="004F469F" w:rsidRDefault="003C6A19" w:rsidP="003C6A19">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4EF1E4DE" w14:textId="77777777" w:rsidR="003C6A19" w:rsidRPr="004F469F" w:rsidRDefault="003C6A19" w:rsidP="003C6A19">
            <w:pPr>
              <w:jc w:val="center"/>
              <w:rPr>
                <w:sz w:val="20"/>
                <w:szCs w:val="20"/>
              </w:rPr>
            </w:pPr>
            <w:r w:rsidRPr="004F469F">
              <w:rPr>
                <w:sz w:val="20"/>
                <w:szCs w:val="20"/>
              </w:rPr>
              <w:t>2,619</w:t>
            </w:r>
          </w:p>
        </w:tc>
        <w:tc>
          <w:tcPr>
            <w:tcW w:w="0" w:type="auto"/>
            <w:tcBorders>
              <w:top w:val="nil"/>
              <w:left w:val="nil"/>
              <w:bottom w:val="single" w:sz="4" w:space="0" w:color="auto"/>
              <w:right w:val="single" w:sz="4" w:space="0" w:color="auto"/>
            </w:tcBorders>
            <w:shd w:val="clear" w:color="auto" w:fill="auto"/>
            <w:noWrap/>
            <w:vAlign w:val="center"/>
            <w:hideMark/>
          </w:tcPr>
          <w:p w14:paraId="30E5E53A" w14:textId="77777777" w:rsidR="003C6A19" w:rsidRPr="004F469F" w:rsidRDefault="003C6A19" w:rsidP="003C6A19">
            <w:pPr>
              <w:jc w:val="center"/>
              <w:rPr>
                <w:sz w:val="20"/>
                <w:szCs w:val="20"/>
              </w:rPr>
            </w:pPr>
            <w:r w:rsidRPr="004F469F">
              <w:rPr>
                <w:sz w:val="20"/>
                <w:szCs w:val="20"/>
              </w:rPr>
              <w:t>1,941</w:t>
            </w:r>
          </w:p>
        </w:tc>
        <w:tc>
          <w:tcPr>
            <w:tcW w:w="0" w:type="auto"/>
            <w:tcBorders>
              <w:top w:val="nil"/>
              <w:left w:val="nil"/>
              <w:bottom w:val="single" w:sz="4" w:space="0" w:color="auto"/>
              <w:right w:val="single" w:sz="4" w:space="0" w:color="auto"/>
            </w:tcBorders>
            <w:shd w:val="clear" w:color="auto" w:fill="auto"/>
            <w:noWrap/>
            <w:vAlign w:val="center"/>
            <w:hideMark/>
          </w:tcPr>
          <w:p w14:paraId="7E97ADF8" w14:textId="77777777" w:rsidR="003C6A19" w:rsidRPr="004F469F" w:rsidRDefault="003C6A19" w:rsidP="003C6A19">
            <w:pPr>
              <w:jc w:val="center"/>
              <w:rPr>
                <w:sz w:val="20"/>
                <w:szCs w:val="20"/>
              </w:rPr>
            </w:pPr>
            <w:r w:rsidRPr="004F469F">
              <w:rPr>
                <w:sz w:val="20"/>
                <w:szCs w:val="20"/>
              </w:rPr>
              <w:t>11,639</w:t>
            </w:r>
          </w:p>
        </w:tc>
        <w:tc>
          <w:tcPr>
            <w:tcW w:w="0" w:type="auto"/>
            <w:tcBorders>
              <w:top w:val="nil"/>
              <w:left w:val="nil"/>
              <w:bottom w:val="single" w:sz="4" w:space="0" w:color="auto"/>
              <w:right w:val="single" w:sz="4" w:space="0" w:color="auto"/>
            </w:tcBorders>
            <w:shd w:val="clear" w:color="auto" w:fill="auto"/>
            <w:noWrap/>
            <w:vAlign w:val="center"/>
            <w:hideMark/>
          </w:tcPr>
          <w:p w14:paraId="1BFA0360" w14:textId="77777777" w:rsidR="003C6A19" w:rsidRPr="004F469F" w:rsidRDefault="003C6A19" w:rsidP="003C6A19">
            <w:pPr>
              <w:jc w:val="center"/>
              <w:rPr>
                <w:sz w:val="20"/>
                <w:szCs w:val="20"/>
              </w:rPr>
            </w:pPr>
            <w:r w:rsidRPr="004F469F">
              <w:rPr>
                <w:sz w:val="20"/>
                <w:szCs w:val="20"/>
              </w:rPr>
              <w:t>32.1</w:t>
            </w:r>
          </w:p>
        </w:tc>
        <w:tc>
          <w:tcPr>
            <w:tcW w:w="0" w:type="auto"/>
            <w:tcBorders>
              <w:top w:val="nil"/>
              <w:left w:val="nil"/>
              <w:bottom w:val="single" w:sz="4" w:space="0" w:color="auto"/>
              <w:right w:val="single" w:sz="4" w:space="0" w:color="auto"/>
            </w:tcBorders>
            <w:shd w:val="clear" w:color="auto" w:fill="auto"/>
            <w:noWrap/>
            <w:vAlign w:val="center"/>
            <w:hideMark/>
          </w:tcPr>
          <w:p w14:paraId="61602C26" w14:textId="77777777" w:rsidR="003C6A19" w:rsidRPr="004F469F" w:rsidRDefault="003C6A19" w:rsidP="003C6A19">
            <w:pPr>
              <w:jc w:val="center"/>
              <w:rPr>
                <w:sz w:val="20"/>
                <w:szCs w:val="20"/>
              </w:rPr>
            </w:pPr>
            <w:r w:rsidRPr="004F469F">
              <w:rPr>
                <w:sz w:val="20"/>
                <w:szCs w:val="20"/>
              </w:rPr>
              <w:t>7.1</w:t>
            </w:r>
          </w:p>
        </w:tc>
        <w:tc>
          <w:tcPr>
            <w:tcW w:w="0" w:type="auto"/>
            <w:tcBorders>
              <w:top w:val="nil"/>
              <w:left w:val="nil"/>
              <w:bottom w:val="single" w:sz="4" w:space="0" w:color="auto"/>
              <w:right w:val="single" w:sz="4" w:space="0" w:color="auto"/>
            </w:tcBorders>
            <w:shd w:val="clear" w:color="auto" w:fill="auto"/>
            <w:noWrap/>
            <w:vAlign w:val="center"/>
            <w:hideMark/>
          </w:tcPr>
          <w:p w14:paraId="418AA970" w14:textId="7D300D5C" w:rsidR="003C6A19" w:rsidRPr="004F469F" w:rsidRDefault="003C6A19" w:rsidP="003C6A19">
            <w:pPr>
              <w:jc w:val="center"/>
              <w:rPr>
                <w:sz w:val="20"/>
                <w:szCs w:val="20"/>
              </w:rPr>
            </w:pPr>
            <w:r w:rsidRPr="004F469F">
              <w:rPr>
                <w:sz w:val="20"/>
                <w:szCs w:val="20"/>
              </w:rPr>
              <w:t>-</w:t>
            </w:r>
          </w:p>
        </w:tc>
      </w:tr>
      <w:tr w:rsidR="00494669" w:rsidRPr="004F469F" w14:paraId="2360B9CF"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E56B1D" w14:textId="377D7690" w:rsidR="003C6A19" w:rsidRPr="004F469F" w:rsidRDefault="003C6A19" w:rsidP="003C6A19">
            <w:pPr>
              <w:jc w:val="center"/>
              <w:rPr>
                <w:rFonts w:eastAsia="Arial Unicode MS"/>
                <w:sz w:val="20"/>
                <w:szCs w:val="20"/>
              </w:rPr>
            </w:pPr>
            <w:r w:rsidRPr="004F469F">
              <w:rPr>
                <w:rFonts w:eastAsia="Arial Unicode MS"/>
                <w:sz w:val="20"/>
                <w:szCs w:val="20"/>
              </w:rPr>
              <w:t>8 Apr 1999</w:t>
            </w:r>
          </w:p>
        </w:tc>
        <w:tc>
          <w:tcPr>
            <w:tcW w:w="0" w:type="auto"/>
            <w:tcBorders>
              <w:top w:val="nil"/>
              <w:left w:val="nil"/>
              <w:bottom w:val="single" w:sz="4" w:space="0" w:color="auto"/>
              <w:right w:val="single" w:sz="4" w:space="0" w:color="auto"/>
            </w:tcBorders>
            <w:shd w:val="clear" w:color="auto" w:fill="auto"/>
            <w:noWrap/>
            <w:vAlign w:val="center"/>
            <w:hideMark/>
          </w:tcPr>
          <w:p w14:paraId="304B1546" w14:textId="4BED63D8" w:rsidR="003C6A19" w:rsidRPr="004F469F" w:rsidRDefault="003C6A19" w:rsidP="003C6A19">
            <w:pPr>
              <w:jc w:val="center"/>
              <w:rPr>
                <w:sz w:val="20"/>
                <w:szCs w:val="20"/>
              </w:rPr>
            </w:pPr>
            <w:r w:rsidRPr="004F469F">
              <w:rPr>
                <w:sz w:val="20"/>
                <w:szCs w:val="20"/>
              </w:rPr>
              <w:t>Creston-Granger, IA</w:t>
            </w:r>
          </w:p>
        </w:tc>
        <w:tc>
          <w:tcPr>
            <w:tcW w:w="0" w:type="auto"/>
            <w:tcBorders>
              <w:top w:val="nil"/>
              <w:left w:val="nil"/>
              <w:bottom w:val="single" w:sz="4" w:space="0" w:color="auto"/>
              <w:right w:val="single" w:sz="4" w:space="0" w:color="auto"/>
            </w:tcBorders>
            <w:shd w:val="clear" w:color="auto" w:fill="auto"/>
            <w:noWrap/>
            <w:vAlign w:val="center"/>
            <w:hideMark/>
          </w:tcPr>
          <w:p w14:paraId="4B7BDAD2"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69869390" w14:textId="77777777" w:rsidR="003C6A19" w:rsidRPr="004F469F" w:rsidRDefault="003C6A19" w:rsidP="003C6A19">
            <w:pPr>
              <w:jc w:val="center"/>
              <w:rPr>
                <w:sz w:val="20"/>
                <w:szCs w:val="20"/>
              </w:rPr>
            </w:pPr>
            <w:r w:rsidRPr="004F469F">
              <w:rPr>
                <w:sz w:val="20"/>
                <w:szCs w:val="20"/>
              </w:rPr>
              <w:t>103</w:t>
            </w:r>
          </w:p>
        </w:tc>
        <w:tc>
          <w:tcPr>
            <w:tcW w:w="0" w:type="auto"/>
            <w:tcBorders>
              <w:top w:val="nil"/>
              <w:left w:val="nil"/>
              <w:bottom w:val="single" w:sz="4" w:space="0" w:color="auto"/>
              <w:right w:val="single" w:sz="4" w:space="0" w:color="auto"/>
            </w:tcBorders>
            <w:shd w:val="clear" w:color="auto" w:fill="auto"/>
            <w:noWrap/>
            <w:vAlign w:val="center"/>
            <w:hideMark/>
          </w:tcPr>
          <w:p w14:paraId="6AD7DD04" w14:textId="77777777" w:rsidR="003C6A19" w:rsidRPr="004F469F" w:rsidRDefault="003C6A19" w:rsidP="003C6A19">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646DD42" w14:textId="77777777" w:rsidR="003C6A19" w:rsidRPr="004F469F" w:rsidRDefault="003C6A19" w:rsidP="003C6A19">
            <w:pPr>
              <w:jc w:val="center"/>
              <w:rPr>
                <w:sz w:val="20"/>
                <w:szCs w:val="20"/>
              </w:rPr>
            </w:pPr>
            <w:r w:rsidRPr="004F469F">
              <w:rPr>
                <w:sz w:val="20"/>
                <w:szCs w:val="20"/>
              </w:rPr>
              <w:t>813</w:t>
            </w:r>
          </w:p>
        </w:tc>
        <w:tc>
          <w:tcPr>
            <w:tcW w:w="0" w:type="auto"/>
            <w:tcBorders>
              <w:top w:val="nil"/>
              <w:left w:val="nil"/>
              <w:bottom w:val="single" w:sz="4" w:space="0" w:color="auto"/>
              <w:right w:val="single" w:sz="4" w:space="0" w:color="auto"/>
            </w:tcBorders>
            <w:shd w:val="clear" w:color="auto" w:fill="auto"/>
            <w:noWrap/>
            <w:vAlign w:val="center"/>
            <w:hideMark/>
          </w:tcPr>
          <w:p w14:paraId="17A32218" w14:textId="77777777" w:rsidR="003C6A19" w:rsidRPr="004F469F" w:rsidRDefault="003C6A19" w:rsidP="003C6A19">
            <w:pPr>
              <w:jc w:val="center"/>
              <w:rPr>
                <w:sz w:val="20"/>
                <w:szCs w:val="20"/>
              </w:rPr>
            </w:pPr>
            <w:r w:rsidRPr="004F469F">
              <w:rPr>
                <w:sz w:val="20"/>
                <w:szCs w:val="20"/>
              </w:rPr>
              <w:t>1,103</w:t>
            </w:r>
          </w:p>
        </w:tc>
        <w:tc>
          <w:tcPr>
            <w:tcW w:w="0" w:type="auto"/>
            <w:tcBorders>
              <w:top w:val="nil"/>
              <w:left w:val="nil"/>
              <w:bottom w:val="single" w:sz="4" w:space="0" w:color="auto"/>
              <w:right w:val="single" w:sz="4" w:space="0" w:color="auto"/>
            </w:tcBorders>
            <w:shd w:val="clear" w:color="auto" w:fill="auto"/>
            <w:noWrap/>
            <w:vAlign w:val="center"/>
            <w:hideMark/>
          </w:tcPr>
          <w:p w14:paraId="685FA299" w14:textId="77777777" w:rsidR="003C6A19" w:rsidRPr="004F469F" w:rsidRDefault="003C6A19" w:rsidP="003C6A19">
            <w:pPr>
              <w:jc w:val="center"/>
              <w:rPr>
                <w:sz w:val="20"/>
                <w:szCs w:val="20"/>
              </w:rPr>
            </w:pPr>
            <w:r w:rsidRPr="004F469F">
              <w:rPr>
                <w:sz w:val="20"/>
                <w:szCs w:val="20"/>
              </w:rPr>
              <w:t>6,395</w:t>
            </w:r>
          </w:p>
        </w:tc>
        <w:tc>
          <w:tcPr>
            <w:tcW w:w="0" w:type="auto"/>
            <w:tcBorders>
              <w:top w:val="nil"/>
              <w:left w:val="nil"/>
              <w:bottom w:val="single" w:sz="4" w:space="0" w:color="auto"/>
              <w:right w:val="single" w:sz="4" w:space="0" w:color="auto"/>
            </w:tcBorders>
            <w:shd w:val="clear" w:color="auto" w:fill="auto"/>
            <w:noWrap/>
            <w:vAlign w:val="center"/>
            <w:hideMark/>
          </w:tcPr>
          <w:p w14:paraId="37EDA40B" w14:textId="77777777" w:rsidR="003C6A19" w:rsidRPr="004F469F" w:rsidRDefault="003C6A19" w:rsidP="003C6A19">
            <w:pPr>
              <w:jc w:val="center"/>
              <w:rPr>
                <w:sz w:val="20"/>
                <w:szCs w:val="20"/>
              </w:rPr>
            </w:pPr>
            <w:r w:rsidRPr="004F469F">
              <w:rPr>
                <w:sz w:val="20"/>
                <w:szCs w:val="20"/>
              </w:rPr>
              <w:t>69.6</w:t>
            </w:r>
          </w:p>
        </w:tc>
        <w:tc>
          <w:tcPr>
            <w:tcW w:w="0" w:type="auto"/>
            <w:tcBorders>
              <w:top w:val="nil"/>
              <w:left w:val="nil"/>
              <w:bottom w:val="single" w:sz="4" w:space="0" w:color="auto"/>
              <w:right w:val="single" w:sz="4" w:space="0" w:color="auto"/>
            </w:tcBorders>
            <w:shd w:val="clear" w:color="auto" w:fill="auto"/>
            <w:noWrap/>
            <w:vAlign w:val="center"/>
            <w:hideMark/>
          </w:tcPr>
          <w:p w14:paraId="32BB1962" w14:textId="77777777" w:rsidR="003C6A19" w:rsidRPr="004F469F" w:rsidRDefault="003C6A19" w:rsidP="003C6A19">
            <w:pPr>
              <w:jc w:val="center"/>
              <w:rPr>
                <w:sz w:val="20"/>
                <w:szCs w:val="20"/>
              </w:rPr>
            </w:pPr>
            <w:r w:rsidRPr="004F469F">
              <w:rPr>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4EC980D8" w14:textId="6D1C2BDC" w:rsidR="003C6A19" w:rsidRPr="004F469F" w:rsidRDefault="003C6A19" w:rsidP="003C6A19">
            <w:pPr>
              <w:jc w:val="center"/>
              <w:rPr>
                <w:sz w:val="20"/>
                <w:szCs w:val="20"/>
              </w:rPr>
            </w:pPr>
            <w:r w:rsidRPr="004F469F">
              <w:rPr>
                <w:sz w:val="20"/>
                <w:szCs w:val="20"/>
              </w:rPr>
              <w:t>-</w:t>
            </w:r>
          </w:p>
        </w:tc>
      </w:tr>
      <w:tr w:rsidR="003C6A19" w:rsidRPr="004F469F" w14:paraId="742EAC4E"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C4FDC9" w14:textId="6CCB8151" w:rsidR="003C6A19" w:rsidRPr="004F469F" w:rsidRDefault="003C6A19" w:rsidP="003C6A19">
            <w:pPr>
              <w:jc w:val="center"/>
              <w:rPr>
                <w:rFonts w:eastAsia="Arial Unicode MS"/>
                <w:sz w:val="20"/>
                <w:szCs w:val="20"/>
              </w:rPr>
            </w:pPr>
            <w:r w:rsidRPr="004F469F">
              <w:rPr>
                <w:rFonts w:eastAsia="Arial Unicode MS"/>
                <w:sz w:val="20"/>
                <w:szCs w:val="20"/>
              </w:rPr>
              <w:t>4 Oct 2013</w:t>
            </w:r>
          </w:p>
        </w:tc>
        <w:tc>
          <w:tcPr>
            <w:tcW w:w="0" w:type="auto"/>
            <w:tcBorders>
              <w:top w:val="nil"/>
              <w:left w:val="nil"/>
              <w:bottom w:val="single" w:sz="4" w:space="0" w:color="auto"/>
              <w:right w:val="single" w:sz="4" w:space="0" w:color="auto"/>
            </w:tcBorders>
            <w:shd w:val="clear" w:color="auto" w:fill="auto"/>
            <w:noWrap/>
            <w:vAlign w:val="center"/>
            <w:hideMark/>
          </w:tcPr>
          <w:p w14:paraId="3048DBB7" w14:textId="171676E5" w:rsidR="003C6A19" w:rsidRPr="004F469F" w:rsidRDefault="003C6A19" w:rsidP="003C6A19">
            <w:pPr>
              <w:jc w:val="center"/>
              <w:rPr>
                <w:sz w:val="20"/>
                <w:szCs w:val="20"/>
              </w:rPr>
            </w:pPr>
            <w:r w:rsidRPr="004F469F">
              <w:rPr>
                <w:sz w:val="20"/>
                <w:szCs w:val="20"/>
              </w:rPr>
              <w:t>Wayne, NE</w:t>
            </w:r>
          </w:p>
        </w:tc>
        <w:tc>
          <w:tcPr>
            <w:tcW w:w="0" w:type="auto"/>
            <w:tcBorders>
              <w:top w:val="nil"/>
              <w:left w:val="nil"/>
              <w:bottom w:val="single" w:sz="4" w:space="0" w:color="auto"/>
              <w:right w:val="single" w:sz="4" w:space="0" w:color="auto"/>
            </w:tcBorders>
            <w:shd w:val="clear" w:color="auto" w:fill="auto"/>
            <w:noWrap/>
            <w:vAlign w:val="center"/>
            <w:hideMark/>
          </w:tcPr>
          <w:p w14:paraId="7621D132"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A636394" w14:textId="77777777" w:rsidR="003C6A19" w:rsidRPr="004F469F" w:rsidRDefault="003C6A19" w:rsidP="003C6A19">
            <w:pPr>
              <w:jc w:val="center"/>
              <w:rPr>
                <w:sz w:val="20"/>
                <w:szCs w:val="20"/>
              </w:rPr>
            </w:pPr>
            <w:r w:rsidRPr="004F469F">
              <w:rPr>
                <w:sz w:val="20"/>
                <w:szCs w:val="20"/>
              </w:rPr>
              <w:t>65.6</w:t>
            </w:r>
          </w:p>
        </w:tc>
        <w:tc>
          <w:tcPr>
            <w:tcW w:w="0" w:type="auto"/>
            <w:tcBorders>
              <w:top w:val="nil"/>
              <w:left w:val="nil"/>
              <w:bottom w:val="single" w:sz="4" w:space="0" w:color="auto"/>
              <w:right w:val="single" w:sz="4" w:space="0" w:color="auto"/>
            </w:tcBorders>
            <w:shd w:val="clear" w:color="auto" w:fill="auto"/>
            <w:noWrap/>
            <w:vAlign w:val="center"/>
            <w:hideMark/>
          </w:tcPr>
          <w:p w14:paraId="21EFD459" w14:textId="77777777" w:rsidR="003C6A19" w:rsidRPr="004F469F" w:rsidRDefault="003C6A19" w:rsidP="003C6A19">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8B21AED" w14:textId="77777777" w:rsidR="003C6A19" w:rsidRPr="004F469F" w:rsidRDefault="003C6A19" w:rsidP="003C6A19">
            <w:pPr>
              <w:jc w:val="center"/>
              <w:rPr>
                <w:sz w:val="20"/>
                <w:szCs w:val="20"/>
              </w:rPr>
            </w:pPr>
            <w:r w:rsidRPr="004F469F">
              <w:rPr>
                <w:sz w:val="20"/>
                <w:szCs w:val="20"/>
              </w:rPr>
              <w:t>624</w:t>
            </w:r>
          </w:p>
        </w:tc>
        <w:tc>
          <w:tcPr>
            <w:tcW w:w="0" w:type="auto"/>
            <w:tcBorders>
              <w:top w:val="nil"/>
              <w:left w:val="nil"/>
              <w:bottom w:val="single" w:sz="4" w:space="0" w:color="auto"/>
              <w:right w:val="single" w:sz="4" w:space="0" w:color="auto"/>
            </w:tcBorders>
            <w:shd w:val="clear" w:color="auto" w:fill="auto"/>
            <w:noWrap/>
            <w:vAlign w:val="center"/>
            <w:hideMark/>
          </w:tcPr>
          <w:p w14:paraId="33BF993D" w14:textId="77777777" w:rsidR="003C6A19" w:rsidRPr="004F469F" w:rsidRDefault="003C6A19" w:rsidP="003C6A19">
            <w:pPr>
              <w:jc w:val="center"/>
              <w:rPr>
                <w:sz w:val="20"/>
                <w:szCs w:val="20"/>
              </w:rPr>
            </w:pPr>
            <w:r w:rsidRPr="004F469F">
              <w:rPr>
                <w:sz w:val="20"/>
                <w:szCs w:val="20"/>
              </w:rPr>
              <w:t>341</w:t>
            </w:r>
          </w:p>
        </w:tc>
        <w:tc>
          <w:tcPr>
            <w:tcW w:w="0" w:type="auto"/>
            <w:tcBorders>
              <w:top w:val="nil"/>
              <w:left w:val="nil"/>
              <w:bottom w:val="single" w:sz="4" w:space="0" w:color="auto"/>
              <w:right w:val="single" w:sz="4" w:space="0" w:color="auto"/>
            </w:tcBorders>
            <w:shd w:val="clear" w:color="auto" w:fill="auto"/>
            <w:noWrap/>
            <w:vAlign w:val="center"/>
            <w:hideMark/>
          </w:tcPr>
          <w:p w14:paraId="58669A44" w14:textId="77777777" w:rsidR="003C6A19" w:rsidRPr="004F469F" w:rsidRDefault="003C6A19" w:rsidP="003C6A19">
            <w:pPr>
              <w:jc w:val="center"/>
              <w:rPr>
                <w:sz w:val="20"/>
                <w:szCs w:val="20"/>
              </w:rPr>
            </w:pPr>
            <w:r w:rsidRPr="004F469F">
              <w:rPr>
                <w:sz w:val="20"/>
                <w:szCs w:val="20"/>
              </w:rPr>
              <w:t>5,401</w:t>
            </w:r>
          </w:p>
        </w:tc>
        <w:tc>
          <w:tcPr>
            <w:tcW w:w="0" w:type="auto"/>
            <w:tcBorders>
              <w:top w:val="nil"/>
              <w:left w:val="nil"/>
              <w:bottom w:val="single" w:sz="4" w:space="0" w:color="auto"/>
              <w:right w:val="single" w:sz="4" w:space="0" w:color="auto"/>
            </w:tcBorders>
            <w:shd w:val="clear" w:color="auto" w:fill="auto"/>
            <w:noWrap/>
            <w:vAlign w:val="center"/>
            <w:hideMark/>
          </w:tcPr>
          <w:p w14:paraId="73390C20" w14:textId="77777777" w:rsidR="003C6A19" w:rsidRPr="004F469F" w:rsidRDefault="003C6A19" w:rsidP="003C6A19">
            <w:pPr>
              <w:jc w:val="center"/>
              <w:rPr>
                <w:sz w:val="20"/>
                <w:szCs w:val="20"/>
              </w:rPr>
            </w:pPr>
            <w:r w:rsidRPr="004F469F">
              <w:rPr>
                <w:sz w:val="20"/>
                <w:szCs w:val="20"/>
              </w:rPr>
              <w:t>38.8</w:t>
            </w:r>
          </w:p>
        </w:tc>
        <w:tc>
          <w:tcPr>
            <w:tcW w:w="0" w:type="auto"/>
            <w:tcBorders>
              <w:top w:val="nil"/>
              <w:left w:val="nil"/>
              <w:bottom w:val="single" w:sz="4" w:space="0" w:color="auto"/>
              <w:right w:val="single" w:sz="4" w:space="0" w:color="auto"/>
            </w:tcBorders>
            <w:shd w:val="clear" w:color="auto" w:fill="auto"/>
            <w:noWrap/>
            <w:vAlign w:val="center"/>
            <w:hideMark/>
          </w:tcPr>
          <w:p w14:paraId="6E931744" w14:textId="77777777" w:rsidR="003C6A19" w:rsidRPr="004F469F" w:rsidRDefault="003C6A19" w:rsidP="003C6A19">
            <w:pPr>
              <w:jc w:val="center"/>
              <w:rPr>
                <w:sz w:val="20"/>
                <w:szCs w:val="20"/>
              </w:rPr>
            </w:pPr>
            <w:r w:rsidRPr="004F469F">
              <w:rPr>
                <w:sz w:val="20"/>
                <w:szCs w:val="20"/>
              </w:rPr>
              <w:t>5.1</w:t>
            </w:r>
          </w:p>
        </w:tc>
        <w:tc>
          <w:tcPr>
            <w:tcW w:w="0" w:type="auto"/>
            <w:tcBorders>
              <w:top w:val="nil"/>
              <w:left w:val="nil"/>
              <w:bottom w:val="single" w:sz="4" w:space="0" w:color="auto"/>
              <w:right w:val="single" w:sz="4" w:space="0" w:color="auto"/>
            </w:tcBorders>
            <w:shd w:val="clear" w:color="auto" w:fill="auto"/>
            <w:noWrap/>
            <w:vAlign w:val="center"/>
            <w:hideMark/>
          </w:tcPr>
          <w:p w14:paraId="1BF07E6C" w14:textId="53DBE417" w:rsidR="003C6A19" w:rsidRPr="004F469F" w:rsidRDefault="003C6A19" w:rsidP="003C6A19">
            <w:pPr>
              <w:jc w:val="center"/>
              <w:rPr>
                <w:sz w:val="20"/>
                <w:szCs w:val="20"/>
              </w:rPr>
            </w:pPr>
            <w:r w:rsidRPr="004F469F">
              <w:rPr>
                <w:sz w:val="20"/>
                <w:szCs w:val="20"/>
              </w:rPr>
              <w:t>-</w:t>
            </w:r>
          </w:p>
        </w:tc>
      </w:tr>
    </w:tbl>
    <w:p w14:paraId="2F583CD9" w14:textId="3D951995" w:rsidR="00A967F3" w:rsidRPr="004F469F" w:rsidRDefault="00A967F3" w:rsidP="005C4E5F">
      <w:pPr>
        <w:spacing w:after="120" w:line="480" w:lineRule="auto"/>
        <w:rPr>
          <w:sz w:val="20"/>
          <w:szCs w:val="20"/>
        </w:rPr>
      </w:pPr>
    </w:p>
    <w:p w14:paraId="27A0A00F" w14:textId="77777777" w:rsidR="003C6A19" w:rsidRPr="004F469F" w:rsidRDefault="003C6A19" w:rsidP="005C4E5F">
      <w:pPr>
        <w:spacing w:after="120" w:line="480" w:lineRule="auto"/>
        <w:rPr>
          <w:sz w:val="20"/>
          <w:szCs w:val="20"/>
        </w:rPr>
      </w:pPr>
    </w:p>
    <w:p w14:paraId="5CC27AC7" w14:textId="28EBD4D3" w:rsidR="003C6A19" w:rsidRPr="004F469F" w:rsidRDefault="003C6A19" w:rsidP="005C4E5F">
      <w:pPr>
        <w:spacing w:after="120" w:line="480" w:lineRule="auto"/>
      </w:pPr>
      <w:r w:rsidRPr="004F469F">
        <w:lastRenderedPageBreak/>
        <w:t>Table 2.6. Continued</w:t>
      </w:r>
      <w:r w:rsidR="0049259D" w:rsidRPr="004F469F">
        <w:t>.</w:t>
      </w:r>
    </w:p>
    <w:tbl>
      <w:tblPr>
        <w:tblW w:w="0" w:type="auto"/>
        <w:tblLook w:val="04A0" w:firstRow="1" w:lastRow="0" w:firstColumn="1" w:lastColumn="0" w:noHBand="0" w:noVBand="1"/>
      </w:tblPr>
      <w:tblGrid>
        <w:gridCol w:w="1283"/>
        <w:gridCol w:w="2943"/>
        <w:gridCol w:w="683"/>
        <w:gridCol w:w="761"/>
        <w:gridCol w:w="594"/>
        <w:gridCol w:w="666"/>
        <w:gridCol w:w="1006"/>
        <w:gridCol w:w="1028"/>
        <w:gridCol w:w="839"/>
        <w:gridCol w:w="694"/>
        <w:gridCol w:w="794"/>
      </w:tblGrid>
      <w:tr w:rsidR="00494669" w:rsidRPr="004F469F" w14:paraId="2C3D34F2" w14:textId="77777777" w:rsidTr="003C6A19">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777AD" w14:textId="77777777" w:rsidR="003C6A19" w:rsidRPr="004F469F" w:rsidRDefault="003C6A19" w:rsidP="003C6A19">
            <w:pPr>
              <w:rPr>
                <w:rFonts w:eastAsia="Arial Unicode MS"/>
                <w:sz w:val="20"/>
                <w:szCs w:val="20"/>
              </w:rPr>
            </w:pPr>
            <w:r w:rsidRPr="004F469F">
              <w:rPr>
                <w:rFonts w:eastAsia="Arial Unicode MS"/>
                <w:sz w:val="20"/>
                <w:szCs w:val="20"/>
              </w:rPr>
              <w:t>DATE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CE6FBC5" w14:textId="77777777" w:rsidR="003C6A19" w:rsidRPr="004F469F" w:rsidRDefault="003C6A19" w:rsidP="003C6A19">
            <w:pPr>
              <w:rPr>
                <w:sz w:val="20"/>
                <w:szCs w:val="20"/>
              </w:rPr>
            </w:pPr>
            <w:r w:rsidRPr="004F469F">
              <w:rPr>
                <w:sz w:val="20"/>
                <w:szCs w:val="20"/>
              </w:rPr>
              <w:t>LOCATION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45578D4" w14:textId="77777777" w:rsidR="003C6A19" w:rsidRPr="004F469F" w:rsidRDefault="003C6A19" w:rsidP="003C6A19">
            <w:pPr>
              <w:rPr>
                <w:sz w:val="20"/>
                <w:szCs w:val="20"/>
              </w:rPr>
            </w:pPr>
            <w:r w:rsidRPr="004F469F">
              <w:rPr>
                <w:sz w:val="20"/>
                <w:szCs w:val="20"/>
              </w:rPr>
              <w:t>MAG</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0922B3" w14:textId="77777777" w:rsidR="003C6A19" w:rsidRPr="004F469F" w:rsidRDefault="003C6A19" w:rsidP="003C6A19">
            <w:pPr>
              <w:rPr>
                <w:sz w:val="20"/>
                <w:szCs w:val="20"/>
              </w:rPr>
            </w:pPr>
            <w:r w:rsidRPr="004F469F">
              <w:rPr>
                <w:sz w:val="20"/>
                <w:szCs w:val="20"/>
              </w:rPr>
              <w:t>AREA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F850405" w14:textId="77777777" w:rsidR="003C6A19" w:rsidRPr="004F469F" w:rsidRDefault="003C6A19" w:rsidP="003C6A19">
            <w:pPr>
              <w:rPr>
                <w:sz w:val="20"/>
                <w:szCs w:val="20"/>
              </w:rPr>
            </w:pPr>
            <w:r w:rsidRPr="004F469F">
              <w:rPr>
                <w:sz w:val="20"/>
                <w:szCs w:val="20"/>
              </w:rPr>
              <w:t>FAT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CF8093D" w14:textId="77777777" w:rsidR="003C6A19" w:rsidRPr="004F469F" w:rsidRDefault="003C6A19" w:rsidP="003C6A19">
            <w:pPr>
              <w:rPr>
                <w:sz w:val="20"/>
                <w:szCs w:val="20"/>
              </w:rPr>
            </w:pPr>
            <w:r w:rsidRPr="004F469F">
              <w:rPr>
                <w:sz w:val="20"/>
                <w:szCs w:val="20"/>
              </w:rPr>
              <w:t>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2871F55" w14:textId="77777777" w:rsidR="003C6A19" w:rsidRPr="004F469F" w:rsidRDefault="003C6A19" w:rsidP="003C6A19">
            <w:pPr>
              <w:rPr>
                <w:sz w:val="20"/>
                <w:szCs w:val="20"/>
              </w:rPr>
            </w:pPr>
            <w:r w:rsidRPr="004F469F">
              <w:rPr>
                <w:sz w:val="20"/>
                <w:szCs w:val="20"/>
              </w:rPr>
              <w:t>PPEMED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4C9E63B" w14:textId="77777777" w:rsidR="003C6A19" w:rsidRPr="004F469F" w:rsidRDefault="003C6A19" w:rsidP="003C6A19">
            <w:pPr>
              <w:rPr>
                <w:sz w:val="20"/>
                <w:szCs w:val="20"/>
              </w:rPr>
            </w:pPr>
            <w:r w:rsidRPr="004F469F">
              <w:rPr>
                <w:sz w:val="20"/>
                <w:szCs w:val="20"/>
              </w:rPr>
              <w:t>PPEMAX</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0924412" w14:textId="77777777" w:rsidR="003C6A19" w:rsidRPr="004F469F" w:rsidRDefault="003C6A19" w:rsidP="003C6A19">
            <w:pPr>
              <w:rPr>
                <w:sz w:val="20"/>
                <w:szCs w:val="20"/>
              </w:rPr>
            </w:pPr>
            <w:r w:rsidRPr="004F469F">
              <w:rPr>
                <w:sz w:val="20"/>
                <w:szCs w:val="20"/>
              </w:rPr>
              <w:t>EPOBS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64A29D3" w14:textId="77777777" w:rsidR="003C6A19" w:rsidRPr="004F469F" w:rsidRDefault="003C6A19" w:rsidP="003C6A19">
            <w:pPr>
              <w:rPr>
                <w:sz w:val="20"/>
                <w:szCs w:val="20"/>
              </w:rPr>
            </w:pPr>
            <w:r w:rsidRPr="004F469F">
              <w:rPr>
                <w:sz w:val="20"/>
                <w:szCs w:val="20"/>
              </w:rPr>
              <w:t>EP5K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63361D6" w14:textId="77777777" w:rsidR="003C6A19" w:rsidRPr="004F469F" w:rsidRDefault="003C6A19" w:rsidP="003C6A19">
            <w:pPr>
              <w:rPr>
                <w:sz w:val="20"/>
                <w:szCs w:val="20"/>
              </w:rPr>
            </w:pPr>
            <w:r w:rsidRPr="004F469F">
              <w:rPr>
                <w:sz w:val="20"/>
                <w:szCs w:val="20"/>
              </w:rPr>
              <w:t>EP20K</w:t>
            </w:r>
          </w:p>
        </w:tc>
      </w:tr>
      <w:tr w:rsidR="00494669" w:rsidRPr="004F469F" w14:paraId="5E15D9B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24F876" w14:textId="77777777" w:rsidR="003C6A19" w:rsidRPr="004F469F" w:rsidRDefault="003C6A19" w:rsidP="003C6A19">
            <w:pPr>
              <w:rPr>
                <w:rFonts w:eastAsia="Arial Unicode MS"/>
                <w:sz w:val="20"/>
                <w:szCs w:val="20"/>
              </w:rPr>
            </w:pPr>
            <w:r w:rsidRPr="004F469F">
              <w:rPr>
                <w:rFonts w:eastAsia="Arial Unicode MS"/>
                <w:sz w:val="20"/>
                <w:szCs w:val="20"/>
              </w:rPr>
              <w:t xml:space="preserve">19 May 2013 </w:t>
            </w:r>
          </w:p>
        </w:tc>
        <w:tc>
          <w:tcPr>
            <w:tcW w:w="0" w:type="auto"/>
            <w:tcBorders>
              <w:top w:val="nil"/>
              <w:left w:val="nil"/>
              <w:bottom w:val="single" w:sz="4" w:space="0" w:color="auto"/>
              <w:right w:val="single" w:sz="4" w:space="0" w:color="auto"/>
            </w:tcBorders>
            <w:shd w:val="clear" w:color="auto" w:fill="auto"/>
            <w:noWrap/>
            <w:vAlign w:val="bottom"/>
            <w:hideMark/>
          </w:tcPr>
          <w:p w14:paraId="7C5CAAD1" w14:textId="77777777" w:rsidR="003C6A19" w:rsidRPr="004F469F" w:rsidRDefault="003C6A19" w:rsidP="003C6A19">
            <w:pPr>
              <w:rPr>
                <w:sz w:val="20"/>
                <w:szCs w:val="20"/>
              </w:rPr>
            </w:pPr>
            <w:r w:rsidRPr="004F469F">
              <w:rPr>
                <w:sz w:val="20"/>
                <w:szCs w:val="20"/>
              </w:rPr>
              <w:t xml:space="preserve">  Lake Thunderbird-Shawnee, OK  </w:t>
            </w:r>
          </w:p>
        </w:tc>
        <w:tc>
          <w:tcPr>
            <w:tcW w:w="0" w:type="auto"/>
            <w:tcBorders>
              <w:top w:val="nil"/>
              <w:left w:val="nil"/>
              <w:bottom w:val="single" w:sz="4" w:space="0" w:color="auto"/>
              <w:right w:val="single" w:sz="4" w:space="0" w:color="auto"/>
            </w:tcBorders>
            <w:shd w:val="clear" w:color="auto" w:fill="auto"/>
            <w:noWrap/>
            <w:vAlign w:val="bottom"/>
            <w:hideMark/>
          </w:tcPr>
          <w:p w14:paraId="0A121FF8"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7461334C" w14:textId="77777777" w:rsidR="003C6A19" w:rsidRPr="004F469F" w:rsidRDefault="003C6A19" w:rsidP="003C6A19">
            <w:pPr>
              <w:jc w:val="right"/>
              <w:rPr>
                <w:sz w:val="20"/>
                <w:szCs w:val="20"/>
              </w:rPr>
            </w:pPr>
            <w:r w:rsidRPr="004F469F">
              <w:rPr>
                <w:sz w:val="20"/>
                <w:szCs w:val="20"/>
              </w:rPr>
              <w:t>50.8</w:t>
            </w:r>
          </w:p>
        </w:tc>
        <w:tc>
          <w:tcPr>
            <w:tcW w:w="0" w:type="auto"/>
            <w:tcBorders>
              <w:top w:val="nil"/>
              <w:left w:val="nil"/>
              <w:bottom w:val="single" w:sz="4" w:space="0" w:color="auto"/>
              <w:right w:val="single" w:sz="4" w:space="0" w:color="auto"/>
            </w:tcBorders>
            <w:shd w:val="clear" w:color="auto" w:fill="auto"/>
            <w:noWrap/>
            <w:vAlign w:val="bottom"/>
            <w:hideMark/>
          </w:tcPr>
          <w:p w14:paraId="4FF9F261" w14:textId="77777777" w:rsidR="003C6A19" w:rsidRPr="004F469F" w:rsidRDefault="003C6A19" w:rsidP="003C6A19">
            <w:pPr>
              <w:jc w:val="right"/>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42D4522C" w14:textId="77777777" w:rsidR="003C6A19" w:rsidRPr="004F469F" w:rsidRDefault="003C6A19" w:rsidP="003C6A19">
            <w:pPr>
              <w:jc w:val="right"/>
              <w:rPr>
                <w:sz w:val="20"/>
                <w:szCs w:val="20"/>
              </w:rPr>
            </w:pPr>
            <w:r w:rsidRPr="004F469F">
              <w:rPr>
                <w:sz w:val="20"/>
                <w:szCs w:val="20"/>
              </w:rPr>
              <w:t>2,179</w:t>
            </w:r>
          </w:p>
        </w:tc>
        <w:tc>
          <w:tcPr>
            <w:tcW w:w="0" w:type="auto"/>
            <w:tcBorders>
              <w:top w:val="nil"/>
              <w:left w:val="nil"/>
              <w:bottom w:val="single" w:sz="4" w:space="0" w:color="auto"/>
              <w:right w:val="single" w:sz="4" w:space="0" w:color="auto"/>
            </w:tcBorders>
            <w:shd w:val="clear" w:color="auto" w:fill="auto"/>
            <w:noWrap/>
            <w:vAlign w:val="bottom"/>
            <w:hideMark/>
          </w:tcPr>
          <w:p w14:paraId="66614124" w14:textId="77777777" w:rsidR="003C6A19" w:rsidRPr="004F469F" w:rsidRDefault="003C6A19" w:rsidP="003C6A19">
            <w:pPr>
              <w:jc w:val="right"/>
              <w:rPr>
                <w:sz w:val="20"/>
                <w:szCs w:val="20"/>
              </w:rPr>
            </w:pPr>
            <w:r w:rsidRPr="004F469F">
              <w:rPr>
                <w:sz w:val="20"/>
                <w:szCs w:val="20"/>
              </w:rPr>
              <w:t>2,128</w:t>
            </w:r>
          </w:p>
        </w:tc>
        <w:tc>
          <w:tcPr>
            <w:tcW w:w="0" w:type="auto"/>
            <w:tcBorders>
              <w:top w:val="nil"/>
              <w:left w:val="nil"/>
              <w:bottom w:val="single" w:sz="4" w:space="0" w:color="auto"/>
              <w:right w:val="single" w:sz="4" w:space="0" w:color="auto"/>
            </w:tcBorders>
            <w:shd w:val="clear" w:color="auto" w:fill="auto"/>
            <w:noWrap/>
            <w:vAlign w:val="bottom"/>
            <w:hideMark/>
          </w:tcPr>
          <w:p w14:paraId="3C0CF625" w14:textId="77777777" w:rsidR="003C6A19" w:rsidRPr="004F469F" w:rsidRDefault="003C6A19" w:rsidP="003C6A19">
            <w:pPr>
              <w:jc w:val="right"/>
              <w:rPr>
                <w:sz w:val="20"/>
                <w:szCs w:val="20"/>
              </w:rPr>
            </w:pPr>
            <w:r w:rsidRPr="004F469F">
              <w:rPr>
                <w:sz w:val="20"/>
                <w:szCs w:val="20"/>
              </w:rPr>
              <w:t>6,988</w:t>
            </w:r>
          </w:p>
        </w:tc>
        <w:tc>
          <w:tcPr>
            <w:tcW w:w="0" w:type="auto"/>
            <w:tcBorders>
              <w:top w:val="nil"/>
              <w:left w:val="nil"/>
              <w:bottom w:val="single" w:sz="4" w:space="0" w:color="auto"/>
              <w:right w:val="single" w:sz="4" w:space="0" w:color="auto"/>
            </w:tcBorders>
            <w:shd w:val="clear" w:color="auto" w:fill="auto"/>
            <w:noWrap/>
            <w:vAlign w:val="bottom"/>
            <w:hideMark/>
          </w:tcPr>
          <w:p w14:paraId="584BAAC7" w14:textId="77777777" w:rsidR="003C6A19" w:rsidRPr="004F469F" w:rsidRDefault="003C6A19" w:rsidP="003C6A19">
            <w:pPr>
              <w:jc w:val="right"/>
              <w:rPr>
                <w:sz w:val="20"/>
                <w:szCs w:val="20"/>
              </w:rPr>
            </w:pPr>
            <w:r w:rsidRPr="004F469F">
              <w:rPr>
                <w:sz w:val="20"/>
                <w:szCs w:val="20"/>
              </w:rPr>
              <w:t>44.8</w:t>
            </w:r>
          </w:p>
        </w:tc>
        <w:tc>
          <w:tcPr>
            <w:tcW w:w="0" w:type="auto"/>
            <w:tcBorders>
              <w:top w:val="nil"/>
              <w:left w:val="nil"/>
              <w:bottom w:val="single" w:sz="4" w:space="0" w:color="auto"/>
              <w:right w:val="single" w:sz="4" w:space="0" w:color="auto"/>
            </w:tcBorders>
            <w:shd w:val="clear" w:color="auto" w:fill="auto"/>
            <w:noWrap/>
            <w:vAlign w:val="bottom"/>
            <w:hideMark/>
          </w:tcPr>
          <w:p w14:paraId="69E37D1E" w14:textId="77777777" w:rsidR="003C6A19" w:rsidRPr="004F469F" w:rsidRDefault="003C6A19" w:rsidP="003C6A19">
            <w:pPr>
              <w:jc w:val="right"/>
              <w:rPr>
                <w:sz w:val="20"/>
                <w:szCs w:val="20"/>
              </w:rPr>
            </w:pPr>
            <w:r w:rsidRPr="004F469F">
              <w:rPr>
                <w:sz w:val="20"/>
                <w:szCs w:val="20"/>
              </w:rPr>
              <w:t>4.5</w:t>
            </w:r>
          </w:p>
        </w:tc>
        <w:tc>
          <w:tcPr>
            <w:tcW w:w="0" w:type="auto"/>
            <w:tcBorders>
              <w:top w:val="nil"/>
              <w:left w:val="nil"/>
              <w:bottom w:val="single" w:sz="4" w:space="0" w:color="auto"/>
              <w:right w:val="single" w:sz="4" w:space="0" w:color="auto"/>
            </w:tcBorders>
            <w:shd w:val="clear" w:color="auto" w:fill="auto"/>
            <w:noWrap/>
            <w:vAlign w:val="bottom"/>
            <w:hideMark/>
          </w:tcPr>
          <w:p w14:paraId="5743C628" w14:textId="77777777" w:rsidR="003C6A19" w:rsidRPr="004F469F" w:rsidRDefault="003C6A19" w:rsidP="003C6A19">
            <w:pPr>
              <w:rPr>
                <w:sz w:val="20"/>
                <w:szCs w:val="20"/>
              </w:rPr>
            </w:pPr>
            <w:r w:rsidRPr="004F469F">
              <w:rPr>
                <w:sz w:val="20"/>
                <w:szCs w:val="20"/>
              </w:rPr>
              <w:t xml:space="preserve">  -</w:t>
            </w:r>
          </w:p>
        </w:tc>
      </w:tr>
      <w:tr w:rsidR="00494669" w:rsidRPr="004F469F" w14:paraId="51485E4E"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4D9AD2" w14:textId="77777777" w:rsidR="003C6A19" w:rsidRPr="004F469F" w:rsidRDefault="003C6A19" w:rsidP="003C6A19">
            <w:pPr>
              <w:rPr>
                <w:rFonts w:eastAsia="Arial Unicode MS"/>
                <w:sz w:val="20"/>
                <w:szCs w:val="20"/>
              </w:rPr>
            </w:pPr>
            <w:r w:rsidRPr="004F469F">
              <w:rPr>
                <w:rFonts w:eastAsia="Arial Unicode MS"/>
                <w:sz w:val="20"/>
                <w:szCs w:val="20"/>
              </w:rPr>
              <w:t xml:space="preserve">6 Feb 2008 </w:t>
            </w:r>
          </w:p>
        </w:tc>
        <w:tc>
          <w:tcPr>
            <w:tcW w:w="0" w:type="auto"/>
            <w:tcBorders>
              <w:top w:val="nil"/>
              <w:left w:val="nil"/>
              <w:bottom w:val="single" w:sz="4" w:space="0" w:color="auto"/>
              <w:right w:val="single" w:sz="4" w:space="0" w:color="auto"/>
            </w:tcBorders>
            <w:shd w:val="clear" w:color="auto" w:fill="auto"/>
            <w:noWrap/>
            <w:vAlign w:val="bottom"/>
            <w:hideMark/>
          </w:tcPr>
          <w:p w14:paraId="47392841" w14:textId="77777777" w:rsidR="003C6A19" w:rsidRPr="004F469F" w:rsidRDefault="003C6A19" w:rsidP="003C6A19">
            <w:pPr>
              <w:rPr>
                <w:sz w:val="20"/>
                <w:szCs w:val="20"/>
              </w:rPr>
            </w:pPr>
            <w:r w:rsidRPr="004F469F">
              <w:rPr>
                <w:sz w:val="20"/>
                <w:szCs w:val="20"/>
              </w:rPr>
              <w:t xml:space="preserve">  Moulton-Decatur, AL  </w:t>
            </w:r>
          </w:p>
        </w:tc>
        <w:tc>
          <w:tcPr>
            <w:tcW w:w="0" w:type="auto"/>
            <w:tcBorders>
              <w:top w:val="nil"/>
              <w:left w:val="nil"/>
              <w:bottom w:val="single" w:sz="4" w:space="0" w:color="auto"/>
              <w:right w:val="single" w:sz="4" w:space="0" w:color="auto"/>
            </w:tcBorders>
            <w:shd w:val="clear" w:color="auto" w:fill="auto"/>
            <w:noWrap/>
            <w:vAlign w:val="bottom"/>
            <w:hideMark/>
          </w:tcPr>
          <w:p w14:paraId="76CA27C4"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44648875" w14:textId="77777777" w:rsidR="003C6A19" w:rsidRPr="004F469F" w:rsidRDefault="003C6A19" w:rsidP="003C6A19">
            <w:pPr>
              <w:jc w:val="right"/>
              <w:rPr>
                <w:sz w:val="20"/>
                <w:szCs w:val="20"/>
              </w:rPr>
            </w:pPr>
            <w:r w:rsidRPr="004F469F">
              <w:rPr>
                <w:sz w:val="20"/>
                <w:szCs w:val="20"/>
              </w:rPr>
              <w:t>21.6</w:t>
            </w:r>
          </w:p>
        </w:tc>
        <w:tc>
          <w:tcPr>
            <w:tcW w:w="0" w:type="auto"/>
            <w:tcBorders>
              <w:top w:val="nil"/>
              <w:left w:val="nil"/>
              <w:bottom w:val="single" w:sz="4" w:space="0" w:color="auto"/>
              <w:right w:val="single" w:sz="4" w:space="0" w:color="auto"/>
            </w:tcBorders>
            <w:shd w:val="clear" w:color="auto" w:fill="auto"/>
            <w:noWrap/>
            <w:vAlign w:val="bottom"/>
            <w:hideMark/>
          </w:tcPr>
          <w:p w14:paraId="5FD3CCE4"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5B681F3E" w14:textId="77777777" w:rsidR="003C6A19" w:rsidRPr="004F469F" w:rsidRDefault="003C6A19" w:rsidP="003C6A19">
            <w:pPr>
              <w:jc w:val="right"/>
              <w:rPr>
                <w:sz w:val="20"/>
                <w:szCs w:val="20"/>
              </w:rPr>
            </w:pPr>
            <w:r w:rsidRPr="004F469F">
              <w:rPr>
                <w:sz w:val="20"/>
                <w:szCs w:val="20"/>
              </w:rPr>
              <w:t>944</w:t>
            </w:r>
          </w:p>
        </w:tc>
        <w:tc>
          <w:tcPr>
            <w:tcW w:w="0" w:type="auto"/>
            <w:tcBorders>
              <w:top w:val="nil"/>
              <w:left w:val="nil"/>
              <w:bottom w:val="single" w:sz="4" w:space="0" w:color="auto"/>
              <w:right w:val="single" w:sz="4" w:space="0" w:color="auto"/>
            </w:tcBorders>
            <w:shd w:val="clear" w:color="auto" w:fill="auto"/>
            <w:noWrap/>
            <w:vAlign w:val="bottom"/>
            <w:hideMark/>
          </w:tcPr>
          <w:p w14:paraId="44837440" w14:textId="77777777" w:rsidR="003C6A19" w:rsidRPr="004F469F" w:rsidRDefault="003C6A19" w:rsidP="003C6A19">
            <w:pPr>
              <w:jc w:val="right"/>
              <w:rPr>
                <w:sz w:val="20"/>
                <w:szCs w:val="20"/>
              </w:rPr>
            </w:pPr>
            <w:r w:rsidRPr="004F469F">
              <w:rPr>
                <w:sz w:val="20"/>
                <w:szCs w:val="20"/>
              </w:rPr>
              <w:t>949</w:t>
            </w:r>
          </w:p>
        </w:tc>
        <w:tc>
          <w:tcPr>
            <w:tcW w:w="0" w:type="auto"/>
            <w:tcBorders>
              <w:top w:val="nil"/>
              <w:left w:val="nil"/>
              <w:bottom w:val="single" w:sz="4" w:space="0" w:color="auto"/>
              <w:right w:val="single" w:sz="4" w:space="0" w:color="auto"/>
            </w:tcBorders>
            <w:shd w:val="clear" w:color="auto" w:fill="auto"/>
            <w:noWrap/>
            <w:vAlign w:val="bottom"/>
            <w:hideMark/>
          </w:tcPr>
          <w:p w14:paraId="020F9638" w14:textId="77777777" w:rsidR="003C6A19" w:rsidRPr="004F469F" w:rsidRDefault="003C6A19" w:rsidP="003C6A19">
            <w:pPr>
              <w:jc w:val="right"/>
              <w:rPr>
                <w:sz w:val="20"/>
                <w:szCs w:val="20"/>
              </w:rPr>
            </w:pPr>
            <w:r w:rsidRPr="004F469F">
              <w:rPr>
                <w:sz w:val="20"/>
                <w:szCs w:val="20"/>
              </w:rPr>
              <w:t>7,377</w:t>
            </w:r>
          </w:p>
        </w:tc>
        <w:tc>
          <w:tcPr>
            <w:tcW w:w="0" w:type="auto"/>
            <w:tcBorders>
              <w:top w:val="nil"/>
              <w:left w:val="nil"/>
              <w:bottom w:val="single" w:sz="4" w:space="0" w:color="auto"/>
              <w:right w:val="single" w:sz="4" w:space="0" w:color="auto"/>
            </w:tcBorders>
            <w:shd w:val="clear" w:color="auto" w:fill="auto"/>
            <w:noWrap/>
            <w:vAlign w:val="bottom"/>
            <w:hideMark/>
          </w:tcPr>
          <w:p w14:paraId="2B028317" w14:textId="77777777" w:rsidR="003C6A19" w:rsidRPr="004F469F" w:rsidRDefault="003C6A19" w:rsidP="003C6A19">
            <w:pPr>
              <w:jc w:val="right"/>
              <w:rPr>
                <w:sz w:val="20"/>
                <w:szCs w:val="20"/>
              </w:rPr>
            </w:pPr>
            <w:r w:rsidRPr="004F469F">
              <w:rPr>
                <w:sz w:val="20"/>
                <w:szCs w:val="20"/>
              </w:rPr>
              <w:t>50.4</w:t>
            </w:r>
          </w:p>
        </w:tc>
        <w:tc>
          <w:tcPr>
            <w:tcW w:w="0" w:type="auto"/>
            <w:tcBorders>
              <w:top w:val="nil"/>
              <w:left w:val="nil"/>
              <w:bottom w:val="single" w:sz="4" w:space="0" w:color="auto"/>
              <w:right w:val="single" w:sz="4" w:space="0" w:color="auto"/>
            </w:tcBorders>
            <w:shd w:val="clear" w:color="auto" w:fill="auto"/>
            <w:noWrap/>
            <w:vAlign w:val="bottom"/>
            <w:hideMark/>
          </w:tcPr>
          <w:p w14:paraId="1A6BCB4C" w14:textId="77777777" w:rsidR="003C6A19" w:rsidRPr="004F469F" w:rsidRDefault="003C6A19" w:rsidP="003C6A19">
            <w:pPr>
              <w:jc w:val="right"/>
              <w:rPr>
                <w:sz w:val="20"/>
                <w:szCs w:val="20"/>
              </w:rPr>
            </w:pPr>
            <w:r w:rsidRPr="004F469F">
              <w:rPr>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14:paraId="3462E718" w14:textId="77777777" w:rsidR="003C6A19" w:rsidRPr="004F469F" w:rsidRDefault="003C6A19" w:rsidP="003C6A19">
            <w:pPr>
              <w:rPr>
                <w:sz w:val="20"/>
                <w:szCs w:val="20"/>
              </w:rPr>
            </w:pPr>
            <w:r w:rsidRPr="004F469F">
              <w:rPr>
                <w:sz w:val="20"/>
                <w:szCs w:val="20"/>
              </w:rPr>
              <w:t xml:space="preserve">  -</w:t>
            </w:r>
          </w:p>
        </w:tc>
      </w:tr>
      <w:tr w:rsidR="00494669" w:rsidRPr="004F469F" w14:paraId="5C33B048"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56C753" w14:textId="77777777" w:rsidR="003C6A19" w:rsidRPr="004F469F" w:rsidRDefault="003C6A19" w:rsidP="003C6A19">
            <w:pPr>
              <w:rPr>
                <w:rFonts w:eastAsia="Arial Unicode MS"/>
                <w:sz w:val="20"/>
                <w:szCs w:val="20"/>
              </w:rPr>
            </w:pPr>
            <w:r w:rsidRPr="004F469F">
              <w:rPr>
                <w:rFonts w:eastAsia="Arial Unicode MS"/>
                <w:sz w:val="20"/>
                <w:szCs w:val="20"/>
              </w:rPr>
              <w:t xml:space="preserve">24 Nov 2001 </w:t>
            </w:r>
          </w:p>
        </w:tc>
        <w:tc>
          <w:tcPr>
            <w:tcW w:w="0" w:type="auto"/>
            <w:tcBorders>
              <w:top w:val="nil"/>
              <w:left w:val="nil"/>
              <w:bottom w:val="single" w:sz="4" w:space="0" w:color="auto"/>
              <w:right w:val="single" w:sz="4" w:space="0" w:color="auto"/>
            </w:tcBorders>
            <w:shd w:val="clear" w:color="auto" w:fill="auto"/>
            <w:noWrap/>
            <w:vAlign w:val="bottom"/>
            <w:hideMark/>
          </w:tcPr>
          <w:p w14:paraId="7C29B80E" w14:textId="77777777" w:rsidR="003C6A19" w:rsidRPr="004F469F" w:rsidRDefault="003C6A19" w:rsidP="003C6A19">
            <w:pPr>
              <w:rPr>
                <w:sz w:val="20"/>
                <w:szCs w:val="20"/>
              </w:rPr>
            </w:pPr>
            <w:r w:rsidRPr="004F469F">
              <w:rPr>
                <w:sz w:val="20"/>
                <w:szCs w:val="20"/>
              </w:rPr>
              <w:t xml:space="preserve">  Winterville, MS  </w:t>
            </w:r>
          </w:p>
        </w:tc>
        <w:tc>
          <w:tcPr>
            <w:tcW w:w="0" w:type="auto"/>
            <w:tcBorders>
              <w:top w:val="nil"/>
              <w:left w:val="nil"/>
              <w:bottom w:val="single" w:sz="4" w:space="0" w:color="auto"/>
              <w:right w:val="single" w:sz="4" w:space="0" w:color="auto"/>
            </w:tcBorders>
            <w:shd w:val="clear" w:color="auto" w:fill="auto"/>
            <w:noWrap/>
            <w:vAlign w:val="bottom"/>
            <w:hideMark/>
          </w:tcPr>
          <w:p w14:paraId="6786E96B"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3DB5A349" w14:textId="77777777" w:rsidR="003C6A19" w:rsidRPr="004F469F" w:rsidRDefault="003C6A19" w:rsidP="003C6A19">
            <w:pPr>
              <w:jc w:val="right"/>
              <w:rPr>
                <w:sz w:val="20"/>
                <w:szCs w:val="20"/>
              </w:rPr>
            </w:pPr>
            <w:r w:rsidRPr="004F469F">
              <w:rPr>
                <w:sz w:val="20"/>
                <w:szCs w:val="20"/>
              </w:rPr>
              <w:t>39.2</w:t>
            </w:r>
          </w:p>
        </w:tc>
        <w:tc>
          <w:tcPr>
            <w:tcW w:w="0" w:type="auto"/>
            <w:tcBorders>
              <w:top w:val="nil"/>
              <w:left w:val="nil"/>
              <w:bottom w:val="single" w:sz="4" w:space="0" w:color="auto"/>
              <w:right w:val="single" w:sz="4" w:space="0" w:color="auto"/>
            </w:tcBorders>
            <w:shd w:val="clear" w:color="auto" w:fill="auto"/>
            <w:noWrap/>
            <w:vAlign w:val="bottom"/>
            <w:hideMark/>
          </w:tcPr>
          <w:p w14:paraId="7C45F332" w14:textId="77777777" w:rsidR="003C6A19" w:rsidRPr="004F469F" w:rsidRDefault="003C6A19" w:rsidP="003C6A19">
            <w:pPr>
              <w:jc w:val="right"/>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228FB08A" w14:textId="77777777" w:rsidR="003C6A19" w:rsidRPr="004F469F" w:rsidRDefault="003C6A19" w:rsidP="003C6A19">
            <w:pPr>
              <w:jc w:val="right"/>
              <w:rPr>
                <w:sz w:val="20"/>
                <w:szCs w:val="20"/>
              </w:rPr>
            </w:pPr>
            <w:r w:rsidRPr="004F469F">
              <w:rPr>
                <w:sz w:val="20"/>
                <w:szCs w:val="20"/>
              </w:rPr>
              <w:t>349</w:t>
            </w:r>
          </w:p>
        </w:tc>
        <w:tc>
          <w:tcPr>
            <w:tcW w:w="0" w:type="auto"/>
            <w:tcBorders>
              <w:top w:val="nil"/>
              <w:left w:val="nil"/>
              <w:bottom w:val="single" w:sz="4" w:space="0" w:color="auto"/>
              <w:right w:val="single" w:sz="4" w:space="0" w:color="auto"/>
            </w:tcBorders>
            <w:shd w:val="clear" w:color="auto" w:fill="auto"/>
            <w:noWrap/>
            <w:vAlign w:val="bottom"/>
            <w:hideMark/>
          </w:tcPr>
          <w:p w14:paraId="7D745CD8" w14:textId="77777777" w:rsidR="003C6A19" w:rsidRPr="004F469F" w:rsidRDefault="003C6A19" w:rsidP="003C6A19">
            <w:pPr>
              <w:jc w:val="right"/>
              <w:rPr>
                <w:sz w:val="20"/>
                <w:szCs w:val="20"/>
              </w:rPr>
            </w:pPr>
            <w:r w:rsidRPr="004F469F">
              <w:rPr>
                <w:sz w:val="20"/>
                <w:szCs w:val="20"/>
              </w:rPr>
              <w:t>379</w:t>
            </w:r>
          </w:p>
        </w:tc>
        <w:tc>
          <w:tcPr>
            <w:tcW w:w="0" w:type="auto"/>
            <w:tcBorders>
              <w:top w:val="nil"/>
              <w:left w:val="nil"/>
              <w:bottom w:val="single" w:sz="4" w:space="0" w:color="auto"/>
              <w:right w:val="single" w:sz="4" w:space="0" w:color="auto"/>
            </w:tcBorders>
            <w:shd w:val="clear" w:color="auto" w:fill="auto"/>
            <w:noWrap/>
            <w:vAlign w:val="bottom"/>
            <w:hideMark/>
          </w:tcPr>
          <w:p w14:paraId="741ACBF1" w14:textId="77777777" w:rsidR="003C6A19" w:rsidRPr="004F469F" w:rsidRDefault="003C6A19" w:rsidP="003C6A19">
            <w:pPr>
              <w:jc w:val="right"/>
              <w:rPr>
                <w:sz w:val="20"/>
                <w:szCs w:val="20"/>
              </w:rPr>
            </w:pPr>
            <w:r w:rsidRPr="004F469F">
              <w:rPr>
                <w:sz w:val="20"/>
                <w:szCs w:val="20"/>
              </w:rPr>
              <w:t>8,241</w:t>
            </w:r>
          </w:p>
        </w:tc>
        <w:tc>
          <w:tcPr>
            <w:tcW w:w="0" w:type="auto"/>
            <w:tcBorders>
              <w:top w:val="nil"/>
              <w:left w:val="nil"/>
              <w:bottom w:val="single" w:sz="4" w:space="0" w:color="auto"/>
              <w:right w:val="single" w:sz="4" w:space="0" w:color="auto"/>
            </w:tcBorders>
            <w:shd w:val="clear" w:color="auto" w:fill="auto"/>
            <w:noWrap/>
            <w:vAlign w:val="bottom"/>
            <w:hideMark/>
          </w:tcPr>
          <w:p w14:paraId="430ED7F5" w14:textId="77777777" w:rsidR="003C6A19" w:rsidRPr="004F469F" w:rsidRDefault="003C6A19" w:rsidP="003C6A19">
            <w:pPr>
              <w:jc w:val="right"/>
              <w:rPr>
                <w:sz w:val="20"/>
                <w:szCs w:val="20"/>
              </w:rPr>
            </w:pPr>
            <w:r w:rsidRPr="004F469F">
              <w:rPr>
                <w:sz w:val="20"/>
                <w:szCs w:val="20"/>
              </w:rPr>
              <w:t>57.8</w:t>
            </w:r>
          </w:p>
        </w:tc>
        <w:tc>
          <w:tcPr>
            <w:tcW w:w="0" w:type="auto"/>
            <w:tcBorders>
              <w:top w:val="nil"/>
              <w:left w:val="nil"/>
              <w:bottom w:val="single" w:sz="4" w:space="0" w:color="auto"/>
              <w:right w:val="single" w:sz="4" w:space="0" w:color="auto"/>
            </w:tcBorders>
            <w:shd w:val="clear" w:color="auto" w:fill="auto"/>
            <w:noWrap/>
            <w:vAlign w:val="bottom"/>
            <w:hideMark/>
          </w:tcPr>
          <w:p w14:paraId="2B7FB223" w14:textId="77777777" w:rsidR="003C6A19" w:rsidRPr="004F469F" w:rsidRDefault="003C6A19" w:rsidP="003C6A19">
            <w:pPr>
              <w:jc w:val="right"/>
              <w:rPr>
                <w:sz w:val="20"/>
                <w:szCs w:val="20"/>
              </w:rPr>
            </w:pPr>
            <w:r w:rsidRPr="004F469F">
              <w:rPr>
                <w:sz w:val="20"/>
                <w:szCs w:val="20"/>
              </w:rPr>
              <w:t>3.8</w:t>
            </w:r>
          </w:p>
        </w:tc>
        <w:tc>
          <w:tcPr>
            <w:tcW w:w="0" w:type="auto"/>
            <w:tcBorders>
              <w:top w:val="nil"/>
              <w:left w:val="nil"/>
              <w:bottom w:val="single" w:sz="4" w:space="0" w:color="auto"/>
              <w:right w:val="single" w:sz="4" w:space="0" w:color="auto"/>
            </w:tcBorders>
            <w:shd w:val="clear" w:color="auto" w:fill="auto"/>
            <w:noWrap/>
            <w:vAlign w:val="bottom"/>
            <w:hideMark/>
          </w:tcPr>
          <w:p w14:paraId="5CE1C447" w14:textId="77777777" w:rsidR="003C6A19" w:rsidRPr="004F469F" w:rsidRDefault="003C6A19" w:rsidP="003C6A19">
            <w:pPr>
              <w:rPr>
                <w:sz w:val="20"/>
                <w:szCs w:val="20"/>
              </w:rPr>
            </w:pPr>
            <w:r w:rsidRPr="004F469F">
              <w:rPr>
                <w:sz w:val="20"/>
                <w:szCs w:val="20"/>
              </w:rPr>
              <w:t xml:space="preserve">  -</w:t>
            </w:r>
          </w:p>
        </w:tc>
      </w:tr>
      <w:tr w:rsidR="00494669" w:rsidRPr="004F469F" w14:paraId="0411E431"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FEA7DA" w14:textId="77777777" w:rsidR="003C6A19" w:rsidRPr="004F469F" w:rsidRDefault="003C6A19" w:rsidP="003C6A19">
            <w:pPr>
              <w:rPr>
                <w:rFonts w:eastAsia="Arial Unicode MS"/>
                <w:sz w:val="20"/>
                <w:szCs w:val="20"/>
              </w:rPr>
            </w:pPr>
            <w:r w:rsidRPr="004F469F">
              <w:rPr>
                <w:rFonts w:eastAsia="Arial Unicode MS"/>
                <w:sz w:val="20"/>
                <w:szCs w:val="20"/>
              </w:rPr>
              <w:t xml:space="preserve">5 Jun 2010 </w:t>
            </w:r>
          </w:p>
        </w:tc>
        <w:tc>
          <w:tcPr>
            <w:tcW w:w="0" w:type="auto"/>
            <w:tcBorders>
              <w:top w:val="nil"/>
              <w:left w:val="nil"/>
              <w:bottom w:val="single" w:sz="4" w:space="0" w:color="auto"/>
              <w:right w:val="single" w:sz="4" w:space="0" w:color="auto"/>
            </w:tcBorders>
            <w:shd w:val="clear" w:color="auto" w:fill="auto"/>
            <w:noWrap/>
            <w:vAlign w:val="bottom"/>
            <w:hideMark/>
          </w:tcPr>
          <w:p w14:paraId="557A2D09" w14:textId="77777777" w:rsidR="003C6A19" w:rsidRPr="004F469F" w:rsidRDefault="003C6A19" w:rsidP="003C6A19">
            <w:pPr>
              <w:rPr>
                <w:sz w:val="20"/>
                <w:szCs w:val="20"/>
              </w:rPr>
            </w:pPr>
            <w:r w:rsidRPr="004F469F">
              <w:rPr>
                <w:sz w:val="20"/>
                <w:szCs w:val="20"/>
              </w:rPr>
              <w:t xml:space="preserve">  Millbury, OH  </w:t>
            </w:r>
          </w:p>
        </w:tc>
        <w:tc>
          <w:tcPr>
            <w:tcW w:w="0" w:type="auto"/>
            <w:tcBorders>
              <w:top w:val="nil"/>
              <w:left w:val="nil"/>
              <w:bottom w:val="single" w:sz="4" w:space="0" w:color="auto"/>
              <w:right w:val="single" w:sz="4" w:space="0" w:color="auto"/>
            </w:tcBorders>
            <w:shd w:val="clear" w:color="auto" w:fill="auto"/>
            <w:noWrap/>
            <w:vAlign w:val="bottom"/>
            <w:hideMark/>
          </w:tcPr>
          <w:p w14:paraId="4B1EA01D"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70F15D50" w14:textId="77777777" w:rsidR="003C6A19" w:rsidRPr="004F469F" w:rsidRDefault="003C6A19" w:rsidP="003C6A19">
            <w:pPr>
              <w:jc w:val="right"/>
              <w:rPr>
                <w:sz w:val="20"/>
                <w:szCs w:val="20"/>
              </w:rPr>
            </w:pPr>
            <w:r w:rsidRPr="004F469F">
              <w:rPr>
                <w:sz w:val="20"/>
                <w:szCs w:val="20"/>
              </w:rPr>
              <w:t>5.2</w:t>
            </w:r>
          </w:p>
        </w:tc>
        <w:tc>
          <w:tcPr>
            <w:tcW w:w="0" w:type="auto"/>
            <w:tcBorders>
              <w:top w:val="nil"/>
              <w:left w:val="nil"/>
              <w:bottom w:val="single" w:sz="4" w:space="0" w:color="auto"/>
              <w:right w:val="single" w:sz="4" w:space="0" w:color="auto"/>
            </w:tcBorders>
            <w:shd w:val="clear" w:color="auto" w:fill="auto"/>
            <w:noWrap/>
            <w:vAlign w:val="bottom"/>
            <w:hideMark/>
          </w:tcPr>
          <w:p w14:paraId="7695ABAA" w14:textId="77777777" w:rsidR="003C6A19" w:rsidRPr="004F469F" w:rsidRDefault="003C6A19" w:rsidP="003C6A19">
            <w:pPr>
              <w:jc w:val="right"/>
              <w:rPr>
                <w:sz w:val="20"/>
                <w:szCs w:val="20"/>
              </w:rPr>
            </w:pPr>
            <w:r w:rsidRPr="004F469F">
              <w:rPr>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66E77E49" w14:textId="77777777" w:rsidR="003C6A19" w:rsidRPr="004F469F" w:rsidRDefault="003C6A19" w:rsidP="003C6A19">
            <w:pPr>
              <w:jc w:val="right"/>
              <w:rPr>
                <w:sz w:val="20"/>
                <w:szCs w:val="20"/>
              </w:rPr>
            </w:pPr>
            <w:r w:rsidRPr="004F469F">
              <w:rPr>
                <w:sz w:val="20"/>
                <w:szCs w:val="20"/>
              </w:rPr>
              <w:t>937</w:t>
            </w:r>
          </w:p>
        </w:tc>
        <w:tc>
          <w:tcPr>
            <w:tcW w:w="0" w:type="auto"/>
            <w:tcBorders>
              <w:top w:val="nil"/>
              <w:left w:val="nil"/>
              <w:bottom w:val="single" w:sz="4" w:space="0" w:color="auto"/>
              <w:right w:val="single" w:sz="4" w:space="0" w:color="auto"/>
            </w:tcBorders>
            <w:shd w:val="clear" w:color="auto" w:fill="auto"/>
            <w:noWrap/>
            <w:vAlign w:val="bottom"/>
            <w:hideMark/>
          </w:tcPr>
          <w:p w14:paraId="59E49527" w14:textId="77777777" w:rsidR="003C6A19" w:rsidRPr="004F469F" w:rsidRDefault="003C6A19" w:rsidP="003C6A19">
            <w:pPr>
              <w:jc w:val="right"/>
              <w:rPr>
                <w:sz w:val="20"/>
                <w:szCs w:val="20"/>
              </w:rPr>
            </w:pPr>
            <w:r w:rsidRPr="004F469F">
              <w:rPr>
                <w:sz w:val="20"/>
                <w:szCs w:val="20"/>
              </w:rPr>
              <w:t>498</w:t>
            </w:r>
          </w:p>
        </w:tc>
        <w:tc>
          <w:tcPr>
            <w:tcW w:w="0" w:type="auto"/>
            <w:tcBorders>
              <w:top w:val="nil"/>
              <w:left w:val="nil"/>
              <w:bottom w:val="single" w:sz="4" w:space="0" w:color="auto"/>
              <w:right w:val="single" w:sz="4" w:space="0" w:color="auto"/>
            </w:tcBorders>
            <w:shd w:val="clear" w:color="auto" w:fill="auto"/>
            <w:noWrap/>
            <w:vAlign w:val="bottom"/>
            <w:hideMark/>
          </w:tcPr>
          <w:p w14:paraId="313AE2D1" w14:textId="77777777" w:rsidR="003C6A19" w:rsidRPr="004F469F" w:rsidRDefault="003C6A19" w:rsidP="003C6A19">
            <w:pPr>
              <w:jc w:val="right"/>
              <w:rPr>
                <w:sz w:val="20"/>
                <w:szCs w:val="20"/>
              </w:rPr>
            </w:pPr>
            <w:r w:rsidRPr="004F469F">
              <w:rPr>
                <w:sz w:val="20"/>
                <w:szCs w:val="20"/>
              </w:rPr>
              <w:t>10,012</w:t>
            </w:r>
          </w:p>
        </w:tc>
        <w:tc>
          <w:tcPr>
            <w:tcW w:w="0" w:type="auto"/>
            <w:tcBorders>
              <w:top w:val="nil"/>
              <w:left w:val="nil"/>
              <w:bottom w:val="single" w:sz="4" w:space="0" w:color="auto"/>
              <w:right w:val="single" w:sz="4" w:space="0" w:color="auto"/>
            </w:tcBorders>
            <w:shd w:val="clear" w:color="auto" w:fill="auto"/>
            <w:noWrap/>
            <w:vAlign w:val="bottom"/>
            <w:hideMark/>
          </w:tcPr>
          <w:p w14:paraId="3B1C4A1C" w14:textId="77777777" w:rsidR="003C6A19" w:rsidRPr="004F469F" w:rsidRDefault="003C6A19" w:rsidP="003C6A19">
            <w:pPr>
              <w:jc w:val="right"/>
              <w:rPr>
                <w:sz w:val="20"/>
                <w:szCs w:val="20"/>
              </w:rPr>
            </w:pPr>
            <w:r w:rsidRPr="004F469F">
              <w:rPr>
                <w:sz w:val="20"/>
                <w:szCs w:val="20"/>
              </w:rPr>
              <w:t>31.1</w:t>
            </w:r>
          </w:p>
        </w:tc>
        <w:tc>
          <w:tcPr>
            <w:tcW w:w="0" w:type="auto"/>
            <w:tcBorders>
              <w:top w:val="nil"/>
              <w:left w:val="nil"/>
              <w:bottom w:val="single" w:sz="4" w:space="0" w:color="auto"/>
              <w:right w:val="single" w:sz="4" w:space="0" w:color="auto"/>
            </w:tcBorders>
            <w:shd w:val="clear" w:color="auto" w:fill="auto"/>
            <w:noWrap/>
            <w:vAlign w:val="bottom"/>
            <w:hideMark/>
          </w:tcPr>
          <w:p w14:paraId="4753FA60" w14:textId="77777777" w:rsidR="003C6A19" w:rsidRPr="004F469F" w:rsidRDefault="003C6A19" w:rsidP="003C6A19">
            <w:pPr>
              <w:jc w:val="right"/>
              <w:rPr>
                <w:sz w:val="20"/>
                <w:szCs w:val="20"/>
              </w:rPr>
            </w:pPr>
            <w:r w:rsidRPr="004F469F">
              <w:rPr>
                <w:sz w:val="20"/>
                <w:szCs w:val="20"/>
              </w:rPr>
              <w:t>2.9</w:t>
            </w:r>
          </w:p>
        </w:tc>
        <w:tc>
          <w:tcPr>
            <w:tcW w:w="0" w:type="auto"/>
            <w:tcBorders>
              <w:top w:val="nil"/>
              <w:left w:val="nil"/>
              <w:bottom w:val="single" w:sz="4" w:space="0" w:color="auto"/>
              <w:right w:val="single" w:sz="4" w:space="0" w:color="auto"/>
            </w:tcBorders>
            <w:shd w:val="clear" w:color="auto" w:fill="auto"/>
            <w:noWrap/>
            <w:vAlign w:val="bottom"/>
            <w:hideMark/>
          </w:tcPr>
          <w:p w14:paraId="7BB9056B" w14:textId="77777777" w:rsidR="003C6A19" w:rsidRPr="004F469F" w:rsidRDefault="003C6A19" w:rsidP="003C6A19">
            <w:pPr>
              <w:rPr>
                <w:sz w:val="20"/>
                <w:szCs w:val="20"/>
              </w:rPr>
            </w:pPr>
            <w:r w:rsidRPr="004F469F">
              <w:rPr>
                <w:sz w:val="20"/>
                <w:szCs w:val="20"/>
              </w:rPr>
              <w:t xml:space="preserve">  -</w:t>
            </w:r>
          </w:p>
        </w:tc>
      </w:tr>
      <w:tr w:rsidR="00494669" w:rsidRPr="004F469F" w14:paraId="4FE5A65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6BEB44" w14:textId="77777777" w:rsidR="003C6A19" w:rsidRPr="004F469F" w:rsidRDefault="003C6A19" w:rsidP="003C6A19">
            <w:pPr>
              <w:rPr>
                <w:rFonts w:eastAsia="Arial Unicode MS"/>
                <w:sz w:val="20"/>
                <w:szCs w:val="20"/>
              </w:rPr>
            </w:pPr>
            <w:r w:rsidRPr="004F469F">
              <w:rPr>
                <w:rFonts w:eastAsia="Arial Unicode MS"/>
                <w:sz w:val="20"/>
                <w:szCs w:val="20"/>
              </w:rPr>
              <w:t xml:space="preserve">13 May 1995 </w:t>
            </w:r>
          </w:p>
        </w:tc>
        <w:tc>
          <w:tcPr>
            <w:tcW w:w="0" w:type="auto"/>
            <w:tcBorders>
              <w:top w:val="nil"/>
              <w:left w:val="nil"/>
              <w:bottom w:val="single" w:sz="4" w:space="0" w:color="auto"/>
              <w:right w:val="single" w:sz="4" w:space="0" w:color="auto"/>
            </w:tcBorders>
            <w:shd w:val="clear" w:color="auto" w:fill="auto"/>
            <w:noWrap/>
            <w:vAlign w:val="bottom"/>
            <w:hideMark/>
          </w:tcPr>
          <w:p w14:paraId="702D63C5" w14:textId="77777777" w:rsidR="003C6A19" w:rsidRPr="004F469F" w:rsidRDefault="003C6A19" w:rsidP="003C6A19">
            <w:pPr>
              <w:rPr>
                <w:sz w:val="20"/>
                <w:szCs w:val="20"/>
              </w:rPr>
            </w:pPr>
            <w:r w:rsidRPr="004F469F">
              <w:rPr>
                <w:sz w:val="20"/>
                <w:szCs w:val="20"/>
              </w:rPr>
              <w:t xml:space="preserve">  Niota, IL  </w:t>
            </w:r>
          </w:p>
        </w:tc>
        <w:tc>
          <w:tcPr>
            <w:tcW w:w="0" w:type="auto"/>
            <w:tcBorders>
              <w:top w:val="nil"/>
              <w:left w:val="nil"/>
              <w:bottom w:val="single" w:sz="4" w:space="0" w:color="auto"/>
              <w:right w:val="single" w:sz="4" w:space="0" w:color="auto"/>
            </w:tcBorders>
            <w:shd w:val="clear" w:color="auto" w:fill="auto"/>
            <w:noWrap/>
            <w:vAlign w:val="bottom"/>
            <w:hideMark/>
          </w:tcPr>
          <w:p w14:paraId="18597521"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3AEF3081" w14:textId="77777777" w:rsidR="003C6A19" w:rsidRPr="004F469F" w:rsidRDefault="003C6A19" w:rsidP="003C6A19">
            <w:pPr>
              <w:jc w:val="right"/>
              <w:rPr>
                <w:sz w:val="20"/>
                <w:szCs w:val="20"/>
              </w:rPr>
            </w:pPr>
            <w:r w:rsidRPr="004F469F">
              <w:rPr>
                <w:sz w:val="20"/>
                <w:szCs w:val="20"/>
              </w:rPr>
              <w:t>73.6</w:t>
            </w:r>
          </w:p>
        </w:tc>
        <w:tc>
          <w:tcPr>
            <w:tcW w:w="0" w:type="auto"/>
            <w:tcBorders>
              <w:top w:val="nil"/>
              <w:left w:val="nil"/>
              <w:bottom w:val="single" w:sz="4" w:space="0" w:color="auto"/>
              <w:right w:val="single" w:sz="4" w:space="0" w:color="auto"/>
            </w:tcBorders>
            <w:shd w:val="clear" w:color="auto" w:fill="auto"/>
            <w:noWrap/>
            <w:vAlign w:val="bottom"/>
            <w:hideMark/>
          </w:tcPr>
          <w:p w14:paraId="0524A394" w14:textId="77777777" w:rsidR="003C6A19" w:rsidRPr="004F469F" w:rsidRDefault="003C6A19" w:rsidP="003C6A19">
            <w:pPr>
              <w:jc w:val="right"/>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69A408A7" w14:textId="77777777" w:rsidR="003C6A19" w:rsidRPr="004F469F" w:rsidRDefault="003C6A19" w:rsidP="003C6A19">
            <w:pPr>
              <w:jc w:val="right"/>
              <w:rPr>
                <w:sz w:val="20"/>
                <w:szCs w:val="20"/>
              </w:rPr>
            </w:pPr>
            <w:r w:rsidRPr="004F469F">
              <w:rPr>
                <w:sz w:val="20"/>
                <w:szCs w:val="20"/>
              </w:rPr>
              <w:t>195</w:t>
            </w:r>
          </w:p>
        </w:tc>
        <w:tc>
          <w:tcPr>
            <w:tcW w:w="0" w:type="auto"/>
            <w:tcBorders>
              <w:top w:val="nil"/>
              <w:left w:val="nil"/>
              <w:bottom w:val="single" w:sz="4" w:space="0" w:color="auto"/>
              <w:right w:val="single" w:sz="4" w:space="0" w:color="auto"/>
            </w:tcBorders>
            <w:shd w:val="clear" w:color="auto" w:fill="auto"/>
            <w:noWrap/>
            <w:vAlign w:val="bottom"/>
            <w:hideMark/>
          </w:tcPr>
          <w:p w14:paraId="54ECEF18" w14:textId="77777777" w:rsidR="003C6A19" w:rsidRPr="004F469F" w:rsidRDefault="003C6A19" w:rsidP="003C6A19">
            <w:pPr>
              <w:jc w:val="right"/>
              <w:rPr>
                <w:sz w:val="20"/>
                <w:szCs w:val="20"/>
              </w:rPr>
            </w:pPr>
            <w:r w:rsidRPr="004F469F">
              <w:rPr>
                <w:sz w:val="20"/>
                <w:szCs w:val="20"/>
              </w:rPr>
              <w:t>447</w:t>
            </w:r>
          </w:p>
        </w:tc>
        <w:tc>
          <w:tcPr>
            <w:tcW w:w="0" w:type="auto"/>
            <w:tcBorders>
              <w:top w:val="nil"/>
              <w:left w:val="nil"/>
              <w:bottom w:val="single" w:sz="4" w:space="0" w:color="auto"/>
              <w:right w:val="single" w:sz="4" w:space="0" w:color="auto"/>
            </w:tcBorders>
            <w:shd w:val="clear" w:color="auto" w:fill="auto"/>
            <w:noWrap/>
            <w:vAlign w:val="bottom"/>
            <w:hideMark/>
          </w:tcPr>
          <w:p w14:paraId="209D524C" w14:textId="77777777" w:rsidR="003C6A19" w:rsidRPr="004F469F" w:rsidRDefault="003C6A19" w:rsidP="003C6A19">
            <w:pPr>
              <w:jc w:val="right"/>
              <w:rPr>
                <w:sz w:val="20"/>
                <w:szCs w:val="20"/>
              </w:rPr>
            </w:pPr>
            <w:r w:rsidRPr="004F469F">
              <w:rPr>
                <w:sz w:val="20"/>
                <w:szCs w:val="20"/>
              </w:rPr>
              <w:t>7,391</w:t>
            </w:r>
          </w:p>
        </w:tc>
        <w:tc>
          <w:tcPr>
            <w:tcW w:w="0" w:type="auto"/>
            <w:tcBorders>
              <w:top w:val="nil"/>
              <w:left w:val="nil"/>
              <w:bottom w:val="single" w:sz="4" w:space="0" w:color="auto"/>
              <w:right w:val="single" w:sz="4" w:space="0" w:color="auto"/>
            </w:tcBorders>
            <w:shd w:val="clear" w:color="auto" w:fill="auto"/>
            <w:noWrap/>
            <w:vAlign w:val="bottom"/>
            <w:hideMark/>
          </w:tcPr>
          <w:p w14:paraId="4E6AFAA3" w14:textId="77777777" w:rsidR="003C6A19" w:rsidRPr="004F469F" w:rsidRDefault="003C6A19" w:rsidP="003C6A19">
            <w:pPr>
              <w:jc w:val="right"/>
              <w:rPr>
                <w:sz w:val="20"/>
                <w:szCs w:val="20"/>
              </w:rPr>
            </w:pPr>
            <w:r w:rsidRPr="004F469F">
              <w:rPr>
                <w:sz w:val="20"/>
                <w:szCs w:val="20"/>
              </w:rPr>
              <w:t>98.4</w:t>
            </w:r>
          </w:p>
        </w:tc>
        <w:tc>
          <w:tcPr>
            <w:tcW w:w="0" w:type="auto"/>
            <w:tcBorders>
              <w:top w:val="nil"/>
              <w:left w:val="nil"/>
              <w:bottom w:val="single" w:sz="4" w:space="0" w:color="auto"/>
              <w:right w:val="single" w:sz="4" w:space="0" w:color="auto"/>
            </w:tcBorders>
            <w:shd w:val="clear" w:color="auto" w:fill="auto"/>
            <w:noWrap/>
            <w:vAlign w:val="bottom"/>
            <w:hideMark/>
          </w:tcPr>
          <w:p w14:paraId="791E0E90" w14:textId="77777777" w:rsidR="003C6A19" w:rsidRPr="004F469F" w:rsidRDefault="003C6A19" w:rsidP="003C6A19">
            <w:pPr>
              <w:jc w:val="right"/>
              <w:rPr>
                <w:sz w:val="20"/>
                <w:szCs w:val="20"/>
              </w:rPr>
            </w:pPr>
            <w:r w:rsidRPr="004F469F">
              <w:rPr>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14:paraId="112191DE" w14:textId="77777777" w:rsidR="003C6A19" w:rsidRPr="004F469F" w:rsidRDefault="003C6A19" w:rsidP="003C6A19">
            <w:pPr>
              <w:rPr>
                <w:sz w:val="20"/>
                <w:szCs w:val="20"/>
              </w:rPr>
            </w:pPr>
            <w:r w:rsidRPr="004F469F">
              <w:rPr>
                <w:sz w:val="20"/>
                <w:szCs w:val="20"/>
              </w:rPr>
              <w:t xml:space="preserve">  -</w:t>
            </w:r>
          </w:p>
        </w:tc>
      </w:tr>
      <w:tr w:rsidR="00494669" w:rsidRPr="004F469F" w14:paraId="0C24A641"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2A8C3A" w14:textId="77777777" w:rsidR="003C6A19" w:rsidRPr="004F469F" w:rsidRDefault="003C6A19" w:rsidP="003C6A19">
            <w:pPr>
              <w:rPr>
                <w:rFonts w:eastAsia="Arial Unicode MS"/>
                <w:sz w:val="20"/>
                <w:szCs w:val="20"/>
              </w:rPr>
            </w:pPr>
            <w:r w:rsidRPr="004F469F">
              <w:rPr>
                <w:rFonts w:eastAsia="Arial Unicode MS"/>
                <w:sz w:val="20"/>
                <w:szCs w:val="20"/>
              </w:rPr>
              <w:t xml:space="preserve">29 Mar 1998 </w:t>
            </w:r>
          </w:p>
        </w:tc>
        <w:tc>
          <w:tcPr>
            <w:tcW w:w="0" w:type="auto"/>
            <w:tcBorders>
              <w:top w:val="nil"/>
              <w:left w:val="nil"/>
              <w:bottom w:val="single" w:sz="4" w:space="0" w:color="auto"/>
              <w:right w:val="single" w:sz="4" w:space="0" w:color="auto"/>
            </w:tcBorders>
            <w:shd w:val="clear" w:color="auto" w:fill="auto"/>
            <w:noWrap/>
            <w:vAlign w:val="bottom"/>
            <w:hideMark/>
          </w:tcPr>
          <w:p w14:paraId="53527140" w14:textId="77777777" w:rsidR="003C6A19" w:rsidRPr="004F469F" w:rsidRDefault="003C6A19" w:rsidP="003C6A19">
            <w:pPr>
              <w:rPr>
                <w:sz w:val="20"/>
                <w:szCs w:val="20"/>
              </w:rPr>
            </w:pPr>
            <w:r w:rsidRPr="004F469F">
              <w:rPr>
                <w:sz w:val="20"/>
                <w:szCs w:val="20"/>
              </w:rPr>
              <w:t xml:space="preserve">  Comfrey, MN  </w:t>
            </w:r>
          </w:p>
        </w:tc>
        <w:tc>
          <w:tcPr>
            <w:tcW w:w="0" w:type="auto"/>
            <w:tcBorders>
              <w:top w:val="nil"/>
              <w:left w:val="nil"/>
              <w:bottom w:val="single" w:sz="4" w:space="0" w:color="auto"/>
              <w:right w:val="single" w:sz="4" w:space="0" w:color="auto"/>
            </w:tcBorders>
            <w:shd w:val="clear" w:color="auto" w:fill="auto"/>
            <w:noWrap/>
            <w:vAlign w:val="bottom"/>
            <w:hideMark/>
          </w:tcPr>
          <w:p w14:paraId="1CCF7879"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5E4D73BA" w14:textId="77777777" w:rsidR="003C6A19" w:rsidRPr="004F469F" w:rsidRDefault="003C6A19" w:rsidP="003C6A19">
            <w:pPr>
              <w:jc w:val="right"/>
              <w:rPr>
                <w:sz w:val="20"/>
                <w:szCs w:val="20"/>
              </w:rPr>
            </w:pPr>
            <w:r w:rsidRPr="004F469F">
              <w:rPr>
                <w:sz w:val="20"/>
                <w:szCs w:val="20"/>
              </w:rPr>
              <w:t>162.2</w:t>
            </w:r>
          </w:p>
        </w:tc>
        <w:tc>
          <w:tcPr>
            <w:tcW w:w="0" w:type="auto"/>
            <w:tcBorders>
              <w:top w:val="nil"/>
              <w:left w:val="nil"/>
              <w:bottom w:val="single" w:sz="4" w:space="0" w:color="auto"/>
              <w:right w:val="single" w:sz="4" w:space="0" w:color="auto"/>
            </w:tcBorders>
            <w:shd w:val="clear" w:color="auto" w:fill="auto"/>
            <w:noWrap/>
            <w:vAlign w:val="bottom"/>
            <w:hideMark/>
          </w:tcPr>
          <w:p w14:paraId="5C5D8222" w14:textId="77777777" w:rsidR="003C6A19" w:rsidRPr="004F469F" w:rsidRDefault="003C6A19" w:rsidP="003C6A19">
            <w:pPr>
              <w:jc w:val="right"/>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0A562AD8" w14:textId="77777777" w:rsidR="003C6A19" w:rsidRPr="004F469F" w:rsidRDefault="003C6A19" w:rsidP="003C6A19">
            <w:pPr>
              <w:jc w:val="right"/>
              <w:rPr>
                <w:sz w:val="20"/>
                <w:szCs w:val="20"/>
              </w:rPr>
            </w:pPr>
            <w:r w:rsidRPr="004F469F">
              <w:rPr>
                <w:sz w:val="20"/>
                <w:szCs w:val="20"/>
              </w:rPr>
              <w:t>1,021</w:t>
            </w:r>
          </w:p>
        </w:tc>
        <w:tc>
          <w:tcPr>
            <w:tcW w:w="0" w:type="auto"/>
            <w:tcBorders>
              <w:top w:val="nil"/>
              <w:left w:val="nil"/>
              <w:bottom w:val="single" w:sz="4" w:space="0" w:color="auto"/>
              <w:right w:val="single" w:sz="4" w:space="0" w:color="auto"/>
            </w:tcBorders>
            <w:shd w:val="clear" w:color="auto" w:fill="auto"/>
            <w:noWrap/>
            <w:vAlign w:val="bottom"/>
            <w:hideMark/>
          </w:tcPr>
          <w:p w14:paraId="26B667CD" w14:textId="77777777" w:rsidR="003C6A19" w:rsidRPr="004F469F" w:rsidRDefault="003C6A19" w:rsidP="003C6A19">
            <w:pPr>
              <w:jc w:val="right"/>
              <w:rPr>
                <w:sz w:val="20"/>
                <w:szCs w:val="20"/>
              </w:rPr>
            </w:pPr>
            <w:r w:rsidRPr="004F469F">
              <w:rPr>
                <w:sz w:val="20"/>
                <w:szCs w:val="20"/>
              </w:rPr>
              <w:t>783</w:t>
            </w:r>
          </w:p>
        </w:tc>
        <w:tc>
          <w:tcPr>
            <w:tcW w:w="0" w:type="auto"/>
            <w:tcBorders>
              <w:top w:val="nil"/>
              <w:left w:val="nil"/>
              <w:bottom w:val="single" w:sz="4" w:space="0" w:color="auto"/>
              <w:right w:val="single" w:sz="4" w:space="0" w:color="auto"/>
            </w:tcBorders>
            <w:shd w:val="clear" w:color="auto" w:fill="auto"/>
            <w:noWrap/>
            <w:vAlign w:val="bottom"/>
            <w:hideMark/>
          </w:tcPr>
          <w:p w14:paraId="3EB8FA51" w14:textId="77777777" w:rsidR="003C6A19" w:rsidRPr="004F469F" w:rsidRDefault="003C6A19" w:rsidP="003C6A19">
            <w:pPr>
              <w:jc w:val="right"/>
              <w:rPr>
                <w:sz w:val="20"/>
                <w:szCs w:val="20"/>
              </w:rPr>
            </w:pPr>
            <w:r w:rsidRPr="004F469F">
              <w:rPr>
                <w:sz w:val="20"/>
                <w:szCs w:val="20"/>
              </w:rPr>
              <w:t>5,337</w:t>
            </w:r>
          </w:p>
        </w:tc>
        <w:tc>
          <w:tcPr>
            <w:tcW w:w="0" w:type="auto"/>
            <w:tcBorders>
              <w:top w:val="nil"/>
              <w:left w:val="nil"/>
              <w:bottom w:val="single" w:sz="4" w:space="0" w:color="auto"/>
              <w:right w:val="single" w:sz="4" w:space="0" w:color="auto"/>
            </w:tcBorders>
            <w:shd w:val="clear" w:color="auto" w:fill="auto"/>
            <w:noWrap/>
            <w:vAlign w:val="bottom"/>
            <w:hideMark/>
          </w:tcPr>
          <w:p w14:paraId="5967BCE8" w14:textId="77777777" w:rsidR="003C6A19" w:rsidRPr="004F469F" w:rsidRDefault="003C6A19" w:rsidP="003C6A19">
            <w:pPr>
              <w:jc w:val="right"/>
              <w:rPr>
                <w:sz w:val="20"/>
                <w:szCs w:val="20"/>
              </w:rPr>
            </w:pPr>
            <w:r w:rsidRPr="004F469F">
              <w:rPr>
                <w:sz w:val="20"/>
                <w:szCs w:val="20"/>
              </w:rPr>
              <w:t>29.5</w:t>
            </w:r>
          </w:p>
        </w:tc>
        <w:tc>
          <w:tcPr>
            <w:tcW w:w="0" w:type="auto"/>
            <w:tcBorders>
              <w:top w:val="nil"/>
              <w:left w:val="nil"/>
              <w:bottom w:val="single" w:sz="4" w:space="0" w:color="auto"/>
              <w:right w:val="single" w:sz="4" w:space="0" w:color="auto"/>
            </w:tcBorders>
            <w:shd w:val="clear" w:color="auto" w:fill="auto"/>
            <w:noWrap/>
            <w:vAlign w:val="bottom"/>
            <w:hideMark/>
          </w:tcPr>
          <w:p w14:paraId="7BC6F50E" w14:textId="77777777" w:rsidR="003C6A19" w:rsidRPr="004F469F" w:rsidRDefault="003C6A19" w:rsidP="003C6A19">
            <w:pPr>
              <w:jc w:val="right"/>
              <w:rPr>
                <w:sz w:val="20"/>
                <w:szCs w:val="20"/>
              </w:rPr>
            </w:pPr>
            <w:r w:rsidRPr="004F469F">
              <w:rPr>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14:paraId="1AB4260E" w14:textId="77777777" w:rsidR="003C6A19" w:rsidRPr="004F469F" w:rsidRDefault="003C6A19" w:rsidP="003C6A19">
            <w:pPr>
              <w:rPr>
                <w:sz w:val="20"/>
                <w:szCs w:val="20"/>
              </w:rPr>
            </w:pPr>
            <w:r w:rsidRPr="004F469F">
              <w:rPr>
                <w:sz w:val="20"/>
                <w:szCs w:val="20"/>
              </w:rPr>
              <w:t xml:space="preserve">  -</w:t>
            </w:r>
          </w:p>
        </w:tc>
      </w:tr>
      <w:tr w:rsidR="00494669" w:rsidRPr="004F469F" w14:paraId="10A6463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0AC3CE" w14:textId="77777777" w:rsidR="003C6A19" w:rsidRPr="004F469F" w:rsidRDefault="003C6A19" w:rsidP="003C6A19">
            <w:pPr>
              <w:rPr>
                <w:rFonts w:eastAsia="Arial Unicode MS"/>
                <w:sz w:val="20"/>
                <w:szCs w:val="20"/>
              </w:rPr>
            </w:pPr>
            <w:r w:rsidRPr="004F469F">
              <w:rPr>
                <w:rFonts w:eastAsia="Arial Unicode MS"/>
                <w:sz w:val="20"/>
                <w:szCs w:val="20"/>
              </w:rPr>
              <w:t xml:space="preserve">24 May 2011 </w:t>
            </w:r>
          </w:p>
        </w:tc>
        <w:tc>
          <w:tcPr>
            <w:tcW w:w="0" w:type="auto"/>
            <w:tcBorders>
              <w:top w:val="nil"/>
              <w:left w:val="nil"/>
              <w:bottom w:val="single" w:sz="4" w:space="0" w:color="auto"/>
              <w:right w:val="single" w:sz="4" w:space="0" w:color="auto"/>
            </w:tcBorders>
            <w:shd w:val="clear" w:color="auto" w:fill="auto"/>
            <w:noWrap/>
            <w:vAlign w:val="bottom"/>
            <w:hideMark/>
          </w:tcPr>
          <w:p w14:paraId="3906BEE1" w14:textId="77777777" w:rsidR="003C6A19" w:rsidRPr="004F469F" w:rsidRDefault="003C6A19" w:rsidP="003C6A19">
            <w:pPr>
              <w:rPr>
                <w:sz w:val="20"/>
                <w:szCs w:val="20"/>
              </w:rPr>
            </w:pPr>
            <w:r w:rsidRPr="004F469F">
              <w:rPr>
                <w:sz w:val="20"/>
                <w:szCs w:val="20"/>
              </w:rPr>
              <w:t xml:space="preserve">  Washington-Goldsby, OK  </w:t>
            </w:r>
          </w:p>
        </w:tc>
        <w:tc>
          <w:tcPr>
            <w:tcW w:w="0" w:type="auto"/>
            <w:tcBorders>
              <w:top w:val="nil"/>
              <w:left w:val="nil"/>
              <w:bottom w:val="single" w:sz="4" w:space="0" w:color="auto"/>
              <w:right w:val="single" w:sz="4" w:space="0" w:color="auto"/>
            </w:tcBorders>
            <w:shd w:val="clear" w:color="auto" w:fill="auto"/>
            <w:noWrap/>
            <w:vAlign w:val="bottom"/>
            <w:hideMark/>
          </w:tcPr>
          <w:p w14:paraId="52D5A01E"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686C8BB1" w14:textId="77777777" w:rsidR="003C6A19" w:rsidRPr="004F469F" w:rsidRDefault="003C6A19" w:rsidP="003C6A19">
            <w:pPr>
              <w:jc w:val="right"/>
              <w:rPr>
                <w:sz w:val="20"/>
                <w:szCs w:val="20"/>
              </w:rPr>
            </w:pPr>
            <w:r w:rsidRPr="004F469F">
              <w:rPr>
                <w:sz w:val="20"/>
                <w:szCs w:val="20"/>
              </w:rPr>
              <w:t>29.9</w:t>
            </w:r>
          </w:p>
        </w:tc>
        <w:tc>
          <w:tcPr>
            <w:tcW w:w="0" w:type="auto"/>
            <w:tcBorders>
              <w:top w:val="nil"/>
              <w:left w:val="nil"/>
              <w:bottom w:val="single" w:sz="4" w:space="0" w:color="auto"/>
              <w:right w:val="single" w:sz="4" w:space="0" w:color="auto"/>
            </w:tcBorders>
            <w:shd w:val="clear" w:color="auto" w:fill="auto"/>
            <w:noWrap/>
            <w:vAlign w:val="bottom"/>
            <w:hideMark/>
          </w:tcPr>
          <w:p w14:paraId="2737FB9D" w14:textId="77777777" w:rsidR="003C6A19" w:rsidRPr="004F469F" w:rsidRDefault="003C6A19" w:rsidP="003C6A19">
            <w:pPr>
              <w:jc w:val="right"/>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29BC889C" w14:textId="77777777" w:rsidR="003C6A19" w:rsidRPr="004F469F" w:rsidRDefault="003C6A19" w:rsidP="003C6A19">
            <w:pPr>
              <w:jc w:val="right"/>
              <w:rPr>
                <w:sz w:val="20"/>
                <w:szCs w:val="20"/>
              </w:rPr>
            </w:pPr>
            <w:r w:rsidRPr="004F469F">
              <w:rPr>
                <w:sz w:val="20"/>
                <w:szCs w:val="20"/>
              </w:rPr>
              <w:t>284</w:t>
            </w:r>
          </w:p>
        </w:tc>
        <w:tc>
          <w:tcPr>
            <w:tcW w:w="0" w:type="auto"/>
            <w:tcBorders>
              <w:top w:val="nil"/>
              <w:left w:val="nil"/>
              <w:bottom w:val="single" w:sz="4" w:space="0" w:color="auto"/>
              <w:right w:val="single" w:sz="4" w:space="0" w:color="auto"/>
            </w:tcBorders>
            <w:shd w:val="clear" w:color="auto" w:fill="auto"/>
            <w:noWrap/>
            <w:vAlign w:val="bottom"/>
            <w:hideMark/>
          </w:tcPr>
          <w:p w14:paraId="40D18297" w14:textId="77777777" w:rsidR="003C6A19" w:rsidRPr="004F469F" w:rsidRDefault="003C6A19" w:rsidP="003C6A19">
            <w:pPr>
              <w:jc w:val="right"/>
              <w:rPr>
                <w:sz w:val="20"/>
                <w:szCs w:val="20"/>
              </w:rPr>
            </w:pPr>
            <w:r w:rsidRPr="004F469F">
              <w:rPr>
                <w:sz w:val="20"/>
                <w:szCs w:val="20"/>
              </w:rPr>
              <w:t>474</w:t>
            </w:r>
          </w:p>
        </w:tc>
        <w:tc>
          <w:tcPr>
            <w:tcW w:w="0" w:type="auto"/>
            <w:tcBorders>
              <w:top w:val="nil"/>
              <w:left w:val="nil"/>
              <w:bottom w:val="single" w:sz="4" w:space="0" w:color="auto"/>
              <w:right w:val="single" w:sz="4" w:space="0" w:color="auto"/>
            </w:tcBorders>
            <w:shd w:val="clear" w:color="auto" w:fill="auto"/>
            <w:noWrap/>
            <w:vAlign w:val="bottom"/>
            <w:hideMark/>
          </w:tcPr>
          <w:p w14:paraId="408BC45B" w14:textId="77777777" w:rsidR="003C6A19" w:rsidRPr="004F469F" w:rsidRDefault="003C6A19" w:rsidP="003C6A19">
            <w:pPr>
              <w:jc w:val="right"/>
              <w:rPr>
                <w:sz w:val="20"/>
                <w:szCs w:val="20"/>
              </w:rPr>
            </w:pPr>
            <w:r w:rsidRPr="004F469F">
              <w:rPr>
                <w:sz w:val="20"/>
                <w:szCs w:val="20"/>
              </w:rPr>
              <w:t>9,168</w:t>
            </w:r>
          </w:p>
        </w:tc>
        <w:tc>
          <w:tcPr>
            <w:tcW w:w="0" w:type="auto"/>
            <w:tcBorders>
              <w:top w:val="nil"/>
              <w:left w:val="nil"/>
              <w:bottom w:val="single" w:sz="4" w:space="0" w:color="auto"/>
              <w:right w:val="single" w:sz="4" w:space="0" w:color="auto"/>
            </w:tcBorders>
            <w:shd w:val="clear" w:color="auto" w:fill="auto"/>
            <w:noWrap/>
            <w:vAlign w:val="bottom"/>
            <w:hideMark/>
          </w:tcPr>
          <w:p w14:paraId="4CF8A74E" w14:textId="77777777" w:rsidR="003C6A19" w:rsidRPr="004F469F" w:rsidRDefault="003C6A19" w:rsidP="003C6A19">
            <w:pPr>
              <w:jc w:val="right"/>
              <w:rPr>
                <w:sz w:val="20"/>
                <w:szCs w:val="20"/>
              </w:rPr>
            </w:pPr>
            <w:r w:rsidRPr="004F469F">
              <w:rPr>
                <w:sz w:val="20"/>
                <w:szCs w:val="20"/>
              </w:rPr>
              <w:t>82.6</w:t>
            </w:r>
          </w:p>
        </w:tc>
        <w:tc>
          <w:tcPr>
            <w:tcW w:w="0" w:type="auto"/>
            <w:tcBorders>
              <w:top w:val="nil"/>
              <w:left w:val="nil"/>
              <w:bottom w:val="single" w:sz="4" w:space="0" w:color="auto"/>
              <w:right w:val="single" w:sz="4" w:space="0" w:color="auto"/>
            </w:tcBorders>
            <w:shd w:val="clear" w:color="auto" w:fill="auto"/>
            <w:noWrap/>
            <w:vAlign w:val="bottom"/>
            <w:hideMark/>
          </w:tcPr>
          <w:p w14:paraId="7A3749C7" w14:textId="77777777" w:rsidR="003C6A19" w:rsidRPr="004F469F" w:rsidRDefault="003C6A19" w:rsidP="003C6A19">
            <w:pPr>
              <w:jc w:val="right"/>
              <w:rPr>
                <w:sz w:val="20"/>
                <w:szCs w:val="20"/>
              </w:rPr>
            </w:pPr>
            <w:r w:rsidRPr="004F469F">
              <w:rPr>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36164D75" w14:textId="77777777" w:rsidR="003C6A19" w:rsidRPr="004F469F" w:rsidRDefault="003C6A19" w:rsidP="003C6A19">
            <w:pPr>
              <w:rPr>
                <w:sz w:val="20"/>
                <w:szCs w:val="20"/>
              </w:rPr>
            </w:pPr>
            <w:r w:rsidRPr="004F469F">
              <w:rPr>
                <w:sz w:val="20"/>
                <w:szCs w:val="20"/>
              </w:rPr>
              <w:t xml:space="preserve">  -</w:t>
            </w:r>
          </w:p>
        </w:tc>
      </w:tr>
      <w:tr w:rsidR="00494669" w:rsidRPr="004F469F" w14:paraId="6AC3B9B0"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E0751C" w14:textId="77777777" w:rsidR="003C6A19" w:rsidRPr="004F469F" w:rsidRDefault="003C6A19" w:rsidP="003C6A19">
            <w:pPr>
              <w:rPr>
                <w:rFonts w:eastAsia="Arial Unicode MS"/>
                <w:sz w:val="20"/>
                <w:szCs w:val="20"/>
              </w:rPr>
            </w:pPr>
            <w:r w:rsidRPr="004F469F">
              <w:rPr>
                <w:rFonts w:eastAsia="Arial Unicode MS"/>
                <w:sz w:val="20"/>
                <w:szCs w:val="20"/>
              </w:rPr>
              <w:t xml:space="preserve">10 Feb 2009 </w:t>
            </w:r>
          </w:p>
        </w:tc>
        <w:tc>
          <w:tcPr>
            <w:tcW w:w="0" w:type="auto"/>
            <w:tcBorders>
              <w:top w:val="nil"/>
              <w:left w:val="nil"/>
              <w:bottom w:val="single" w:sz="4" w:space="0" w:color="auto"/>
              <w:right w:val="single" w:sz="4" w:space="0" w:color="auto"/>
            </w:tcBorders>
            <w:shd w:val="clear" w:color="auto" w:fill="auto"/>
            <w:noWrap/>
            <w:vAlign w:val="bottom"/>
            <w:hideMark/>
          </w:tcPr>
          <w:p w14:paraId="1EF997CE" w14:textId="77777777" w:rsidR="003C6A19" w:rsidRPr="004F469F" w:rsidRDefault="003C6A19" w:rsidP="003C6A19">
            <w:pPr>
              <w:rPr>
                <w:sz w:val="20"/>
                <w:szCs w:val="20"/>
              </w:rPr>
            </w:pPr>
            <w:r w:rsidRPr="004F469F">
              <w:rPr>
                <w:sz w:val="20"/>
                <w:szCs w:val="20"/>
              </w:rPr>
              <w:t xml:space="preserve">  Lone Grove, OK  </w:t>
            </w:r>
          </w:p>
        </w:tc>
        <w:tc>
          <w:tcPr>
            <w:tcW w:w="0" w:type="auto"/>
            <w:tcBorders>
              <w:top w:val="nil"/>
              <w:left w:val="nil"/>
              <w:bottom w:val="single" w:sz="4" w:space="0" w:color="auto"/>
              <w:right w:val="single" w:sz="4" w:space="0" w:color="auto"/>
            </w:tcBorders>
            <w:shd w:val="clear" w:color="auto" w:fill="auto"/>
            <w:noWrap/>
            <w:vAlign w:val="bottom"/>
            <w:hideMark/>
          </w:tcPr>
          <w:p w14:paraId="68416B23"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30B80B7C" w14:textId="77777777" w:rsidR="003C6A19" w:rsidRPr="004F469F" w:rsidRDefault="003C6A19" w:rsidP="003C6A19">
            <w:pPr>
              <w:jc w:val="right"/>
              <w:rPr>
                <w:sz w:val="20"/>
                <w:szCs w:val="20"/>
              </w:rPr>
            </w:pPr>
            <w:r w:rsidRPr="004F469F">
              <w:rPr>
                <w:sz w:val="20"/>
                <w:szCs w:val="20"/>
              </w:rPr>
              <w:t>47.9</w:t>
            </w:r>
          </w:p>
        </w:tc>
        <w:tc>
          <w:tcPr>
            <w:tcW w:w="0" w:type="auto"/>
            <w:tcBorders>
              <w:top w:val="nil"/>
              <w:left w:val="nil"/>
              <w:bottom w:val="single" w:sz="4" w:space="0" w:color="auto"/>
              <w:right w:val="single" w:sz="4" w:space="0" w:color="auto"/>
            </w:tcBorders>
            <w:shd w:val="clear" w:color="auto" w:fill="auto"/>
            <w:noWrap/>
            <w:vAlign w:val="bottom"/>
            <w:hideMark/>
          </w:tcPr>
          <w:p w14:paraId="1F9D71DC" w14:textId="77777777" w:rsidR="003C6A19" w:rsidRPr="004F469F" w:rsidRDefault="003C6A19" w:rsidP="003C6A19">
            <w:pPr>
              <w:jc w:val="right"/>
              <w:rPr>
                <w:sz w:val="20"/>
                <w:szCs w:val="20"/>
              </w:rPr>
            </w:pPr>
            <w:r w:rsidRPr="004F469F">
              <w:rPr>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14:paraId="7625C848" w14:textId="77777777" w:rsidR="003C6A19" w:rsidRPr="004F469F" w:rsidRDefault="003C6A19" w:rsidP="003C6A19">
            <w:pPr>
              <w:jc w:val="right"/>
              <w:rPr>
                <w:sz w:val="20"/>
                <w:szCs w:val="20"/>
              </w:rPr>
            </w:pPr>
            <w:r w:rsidRPr="004F469F">
              <w:rPr>
                <w:sz w:val="20"/>
                <w:szCs w:val="20"/>
              </w:rPr>
              <w:t>791</w:t>
            </w:r>
          </w:p>
        </w:tc>
        <w:tc>
          <w:tcPr>
            <w:tcW w:w="0" w:type="auto"/>
            <w:tcBorders>
              <w:top w:val="nil"/>
              <w:left w:val="nil"/>
              <w:bottom w:val="single" w:sz="4" w:space="0" w:color="auto"/>
              <w:right w:val="single" w:sz="4" w:space="0" w:color="auto"/>
            </w:tcBorders>
            <w:shd w:val="clear" w:color="auto" w:fill="auto"/>
            <w:noWrap/>
            <w:vAlign w:val="bottom"/>
            <w:hideMark/>
          </w:tcPr>
          <w:p w14:paraId="22815750" w14:textId="77777777" w:rsidR="003C6A19" w:rsidRPr="004F469F" w:rsidRDefault="003C6A19" w:rsidP="003C6A19">
            <w:pPr>
              <w:jc w:val="right"/>
              <w:rPr>
                <w:sz w:val="20"/>
                <w:szCs w:val="20"/>
              </w:rPr>
            </w:pPr>
            <w:r w:rsidRPr="004F469F">
              <w:rPr>
                <w:sz w:val="20"/>
                <w:szCs w:val="20"/>
              </w:rPr>
              <w:t>788</w:t>
            </w:r>
          </w:p>
        </w:tc>
        <w:tc>
          <w:tcPr>
            <w:tcW w:w="0" w:type="auto"/>
            <w:tcBorders>
              <w:top w:val="nil"/>
              <w:left w:val="nil"/>
              <w:bottom w:val="single" w:sz="4" w:space="0" w:color="auto"/>
              <w:right w:val="single" w:sz="4" w:space="0" w:color="auto"/>
            </w:tcBorders>
            <w:shd w:val="clear" w:color="auto" w:fill="auto"/>
            <w:noWrap/>
            <w:vAlign w:val="bottom"/>
            <w:hideMark/>
          </w:tcPr>
          <w:p w14:paraId="56FF53EE" w14:textId="77777777" w:rsidR="003C6A19" w:rsidRPr="004F469F" w:rsidRDefault="003C6A19" w:rsidP="003C6A19">
            <w:pPr>
              <w:jc w:val="right"/>
              <w:rPr>
                <w:sz w:val="20"/>
                <w:szCs w:val="20"/>
              </w:rPr>
            </w:pPr>
            <w:r w:rsidRPr="004F469F">
              <w:rPr>
                <w:sz w:val="20"/>
                <w:szCs w:val="20"/>
              </w:rPr>
              <w:t>5,071</w:t>
            </w:r>
          </w:p>
        </w:tc>
        <w:tc>
          <w:tcPr>
            <w:tcW w:w="0" w:type="auto"/>
            <w:tcBorders>
              <w:top w:val="nil"/>
              <w:left w:val="nil"/>
              <w:bottom w:val="single" w:sz="4" w:space="0" w:color="auto"/>
              <w:right w:val="single" w:sz="4" w:space="0" w:color="auto"/>
            </w:tcBorders>
            <w:shd w:val="clear" w:color="auto" w:fill="auto"/>
            <w:noWrap/>
            <w:vAlign w:val="bottom"/>
            <w:hideMark/>
          </w:tcPr>
          <w:p w14:paraId="1C43B053" w14:textId="77777777" w:rsidR="003C6A19" w:rsidRPr="004F469F" w:rsidRDefault="003C6A19" w:rsidP="003C6A19">
            <w:pPr>
              <w:jc w:val="right"/>
              <w:rPr>
                <w:sz w:val="20"/>
                <w:szCs w:val="20"/>
              </w:rPr>
            </w:pPr>
            <w:r w:rsidRPr="004F469F">
              <w:rPr>
                <w:sz w:val="20"/>
                <w:szCs w:val="20"/>
              </w:rPr>
              <w:t>49.6</w:t>
            </w:r>
          </w:p>
        </w:tc>
        <w:tc>
          <w:tcPr>
            <w:tcW w:w="0" w:type="auto"/>
            <w:tcBorders>
              <w:top w:val="nil"/>
              <w:left w:val="nil"/>
              <w:bottom w:val="single" w:sz="4" w:space="0" w:color="auto"/>
              <w:right w:val="single" w:sz="4" w:space="0" w:color="auto"/>
            </w:tcBorders>
            <w:shd w:val="clear" w:color="auto" w:fill="auto"/>
            <w:noWrap/>
            <w:vAlign w:val="bottom"/>
            <w:hideMark/>
          </w:tcPr>
          <w:p w14:paraId="6BD011FA" w14:textId="77777777" w:rsidR="003C6A19" w:rsidRPr="004F469F" w:rsidRDefault="003C6A19" w:rsidP="003C6A19">
            <w:pPr>
              <w:jc w:val="right"/>
              <w:rPr>
                <w:sz w:val="20"/>
                <w:szCs w:val="20"/>
              </w:rPr>
            </w:pPr>
            <w:r w:rsidRPr="004F469F">
              <w:rPr>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14:paraId="284E9C02" w14:textId="77777777" w:rsidR="003C6A19" w:rsidRPr="004F469F" w:rsidRDefault="003C6A19" w:rsidP="003C6A19">
            <w:pPr>
              <w:rPr>
                <w:sz w:val="20"/>
                <w:szCs w:val="20"/>
              </w:rPr>
            </w:pPr>
            <w:r w:rsidRPr="004F469F">
              <w:rPr>
                <w:sz w:val="20"/>
                <w:szCs w:val="20"/>
              </w:rPr>
              <w:t xml:space="preserve">  -</w:t>
            </w:r>
          </w:p>
        </w:tc>
      </w:tr>
      <w:tr w:rsidR="00494669" w:rsidRPr="004F469F" w14:paraId="3417B2C4"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B78148" w14:textId="77777777" w:rsidR="003C6A19" w:rsidRPr="004F469F" w:rsidRDefault="003C6A19" w:rsidP="003C6A19">
            <w:pPr>
              <w:rPr>
                <w:rFonts w:eastAsia="Arial Unicode MS"/>
                <w:sz w:val="20"/>
                <w:szCs w:val="20"/>
              </w:rPr>
            </w:pPr>
            <w:r w:rsidRPr="004F469F">
              <w:rPr>
                <w:rFonts w:eastAsia="Arial Unicode MS"/>
                <w:sz w:val="20"/>
                <w:szCs w:val="20"/>
              </w:rPr>
              <w:t xml:space="preserve">24 May 2011 </w:t>
            </w:r>
          </w:p>
        </w:tc>
        <w:tc>
          <w:tcPr>
            <w:tcW w:w="0" w:type="auto"/>
            <w:tcBorders>
              <w:top w:val="nil"/>
              <w:left w:val="nil"/>
              <w:bottom w:val="single" w:sz="4" w:space="0" w:color="auto"/>
              <w:right w:val="single" w:sz="4" w:space="0" w:color="auto"/>
            </w:tcBorders>
            <w:shd w:val="clear" w:color="auto" w:fill="auto"/>
            <w:noWrap/>
            <w:vAlign w:val="bottom"/>
            <w:hideMark/>
          </w:tcPr>
          <w:p w14:paraId="27E79A06" w14:textId="77777777" w:rsidR="003C6A19" w:rsidRPr="004F469F" w:rsidRDefault="003C6A19" w:rsidP="003C6A19">
            <w:pPr>
              <w:rPr>
                <w:sz w:val="20"/>
                <w:szCs w:val="20"/>
              </w:rPr>
            </w:pPr>
            <w:r w:rsidRPr="004F469F">
              <w:rPr>
                <w:sz w:val="20"/>
                <w:szCs w:val="20"/>
              </w:rPr>
              <w:t xml:space="preserve">  Etna-Denning, AR  </w:t>
            </w:r>
          </w:p>
        </w:tc>
        <w:tc>
          <w:tcPr>
            <w:tcW w:w="0" w:type="auto"/>
            <w:tcBorders>
              <w:top w:val="nil"/>
              <w:left w:val="nil"/>
              <w:bottom w:val="single" w:sz="4" w:space="0" w:color="auto"/>
              <w:right w:val="single" w:sz="4" w:space="0" w:color="auto"/>
            </w:tcBorders>
            <w:shd w:val="clear" w:color="auto" w:fill="auto"/>
            <w:noWrap/>
            <w:vAlign w:val="bottom"/>
            <w:hideMark/>
          </w:tcPr>
          <w:p w14:paraId="7B0C9D2F"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2DF71F71" w14:textId="77777777" w:rsidR="003C6A19" w:rsidRPr="004F469F" w:rsidRDefault="003C6A19" w:rsidP="003C6A19">
            <w:pPr>
              <w:jc w:val="right"/>
              <w:rPr>
                <w:sz w:val="20"/>
                <w:szCs w:val="20"/>
              </w:rPr>
            </w:pPr>
            <w:r w:rsidRPr="004F469F">
              <w:rPr>
                <w:sz w:val="20"/>
                <w:szCs w:val="20"/>
              </w:rPr>
              <w:t>148</w:t>
            </w:r>
          </w:p>
        </w:tc>
        <w:tc>
          <w:tcPr>
            <w:tcW w:w="0" w:type="auto"/>
            <w:tcBorders>
              <w:top w:val="nil"/>
              <w:left w:val="nil"/>
              <w:bottom w:val="single" w:sz="4" w:space="0" w:color="auto"/>
              <w:right w:val="single" w:sz="4" w:space="0" w:color="auto"/>
            </w:tcBorders>
            <w:shd w:val="clear" w:color="auto" w:fill="auto"/>
            <w:noWrap/>
            <w:vAlign w:val="bottom"/>
            <w:hideMark/>
          </w:tcPr>
          <w:p w14:paraId="7C7E0631"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09C08555" w14:textId="77777777" w:rsidR="003C6A19" w:rsidRPr="004F469F" w:rsidRDefault="003C6A19" w:rsidP="003C6A19">
            <w:pPr>
              <w:jc w:val="right"/>
              <w:rPr>
                <w:sz w:val="20"/>
                <w:szCs w:val="20"/>
              </w:rPr>
            </w:pPr>
            <w:r w:rsidRPr="004F469F">
              <w:rPr>
                <w:sz w:val="20"/>
                <w:szCs w:val="20"/>
              </w:rPr>
              <w:t>1,660</w:t>
            </w:r>
          </w:p>
        </w:tc>
        <w:tc>
          <w:tcPr>
            <w:tcW w:w="0" w:type="auto"/>
            <w:tcBorders>
              <w:top w:val="nil"/>
              <w:left w:val="nil"/>
              <w:bottom w:val="single" w:sz="4" w:space="0" w:color="auto"/>
              <w:right w:val="single" w:sz="4" w:space="0" w:color="auto"/>
            </w:tcBorders>
            <w:shd w:val="clear" w:color="auto" w:fill="auto"/>
            <w:noWrap/>
            <w:vAlign w:val="bottom"/>
            <w:hideMark/>
          </w:tcPr>
          <w:p w14:paraId="39C7C75A" w14:textId="77777777" w:rsidR="003C6A19" w:rsidRPr="004F469F" w:rsidRDefault="003C6A19" w:rsidP="003C6A19">
            <w:pPr>
              <w:jc w:val="right"/>
              <w:rPr>
                <w:sz w:val="20"/>
                <w:szCs w:val="20"/>
              </w:rPr>
            </w:pPr>
            <w:r w:rsidRPr="004F469F">
              <w:rPr>
                <w:sz w:val="20"/>
                <w:szCs w:val="20"/>
              </w:rPr>
              <w:t>1,914</w:t>
            </w:r>
          </w:p>
        </w:tc>
        <w:tc>
          <w:tcPr>
            <w:tcW w:w="0" w:type="auto"/>
            <w:tcBorders>
              <w:top w:val="nil"/>
              <w:left w:val="nil"/>
              <w:bottom w:val="single" w:sz="4" w:space="0" w:color="auto"/>
              <w:right w:val="single" w:sz="4" w:space="0" w:color="auto"/>
            </w:tcBorders>
            <w:shd w:val="clear" w:color="auto" w:fill="auto"/>
            <w:noWrap/>
            <w:vAlign w:val="bottom"/>
            <w:hideMark/>
          </w:tcPr>
          <w:p w14:paraId="40378762" w14:textId="77777777" w:rsidR="003C6A19" w:rsidRPr="004F469F" w:rsidRDefault="003C6A19" w:rsidP="003C6A19">
            <w:pPr>
              <w:jc w:val="right"/>
              <w:rPr>
                <w:sz w:val="20"/>
                <w:szCs w:val="20"/>
              </w:rPr>
            </w:pPr>
            <w:r w:rsidRPr="004F469F">
              <w:rPr>
                <w:sz w:val="20"/>
                <w:szCs w:val="20"/>
              </w:rPr>
              <w:t>6,408</w:t>
            </w:r>
          </w:p>
        </w:tc>
        <w:tc>
          <w:tcPr>
            <w:tcW w:w="0" w:type="auto"/>
            <w:tcBorders>
              <w:top w:val="nil"/>
              <w:left w:val="nil"/>
              <w:bottom w:val="single" w:sz="4" w:space="0" w:color="auto"/>
              <w:right w:val="single" w:sz="4" w:space="0" w:color="auto"/>
            </w:tcBorders>
            <w:shd w:val="clear" w:color="auto" w:fill="auto"/>
            <w:noWrap/>
            <w:vAlign w:val="bottom"/>
            <w:hideMark/>
          </w:tcPr>
          <w:p w14:paraId="2D51A394" w14:textId="77777777" w:rsidR="003C6A19" w:rsidRPr="004F469F" w:rsidRDefault="003C6A19" w:rsidP="003C6A19">
            <w:pPr>
              <w:jc w:val="right"/>
              <w:rPr>
                <w:sz w:val="20"/>
                <w:szCs w:val="20"/>
              </w:rPr>
            </w:pPr>
            <w:r w:rsidRPr="004F469F">
              <w:rPr>
                <w:sz w:val="20"/>
                <w:szCs w:val="20"/>
              </w:rPr>
              <w:t>69.8</w:t>
            </w:r>
          </w:p>
        </w:tc>
        <w:tc>
          <w:tcPr>
            <w:tcW w:w="0" w:type="auto"/>
            <w:tcBorders>
              <w:top w:val="nil"/>
              <w:left w:val="nil"/>
              <w:bottom w:val="single" w:sz="4" w:space="0" w:color="auto"/>
              <w:right w:val="single" w:sz="4" w:space="0" w:color="auto"/>
            </w:tcBorders>
            <w:shd w:val="clear" w:color="auto" w:fill="auto"/>
            <w:noWrap/>
            <w:vAlign w:val="bottom"/>
            <w:hideMark/>
          </w:tcPr>
          <w:p w14:paraId="2FFD2A9A" w14:textId="77777777" w:rsidR="003C6A19" w:rsidRPr="004F469F" w:rsidRDefault="003C6A19" w:rsidP="003C6A19">
            <w:pPr>
              <w:jc w:val="right"/>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1E581483" w14:textId="77777777" w:rsidR="003C6A19" w:rsidRPr="004F469F" w:rsidRDefault="003C6A19" w:rsidP="003C6A19">
            <w:pPr>
              <w:rPr>
                <w:sz w:val="20"/>
                <w:szCs w:val="20"/>
              </w:rPr>
            </w:pPr>
            <w:r w:rsidRPr="004F469F">
              <w:rPr>
                <w:sz w:val="20"/>
                <w:szCs w:val="20"/>
              </w:rPr>
              <w:t xml:space="preserve">  -</w:t>
            </w:r>
          </w:p>
        </w:tc>
      </w:tr>
      <w:tr w:rsidR="00494669" w:rsidRPr="004F469F" w14:paraId="602CC755"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1E67E" w14:textId="77777777" w:rsidR="003C6A19" w:rsidRPr="004F469F" w:rsidRDefault="003C6A19" w:rsidP="003C6A19">
            <w:pPr>
              <w:rPr>
                <w:rFonts w:eastAsia="Arial Unicode MS"/>
                <w:sz w:val="20"/>
                <w:szCs w:val="20"/>
              </w:rPr>
            </w:pPr>
            <w:r w:rsidRPr="004F469F">
              <w:rPr>
                <w:rFonts w:eastAsia="Arial Unicode MS"/>
                <w:sz w:val="20"/>
                <w:szCs w:val="20"/>
              </w:rPr>
              <w:t xml:space="preserve">9 Apr 1999 </w:t>
            </w:r>
          </w:p>
        </w:tc>
        <w:tc>
          <w:tcPr>
            <w:tcW w:w="0" w:type="auto"/>
            <w:tcBorders>
              <w:top w:val="nil"/>
              <w:left w:val="nil"/>
              <w:bottom w:val="single" w:sz="4" w:space="0" w:color="auto"/>
              <w:right w:val="single" w:sz="4" w:space="0" w:color="auto"/>
            </w:tcBorders>
            <w:shd w:val="clear" w:color="auto" w:fill="auto"/>
            <w:noWrap/>
            <w:vAlign w:val="bottom"/>
            <w:hideMark/>
          </w:tcPr>
          <w:p w14:paraId="716428B7" w14:textId="77777777" w:rsidR="003C6A19" w:rsidRPr="004F469F" w:rsidRDefault="003C6A19" w:rsidP="003C6A19">
            <w:pPr>
              <w:rPr>
                <w:sz w:val="20"/>
                <w:szCs w:val="20"/>
              </w:rPr>
            </w:pPr>
            <w:r w:rsidRPr="004F469F">
              <w:rPr>
                <w:sz w:val="20"/>
                <w:szCs w:val="20"/>
              </w:rPr>
              <w:t xml:space="preserve">  Blue Ash, OH  </w:t>
            </w:r>
          </w:p>
        </w:tc>
        <w:tc>
          <w:tcPr>
            <w:tcW w:w="0" w:type="auto"/>
            <w:tcBorders>
              <w:top w:val="nil"/>
              <w:left w:val="nil"/>
              <w:bottom w:val="single" w:sz="4" w:space="0" w:color="auto"/>
              <w:right w:val="single" w:sz="4" w:space="0" w:color="auto"/>
            </w:tcBorders>
            <w:shd w:val="clear" w:color="auto" w:fill="auto"/>
            <w:noWrap/>
            <w:vAlign w:val="bottom"/>
            <w:hideMark/>
          </w:tcPr>
          <w:p w14:paraId="2A7AF67C"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4A4EAC38"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4731AA86"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5767A9C6" w14:textId="77777777" w:rsidR="003C6A19" w:rsidRPr="004F469F" w:rsidRDefault="003C6A19" w:rsidP="003C6A19">
            <w:pPr>
              <w:jc w:val="right"/>
              <w:rPr>
                <w:sz w:val="20"/>
                <w:szCs w:val="20"/>
              </w:rPr>
            </w:pPr>
            <w:r w:rsidRPr="004F469F">
              <w:rPr>
                <w:sz w:val="20"/>
                <w:szCs w:val="20"/>
              </w:rPr>
              <w:t>1,969</w:t>
            </w:r>
          </w:p>
        </w:tc>
        <w:tc>
          <w:tcPr>
            <w:tcW w:w="0" w:type="auto"/>
            <w:tcBorders>
              <w:top w:val="nil"/>
              <w:left w:val="nil"/>
              <w:bottom w:val="single" w:sz="4" w:space="0" w:color="auto"/>
              <w:right w:val="single" w:sz="4" w:space="0" w:color="auto"/>
            </w:tcBorders>
            <w:shd w:val="clear" w:color="auto" w:fill="auto"/>
            <w:noWrap/>
            <w:vAlign w:val="bottom"/>
            <w:hideMark/>
          </w:tcPr>
          <w:p w14:paraId="3EE8FBA1" w14:textId="77777777" w:rsidR="003C6A19" w:rsidRPr="004F469F" w:rsidRDefault="003C6A19" w:rsidP="003C6A19">
            <w:pPr>
              <w:jc w:val="right"/>
              <w:rPr>
                <w:sz w:val="20"/>
                <w:szCs w:val="20"/>
              </w:rPr>
            </w:pPr>
            <w:r w:rsidRPr="004F469F">
              <w:rPr>
                <w:sz w:val="20"/>
                <w:szCs w:val="20"/>
              </w:rPr>
              <w:t>1,499</w:t>
            </w:r>
          </w:p>
        </w:tc>
        <w:tc>
          <w:tcPr>
            <w:tcW w:w="0" w:type="auto"/>
            <w:tcBorders>
              <w:top w:val="nil"/>
              <w:left w:val="nil"/>
              <w:bottom w:val="single" w:sz="4" w:space="0" w:color="auto"/>
              <w:right w:val="single" w:sz="4" w:space="0" w:color="auto"/>
            </w:tcBorders>
            <w:shd w:val="clear" w:color="auto" w:fill="auto"/>
            <w:noWrap/>
            <w:vAlign w:val="bottom"/>
            <w:hideMark/>
          </w:tcPr>
          <w:p w14:paraId="0B0A1C25" w14:textId="77777777" w:rsidR="003C6A19" w:rsidRPr="004F469F" w:rsidRDefault="003C6A19" w:rsidP="003C6A19">
            <w:pPr>
              <w:jc w:val="right"/>
              <w:rPr>
                <w:sz w:val="20"/>
                <w:szCs w:val="20"/>
              </w:rPr>
            </w:pPr>
            <w:r w:rsidRPr="004F469F">
              <w:rPr>
                <w:sz w:val="20"/>
                <w:szCs w:val="20"/>
              </w:rPr>
              <w:t>6,143</w:t>
            </w:r>
          </w:p>
        </w:tc>
        <w:tc>
          <w:tcPr>
            <w:tcW w:w="0" w:type="auto"/>
            <w:tcBorders>
              <w:top w:val="nil"/>
              <w:left w:val="nil"/>
              <w:bottom w:val="single" w:sz="4" w:space="0" w:color="auto"/>
              <w:right w:val="single" w:sz="4" w:space="0" w:color="auto"/>
            </w:tcBorders>
            <w:shd w:val="clear" w:color="auto" w:fill="auto"/>
            <w:noWrap/>
            <w:vAlign w:val="bottom"/>
            <w:hideMark/>
          </w:tcPr>
          <w:p w14:paraId="1DE663F4" w14:textId="77777777" w:rsidR="003C6A19" w:rsidRPr="004F469F" w:rsidRDefault="003C6A19" w:rsidP="003C6A19">
            <w:pPr>
              <w:jc w:val="right"/>
              <w:rPr>
                <w:sz w:val="20"/>
                <w:szCs w:val="20"/>
              </w:rPr>
            </w:pPr>
            <w:r w:rsidRPr="004F469F">
              <w:rPr>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14:paraId="2A953712" w14:textId="77777777" w:rsidR="003C6A19" w:rsidRPr="004F469F" w:rsidRDefault="003C6A19" w:rsidP="003C6A19">
            <w:pPr>
              <w:jc w:val="right"/>
              <w:rPr>
                <w:sz w:val="20"/>
                <w:szCs w:val="20"/>
              </w:rPr>
            </w:pPr>
            <w:r w:rsidRPr="004F469F">
              <w:rPr>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396E868E" w14:textId="77777777" w:rsidR="003C6A19" w:rsidRPr="004F469F" w:rsidRDefault="003C6A19" w:rsidP="003C6A19">
            <w:pPr>
              <w:rPr>
                <w:sz w:val="20"/>
                <w:szCs w:val="20"/>
              </w:rPr>
            </w:pPr>
            <w:r w:rsidRPr="004F469F">
              <w:rPr>
                <w:sz w:val="20"/>
                <w:szCs w:val="20"/>
              </w:rPr>
              <w:t xml:space="preserve">  -</w:t>
            </w:r>
          </w:p>
        </w:tc>
      </w:tr>
      <w:tr w:rsidR="003C6A19" w:rsidRPr="004F469F" w14:paraId="62464074"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E7E83D" w14:textId="77777777" w:rsidR="003C6A19" w:rsidRPr="004F469F" w:rsidRDefault="003C6A19" w:rsidP="003C6A19">
            <w:pPr>
              <w:rPr>
                <w:rFonts w:eastAsia="Arial Unicode MS"/>
                <w:sz w:val="20"/>
                <w:szCs w:val="20"/>
              </w:rPr>
            </w:pPr>
            <w:r w:rsidRPr="004F469F">
              <w:rPr>
                <w:rFonts w:eastAsia="Arial Unicode MS"/>
                <w:sz w:val="20"/>
                <w:szCs w:val="20"/>
              </w:rPr>
              <w:t xml:space="preserve">11 Jun 1998 </w:t>
            </w:r>
          </w:p>
        </w:tc>
        <w:tc>
          <w:tcPr>
            <w:tcW w:w="0" w:type="auto"/>
            <w:tcBorders>
              <w:top w:val="nil"/>
              <w:left w:val="nil"/>
              <w:bottom w:val="single" w:sz="4" w:space="0" w:color="auto"/>
              <w:right w:val="single" w:sz="4" w:space="0" w:color="auto"/>
            </w:tcBorders>
            <w:shd w:val="clear" w:color="auto" w:fill="auto"/>
            <w:noWrap/>
            <w:vAlign w:val="bottom"/>
            <w:hideMark/>
          </w:tcPr>
          <w:p w14:paraId="4BC53644" w14:textId="77777777" w:rsidR="003C6A19" w:rsidRPr="004F469F" w:rsidRDefault="003C6A19" w:rsidP="003C6A19">
            <w:pPr>
              <w:rPr>
                <w:sz w:val="20"/>
                <w:szCs w:val="20"/>
              </w:rPr>
            </w:pPr>
            <w:r w:rsidRPr="004F469F">
              <w:rPr>
                <w:sz w:val="20"/>
                <w:szCs w:val="20"/>
              </w:rPr>
              <w:t xml:space="preserve">  Greenfield-Maxwell, IN  </w:t>
            </w:r>
          </w:p>
        </w:tc>
        <w:tc>
          <w:tcPr>
            <w:tcW w:w="0" w:type="auto"/>
            <w:tcBorders>
              <w:top w:val="nil"/>
              <w:left w:val="nil"/>
              <w:bottom w:val="single" w:sz="4" w:space="0" w:color="auto"/>
              <w:right w:val="single" w:sz="4" w:space="0" w:color="auto"/>
            </w:tcBorders>
            <w:shd w:val="clear" w:color="auto" w:fill="auto"/>
            <w:noWrap/>
            <w:vAlign w:val="bottom"/>
            <w:hideMark/>
          </w:tcPr>
          <w:p w14:paraId="67BF9AD4" w14:textId="77777777" w:rsidR="003C6A19" w:rsidRPr="004F469F" w:rsidRDefault="003C6A19" w:rsidP="003C6A19">
            <w:pPr>
              <w:jc w:val="right"/>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3CA3A5D6" w14:textId="77777777" w:rsidR="003C6A19" w:rsidRPr="004F469F" w:rsidRDefault="003C6A19" w:rsidP="003C6A19">
            <w:pPr>
              <w:jc w:val="right"/>
              <w:rPr>
                <w:sz w:val="20"/>
                <w:szCs w:val="20"/>
              </w:rPr>
            </w:pPr>
            <w:r w:rsidRPr="004F469F">
              <w:rPr>
                <w:sz w:val="20"/>
                <w:szCs w:val="20"/>
              </w:rPr>
              <w:t>7.8</w:t>
            </w:r>
          </w:p>
        </w:tc>
        <w:tc>
          <w:tcPr>
            <w:tcW w:w="0" w:type="auto"/>
            <w:tcBorders>
              <w:top w:val="nil"/>
              <w:left w:val="nil"/>
              <w:bottom w:val="single" w:sz="4" w:space="0" w:color="auto"/>
              <w:right w:val="single" w:sz="4" w:space="0" w:color="auto"/>
            </w:tcBorders>
            <w:shd w:val="clear" w:color="auto" w:fill="auto"/>
            <w:noWrap/>
            <w:vAlign w:val="bottom"/>
            <w:hideMark/>
          </w:tcPr>
          <w:p w14:paraId="6D1DCF04" w14:textId="77777777" w:rsidR="003C6A19" w:rsidRPr="004F469F" w:rsidRDefault="003C6A19" w:rsidP="003C6A19">
            <w:pPr>
              <w:jc w:val="right"/>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2B9BC936" w14:textId="77777777" w:rsidR="003C6A19" w:rsidRPr="004F469F" w:rsidRDefault="003C6A19" w:rsidP="003C6A19">
            <w:pPr>
              <w:jc w:val="right"/>
              <w:rPr>
                <w:sz w:val="20"/>
                <w:szCs w:val="20"/>
              </w:rPr>
            </w:pPr>
            <w:r w:rsidRPr="004F469F">
              <w:rPr>
                <w:sz w:val="20"/>
                <w:szCs w:val="20"/>
              </w:rPr>
              <w:t>993</w:t>
            </w:r>
          </w:p>
        </w:tc>
        <w:tc>
          <w:tcPr>
            <w:tcW w:w="0" w:type="auto"/>
            <w:tcBorders>
              <w:top w:val="nil"/>
              <w:left w:val="nil"/>
              <w:bottom w:val="single" w:sz="4" w:space="0" w:color="auto"/>
              <w:right w:val="single" w:sz="4" w:space="0" w:color="auto"/>
            </w:tcBorders>
            <w:shd w:val="clear" w:color="auto" w:fill="auto"/>
            <w:noWrap/>
            <w:vAlign w:val="bottom"/>
            <w:hideMark/>
          </w:tcPr>
          <w:p w14:paraId="1282E0BB" w14:textId="77777777" w:rsidR="003C6A19" w:rsidRPr="004F469F" w:rsidRDefault="003C6A19" w:rsidP="003C6A19">
            <w:pPr>
              <w:jc w:val="right"/>
              <w:rPr>
                <w:sz w:val="20"/>
                <w:szCs w:val="20"/>
              </w:rPr>
            </w:pPr>
            <w:r w:rsidRPr="004F469F">
              <w:rPr>
                <w:sz w:val="20"/>
                <w:szCs w:val="20"/>
              </w:rPr>
              <w:t>579</w:t>
            </w:r>
          </w:p>
        </w:tc>
        <w:tc>
          <w:tcPr>
            <w:tcW w:w="0" w:type="auto"/>
            <w:tcBorders>
              <w:top w:val="nil"/>
              <w:left w:val="nil"/>
              <w:bottom w:val="single" w:sz="4" w:space="0" w:color="auto"/>
              <w:right w:val="single" w:sz="4" w:space="0" w:color="auto"/>
            </w:tcBorders>
            <w:shd w:val="clear" w:color="auto" w:fill="auto"/>
            <w:noWrap/>
            <w:vAlign w:val="bottom"/>
            <w:hideMark/>
          </w:tcPr>
          <w:p w14:paraId="41F41DAE" w14:textId="77777777" w:rsidR="003C6A19" w:rsidRPr="004F469F" w:rsidRDefault="003C6A19" w:rsidP="003C6A19">
            <w:pPr>
              <w:jc w:val="right"/>
              <w:rPr>
                <w:sz w:val="20"/>
                <w:szCs w:val="20"/>
              </w:rPr>
            </w:pPr>
            <w:r w:rsidRPr="004F469F">
              <w:rPr>
                <w:sz w:val="20"/>
                <w:szCs w:val="20"/>
              </w:rPr>
              <w:t>5,449</w:t>
            </w:r>
          </w:p>
        </w:tc>
        <w:tc>
          <w:tcPr>
            <w:tcW w:w="0" w:type="auto"/>
            <w:tcBorders>
              <w:top w:val="nil"/>
              <w:left w:val="nil"/>
              <w:bottom w:val="single" w:sz="4" w:space="0" w:color="auto"/>
              <w:right w:val="single" w:sz="4" w:space="0" w:color="auto"/>
            </w:tcBorders>
            <w:shd w:val="clear" w:color="auto" w:fill="auto"/>
            <w:noWrap/>
            <w:vAlign w:val="bottom"/>
            <w:hideMark/>
          </w:tcPr>
          <w:p w14:paraId="4D237B72" w14:textId="77777777" w:rsidR="003C6A19" w:rsidRPr="004F469F" w:rsidRDefault="003C6A19" w:rsidP="003C6A19">
            <w:pPr>
              <w:jc w:val="right"/>
              <w:rPr>
                <w:sz w:val="20"/>
                <w:szCs w:val="20"/>
              </w:rPr>
            </w:pPr>
            <w:r w:rsidRPr="004F469F">
              <w:rPr>
                <w:sz w:val="20"/>
                <w:szCs w:val="20"/>
              </w:rPr>
              <w:t>35.3</w:t>
            </w:r>
          </w:p>
        </w:tc>
        <w:tc>
          <w:tcPr>
            <w:tcW w:w="0" w:type="auto"/>
            <w:tcBorders>
              <w:top w:val="nil"/>
              <w:left w:val="nil"/>
              <w:bottom w:val="single" w:sz="4" w:space="0" w:color="auto"/>
              <w:right w:val="single" w:sz="4" w:space="0" w:color="auto"/>
            </w:tcBorders>
            <w:shd w:val="clear" w:color="auto" w:fill="auto"/>
            <w:noWrap/>
            <w:vAlign w:val="bottom"/>
            <w:hideMark/>
          </w:tcPr>
          <w:p w14:paraId="65439915" w14:textId="77777777" w:rsidR="003C6A19" w:rsidRPr="004F469F" w:rsidRDefault="003C6A19" w:rsidP="003C6A19">
            <w:pPr>
              <w:jc w:val="right"/>
              <w:rPr>
                <w:sz w:val="20"/>
                <w:szCs w:val="20"/>
              </w:rPr>
            </w:pPr>
            <w:r w:rsidRPr="004F469F">
              <w:rPr>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6D549E35" w14:textId="77777777" w:rsidR="003C6A19" w:rsidRPr="004F469F" w:rsidRDefault="003C6A19" w:rsidP="003C6A19">
            <w:pPr>
              <w:rPr>
                <w:sz w:val="20"/>
                <w:szCs w:val="20"/>
              </w:rPr>
            </w:pPr>
            <w:r w:rsidRPr="004F469F">
              <w:rPr>
                <w:sz w:val="20"/>
                <w:szCs w:val="20"/>
              </w:rPr>
              <w:t xml:space="preserve">  -</w:t>
            </w:r>
          </w:p>
        </w:tc>
      </w:tr>
    </w:tbl>
    <w:p w14:paraId="3FDB2551" w14:textId="77777777" w:rsidR="003C6A19" w:rsidRPr="004F469F" w:rsidRDefault="003C6A19" w:rsidP="005C4E5F">
      <w:pPr>
        <w:spacing w:after="120" w:line="480" w:lineRule="auto"/>
      </w:pPr>
    </w:p>
    <w:p w14:paraId="2DD85DE2" w14:textId="77777777" w:rsidR="003C6A19" w:rsidRPr="004F469F" w:rsidRDefault="003C6A19" w:rsidP="005C4E5F">
      <w:pPr>
        <w:spacing w:after="120" w:line="480" w:lineRule="auto"/>
      </w:pPr>
    </w:p>
    <w:p w14:paraId="03ECA821" w14:textId="77777777" w:rsidR="003C6A19" w:rsidRPr="004F469F" w:rsidRDefault="003C6A19" w:rsidP="005C4E5F">
      <w:pPr>
        <w:spacing w:after="120" w:line="480" w:lineRule="auto"/>
      </w:pPr>
    </w:p>
    <w:p w14:paraId="35532F17" w14:textId="77777777" w:rsidR="003C6A19" w:rsidRPr="004F469F" w:rsidRDefault="003C6A19" w:rsidP="005C4E5F">
      <w:pPr>
        <w:spacing w:after="120" w:line="480" w:lineRule="auto"/>
      </w:pPr>
    </w:p>
    <w:p w14:paraId="346D5149" w14:textId="77777777" w:rsidR="003C6A19" w:rsidRPr="004F469F" w:rsidRDefault="003C6A19" w:rsidP="005C4E5F">
      <w:pPr>
        <w:spacing w:after="120" w:line="480" w:lineRule="auto"/>
      </w:pPr>
    </w:p>
    <w:p w14:paraId="46A1EA03" w14:textId="77777777" w:rsidR="003C6A19" w:rsidRPr="004F469F" w:rsidRDefault="003C6A19" w:rsidP="005C4E5F">
      <w:pPr>
        <w:spacing w:after="120" w:line="480" w:lineRule="auto"/>
      </w:pPr>
    </w:p>
    <w:p w14:paraId="497E85A9" w14:textId="77777777" w:rsidR="003C6A19" w:rsidRPr="004F469F" w:rsidRDefault="003C6A19" w:rsidP="005C4E5F">
      <w:pPr>
        <w:spacing w:after="120" w:line="480" w:lineRule="auto"/>
      </w:pPr>
    </w:p>
    <w:p w14:paraId="0575C949" w14:textId="3F483B4C" w:rsidR="003C6A19" w:rsidRPr="004F469F" w:rsidRDefault="003C6A19" w:rsidP="003C6A19">
      <w:pPr>
        <w:pStyle w:val="Caption"/>
        <w:keepNext/>
        <w:rPr>
          <w:rFonts w:ascii="Times New Roman" w:hAnsi="Times New Roman" w:cs="Times New Roman"/>
          <w:i w:val="0"/>
          <w:iCs w:val="0"/>
          <w:color w:val="auto"/>
          <w:sz w:val="24"/>
          <w:szCs w:val="24"/>
        </w:rPr>
      </w:pPr>
      <w:bookmarkStart w:id="38" w:name="_Toc22034995"/>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7</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Pr="004F469F">
        <w:rPr>
          <w:rFonts w:ascii="Times New Roman" w:eastAsiaTheme="minorHAnsi" w:hAnsi="Times New Roman" w:cs="Times New Roman"/>
          <w:i w:val="0"/>
          <w:iCs w:val="0"/>
          <w:color w:val="auto"/>
          <w:sz w:val="24"/>
          <w:szCs w:val="24"/>
        </w:rPr>
        <w:t>Same as Table 2.6, but for hits.</w:t>
      </w:r>
      <w:bookmarkEnd w:id="38"/>
    </w:p>
    <w:tbl>
      <w:tblPr>
        <w:tblW w:w="0" w:type="auto"/>
        <w:tblLook w:val="04A0" w:firstRow="1" w:lastRow="0" w:firstColumn="1" w:lastColumn="0" w:noHBand="0" w:noVBand="1"/>
      </w:tblPr>
      <w:tblGrid>
        <w:gridCol w:w="1305"/>
        <w:gridCol w:w="2877"/>
        <w:gridCol w:w="683"/>
        <w:gridCol w:w="761"/>
        <w:gridCol w:w="594"/>
        <w:gridCol w:w="766"/>
        <w:gridCol w:w="1006"/>
        <w:gridCol w:w="1028"/>
        <w:gridCol w:w="839"/>
        <w:gridCol w:w="694"/>
        <w:gridCol w:w="794"/>
      </w:tblGrid>
      <w:tr w:rsidR="00494669" w:rsidRPr="004F469F" w14:paraId="41DA17C5" w14:textId="77777777" w:rsidTr="003C6A19">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46743" w14:textId="77777777" w:rsidR="003C6A19" w:rsidRPr="004F469F" w:rsidRDefault="003C6A19" w:rsidP="003C6A19">
            <w:pPr>
              <w:jc w:val="center"/>
              <w:rPr>
                <w:rFonts w:eastAsia="Arial Unicode MS"/>
                <w:sz w:val="20"/>
                <w:szCs w:val="20"/>
              </w:rPr>
            </w:pPr>
            <w:r w:rsidRPr="004F469F">
              <w:rPr>
                <w:rFonts w:eastAsia="Arial Unicode MS"/>
                <w:sz w:val="20"/>
                <w:szCs w:val="20"/>
              </w:rPr>
              <w:t>DATE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5A369B" w14:textId="77777777" w:rsidR="003C6A19" w:rsidRPr="004F469F" w:rsidRDefault="003C6A19" w:rsidP="003C6A19">
            <w:pPr>
              <w:jc w:val="center"/>
              <w:rPr>
                <w:sz w:val="20"/>
                <w:szCs w:val="20"/>
              </w:rPr>
            </w:pPr>
            <w:r w:rsidRPr="004F469F">
              <w:rPr>
                <w:sz w:val="20"/>
                <w:szCs w:val="20"/>
              </w:rPr>
              <w:t>LOCATION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ED93CC" w14:textId="77777777" w:rsidR="003C6A19" w:rsidRPr="004F469F" w:rsidRDefault="003C6A19" w:rsidP="003C6A19">
            <w:pPr>
              <w:jc w:val="center"/>
              <w:rPr>
                <w:sz w:val="20"/>
                <w:szCs w:val="20"/>
              </w:rPr>
            </w:pPr>
            <w:r w:rsidRPr="004F469F">
              <w:rPr>
                <w:sz w:val="20"/>
                <w:szCs w:val="20"/>
              </w:rPr>
              <w:t>MAG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4C01DB" w14:textId="77777777" w:rsidR="003C6A19" w:rsidRPr="004F469F" w:rsidRDefault="003C6A19" w:rsidP="003C6A19">
            <w:pPr>
              <w:jc w:val="center"/>
              <w:rPr>
                <w:sz w:val="20"/>
                <w:szCs w:val="20"/>
              </w:rPr>
            </w:pPr>
            <w:r w:rsidRPr="004F469F">
              <w:rPr>
                <w:sz w:val="20"/>
                <w:szCs w:val="20"/>
              </w:rPr>
              <w:t>AREA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BF0009C" w14:textId="77777777" w:rsidR="003C6A19" w:rsidRPr="004F469F" w:rsidRDefault="003C6A19" w:rsidP="003C6A19">
            <w:pPr>
              <w:jc w:val="center"/>
              <w:rPr>
                <w:sz w:val="20"/>
                <w:szCs w:val="20"/>
              </w:rPr>
            </w:pPr>
            <w:r w:rsidRPr="004F469F">
              <w:rPr>
                <w:sz w:val="20"/>
                <w:szCs w:val="20"/>
              </w:rPr>
              <w:t>FAT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154102D" w14:textId="77777777" w:rsidR="003C6A19" w:rsidRPr="004F469F" w:rsidRDefault="003C6A19" w:rsidP="003C6A19">
            <w:pPr>
              <w:jc w:val="center"/>
              <w:rPr>
                <w:sz w:val="20"/>
                <w:szCs w:val="20"/>
              </w:rPr>
            </w:pPr>
            <w:r w:rsidRPr="004F469F">
              <w:rPr>
                <w:sz w:val="20"/>
                <w:szCs w:val="20"/>
              </w:rPr>
              <w:t>OBS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0FD6E54" w14:textId="77777777" w:rsidR="003C6A19" w:rsidRPr="004F469F" w:rsidRDefault="003C6A19" w:rsidP="003C6A19">
            <w:pPr>
              <w:jc w:val="center"/>
              <w:rPr>
                <w:sz w:val="20"/>
                <w:szCs w:val="20"/>
              </w:rPr>
            </w:pPr>
            <w:r w:rsidRPr="004F469F">
              <w:rPr>
                <w:sz w:val="20"/>
                <w:szCs w:val="20"/>
              </w:rPr>
              <w:t>PPEMED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7E8081" w14:textId="77777777" w:rsidR="003C6A19" w:rsidRPr="004F469F" w:rsidRDefault="003C6A19" w:rsidP="003C6A19">
            <w:pPr>
              <w:jc w:val="center"/>
              <w:rPr>
                <w:sz w:val="20"/>
                <w:szCs w:val="20"/>
              </w:rPr>
            </w:pPr>
            <w:r w:rsidRPr="004F469F">
              <w:rPr>
                <w:sz w:val="20"/>
                <w:szCs w:val="20"/>
              </w:rPr>
              <w:t>PPEMAX</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114B599" w14:textId="77777777" w:rsidR="003C6A19" w:rsidRPr="004F469F" w:rsidRDefault="003C6A19" w:rsidP="003C6A19">
            <w:pPr>
              <w:jc w:val="center"/>
              <w:rPr>
                <w:sz w:val="20"/>
                <w:szCs w:val="20"/>
              </w:rPr>
            </w:pPr>
            <w:r w:rsidRPr="004F469F">
              <w:rPr>
                <w:sz w:val="20"/>
                <w:szCs w:val="20"/>
              </w:rPr>
              <w:t>EPOBS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87752A" w14:textId="77777777" w:rsidR="003C6A19" w:rsidRPr="004F469F" w:rsidRDefault="003C6A19" w:rsidP="003C6A19">
            <w:pPr>
              <w:jc w:val="center"/>
              <w:rPr>
                <w:sz w:val="20"/>
                <w:szCs w:val="20"/>
              </w:rPr>
            </w:pPr>
            <w:r w:rsidRPr="004F469F">
              <w:rPr>
                <w:sz w:val="20"/>
                <w:szCs w:val="20"/>
              </w:rPr>
              <w:t>EP5K</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1A6AA25" w14:textId="77777777" w:rsidR="003C6A19" w:rsidRPr="004F469F" w:rsidRDefault="003C6A19" w:rsidP="003C6A19">
            <w:pPr>
              <w:jc w:val="center"/>
              <w:rPr>
                <w:sz w:val="20"/>
                <w:szCs w:val="20"/>
              </w:rPr>
            </w:pPr>
            <w:r w:rsidRPr="004F469F">
              <w:rPr>
                <w:sz w:val="20"/>
                <w:szCs w:val="20"/>
              </w:rPr>
              <w:t>EP20K</w:t>
            </w:r>
          </w:p>
        </w:tc>
      </w:tr>
      <w:tr w:rsidR="00494669" w:rsidRPr="004F469F" w14:paraId="37BE00A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EC199" w14:textId="104B269F" w:rsidR="003C6A19" w:rsidRPr="004F469F" w:rsidRDefault="003C6A19" w:rsidP="003C6A19">
            <w:pPr>
              <w:jc w:val="center"/>
              <w:rPr>
                <w:rFonts w:eastAsia="Arial Unicode MS"/>
                <w:b/>
                <w:bCs/>
                <w:sz w:val="20"/>
                <w:szCs w:val="20"/>
              </w:rPr>
            </w:pPr>
            <w:r w:rsidRPr="004F469F">
              <w:rPr>
                <w:rFonts w:eastAsia="Arial Unicode MS"/>
                <w:b/>
                <w:bCs/>
                <w:sz w:val="20"/>
                <w:szCs w:val="20"/>
              </w:rPr>
              <w:t>22 Apr 2011</w:t>
            </w:r>
          </w:p>
        </w:tc>
        <w:tc>
          <w:tcPr>
            <w:tcW w:w="0" w:type="auto"/>
            <w:tcBorders>
              <w:top w:val="nil"/>
              <w:left w:val="nil"/>
              <w:bottom w:val="single" w:sz="4" w:space="0" w:color="auto"/>
              <w:right w:val="single" w:sz="4" w:space="0" w:color="auto"/>
            </w:tcBorders>
            <w:shd w:val="clear" w:color="auto" w:fill="auto"/>
            <w:noWrap/>
            <w:vAlign w:val="center"/>
            <w:hideMark/>
          </w:tcPr>
          <w:p w14:paraId="24E5ED0A" w14:textId="05E67AA5" w:rsidR="003C6A19" w:rsidRPr="004F469F" w:rsidRDefault="003C6A19" w:rsidP="003C6A19">
            <w:pPr>
              <w:jc w:val="center"/>
              <w:rPr>
                <w:b/>
                <w:bCs/>
                <w:sz w:val="20"/>
                <w:szCs w:val="20"/>
              </w:rPr>
            </w:pPr>
            <w:r w:rsidRPr="004F469F">
              <w:rPr>
                <w:b/>
                <w:bCs/>
                <w:sz w:val="20"/>
                <w:szCs w:val="20"/>
              </w:rPr>
              <w:t>St. Louis, MO</w:t>
            </w:r>
          </w:p>
        </w:tc>
        <w:tc>
          <w:tcPr>
            <w:tcW w:w="0" w:type="auto"/>
            <w:tcBorders>
              <w:top w:val="nil"/>
              <w:left w:val="nil"/>
              <w:bottom w:val="single" w:sz="4" w:space="0" w:color="auto"/>
              <w:right w:val="single" w:sz="4" w:space="0" w:color="auto"/>
            </w:tcBorders>
            <w:shd w:val="clear" w:color="auto" w:fill="auto"/>
            <w:noWrap/>
            <w:vAlign w:val="center"/>
            <w:hideMark/>
          </w:tcPr>
          <w:p w14:paraId="23C36609"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A2E3319" w14:textId="77777777" w:rsidR="003C6A19" w:rsidRPr="004F469F" w:rsidRDefault="003C6A19" w:rsidP="003C6A19">
            <w:pPr>
              <w:jc w:val="center"/>
              <w:rPr>
                <w:b/>
                <w:bCs/>
                <w:sz w:val="20"/>
                <w:szCs w:val="20"/>
              </w:rPr>
            </w:pPr>
            <w:r w:rsidRPr="004F469F">
              <w:rPr>
                <w:b/>
                <w:bCs/>
                <w:sz w:val="20"/>
                <w:szCs w:val="20"/>
              </w:rPr>
              <w:t>27.6</w:t>
            </w:r>
          </w:p>
        </w:tc>
        <w:tc>
          <w:tcPr>
            <w:tcW w:w="0" w:type="auto"/>
            <w:tcBorders>
              <w:top w:val="nil"/>
              <w:left w:val="nil"/>
              <w:bottom w:val="single" w:sz="4" w:space="0" w:color="auto"/>
              <w:right w:val="single" w:sz="4" w:space="0" w:color="auto"/>
            </w:tcBorders>
            <w:shd w:val="clear" w:color="auto" w:fill="auto"/>
            <w:noWrap/>
            <w:vAlign w:val="center"/>
            <w:hideMark/>
          </w:tcPr>
          <w:p w14:paraId="796B1906" w14:textId="77777777" w:rsidR="003C6A19" w:rsidRPr="004F469F" w:rsidRDefault="003C6A19" w:rsidP="003C6A19">
            <w:pPr>
              <w:jc w:val="center"/>
              <w:rPr>
                <w:b/>
                <w:bCs/>
                <w:sz w:val="20"/>
                <w:szCs w:val="20"/>
              </w:rPr>
            </w:pPr>
            <w:r w:rsidRPr="004F469F">
              <w:rPr>
                <w:b/>
                <w:bCs/>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CABFE4F" w14:textId="77777777" w:rsidR="003C6A19" w:rsidRPr="004F469F" w:rsidRDefault="003C6A19" w:rsidP="003C6A19">
            <w:pPr>
              <w:jc w:val="center"/>
              <w:rPr>
                <w:b/>
                <w:bCs/>
                <w:sz w:val="20"/>
                <w:szCs w:val="20"/>
              </w:rPr>
            </w:pPr>
            <w:r w:rsidRPr="004F469F">
              <w:rPr>
                <w:b/>
                <w:bCs/>
                <w:sz w:val="20"/>
                <w:szCs w:val="20"/>
              </w:rPr>
              <w:t>24,130</w:t>
            </w:r>
          </w:p>
        </w:tc>
        <w:tc>
          <w:tcPr>
            <w:tcW w:w="0" w:type="auto"/>
            <w:tcBorders>
              <w:top w:val="nil"/>
              <w:left w:val="nil"/>
              <w:bottom w:val="single" w:sz="4" w:space="0" w:color="auto"/>
              <w:right w:val="single" w:sz="4" w:space="0" w:color="auto"/>
            </w:tcBorders>
            <w:shd w:val="clear" w:color="auto" w:fill="auto"/>
            <w:noWrap/>
            <w:vAlign w:val="center"/>
            <w:hideMark/>
          </w:tcPr>
          <w:p w14:paraId="0D47CB62" w14:textId="77777777" w:rsidR="003C6A19" w:rsidRPr="004F469F" w:rsidRDefault="003C6A19" w:rsidP="003C6A19">
            <w:pPr>
              <w:jc w:val="center"/>
              <w:rPr>
                <w:b/>
                <w:bCs/>
                <w:sz w:val="20"/>
                <w:szCs w:val="20"/>
              </w:rPr>
            </w:pPr>
            <w:r w:rsidRPr="004F469F">
              <w:rPr>
                <w:b/>
                <w:bCs/>
                <w:sz w:val="20"/>
                <w:szCs w:val="20"/>
              </w:rPr>
              <w:t>23,508</w:t>
            </w:r>
          </w:p>
        </w:tc>
        <w:tc>
          <w:tcPr>
            <w:tcW w:w="0" w:type="auto"/>
            <w:tcBorders>
              <w:top w:val="nil"/>
              <w:left w:val="nil"/>
              <w:bottom w:val="single" w:sz="4" w:space="0" w:color="auto"/>
              <w:right w:val="single" w:sz="4" w:space="0" w:color="auto"/>
            </w:tcBorders>
            <w:shd w:val="clear" w:color="auto" w:fill="auto"/>
            <w:noWrap/>
            <w:vAlign w:val="center"/>
            <w:hideMark/>
          </w:tcPr>
          <w:p w14:paraId="1652284D" w14:textId="77777777" w:rsidR="003C6A19" w:rsidRPr="004F469F" w:rsidRDefault="003C6A19" w:rsidP="003C6A19">
            <w:pPr>
              <w:jc w:val="center"/>
              <w:rPr>
                <w:b/>
                <w:bCs/>
                <w:sz w:val="20"/>
                <w:szCs w:val="20"/>
              </w:rPr>
            </w:pPr>
            <w:r w:rsidRPr="004F469F">
              <w:rPr>
                <w:b/>
                <w:bCs/>
                <w:sz w:val="20"/>
                <w:szCs w:val="20"/>
              </w:rPr>
              <w:t>38,957</w:t>
            </w:r>
          </w:p>
        </w:tc>
        <w:tc>
          <w:tcPr>
            <w:tcW w:w="0" w:type="auto"/>
            <w:tcBorders>
              <w:top w:val="nil"/>
              <w:left w:val="nil"/>
              <w:bottom w:val="single" w:sz="4" w:space="0" w:color="auto"/>
              <w:right w:val="single" w:sz="4" w:space="0" w:color="auto"/>
            </w:tcBorders>
            <w:shd w:val="clear" w:color="auto" w:fill="auto"/>
            <w:noWrap/>
            <w:vAlign w:val="center"/>
            <w:hideMark/>
          </w:tcPr>
          <w:p w14:paraId="68E0C034" w14:textId="77777777" w:rsidR="003C6A19" w:rsidRPr="004F469F" w:rsidRDefault="003C6A19" w:rsidP="003C6A19">
            <w:pPr>
              <w:jc w:val="center"/>
              <w:rPr>
                <w:b/>
                <w:bCs/>
                <w:sz w:val="20"/>
                <w:szCs w:val="20"/>
              </w:rPr>
            </w:pPr>
            <w:r w:rsidRPr="004F469F">
              <w:rPr>
                <w:b/>
                <w:bCs/>
                <w:sz w:val="20"/>
                <w:szCs w:val="20"/>
              </w:rPr>
              <w:t>45.5</w:t>
            </w:r>
          </w:p>
        </w:tc>
        <w:tc>
          <w:tcPr>
            <w:tcW w:w="0" w:type="auto"/>
            <w:tcBorders>
              <w:top w:val="nil"/>
              <w:left w:val="nil"/>
              <w:bottom w:val="single" w:sz="4" w:space="0" w:color="auto"/>
              <w:right w:val="single" w:sz="4" w:space="0" w:color="auto"/>
            </w:tcBorders>
            <w:shd w:val="clear" w:color="auto" w:fill="auto"/>
            <w:noWrap/>
            <w:vAlign w:val="center"/>
            <w:hideMark/>
          </w:tcPr>
          <w:p w14:paraId="113A6781" w14:textId="77777777" w:rsidR="003C6A19" w:rsidRPr="004F469F" w:rsidRDefault="003C6A19" w:rsidP="003C6A19">
            <w:pPr>
              <w:jc w:val="center"/>
              <w:rPr>
                <w:b/>
                <w:bCs/>
                <w:sz w:val="20"/>
                <w:szCs w:val="20"/>
              </w:rPr>
            </w:pPr>
            <w:r w:rsidRPr="004F469F">
              <w:rPr>
                <w:b/>
                <w:bCs/>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08A186D3" w14:textId="77777777" w:rsidR="003C6A19" w:rsidRPr="004F469F" w:rsidRDefault="003C6A19" w:rsidP="003C6A19">
            <w:pPr>
              <w:jc w:val="center"/>
              <w:rPr>
                <w:b/>
                <w:bCs/>
                <w:sz w:val="20"/>
                <w:szCs w:val="20"/>
              </w:rPr>
            </w:pPr>
            <w:r w:rsidRPr="004F469F">
              <w:rPr>
                <w:b/>
                <w:bCs/>
                <w:sz w:val="20"/>
                <w:szCs w:val="20"/>
              </w:rPr>
              <w:t>71.5</w:t>
            </w:r>
          </w:p>
        </w:tc>
      </w:tr>
      <w:tr w:rsidR="00494669" w:rsidRPr="004F469F" w14:paraId="2E90409C"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2BE2C2" w14:textId="75FBAEEE" w:rsidR="003C6A19" w:rsidRPr="004F469F" w:rsidRDefault="003C6A19" w:rsidP="003C6A19">
            <w:pPr>
              <w:jc w:val="center"/>
              <w:rPr>
                <w:rFonts w:eastAsia="Arial Unicode MS"/>
                <w:b/>
                <w:bCs/>
                <w:sz w:val="20"/>
                <w:szCs w:val="20"/>
              </w:rPr>
            </w:pPr>
            <w:r w:rsidRPr="004F469F">
              <w:rPr>
                <w:rFonts w:eastAsia="Arial Unicode MS"/>
                <w:b/>
                <w:bC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21A6E905" w14:textId="7821D716" w:rsidR="003C6A19" w:rsidRPr="004F469F" w:rsidRDefault="003C6A19" w:rsidP="003C6A19">
            <w:pPr>
              <w:jc w:val="center"/>
              <w:rPr>
                <w:b/>
                <w:bCs/>
                <w:sz w:val="20"/>
                <w:szCs w:val="20"/>
              </w:rPr>
            </w:pPr>
            <w:r w:rsidRPr="004F469F">
              <w:rPr>
                <w:b/>
                <w:bCs/>
                <w:sz w:val="20"/>
                <w:szCs w:val="20"/>
              </w:rPr>
              <w:t>Hackleburg-Phil Camp., AL</w:t>
            </w:r>
          </w:p>
        </w:tc>
        <w:tc>
          <w:tcPr>
            <w:tcW w:w="0" w:type="auto"/>
            <w:tcBorders>
              <w:top w:val="nil"/>
              <w:left w:val="nil"/>
              <w:bottom w:val="single" w:sz="4" w:space="0" w:color="auto"/>
              <w:right w:val="single" w:sz="4" w:space="0" w:color="auto"/>
            </w:tcBorders>
            <w:shd w:val="clear" w:color="auto" w:fill="auto"/>
            <w:noWrap/>
            <w:vAlign w:val="center"/>
            <w:hideMark/>
          </w:tcPr>
          <w:p w14:paraId="1B4635AB"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6F859438" w14:textId="77777777" w:rsidR="003C6A19" w:rsidRPr="004F469F" w:rsidRDefault="003C6A19" w:rsidP="003C6A19">
            <w:pPr>
              <w:jc w:val="center"/>
              <w:rPr>
                <w:b/>
                <w:bCs/>
                <w:sz w:val="20"/>
                <w:szCs w:val="20"/>
              </w:rPr>
            </w:pPr>
            <w:r w:rsidRPr="004F469F">
              <w:rPr>
                <w:b/>
                <w:bCs/>
                <w:sz w:val="20"/>
                <w:szCs w:val="20"/>
              </w:rPr>
              <w:t>427.3</w:t>
            </w:r>
          </w:p>
        </w:tc>
        <w:tc>
          <w:tcPr>
            <w:tcW w:w="0" w:type="auto"/>
            <w:tcBorders>
              <w:top w:val="nil"/>
              <w:left w:val="nil"/>
              <w:bottom w:val="single" w:sz="4" w:space="0" w:color="auto"/>
              <w:right w:val="single" w:sz="4" w:space="0" w:color="auto"/>
            </w:tcBorders>
            <w:shd w:val="clear" w:color="auto" w:fill="auto"/>
            <w:noWrap/>
            <w:vAlign w:val="center"/>
            <w:hideMark/>
          </w:tcPr>
          <w:p w14:paraId="729423E6" w14:textId="77777777" w:rsidR="003C6A19" w:rsidRPr="004F469F" w:rsidRDefault="003C6A19" w:rsidP="003C6A19">
            <w:pPr>
              <w:jc w:val="center"/>
              <w:rPr>
                <w:b/>
                <w:bCs/>
                <w:sz w:val="20"/>
                <w:szCs w:val="20"/>
              </w:rPr>
            </w:pPr>
            <w:r w:rsidRPr="004F469F">
              <w:rPr>
                <w:b/>
                <w:bCs/>
                <w:sz w:val="20"/>
                <w:szCs w:val="20"/>
              </w:rPr>
              <w:t>72</w:t>
            </w:r>
          </w:p>
        </w:tc>
        <w:tc>
          <w:tcPr>
            <w:tcW w:w="0" w:type="auto"/>
            <w:tcBorders>
              <w:top w:val="nil"/>
              <w:left w:val="nil"/>
              <w:bottom w:val="single" w:sz="4" w:space="0" w:color="auto"/>
              <w:right w:val="single" w:sz="4" w:space="0" w:color="auto"/>
            </w:tcBorders>
            <w:shd w:val="clear" w:color="auto" w:fill="auto"/>
            <w:noWrap/>
            <w:vAlign w:val="center"/>
            <w:hideMark/>
          </w:tcPr>
          <w:p w14:paraId="38321CA0" w14:textId="77777777" w:rsidR="003C6A19" w:rsidRPr="004F469F" w:rsidRDefault="003C6A19" w:rsidP="003C6A19">
            <w:pPr>
              <w:jc w:val="center"/>
              <w:rPr>
                <w:b/>
                <w:bCs/>
                <w:sz w:val="20"/>
                <w:szCs w:val="20"/>
              </w:rPr>
            </w:pPr>
            <w:r w:rsidRPr="004F469F">
              <w:rPr>
                <w:b/>
                <w:bCs/>
                <w:sz w:val="20"/>
                <w:szCs w:val="20"/>
              </w:rPr>
              <w:t>22,784</w:t>
            </w:r>
          </w:p>
        </w:tc>
        <w:tc>
          <w:tcPr>
            <w:tcW w:w="0" w:type="auto"/>
            <w:tcBorders>
              <w:top w:val="nil"/>
              <w:left w:val="nil"/>
              <w:bottom w:val="single" w:sz="4" w:space="0" w:color="auto"/>
              <w:right w:val="single" w:sz="4" w:space="0" w:color="auto"/>
            </w:tcBorders>
            <w:shd w:val="clear" w:color="auto" w:fill="auto"/>
            <w:noWrap/>
            <w:vAlign w:val="center"/>
            <w:hideMark/>
          </w:tcPr>
          <w:p w14:paraId="7580F984" w14:textId="77777777" w:rsidR="003C6A19" w:rsidRPr="004F469F" w:rsidRDefault="003C6A19" w:rsidP="003C6A19">
            <w:pPr>
              <w:jc w:val="center"/>
              <w:rPr>
                <w:b/>
                <w:bCs/>
                <w:sz w:val="20"/>
                <w:szCs w:val="20"/>
              </w:rPr>
            </w:pPr>
            <w:r w:rsidRPr="004F469F">
              <w:rPr>
                <w:b/>
                <w:bCs/>
                <w:sz w:val="20"/>
                <w:szCs w:val="20"/>
              </w:rPr>
              <w:t>22,678</w:t>
            </w:r>
          </w:p>
        </w:tc>
        <w:tc>
          <w:tcPr>
            <w:tcW w:w="0" w:type="auto"/>
            <w:tcBorders>
              <w:top w:val="nil"/>
              <w:left w:val="nil"/>
              <w:bottom w:val="single" w:sz="4" w:space="0" w:color="auto"/>
              <w:right w:val="single" w:sz="4" w:space="0" w:color="auto"/>
            </w:tcBorders>
            <w:shd w:val="clear" w:color="auto" w:fill="auto"/>
            <w:noWrap/>
            <w:vAlign w:val="center"/>
            <w:hideMark/>
          </w:tcPr>
          <w:p w14:paraId="6FF14386" w14:textId="77777777" w:rsidR="003C6A19" w:rsidRPr="004F469F" w:rsidRDefault="003C6A19" w:rsidP="003C6A19">
            <w:pPr>
              <w:jc w:val="center"/>
              <w:rPr>
                <w:b/>
                <w:bCs/>
                <w:sz w:val="20"/>
                <w:szCs w:val="20"/>
              </w:rPr>
            </w:pPr>
            <w:r w:rsidRPr="004F469F">
              <w:rPr>
                <w:b/>
                <w:bCs/>
                <w:sz w:val="20"/>
                <w:szCs w:val="20"/>
              </w:rPr>
              <w:t>63,522</w:t>
            </w:r>
          </w:p>
        </w:tc>
        <w:tc>
          <w:tcPr>
            <w:tcW w:w="0" w:type="auto"/>
            <w:tcBorders>
              <w:top w:val="nil"/>
              <w:left w:val="nil"/>
              <w:bottom w:val="single" w:sz="4" w:space="0" w:color="auto"/>
              <w:right w:val="single" w:sz="4" w:space="0" w:color="auto"/>
            </w:tcBorders>
            <w:shd w:val="clear" w:color="auto" w:fill="auto"/>
            <w:noWrap/>
            <w:vAlign w:val="center"/>
            <w:hideMark/>
          </w:tcPr>
          <w:p w14:paraId="15B84E37" w14:textId="77777777" w:rsidR="003C6A19" w:rsidRPr="004F469F" w:rsidRDefault="003C6A19" w:rsidP="003C6A19">
            <w:pPr>
              <w:jc w:val="center"/>
              <w:rPr>
                <w:b/>
                <w:bCs/>
                <w:sz w:val="20"/>
                <w:szCs w:val="20"/>
              </w:rPr>
            </w:pPr>
            <w:r w:rsidRPr="004F469F">
              <w:rPr>
                <w:b/>
                <w:bCs/>
                <w:sz w:val="20"/>
                <w:szCs w:val="20"/>
              </w:rPr>
              <w:t>43</w:t>
            </w:r>
          </w:p>
        </w:tc>
        <w:tc>
          <w:tcPr>
            <w:tcW w:w="0" w:type="auto"/>
            <w:tcBorders>
              <w:top w:val="nil"/>
              <w:left w:val="nil"/>
              <w:bottom w:val="single" w:sz="4" w:space="0" w:color="auto"/>
              <w:right w:val="single" w:sz="4" w:space="0" w:color="auto"/>
            </w:tcBorders>
            <w:shd w:val="clear" w:color="auto" w:fill="auto"/>
            <w:noWrap/>
            <w:vAlign w:val="center"/>
            <w:hideMark/>
          </w:tcPr>
          <w:p w14:paraId="5A9D420F" w14:textId="77777777" w:rsidR="003C6A19" w:rsidRPr="004F469F" w:rsidRDefault="003C6A19" w:rsidP="003C6A19">
            <w:pPr>
              <w:jc w:val="center"/>
              <w:rPr>
                <w:b/>
                <w:bCs/>
                <w:sz w:val="20"/>
                <w:szCs w:val="20"/>
              </w:rPr>
            </w:pPr>
            <w:r w:rsidRPr="004F469F">
              <w:rPr>
                <w:b/>
                <w:bCs/>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5DFC2E7C" w14:textId="77777777" w:rsidR="003C6A19" w:rsidRPr="004F469F" w:rsidRDefault="003C6A19" w:rsidP="003C6A19">
            <w:pPr>
              <w:jc w:val="center"/>
              <w:rPr>
                <w:b/>
                <w:bCs/>
                <w:sz w:val="20"/>
                <w:szCs w:val="20"/>
              </w:rPr>
            </w:pPr>
            <w:r w:rsidRPr="004F469F">
              <w:rPr>
                <w:b/>
                <w:bCs/>
                <w:sz w:val="20"/>
                <w:szCs w:val="20"/>
              </w:rPr>
              <w:t>63.3</w:t>
            </w:r>
          </w:p>
        </w:tc>
      </w:tr>
      <w:tr w:rsidR="00494669" w:rsidRPr="004F469F" w14:paraId="2384CA3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0B7A49" w14:textId="454563D3" w:rsidR="003C6A19" w:rsidRPr="004F469F" w:rsidRDefault="003C6A19" w:rsidP="003C6A19">
            <w:pPr>
              <w:jc w:val="center"/>
              <w:rPr>
                <w:rFonts w:eastAsia="Arial Unicode MS"/>
                <w:b/>
                <w:bCs/>
                <w:sz w:val="20"/>
                <w:szCs w:val="20"/>
              </w:rPr>
            </w:pPr>
            <w:r w:rsidRPr="004F469F">
              <w:rPr>
                <w:rFonts w:eastAsia="Arial Unicode MS"/>
                <w:b/>
                <w:bC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265F25A7" w14:textId="0C759FCC" w:rsidR="003C6A19" w:rsidRPr="004F469F" w:rsidRDefault="003C6A19" w:rsidP="003C6A19">
            <w:pPr>
              <w:jc w:val="center"/>
              <w:rPr>
                <w:b/>
                <w:bCs/>
                <w:sz w:val="20"/>
                <w:szCs w:val="20"/>
              </w:rPr>
            </w:pPr>
            <w:r w:rsidRPr="004F469F">
              <w:rPr>
                <w:b/>
                <w:bCs/>
                <w:sz w:val="20"/>
                <w:szCs w:val="20"/>
              </w:rPr>
              <w:t>Tuscaloosa-Birmingham, AL</w:t>
            </w:r>
          </w:p>
        </w:tc>
        <w:tc>
          <w:tcPr>
            <w:tcW w:w="0" w:type="auto"/>
            <w:tcBorders>
              <w:top w:val="nil"/>
              <w:left w:val="nil"/>
              <w:bottom w:val="single" w:sz="4" w:space="0" w:color="auto"/>
              <w:right w:val="single" w:sz="4" w:space="0" w:color="auto"/>
            </w:tcBorders>
            <w:shd w:val="clear" w:color="auto" w:fill="auto"/>
            <w:noWrap/>
            <w:vAlign w:val="center"/>
            <w:hideMark/>
          </w:tcPr>
          <w:p w14:paraId="2B343722"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D33E76D" w14:textId="77777777" w:rsidR="003C6A19" w:rsidRPr="004F469F" w:rsidRDefault="003C6A19" w:rsidP="003C6A19">
            <w:pPr>
              <w:jc w:val="center"/>
              <w:rPr>
                <w:b/>
                <w:bCs/>
                <w:sz w:val="20"/>
                <w:szCs w:val="20"/>
              </w:rPr>
            </w:pPr>
            <w:r w:rsidRPr="004F469F">
              <w:rPr>
                <w:b/>
                <w:bCs/>
                <w:sz w:val="20"/>
                <w:szCs w:val="20"/>
              </w:rPr>
              <w:t>308.7</w:t>
            </w:r>
          </w:p>
        </w:tc>
        <w:tc>
          <w:tcPr>
            <w:tcW w:w="0" w:type="auto"/>
            <w:tcBorders>
              <w:top w:val="nil"/>
              <w:left w:val="nil"/>
              <w:bottom w:val="single" w:sz="4" w:space="0" w:color="auto"/>
              <w:right w:val="single" w:sz="4" w:space="0" w:color="auto"/>
            </w:tcBorders>
            <w:shd w:val="clear" w:color="auto" w:fill="auto"/>
            <w:noWrap/>
            <w:vAlign w:val="center"/>
            <w:hideMark/>
          </w:tcPr>
          <w:p w14:paraId="1B41EC6F" w14:textId="77777777" w:rsidR="003C6A19" w:rsidRPr="004F469F" w:rsidRDefault="003C6A19" w:rsidP="003C6A19">
            <w:pPr>
              <w:jc w:val="center"/>
              <w:rPr>
                <w:b/>
                <w:bCs/>
                <w:sz w:val="20"/>
                <w:szCs w:val="20"/>
              </w:rPr>
            </w:pPr>
            <w:r w:rsidRPr="004F469F">
              <w:rPr>
                <w:b/>
                <w:bCs/>
                <w:sz w:val="20"/>
                <w:szCs w:val="20"/>
              </w:rPr>
              <w:t>64</w:t>
            </w:r>
          </w:p>
        </w:tc>
        <w:tc>
          <w:tcPr>
            <w:tcW w:w="0" w:type="auto"/>
            <w:tcBorders>
              <w:top w:val="nil"/>
              <w:left w:val="nil"/>
              <w:bottom w:val="single" w:sz="4" w:space="0" w:color="auto"/>
              <w:right w:val="single" w:sz="4" w:space="0" w:color="auto"/>
            </w:tcBorders>
            <w:shd w:val="clear" w:color="auto" w:fill="auto"/>
            <w:noWrap/>
            <w:vAlign w:val="center"/>
            <w:hideMark/>
          </w:tcPr>
          <w:p w14:paraId="4B181BC4" w14:textId="77777777" w:rsidR="003C6A19" w:rsidRPr="004F469F" w:rsidRDefault="003C6A19" w:rsidP="003C6A19">
            <w:pPr>
              <w:jc w:val="center"/>
              <w:rPr>
                <w:b/>
                <w:bCs/>
                <w:sz w:val="20"/>
                <w:szCs w:val="20"/>
              </w:rPr>
            </w:pPr>
            <w:r w:rsidRPr="004F469F">
              <w:rPr>
                <w:b/>
                <w:bCs/>
                <w:sz w:val="20"/>
                <w:szCs w:val="20"/>
              </w:rPr>
              <w:t>39,231</w:t>
            </w:r>
          </w:p>
        </w:tc>
        <w:tc>
          <w:tcPr>
            <w:tcW w:w="0" w:type="auto"/>
            <w:tcBorders>
              <w:top w:val="nil"/>
              <w:left w:val="nil"/>
              <w:bottom w:val="single" w:sz="4" w:space="0" w:color="auto"/>
              <w:right w:val="single" w:sz="4" w:space="0" w:color="auto"/>
            </w:tcBorders>
            <w:shd w:val="clear" w:color="auto" w:fill="auto"/>
            <w:noWrap/>
            <w:vAlign w:val="center"/>
            <w:hideMark/>
          </w:tcPr>
          <w:p w14:paraId="76EE05F1" w14:textId="77777777" w:rsidR="003C6A19" w:rsidRPr="004F469F" w:rsidRDefault="003C6A19" w:rsidP="003C6A19">
            <w:pPr>
              <w:jc w:val="center"/>
              <w:rPr>
                <w:b/>
                <w:bCs/>
                <w:sz w:val="20"/>
                <w:szCs w:val="20"/>
              </w:rPr>
            </w:pPr>
            <w:r w:rsidRPr="004F469F">
              <w:rPr>
                <w:b/>
                <w:bCs/>
                <w:sz w:val="20"/>
                <w:szCs w:val="20"/>
              </w:rPr>
              <w:t>41,949</w:t>
            </w:r>
          </w:p>
        </w:tc>
        <w:tc>
          <w:tcPr>
            <w:tcW w:w="0" w:type="auto"/>
            <w:tcBorders>
              <w:top w:val="nil"/>
              <w:left w:val="nil"/>
              <w:bottom w:val="single" w:sz="4" w:space="0" w:color="auto"/>
              <w:right w:val="single" w:sz="4" w:space="0" w:color="auto"/>
            </w:tcBorders>
            <w:shd w:val="clear" w:color="auto" w:fill="auto"/>
            <w:noWrap/>
            <w:vAlign w:val="center"/>
            <w:hideMark/>
          </w:tcPr>
          <w:p w14:paraId="2466E34B" w14:textId="77777777" w:rsidR="003C6A19" w:rsidRPr="004F469F" w:rsidRDefault="003C6A19" w:rsidP="003C6A19">
            <w:pPr>
              <w:jc w:val="center"/>
              <w:rPr>
                <w:b/>
                <w:bCs/>
                <w:sz w:val="20"/>
                <w:szCs w:val="20"/>
              </w:rPr>
            </w:pPr>
            <w:r w:rsidRPr="004F469F">
              <w:rPr>
                <w:b/>
                <w:bCs/>
                <w:sz w:val="20"/>
                <w:szCs w:val="20"/>
              </w:rPr>
              <w:t>102,942</w:t>
            </w:r>
          </w:p>
        </w:tc>
        <w:tc>
          <w:tcPr>
            <w:tcW w:w="0" w:type="auto"/>
            <w:tcBorders>
              <w:top w:val="nil"/>
              <w:left w:val="nil"/>
              <w:bottom w:val="single" w:sz="4" w:space="0" w:color="auto"/>
              <w:right w:val="single" w:sz="4" w:space="0" w:color="auto"/>
            </w:tcBorders>
            <w:shd w:val="clear" w:color="auto" w:fill="auto"/>
            <w:noWrap/>
            <w:vAlign w:val="center"/>
            <w:hideMark/>
          </w:tcPr>
          <w:p w14:paraId="1A2A67B9" w14:textId="77777777" w:rsidR="003C6A19" w:rsidRPr="004F469F" w:rsidRDefault="003C6A19" w:rsidP="003C6A19">
            <w:pPr>
              <w:jc w:val="center"/>
              <w:rPr>
                <w:b/>
                <w:bCs/>
                <w:sz w:val="20"/>
                <w:szCs w:val="20"/>
              </w:rPr>
            </w:pPr>
            <w:r w:rsidRPr="004F469F">
              <w:rPr>
                <w:b/>
                <w:bCs/>
                <w:sz w:val="20"/>
                <w:szCs w:val="20"/>
              </w:rPr>
              <w:t>52.2</w:t>
            </w:r>
          </w:p>
        </w:tc>
        <w:tc>
          <w:tcPr>
            <w:tcW w:w="0" w:type="auto"/>
            <w:tcBorders>
              <w:top w:val="nil"/>
              <w:left w:val="nil"/>
              <w:bottom w:val="single" w:sz="4" w:space="0" w:color="auto"/>
              <w:right w:val="single" w:sz="4" w:space="0" w:color="auto"/>
            </w:tcBorders>
            <w:shd w:val="clear" w:color="auto" w:fill="auto"/>
            <w:noWrap/>
            <w:vAlign w:val="center"/>
            <w:hideMark/>
          </w:tcPr>
          <w:p w14:paraId="67D9F5E0" w14:textId="77777777" w:rsidR="003C6A19" w:rsidRPr="004F469F" w:rsidRDefault="003C6A19" w:rsidP="003C6A19">
            <w:pPr>
              <w:jc w:val="center"/>
              <w:rPr>
                <w:b/>
                <w:bCs/>
                <w:sz w:val="20"/>
                <w:szCs w:val="20"/>
              </w:rPr>
            </w:pPr>
            <w:r w:rsidRPr="004F469F">
              <w:rPr>
                <w:b/>
                <w:bCs/>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2FBA9221" w14:textId="77777777" w:rsidR="003C6A19" w:rsidRPr="004F469F" w:rsidRDefault="003C6A19" w:rsidP="003C6A19">
            <w:pPr>
              <w:jc w:val="center"/>
              <w:rPr>
                <w:b/>
                <w:bCs/>
                <w:sz w:val="20"/>
                <w:szCs w:val="20"/>
              </w:rPr>
            </w:pPr>
            <w:r w:rsidRPr="004F469F">
              <w:rPr>
                <w:b/>
                <w:bCs/>
                <w:sz w:val="20"/>
                <w:szCs w:val="20"/>
              </w:rPr>
              <w:t>80.8</w:t>
            </w:r>
          </w:p>
        </w:tc>
      </w:tr>
      <w:tr w:rsidR="00494669" w:rsidRPr="004F469F" w14:paraId="3B92ECCC"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4E6BBC" w14:textId="17800A3D" w:rsidR="003C6A19" w:rsidRPr="004F469F" w:rsidRDefault="003C6A19" w:rsidP="003C6A19">
            <w:pPr>
              <w:jc w:val="center"/>
              <w:rPr>
                <w:rFonts w:eastAsia="Arial Unicode MS"/>
                <w:sz w:val="20"/>
                <w:szCs w:val="20"/>
              </w:rPr>
            </w:pPr>
            <w:r w:rsidRPr="004F469F">
              <w:rPr>
                <w:rFonts w:eastAsia="Arial Unicode M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3387D746" w14:textId="1FA9223F" w:rsidR="003C6A19" w:rsidRPr="004F469F" w:rsidRDefault="003C6A19" w:rsidP="003C6A19">
            <w:pPr>
              <w:jc w:val="center"/>
              <w:rPr>
                <w:sz w:val="20"/>
                <w:szCs w:val="20"/>
              </w:rPr>
            </w:pPr>
            <w:r w:rsidRPr="004F469F">
              <w:rPr>
                <w:sz w:val="20"/>
                <w:szCs w:val="20"/>
              </w:rPr>
              <w:t>Shoal Cr.-Ohatchee-Argo, AL</w:t>
            </w:r>
          </w:p>
        </w:tc>
        <w:tc>
          <w:tcPr>
            <w:tcW w:w="0" w:type="auto"/>
            <w:tcBorders>
              <w:top w:val="nil"/>
              <w:left w:val="nil"/>
              <w:bottom w:val="single" w:sz="4" w:space="0" w:color="auto"/>
              <w:right w:val="single" w:sz="4" w:space="0" w:color="auto"/>
            </w:tcBorders>
            <w:shd w:val="clear" w:color="auto" w:fill="auto"/>
            <w:noWrap/>
            <w:vAlign w:val="center"/>
            <w:hideMark/>
          </w:tcPr>
          <w:p w14:paraId="7D5A794F"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2ECC696" w14:textId="77777777" w:rsidR="003C6A19" w:rsidRPr="004F469F" w:rsidRDefault="003C6A19" w:rsidP="003C6A19">
            <w:pPr>
              <w:jc w:val="center"/>
              <w:rPr>
                <w:sz w:val="20"/>
                <w:szCs w:val="20"/>
              </w:rPr>
            </w:pPr>
            <w:r w:rsidRPr="004F469F">
              <w:rPr>
                <w:sz w:val="20"/>
                <w:szCs w:val="20"/>
              </w:rPr>
              <w:t>252.1</w:t>
            </w:r>
          </w:p>
        </w:tc>
        <w:tc>
          <w:tcPr>
            <w:tcW w:w="0" w:type="auto"/>
            <w:tcBorders>
              <w:top w:val="nil"/>
              <w:left w:val="nil"/>
              <w:bottom w:val="single" w:sz="4" w:space="0" w:color="auto"/>
              <w:right w:val="single" w:sz="4" w:space="0" w:color="auto"/>
            </w:tcBorders>
            <w:shd w:val="clear" w:color="auto" w:fill="auto"/>
            <w:noWrap/>
            <w:vAlign w:val="center"/>
            <w:hideMark/>
          </w:tcPr>
          <w:p w14:paraId="208B17C6" w14:textId="77777777" w:rsidR="003C6A19" w:rsidRPr="004F469F" w:rsidRDefault="003C6A19" w:rsidP="003C6A19">
            <w:pPr>
              <w:jc w:val="center"/>
              <w:rPr>
                <w:sz w:val="20"/>
                <w:szCs w:val="20"/>
              </w:rPr>
            </w:pPr>
            <w:r w:rsidRPr="004F469F">
              <w:rPr>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131BD203" w14:textId="77777777" w:rsidR="003C6A19" w:rsidRPr="004F469F" w:rsidRDefault="003C6A19" w:rsidP="003C6A19">
            <w:pPr>
              <w:jc w:val="center"/>
              <w:rPr>
                <w:sz w:val="20"/>
                <w:szCs w:val="20"/>
              </w:rPr>
            </w:pPr>
            <w:r w:rsidRPr="004F469F">
              <w:rPr>
                <w:sz w:val="20"/>
                <w:szCs w:val="20"/>
              </w:rPr>
              <w:t>7,887</w:t>
            </w:r>
          </w:p>
        </w:tc>
        <w:tc>
          <w:tcPr>
            <w:tcW w:w="0" w:type="auto"/>
            <w:tcBorders>
              <w:top w:val="nil"/>
              <w:left w:val="nil"/>
              <w:bottom w:val="single" w:sz="4" w:space="0" w:color="auto"/>
              <w:right w:val="single" w:sz="4" w:space="0" w:color="auto"/>
            </w:tcBorders>
            <w:shd w:val="clear" w:color="auto" w:fill="auto"/>
            <w:noWrap/>
            <w:vAlign w:val="center"/>
            <w:hideMark/>
          </w:tcPr>
          <w:p w14:paraId="2D5470B8" w14:textId="77777777" w:rsidR="003C6A19" w:rsidRPr="004F469F" w:rsidRDefault="003C6A19" w:rsidP="003C6A19">
            <w:pPr>
              <w:jc w:val="center"/>
              <w:rPr>
                <w:sz w:val="20"/>
                <w:szCs w:val="20"/>
              </w:rPr>
            </w:pPr>
            <w:r w:rsidRPr="004F469F">
              <w:rPr>
                <w:sz w:val="20"/>
                <w:szCs w:val="20"/>
              </w:rPr>
              <w:t>10,969</w:t>
            </w:r>
          </w:p>
        </w:tc>
        <w:tc>
          <w:tcPr>
            <w:tcW w:w="0" w:type="auto"/>
            <w:tcBorders>
              <w:top w:val="nil"/>
              <w:left w:val="nil"/>
              <w:bottom w:val="single" w:sz="4" w:space="0" w:color="auto"/>
              <w:right w:val="single" w:sz="4" w:space="0" w:color="auto"/>
            </w:tcBorders>
            <w:shd w:val="clear" w:color="auto" w:fill="auto"/>
            <w:noWrap/>
            <w:vAlign w:val="center"/>
            <w:hideMark/>
          </w:tcPr>
          <w:p w14:paraId="1B74FC17" w14:textId="77777777" w:rsidR="003C6A19" w:rsidRPr="004F469F" w:rsidRDefault="003C6A19" w:rsidP="003C6A19">
            <w:pPr>
              <w:jc w:val="center"/>
              <w:rPr>
                <w:sz w:val="20"/>
                <w:szCs w:val="20"/>
              </w:rPr>
            </w:pPr>
            <w:r w:rsidRPr="004F469F">
              <w:rPr>
                <w:sz w:val="20"/>
                <w:szCs w:val="20"/>
              </w:rPr>
              <w:t>17,661</w:t>
            </w:r>
          </w:p>
        </w:tc>
        <w:tc>
          <w:tcPr>
            <w:tcW w:w="0" w:type="auto"/>
            <w:tcBorders>
              <w:top w:val="nil"/>
              <w:left w:val="nil"/>
              <w:bottom w:val="single" w:sz="4" w:space="0" w:color="auto"/>
              <w:right w:val="single" w:sz="4" w:space="0" w:color="auto"/>
            </w:tcBorders>
            <w:shd w:val="clear" w:color="auto" w:fill="auto"/>
            <w:noWrap/>
            <w:vAlign w:val="center"/>
            <w:hideMark/>
          </w:tcPr>
          <w:p w14:paraId="71F7CF80" w14:textId="77777777" w:rsidR="003C6A19" w:rsidRPr="004F469F" w:rsidRDefault="003C6A19" w:rsidP="003C6A19">
            <w:pPr>
              <w:jc w:val="center"/>
              <w:rPr>
                <w:sz w:val="20"/>
                <w:szCs w:val="20"/>
              </w:rPr>
            </w:pPr>
            <w:r w:rsidRPr="004F469F">
              <w:rPr>
                <w:sz w:val="20"/>
                <w:szCs w:val="20"/>
              </w:rPr>
              <w:t>88.9</w:t>
            </w:r>
          </w:p>
        </w:tc>
        <w:tc>
          <w:tcPr>
            <w:tcW w:w="0" w:type="auto"/>
            <w:tcBorders>
              <w:top w:val="nil"/>
              <w:left w:val="nil"/>
              <w:bottom w:val="single" w:sz="4" w:space="0" w:color="auto"/>
              <w:right w:val="single" w:sz="4" w:space="0" w:color="auto"/>
            </w:tcBorders>
            <w:shd w:val="clear" w:color="auto" w:fill="auto"/>
            <w:noWrap/>
            <w:vAlign w:val="center"/>
            <w:hideMark/>
          </w:tcPr>
          <w:p w14:paraId="4AE056D6" w14:textId="77777777" w:rsidR="003C6A19" w:rsidRPr="004F469F" w:rsidRDefault="003C6A19" w:rsidP="003C6A19">
            <w:pPr>
              <w:jc w:val="center"/>
              <w:rPr>
                <w:sz w:val="20"/>
                <w:szCs w:val="20"/>
              </w:rPr>
            </w:pPr>
            <w:r w:rsidRPr="004F469F">
              <w:rPr>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1B703AF8" w14:textId="36937AFE" w:rsidR="003C6A19" w:rsidRPr="004F469F" w:rsidRDefault="003C6A19" w:rsidP="003C6A19">
            <w:pPr>
              <w:jc w:val="center"/>
              <w:rPr>
                <w:sz w:val="20"/>
                <w:szCs w:val="20"/>
              </w:rPr>
            </w:pPr>
            <w:r w:rsidRPr="004F469F">
              <w:rPr>
                <w:sz w:val="20"/>
                <w:szCs w:val="20"/>
              </w:rPr>
              <w:t>-</w:t>
            </w:r>
          </w:p>
        </w:tc>
      </w:tr>
      <w:tr w:rsidR="00494669" w:rsidRPr="004F469F" w14:paraId="429ABF42"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932A80" w14:textId="52E22D47" w:rsidR="003C6A19" w:rsidRPr="004F469F" w:rsidRDefault="003C6A19" w:rsidP="003C6A19">
            <w:pPr>
              <w:jc w:val="center"/>
              <w:rPr>
                <w:rFonts w:eastAsia="Arial Unicode MS"/>
                <w:b/>
                <w:bCs/>
                <w:sz w:val="20"/>
                <w:szCs w:val="20"/>
              </w:rPr>
            </w:pPr>
            <w:r w:rsidRPr="004F469F">
              <w:rPr>
                <w:rFonts w:eastAsia="Arial Unicode MS"/>
                <w:b/>
                <w:bCs/>
                <w:sz w:val="20"/>
                <w:szCs w:val="20"/>
              </w:rPr>
              <w:t>3 May 1999</w:t>
            </w:r>
          </w:p>
        </w:tc>
        <w:tc>
          <w:tcPr>
            <w:tcW w:w="0" w:type="auto"/>
            <w:tcBorders>
              <w:top w:val="nil"/>
              <w:left w:val="nil"/>
              <w:bottom w:val="single" w:sz="4" w:space="0" w:color="auto"/>
              <w:right w:val="single" w:sz="4" w:space="0" w:color="auto"/>
            </w:tcBorders>
            <w:shd w:val="clear" w:color="auto" w:fill="auto"/>
            <w:noWrap/>
            <w:vAlign w:val="center"/>
            <w:hideMark/>
          </w:tcPr>
          <w:p w14:paraId="3ED2228D" w14:textId="1004424C" w:rsidR="003C6A19" w:rsidRPr="004F469F" w:rsidRDefault="003C6A19" w:rsidP="003C6A19">
            <w:pPr>
              <w:jc w:val="center"/>
              <w:rPr>
                <w:b/>
                <w:bCs/>
                <w:sz w:val="20"/>
                <w:szCs w:val="20"/>
              </w:rPr>
            </w:pPr>
            <w:r w:rsidRPr="004F469F">
              <w:rPr>
                <w:b/>
                <w:bCs/>
                <w:sz w:val="20"/>
                <w:szCs w:val="20"/>
              </w:rPr>
              <w:t>Bridge Creek-Moore, OK</w:t>
            </w:r>
          </w:p>
        </w:tc>
        <w:tc>
          <w:tcPr>
            <w:tcW w:w="0" w:type="auto"/>
            <w:tcBorders>
              <w:top w:val="nil"/>
              <w:left w:val="nil"/>
              <w:bottom w:val="single" w:sz="4" w:space="0" w:color="auto"/>
              <w:right w:val="single" w:sz="4" w:space="0" w:color="auto"/>
            </w:tcBorders>
            <w:shd w:val="clear" w:color="auto" w:fill="auto"/>
            <w:noWrap/>
            <w:vAlign w:val="center"/>
            <w:hideMark/>
          </w:tcPr>
          <w:p w14:paraId="1E8461F4"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57AE823D" w14:textId="77777777" w:rsidR="003C6A19" w:rsidRPr="004F469F" w:rsidRDefault="003C6A19" w:rsidP="003C6A19">
            <w:pPr>
              <w:jc w:val="center"/>
              <w:rPr>
                <w:b/>
                <w:bCs/>
                <w:sz w:val="20"/>
                <w:szCs w:val="20"/>
              </w:rPr>
            </w:pPr>
            <w:r w:rsidRPr="004F469F">
              <w:rPr>
                <w:b/>
                <w:bCs/>
                <w:sz w:val="20"/>
                <w:szCs w:val="20"/>
              </w:rPr>
              <w:t>77.9</w:t>
            </w:r>
          </w:p>
        </w:tc>
        <w:tc>
          <w:tcPr>
            <w:tcW w:w="0" w:type="auto"/>
            <w:tcBorders>
              <w:top w:val="nil"/>
              <w:left w:val="nil"/>
              <w:bottom w:val="single" w:sz="4" w:space="0" w:color="auto"/>
              <w:right w:val="single" w:sz="4" w:space="0" w:color="auto"/>
            </w:tcBorders>
            <w:shd w:val="clear" w:color="auto" w:fill="auto"/>
            <w:noWrap/>
            <w:vAlign w:val="center"/>
            <w:hideMark/>
          </w:tcPr>
          <w:p w14:paraId="5CC74BA1" w14:textId="77777777" w:rsidR="003C6A19" w:rsidRPr="004F469F" w:rsidRDefault="003C6A19" w:rsidP="003C6A19">
            <w:pPr>
              <w:jc w:val="center"/>
              <w:rPr>
                <w:b/>
                <w:bCs/>
                <w:sz w:val="20"/>
                <w:szCs w:val="20"/>
              </w:rPr>
            </w:pPr>
            <w:r w:rsidRPr="004F469F">
              <w:rPr>
                <w:b/>
                <w:bCs/>
                <w:sz w:val="20"/>
                <w:szCs w:val="20"/>
              </w:rPr>
              <w:t>36</w:t>
            </w:r>
          </w:p>
        </w:tc>
        <w:tc>
          <w:tcPr>
            <w:tcW w:w="0" w:type="auto"/>
            <w:tcBorders>
              <w:top w:val="nil"/>
              <w:left w:val="nil"/>
              <w:bottom w:val="single" w:sz="4" w:space="0" w:color="auto"/>
              <w:right w:val="single" w:sz="4" w:space="0" w:color="auto"/>
            </w:tcBorders>
            <w:shd w:val="clear" w:color="auto" w:fill="auto"/>
            <w:noWrap/>
            <w:vAlign w:val="center"/>
            <w:hideMark/>
          </w:tcPr>
          <w:p w14:paraId="64AD47C9" w14:textId="77777777" w:rsidR="003C6A19" w:rsidRPr="004F469F" w:rsidRDefault="003C6A19" w:rsidP="003C6A19">
            <w:pPr>
              <w:jc w:val="center"/>
              <w:rPr>
                <w:b/>
                <w:bCs/>
                <w:sz w:val="20"/>
                <w:szCs w:val="20"/>
              </w:rPr>
            </w:pPr>
            <w:r w:rsidRPr="004F469F">
              <w:rPr>
                <w:b/>
                <w:bCs/>
                <w:sz w:val="20"/>
                <w:szCs w:val="20"/>
              </w:rPr>
              <w:t>23,649</w:t>
            </w:r>
          </w:p>
        </w:tc>
        <w:tc>
          <w:tcPr>
            <w:tcW w:w="0" w:type="auto"/>
            <w:tcBorders>
              <w:top w:val="nil"/>
              <w:left w:val="nil"/>
              <w:bottom w:val="single" w:sz="4" w:space="0" w:color="auto"/>
              <w:right w:val="single" w:sz="4" w:space="0" w:color="auto"/>
            </w:tcBorders>
            <w:shd w:val="clear" w:color="auto" w:fill="auto"/>
            <w:noWrap/>
            <w:vAlign w:val="center"/>
            <w:hideMark/>
          </w:tcPr>
          <w:p w14:paraId="66A7E43A" w14:textId="77777777" w:rsidR="003C6A19" w:rsidRPr="004F469F" w:rsidRDefault="003C6A19" w:rsidP="003C6A19">
            <w:pPr>
              <w:jc w:val="center"/>
              <w:rPr>
                <w:b/>
                <w:bCs/>
                <w:sz w:val="20"/>
                <w:szCs w:val="20"/>
              </w:rPr>
            </w:pPr>
            <w:r w:rsidRPr="004F469F">
              <w:rPr>
                <w:b/>
                <w:bCs/>
                <w:sz w:val="20"/>
                <w:szCs w:val="20"/>
              </w:rPr>
              <w:t>18,992</w:t>
            </w:r>
          </w:p>
        </w:tc>
        <w:tc>
          <w:tcPr>
            <w:tcW w:w="0" w:type="auto"/>
            <w:tcBorders>
              <w:top w:val="nil"/>
              <w:left w:val="nil"/>
              <w:bottom w:val="single" w:sz="4" w:space="0" w:color="auto"/>
              <w:right w:val="single" w:sz="4" w:space="0" w:color="auto"/>
            </w:tcBorders>
            <w:shd w:val="clear" w:color="auto" w:fill="auto"/>
            <w:noWrap/>
            <w:vAlign w:val="center"/>
            <w:hideMark/>
          </w:tcPr>
          <w:p w14:paraId="51EB68B9" w14:textId="77777777" w:rsidR="003C6A19" w:rsidRPr="004F469F" w:rsidRDefault="003C6A19" w:rsidP="003C6A19">
            <w:pPr>
              <w:jc w:val="center"/>
              <w:rPr>
                <w:b/>
                <w:bCs/>
                <w:sz w:val="20"/>
                <w:szCs w:val="20"/>
              </w:rPr>
            </w:pPr>
            <w:r w:rsidRPr="004F469F">
              <w:rPr>
                <w:b/>
                <w:bCs/>
                <w:sz w:val="20"/>
                <w:szCs w:val="20"/>
              </w:rPr>
              <w:t>37,617</w:t>
            </w:r>
          </w:p>
        </w:tc>
        <w:tc>
          <w:tcPr>
            <w:tcW w:w="0" w:type="auto"/>
            <w:tcBorders>
              <w:top w:val="nil"/>
              <w:left w:val="nil"/>
              <w:bottom w:val="single" w:sz="4" w:space="0" w:color="auto"/>
              <w:right w:val="single" w:sz="4" w:space="0" w:color="auto"/>
            </w:tcBorders>
            <w:shd w:val="clear" w:color="auto" w:fill="auto"/>
            <w:noWrap/>
            <w:vAlign w:val="center"/>
            <w:hideMark/>
          </w:tcPr>
          <w:p w14:paraId="4F1D7160" w14:textId="77777777" w:rsidR="003C6A19" w:rsidRPr="004F469F" w:rsidRDefault="003C6A19" w:rsidP="003C6A19">
            <w:pPr>
              <w:jc w:val="center"/>
              <w:rPr>
                <w:b/>
                <w:bCs/>
                <w:sz w:val="20"/>
                <w:szCs w:val="20"/>
              </w:rPr>
            </w:pPr>
            <w:r w:rsidRPr="004F469F">
              <w:rPr>
                <w:b/>
                <w:bCs/>
                <w:sz w:val="20"/>
                <w:szCs w:val="20"/>
              </w:rPr>
              <w:t>30.6</w:t>
            </w:r>
          </w:p>
        </w:tc>
        <w:tc>
          <w:tcPr>
            <w:tcW w:w="0" w:type="auto"/>
            <w:tcBorders>
              <w:top w:val="nil"/>
              <w:left w:val="nil"/>
              <w:bottom w:val="single" w:sz="4" w:space="0" w:color="auto"/>
              <w:right w:val="single" w:sz="4" w:space="0" w:color="auto"/>
            </w:tcBorders>
            <w:shd w:val="clear" w:color="auto" w:fill="auto"/>
            <w:noWrap/>
            <w:vAlign w:val="center"/>
            <w:hideMark/>
          </w:tcPr>
          <w:p w14:paraId="3793467E" w14:textId="77777777" w:rsidR="003C6A19" w:rsidRPr="004F469F" w:rsidRDefault="003C6A19" w:rsidP="003C6A19">
            <w:pPr>
              <w:jc w:val="center"/>
              <w:rPr>
                <w:b/>
                <w:bCs/>
                <w:sz w:val="20"/>
                <w:szCs w:val="20"/>
              </w:rPr>
            </w:pPr>
            <w:r w:rsidRPr="004F469F">
              <w:rPr>
                <w:b/>
                <w:bCs/>
                <w:sz w:val="20"/>
                <w:szCs w:val="20"/>
              </w:rPr>
              <w:t>94.7</w:t>
            </w:r>
          </w:p>
        </w:tc>
        <w:tc>
          <w:tcPr>
            <w:tcW w:w="0" w:type="auto"/>
            <w:tcBorders>
              <w:top w:val="nil"/>
              <w:left w:val="nil"/>
              <w:bottom w:val="single" w:sz="4" w:space="0" w:color="auto"/>
              <w:right w:val="single" w:sz="4" w:space="0" w:color="auto"/>
            </w:tcBorders>
            <w:shd w:val="clear" w:color="auto" w:fill="auto"/>
            <w:noWrap/>
            <w:vAlign w:val="center"/>
            <w:hideMark/>
          </w:tcPr>
          <w:p w14:paraId="280428B7" w14:textId="77777777" w:rsidR="003C6A19" w:rsidRPr="004F469F" w:rsidRDefault="003C6A19" w:rsidP="003C6A19">
            <w:pPr>
              <w:jc w:val="center"/>
              <w:rPr>
                <w:b/>
                <w:bCs/>
                <w:sz w:val="20"/>
                <w:szCs w:val="20"/>
              </w:rPr>
            </w:pPr>
            <w:r w:rsidRPr="004F469F">
              <w:rPr>
                <w:b/>
                <w:bCs/>
                <w:sz w:val="20"/>
                <w:szCs w:val="20"/>
              </w:rPr>
              <w:t>45.5</w:t>
            </w:r>
          </w:p>
        </w:tc>
      </w:tr>
      <w:tr w:rsidR="00494669" w:rsidRPr="004F469F" w14:paraId="1841AA0F"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A82B75" w14:textId="0E700806" w:rsidR="003C6A19" w:rsidRPr="004F469F" w:rsidRDefault="003C6A19" w:rsidP="003C6A19">
            <w:pPr>
              <w:jc w:val="center"/>
              <w:rPr>
                <w:rFonts w:eastAsia="Arial Unicode MS"/>
                <w:b/>
                <w:bCs/>
                <w:sz w:val="20"/>
                <w:szCs w:val="20"/>
              </w:rPr>
            </w:pPr>
            <w:r w:rsidRPr="004F469F">
              <w:rPr>
                <w:rFonts w:eastAsia="Arial Unicode MS"/>
                <w:b/>
                <w:bCs/>
                <w:sz w:val="20"/>
                <w:szCs w:val="20"/>
              </w:rPr>
              <w:t>10 May 2010</w:t>
            </w:r>
          </w:p>
        </w:tc>
        <w:tc>
          <w:tcPr>
            <w:tcW w:w="0" w:type="auto"/>
            <w:tcBorders>
              <w:top w:val="nil"/>
              <w:left w:val="nil"/>
              <w:bottom w:val="single" w:sz="4" w:space="0" w:color="auto"/>
              <w:right w:val="single" w:sz="4" w:space="0" w:color="auto"/>
            </w:tcBorders>
            <w:shd w:val="clear" w:color="auto" w:fill="auto"/>
            <w:noWrap/>
            <w:vAlign w:val="center"/>
            <w:hideMark/>
          </w:tcPr>
          <w:p w14:paraId="5F97F13B" w14:textId="76912860" w:rsidR="003C6A19" w:rsidRPr="004F469F" w:rsidRDefault="003C6A19" w:rsidP="003C6A19">
            <w:pPr>
              <w:jc w:val="center"/>
              <w:rPr>
                <w:b/>
                <w:bCs/>
                <w:sz w:val="20"/>
                <w:szCs w:val="20"/>
              </w:rPr>
            </w:pPr>
            <w:r w:rsidRPr="004F469F">
              <w:rPr>
                <w:b/>
                <w:bCs/>
                <w:sz w:val="20"/>
                <w:szCs w:val="20"/>
              </w:rPr>
              <w:t>Moore-Choctaw, OK</w:t>
            </w:r>
          </w:p>
        </w:tc>
        <w:tc>
          <w:tcPr>
            <w:tcW w:w="0" w:type="auto"/>
            <w:tcBorders>
              <w:top w:val="nil"/>
              <w:left w:val="nil"/>
              <w:bottom w:val="single" w:sz="4" w:space="0" w:color="auto"/>
              <w:right w:val="single" w:sz="4" w:space="0" w:color="auto"/>
            </w:tcBorders>
            <w:shd w:val="clear" w:color="auto" w:fill="auto"/>
            <w:noWrap/>
            <w:vAlign w:val="center"/>
            <w:hideMark/>
          </w:tcPr>
          <w:p w14:paraId="630E5A72"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8B0A47A" w14:textId="77777777" w:rsidR="003C6A19" w:rsidRPr="004F469F" w:rsidRDefault="003C6A19" w:rsidP="003C6A19">
            <w:pPr>
              <w:jc w:val="center"/>
              <w:rPr>
                <w:b/>
                <w:bCs/>
                <w:sz w:val="20"/>
                <w:szCs w:val="20"/>
              </w:rPr>
            </w:pPr>
            <w:r w:rsidRPr="004F469F">
              <w:rPr>
                <w:b/>
                <w:bCs/>
                <w:sz w:val="20"/>
                <w:szCs w:val="20"/>
              </w:rPr>
              <w:t>70.6</w:t>
            </w:r>
          </w:p>
        </w:tc>
        <w:tc>
          <w:tcPr>
            <w:tcW w:w="0" w:type="auto"/>
            <w:tcBorders>
              <w:top w:val="nil"/>
              <w:left w:val="nil"/>
              <w:bottom w:val="single" w:sz="4" w:space="0" w:color="auto"/>
              <w:right w:val="single" w:sz="4" w:space="0" w:color="auto"/>
            </w:tcBorders>
            <w:shd w:val="clear" w:color="auto" w:fill="auto"/>
            <w:noWrap/>
            <w:vAlign w:val="center"/>
            <w:hideMark/>
          </w:tcPr>
          <w:p w14:paraId="6BA2A6B9" w14:textId="77777777" w:rsidR="003C6A19" w:rsidRPr="004F469F" w:rsidRDefault="003C6A19" w:rsidP="003C6A19">
            <w:pPr>
              <w:jc w:val="center"/>
              <w:rPr>
                <w:b/>
                <w:bCs/>
                <w:sz w:val="20"/>
                <w:szCs w:val="20"/>
              </w:rPr>
            </w:pPr>
            <w:r w:rsidRPr="004F469F">
              <w:rPr>
                <w:b/>
                <w:bCs/>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59E2EF35" w14:textId="77777777" w:rsidR="003C6A19" w:rsidRPr="004F469F" w:rsidRDefault="003C6A19" w:rsidP="003C6A19">
            <w:pPr>
              <w:jc w:val="center"/>
              <w:rPr>
                <w:b/>
                <w:bCs/>
                <w:sz w:val="20"/>
                <w:szCs w:val="20"/>
              </w:rPr>
            </w:pPr>
            <w:r w:rsidRPr="004F469F">
              <w:rPr>
                <w:b/>
                <w:bCs/>
                <w:sz w:val="20"/>
                <w:szCs w:val="20"/>
              </w:rPr>
              <w:t>10,582</w:t>
            </w:r>
          </w:p>
        </w:tc>
        <w:tc>
          <w:tcPr>
            <w:tcW w:w="0" w:type="auto"/>
            <w:tcBorders>
              <w:top w:val="nil"/>
              <w:left w:val="nil"/>
              <w:bottom w:val="single" w:sz="4" w:space="0" w:color="auto"/>
              <w:right w:val="single" w:sz="4" w:space="0" w:color="auto"/>
            </w:tcBorders>
            <w:shd w:val="clear" w:color="auto" w:fill="auto"/>
            <w:noWrap/>
            <w:vAlign w:val="center"/>
            <w:hideMark/>
          </w:tcPr>
          <w:p w14:paraId="71FFA296" w14:textId="77777777" w:rsidR="003C6A19" w:rsidRPr="004F469F" w:rsidRDefault="003C6A19" w:rsidP="003C6A19">
            <w:pPr>
              <w:jc w:val="center"/>
              <w:rPr>
                <w:b/>
                <w:bCs/>
                <w:sz w:val="20"/>
                <w:szCs w:val="20"/>
              </w:rPr>
            </w:pPr>
            <w:r w:rsidRPr="004F469F">
              <w:rPr>
                <w:b/>
                <w:bCs/>
                <w:sz w:val="20"/>
                <w:szCs w:val="20"/>
              </w:rPr>
              <w:t>11,710</w:t>
            </w:r>
          </w:p>
        </w:tc>
        <w:tc>
          <w:tcPr>
            <w:tcW w:w="0" w:type="auto"/>
            <w:tcBorders>
              <w:top w:val="nil"/>
              <w:left w:val="nil"/>
              <w:bottom w:val="single" w:sz="4" w:space="0" w:color="auto"/>
              <w:right w:val="single" w:sz="4" w:space="0" w:color="auto"/>
            </w:tcBorders>
            <w:shd w:val="clear" w:color="auto" w:fill="auto"/>
            <w:noWrap/>
            <w:vAlign w:val="center"/>
            <w:hideMark/>
          </w:tcPr>
          <w:p w14:paraId="770D48A1" w14:textId="77777777" w:rsidR="003C6A19" w:rsidRPr="004F469F" w:rsidRDefault="003C6A19" w:rsidP="003C6A19">
            <w:pPr>
              <w:jc w:val="center"/>
              <w:rPr>
                <w:b/>
                <w:bCs/>
                <w:sz w:val="20"/>
                <w:szCs w:val="20"/>
              </w:rPr>
            </w:pPr>
            <w:r w:rsidRPr="004F469F">
              <w:rPr>
                <w:b/>
                <w:bCs/>
                <w:sz w:val="20"/>
                <w:szCs w:val="20"/>
              </w:rPr>
              <w:t>55,020</w:t>
            </w:r>
          </w:p>
        </w:tc>
        <w:tc>
          <w:tcPr>
            <w:tcW w:w="0" w:type="auto"/>
            <w:tcBorders>
              <w:top w:val="nil"/>
              <w:left w:val="nil"/>
              <w:bottom w:val="single" w:sz="4" w:space="0" w:color="auto"/>
              <w:right w:val="single" w:sz="4" w:space="0" w:color="auto"/>
            </w:tcBorders>
            <w:shd w:val="clear" w:color="auto" w:fill="auto"/>
            <w:noWrap/>
            <w:vAlign w:val="center"/>
            <w:hideMark/>
          </w:tcPr>
          <w:p w14:paraId="53A8374E" w14:textId="77777777" w:rsidR="003C6A19" w:rsidRPr="004F469F" w:rsidRDefault="003C6A19" w:rsidP="003C6A19">
            <w:pPr>
              <w:jc w:val="center"/>
              <w:rPr>
                <w:b/>
                <w:bCs/>
                <w:sz w:val="20"/>
                <w:szCs w:val="20"/>
              </w:rPr>
            </w:pPr>
            <w:r w:rsidRPr="004F469F">
              <w:rPr>
                <w:b/>
                <w:bCs/>
                <w:sz w:val="20"/>
                <w:szCs w:val="20"/>
              </w:rPr>
              <w:t>53</w:t>
            </w:r>
          </w:p>
        </w:tc>
        <w:tc>
          <w:tcPr>
            <w:tcW w:w="0" w:type="auto"/>
            <w:tcBorders>
              <w:top w:val="nil"/>
              <w:left w:val="nil"/>
              <w:bottom w:val="single" w:sz="4" w:space="0" w:color="auto"/>
              <w:right w:val="single" w:sz="4" w:space="0" w:color="auto"/>
            </w:tcBorders>
            <w:shd w:val="clear" w:color="auto" w:fill="auto"/>
            <w:noWrap/>
            <w:vAlign w:val="center"/>
            <w:hideMark/>
          </w:tcPr>
          <w:p w14:paraId="775E9E0C" w14:textId="77777777" w:rsidR="003C6A19" w:rsidRPr="004F469F" w:rsidRDefault="003C6A19" w:rsidP="003C6A19">
            <w:pPr>
              <w:jc w:val="center"/>
              <w:rPr>
                <w:b/>
                <w:bCs/>
                <w:sz w:val="20"/>
                <w:szCs w:val="20"/>
              </w:rPr>
            </w:pPr>
            <w:r w:rsidRPr="004F469F">
              <w:rPr>
                <w:b/>
                <w:bCs/>
                <w:sz w:val="20"/>
                <w:szCs w:val="20"/>
              </w:rPr>
              <w:t>90.5</w:t>
            </w:r>
          </w:p>
        </w:tc>
        <w:tc>
          <w:tcPr>
            <w:tcW w:w="0" w:type="auto"/>
            <w:tcBorders>
              <w:top w:val="nil"/>
              <w:left w:val="nil"/>
              <w:bottom w:val="single" w:sz="4" w:space="0" w:color="auto"/>
              <w:right w:val="single" w:sz="4" w:space="0" w:color="auto"/>
            </w:tcBorders>
            <w:shd w:val="clear" w:color="auto" w:fill="auto"/>
            <w:noWrap/>
            <w:vAlign w:val="center"/>
            <w:hideMark/>
          </w:tcPr>
          <w:p w14:paraId="03E23616" w14:textId="77777777" w:rsidR="003C6A19" w:rsidRPr="004F469F" w:rsidRDefault="003C6A19" w:rsidP="003C6A19">
            <w:pPr>
              <w:jc w:val="center"/>
              <w:rPr>
                <w:b/>
                <w:bCs/>
                <w:sz w:val="20"/>
                <w:szCs w:val="20"/>
              </w:rPr>
            </w:pPr>
            <w:r w:rsidRPr="004F469F">
              <w:rPr>
                <w:b/>
                <w:bCs/>
                <w:sz w:val="20"/>
                <w:szCs w:val="20"/>
              </w:rPr>
              <w:t>30.1</w:t>
            </w:r>
          </w:p>
        </w:tc>
      </w:tr>
      <w:tr w:rsidR="00494669" w:rsidRPr="004F469F" w14:paraId="7CFDBCC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25C08A" w14:textId="39C6D87F" w:rsidR="003C6A19" w:rsidRPr="004F469F" w:rsidRDefault="003C6A19" w:rsidP="003C6A19">
            <w:pPr>
              <w:jc w:val="center"/>
              <w:rPr>
                <w:rFonts w:eastAsia="Arial Unicode MS"/>
                <w:sz w:val="20"/>
                <w:szCs w:val="20"/>
              </w:rPr>
            </w:pPr>
            <w:r w:rsidRPr="004F469F">
              <w:rPr>
                <w:rFonts w:eastAsia="Arial Unicode MS"/>
                <w:sz w:val="20"/>
                <w:szCs w:val="20"/>
              </w:rPr>
              <w:t>4 May 2003</w:t>
            </w:r>
          </w:p>
        </w:tc>
        <w:tc>
          <w:tcPr>
            <w:tcW w:w="0" w:type="auto"/>
            <w:tcBorders>
              <w:top w:val="nil"/>
              <w:left w:val="nil"/>
              <w:bottom w:val="single" w:sz="4" w:space="0" w:color="auto"/>
              <w:right w:val="single" w:sz="4" w:space="0" w:color="auto"/>
            </w:tcBorders>
            <w:shd w:val="clear" w:color="auto" w:fill="auto"/>
            <w:noWrap/>
            <w:vAlign w:val="center"/>
            <w:hideMark/>
          </w:tcPr>
          <w:p w14:paraId="055845BA" w14:textId="02492E91" w:rsidR="003C6A19" w:rsidRPr="004F469F" w:rsidRDefault="003C6A19" w:rsidP="003C6A19">
            <w:pPr>
              <w:jc w:val="center"/>
              <w:rPr>
                <w:sz w:val="20"/>
                <w:szCs w:val="20"/>
              </w:rPr>
            </w:pPr>
            <w:r w:rsidRPr="004F469F">
              <w:rPr>
                <w:sz w:val="20"/>
                <w:szCs w:val="20"/>
              </w:rPr>
              <w:t>Franklin, KS</w:t>
            </w:r>
          </w:p>
        </w:tc>
        <w:tc>
          <w:tcPr>
            <w:tcW w:w="0" w:type="auto"/>
            <w:tcBorders>
              <w:top w:val="nil"/>
              <w:left w:val="nil"/>
              <w:bottom w:val="single" w:sz="4" w:space="0" w:color="auto"/>
              <w:right w:val="single" w:sz="4" w:space="0" w:color="auto"/>
            </w:tcBorders>
            <w:shd w:val="clear" w:color="auto" w:fill="auto"/>
            <w:noWrap/>
            <w:vAlign w:val="center"/>
            <w:hideMark/>
          </w:tcPr>
          <w:p w14:paraId="2677B103"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8CE7BA8" w14:textId="77777777" w:rsidR="003C6A19" w:rsidRPr="004F469F" w:rsidRDefault="003C6A19" w:rsidP="003C6A19">
            <w:pPr>
              <w:jc w:val="center"/>
              <w:rPr>
                <w:sz w:val="20"/>
                <w:szCs w:val="20"/>
              </w:rPr>
            </w:pPr>
            <w:r w:rsidRPr="004F469F">
              <w:rPr>
                <w:sz w:val="20"/>
                <w:szCs w:val="20"/>
              </w:rPr>
              <w:t>15.5</w:t>
            </w:r>
          </w:p>
        </w:tc>
        <w:tc>
          <w:tcPr>
            <w:tcW w:w="0" w:type="auto"/>
            <w:tcBorders>
              <w:top w:val="nil"/>
              <w:left w:val="nil"/>
              <w:bottom w:val="single" w:sz="4" w:space="0" w:color="auto"/>
              <w:right w:val="single" w:sz="4" w:space="0" w:color="auto"/>
            </w:tcBorders>
            <w:shd w:val="clear" w:color="auto" w:fill="auto"/>
            <w:noWrap/>
            <w:vAlign w:val="center"/>
            <w:hideMark/>
          </w:tcPr>
          <w:p w14:paraId="046AC562" w14:textId="77777777" w:rsidR="003C6A19" w:rsidRPr="004F469F" w:rsidRDefault="003C6A19" w:rsidP="003C6A19">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0F2302EB" w14:textId="77777777" w:rsidR="003C6A19" w:rsidRPr="004F469F" w:rsidRDefault="003C6A19" w:rsidP="003C6A19">
            <w:pPr>
              <w:jc w:val="center"/>
              <w:rPr>
                <w:sz w:val="20"/>
                <w:szCs w:val="20"/>
              </w:rPr>
            </w:pPr>
            <w:r w:rsidRPr="004F469F">
              <w:rPr>
                <w:sz w:val="20"/>
                <w:szCs w:val="20"/>
              </w:rPr>
              <w:t>8,848</w:t>
            </w:r>
          </w:p>
        </w:tc>
        <w:tc>
          <w:tcPr>
            <w:tcW w:w="0" w:type="auto"/>
            <w:tcBorders>
              <w:top w:val="nil"/>
              <w:left w:val="nil"/>
              <w:bottom w:val="single" w:sz="4" w:space="0" w:color="auto"/>
              <w:right w:val="single" w:sz="4" w:space="0" w:color="auto"/>
            </w:tcBorders>
            <w:shd w:val="clear" w:color="auto" w:fill="auto"/>
            <w:noWrap/>
            <w:vAlign w:val="center"/>
            <w:hideMark/>
          </w:tcPr>
          <w:p w14:paraId="4D339B55" w14:textId="77777777" w:rsidR="003C6A19" w:rsidRPr="004F469F" w:rsidRDefault="003C6A19" w:rsidP="003C6A19">
            <w:pPr>
              <w:jc w:val="center"/>
              <w:rPr>
                <w:sz w:val="20"/>
                <w:szCs w:val="20"/>
              </w:rPr>
            </w:pPr>
            <w:r w:rsidRPr="004F469F">
              <w:rPr>
                <w:sz w:val="20"/>
                <w:szCs w:val="20"/>
              </w:rPr>
              <w:t>8,286</w:t>
            </w:r>
          </w:p>
        </w:tc>
        <w:tc>
          <w:tcPr>
            <w:tcW w:w="0" w:type="auto"/>
            <w:tcBorders>
              <w:top w:val="nil"/>
              <w:left w:val="nil"/>
              <w:bottom w:val="single" w:sz="4" w:space="0" w:color="auto"/>
              <w:right w:val="single" w:sz="4" w:space="0" w:color="auto"/>
            </w:tcBorders>
            <w:shd w:val="clear" w:color="auto" w:fill="auto"/>
            <w:noWrap/>
            <w:vAlign w:val="center"/>
            <w:hideMark/>
          </w:tcPr>
          <w:p w14:paraId="4FDADAED" w14:textId="77777777" w:rsidR="003C6A19" w:rsidRPr="004F469F" w:rsidRDefault="003C6A19" w:rsidP="003C6A19">
            <w:pPr>
              <w:jc w:val="center"/>
              <w:rPr>
                <w:sz w:val="20"/>
                <w:szCs w:val="20"/>
              </w:rPr>
            </w:pPr>
            <w:r w:rsidRPr="004F469F">
              <w:rPr>
                <w:sz w:val="20"/>
                <w:szCs w:val="20"/>
              </w:rPr>
              <w:t>14,277</w:t>
            </w:r>
          </w:p>
        </w:tc>
        <w:tc>
          <w:tcPr>
            <w:tcW w:w="0" w:type="auto"/>
            <w:tcBorders>
              <w:top w:val="nil"/>
              <w:left w:val="nil"/>
              <w:bottom w:val="single" w:sz="4" w:space="0" w:color="auto"/>
              <w:right w:val="single" w:sz="4" w:space="0" w:color="auto"/>
            </w:tcBorders>
            <w:shd w:val="clear" w:color="auto" w:fill="auto"/>
            <w:noWrap/>
            <w:vAlign w:val="center"/>
            <w:hideMark/>
          </w:tcPr>
          <w:p w14:paraId="1A0DA824" w14:textId="77777777" w:rsidR="003C6A19" w:rsidRPr="004F469F" w:rsidRDefault="003C6A19" w:rsidP="003C6A19">
            <w:pPr>
              <w:jc w:val="center"/>
              <w:rPr>
                <w:sz w:val="20"/>
                <w:szCs w:val="20"/>
              </w:rPr>
            </w:pPr>
            <w:r w:rsidRPr="004F469F">
              <w:rPr>
                <w:sz w:val="20"/>
                <w:szCs w:val="20"/>
              </w:rPr>
              <w:t>41.2</w:t>
            </w:r>
          </w:p>
        </w:tc>
        <w:tc>
          <w:tcPr>
            <w:tcW w:w="0" w:type="auto"/>
            <w:tcBorders>
              <w:top w:val="nil"/>
              <w:left w:val="nil"/>
              <w:bottom w:val="single" w:sz="4" w:space="0" w:color="auto"/>
              <w:right w:val="single" w:sz="4" w:space="0" w:color="auto"/>
            </w:tcBorders>
            <w:shd w:val="clear" w:color="auto" w:fill="auto"/>
            <w:noWrap/>
            <w:vAlign w:val="center"/>
            <w:hideMark/>
          </w:tcPr>
          <w:p w14:paraId="18F83217" w14:textId="77777777" w:rsidR="003C6A19" w:rsidRPr="004F469F" w:rsidRDefault="003C6A19" w:rsidP="003C6A19">
            <w:pPr>
              <w:jc w:val="center"/>
              <w:rPr>
                <w:sz w:val="20"/>
                <w:szCs w:val="20"/>
              </w:rPr>
            </w:pPr>
            <w:r w:rsidRPr="004F469F">
              <w:rPr>
                <w:sz w:val="20"/>
                <w:szCs w:val="20"/>
              </w:rPr>
              <w:t>89.6</w:t>
            </w:r>
          </w:p>
        </w:tc>
        <w:tc>
          <w:tcPr>
            <w:tcW w:w="0" w:type="auto"/>
            <w:tcBorders>
              <w:top w:val="nil"/>
              <w:left w:val="nil"/>
              <w:bottom w:val="single" w:sz="4" w:space="0" w:color="auto"/>
              <w:right w:val="single" w:sz="4" w:space="0" w:color="auto"/>
            </w:tcBorders>
            <w:shd w:val="clear" w:color="auto" w:fill="auto"/>
            <w:noWrap/>
            <w:vAlign w:val="center"/>
            <w:hideMark/>
          </w:tcPr>
          <w:p w14:paraId="04A65B00" w14:textId="4C8C2A98" w:rsidR="003C6A19" w:rsidRPr="004F469F" w:rsidRDefault="003C6A19" w:rsidP="003C6A19">
            <w:pPr>
              <w:jc w:val="center"/>
              <w:rPr>
                <w:sz w:val="20"/>
                <w:szCs w:val="20"/>
              </w:rPr>
            </w:pPr>
            <w:r w:rsidRPr="004F469F">
              <w:rPr>
                <w:sz w:val="20"/>
                <w:szCs w:val="20"/>
              </w:rPr>
              <w:t>-</w:t>
            </w:r>
          </w:p>
        </w:tc>
      </w:tr>
      <w:tr w:rsidR="00494669" w:rsidRPr="004F469F" w14:paraId="26519F11"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401DD3" w14:textId="384AF2B9" w:rsidR="003C6A19" w:rsidRPr="004F469F" w:rsidRDefault="003C6A19" w:rsidP="003C6A19">
            <w:pPr>
              <w:jc w:val="center"/>
              <w:rPr>
                <w:rFonts w:eastAsia="Arial Unicode MS"/>
                <w:sz w:val="20"/>
                <w:szCs w:val="20"/>
              </w:rPr>
            </w:pPr>
            <w:r w:rsidRPr="004F469F">
              <w:rPr>
                <w:rFonts w:eastAsia="Arial Unicode M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0FC4E120" w14:textId="1062D21A" w:rsidR="003C6A19" w:rsidRPr="004F469F" w:rsidRDefault="003C6A19" w:rsidP="003C6A19">
            <w:pPr>
              <w:jc w:val="center"/>
              <w:rPr>
                <w:sz w:val="20"/>
                <w:szCs w:val="20"/>
              </w:rPr>
            </w:pPr>
            <w:r w:rsidRPr="004F469F">
              <w:rPr>
                <w:sz w:val="20"/>
                <w:szCs w:val="20"/>
              </w:rPr>
              <w:t>Cordova, AL</w:t>
            </w:r>
          </w:p>
        </w:tc>
        <w:tc>
          <w:tcPr>
            <w:tcW w:w="0" w:type="auto"/>
            <w:tcBorders>
              <w:top w:val="nil"/>
              <w:left w:val="nil"/>
              <w:bottom w:val="single" w:sz="4" w:space="0" w:color="auto"/>
              <w:right w:val="single" w:sz="4" w:space="0" w:color="auto"/>
            </w:tcBorders>
            <w:shd w:val="clear" w:color="auto" w:fill="auto"/>
            <w:noWrap/>
            <w:vAlign w:val="center"/>
            <w:hideMark/>
          </w:tcPr>
          <w:p w14:paraId="0EFD4851"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5CC0E0A" w14:textId="77777777" w:rsidR="003C6A19" w:rsidRPr="004F469F" w:rsidRDefault="003C6A19" w:rsidP="003C6A19">
            <w:pPr>
              <w:jc w:val="center"/>
              <w:rPr>
                <w:sz w:val="20"/>
                <w:szCs w:val="20"/>
              </w:rPr>
            </w:pPr>
            <w:r w:rsidRPr="004F469F">
              <w:rPr>
                <w:sz w:val="20"/>
                <w:szCs w:val="20"/>
              </w:rPr>
              <w:t>264.8</w:t>
            </w:r>
          </w:p>
        </w:tc>
        <w:tc>
          <w:tcPr>
            <w:tcW w:w="0" w:type="auto"/>
            <w:tcBorders>
              <w:top w:val="nil"/>
              <w:left w:val="nil"/>
              <w:bottom w:val="single" w:sz="4" w:space="0" w:color="auto"/>
              <w:right w:val="single" w:sz="4" w:space="0" w:color="auto"/>
            </w:tcBorders>
            <w:shd w:val="clear" w:color="auto" w:fill="auto"/>
            <w:noWrap/>
            <w:vAlign w:val="center"/>
            <w:hideMark/>
          </w:tcPr>
          <w:p w14:paraId="20435B78" w14:textId="77777777" w:rsidR="003C6A19" w:rsidRPr="004F469F" w:rsidRDefault="003C6A19" w:rsidP="003C6A19">
            <w:pPr>
              <w:jc w:val="center"/>
              <w:rPr>
                <w:sz w:val="20"/>
                <w:szCs w:val="20"/>
              </w:rPr>
            </w:pPr>
            <w:r w:rsidRPr="004F469F">
              <w:rPr>
                <w:sz w:val="20"/>
                <w:szCs w:val="20"/>
              </w:rPr>
              <w:t>13</w:t>
            </w:r>
          </w:p>
        </w:tc>
        <w:tc>
          <w:tcPr>
            <w:tcW w:w="0" w:type="auto"/>
            <w:tcBorders>
              <w:top w:val="nil"/>
              <w:left w:val="nil"/>
              <w:bottom w:val="single" w:sz="4" w:space="0" w:color="auto"/>
              <w:right w:val="single" w:sz="4" w:space="0" w:color="auto"/>
            </w:tcBorders>
            <w:shd w:val="clear" w:color="auto" w:fill="auto"/>
            <w:noWrap/>
            <w:vAlign w:val="center"/>
            <w:hideMark/>
          </w:tcPr>
          <w:p w14:paraId="5318C928" w14:textId="77777777" w:rsidR="003C6A19" w:rsidRPr="004F469F" w:rsidRDefault="003C6A19" w:rsidP="003C6A19">
            <w:pPr>
              <w:jc w:val="center"/>
              <w:rPr>
                <w:sz w:val="20"/>
                <w:szCs w:val="20"/>
              </w:rPr>
            </w:pPr>
            <w:r w:rsidRPr="004F469F">
              <w:rPr>
                <w:sz w:val="20"/>
                <w:szCs w:val="20"/>
              </w:rPr>
              <w:t>5,712</w:t>
            </w:r>
          </w:p>
        </w:tc>
        <w:tc>
          <w:tcPr>
            <w:tcW w:w="0" w:type="auto"/>
            <w:tcBorders>
              <w:top w:val="nil"/>
              <w:left w:val="nil"/>
              <w:bottom w:val="single" w:sz="4" w:space="0" w:color="auto"/>
              <w:right w:val="single" w:sz="4" w:space="0" w:color="auto"/>
            </w:tcBorders>
            <w:shd w:val="clear" w:color="auto" w:fill="auto"/>
            <w:noWrap/>
            <w:vAlign w:val="center"/>
            <w:hideMark/>
          </w:tcPr>
          <w:p w14:paraId="78E9F711" w14:textId="77777777" w:rsidR="003C6A19" w:rsidRPr="004F469F" w:rsidRDefault="003C6A19" w:rsidP="003C6A19">
            <w:pPr>
              <w:jc w:val="center"/>
              <w:rPr>
                <w:sz w:val="20"/>
                <w:szCs w:val="20"/>
              </w:rPr>
            </w:pPr>
            <w:r w:rsidRPr="004F469F">
              <w:rPr>
                <w:sz w:val="20"/>
                <w:szCs w:val="20"/>
              </w:rPr>
              <w:t>5,961</w:t>
            </w:r>
          </w:p>
        </w:tc>
        <w:tc>
          <w:tcPr>
            <w:tcW w:w="0" w:type="auto"/>
            <w:tcBorders>
              <w:top w:val="nil"/>
              <w:left w:val="nil"/>
              <w:bottom w:val="single" w:sz="4" w:space="0" w:color="auto"/>
              <w:right w:val="single" w:sz="4" w:space="0" w:color="auto"/>
            </w:tcBorders>
            <w:shd w:val="clear" w:color="auto" w:fill="auto"/>
            <w:noWrap/>
            <w:vAlign w:val="center"/>
            <w:hideMark/>
          </w:tcPr>
          <w:p w14:paraId="42B84AD3" w14:textId="77777777" w:rsidR="003C6A19" w:rsidRPr="004F469F" w:rsidRDefault="003C6A19" w:rsidP="003C6A19">
            <w:pPr>
              <w:jc w:val="center"/>
              <w:rPr>
                <w:sz w:val="20"/>
                <w:szCs w:val="20"/>
              </w:rPr>
            </w:pPr>
            <w:r w:rsidRPr="004F469F">
              <w:rPr>
                <w:sz w:val="20"/>
                <w:szCs w:val="20"/>
              </w:rPr>
              <w:t>10,414</w:t>
            </w:r>
          </w:p>
        </w:tc>
        <w:tc>
          <w:tcPr>
            <w:tcW w:w="0" w:type="auto"/>
            <w:tcBorders>
              <w:top w:val="nil"/>
              <w:left w:val="nil"/>
              <w:bottom w:val="single" w:sz="4" w:space="0" w:color="auto"/>
              <w:right w:val="single" w:sz="4" w:space="0" w:color="auto"/>
            </w:tcBorders>
            <w:shd w:val="clear" w:color="auto" w:fill="auto"/>
            <w:noWrap/>
            <w:vAlign w:val="center"/>
            <w:hideMark/>
          </w:tcPr>
          <w:p w14:paraId="331B600A" w14:textId="77777777" w:rsidR="003C6A19" w:rsidRPr="004F469F" w:rsidRDefault="003C6A19" w:rsidP="003C6A19">
            <w:pPr>
              <w:jc w:val="center"/>
              <w:rPr>
                <w:sz w:val="20"/>
                <w:szCs w:val="20"/>
              </w:rPr>
            </w:pPr>
            <w:r w:rsidRPr="004F469F">
              <w:rPr>
                <w:sz w:val="20"/>
                <w:szCs w:val="20"/>
              </w:rPr>
              <w:t>58.5</w:t>
            </w:r>
          </w:p>
        </w:tc>
        <w:tc>
          <w:tcPr>
            <w:tcW w:w="0" w:type="auto"/>
            <w:tcBorders>
              <w:top w:val="nil"/>
              <w:left w:val="nil"/>
              <w:bottom w:val="single" w:sz="4" w:space="0" w:color="auto"/>
              <w:right w:val="single" w:sz="4" w:space="0" w:color="auto"/>
            </w:tcBorders>
            <w:shd w:val="clear" w:color="auto" w:fill="auto"/>
            <w:noWrap/>
            <w:vAlign w:val="center"/>
            <w:hideMark/>
          </w:tcPr>
          <w:p w14:paraId="3C401BE0" w14:textId="77777777" w:rsidR="003C6A19" w:rsidRPr="004F469F" w:rsidRDefault="003C6A19" w:rsidP="003C6A19">
            <w:pPr>
              <w:jc w:val="center"/>
              <w:rPr>
                <w:sz w:val="20"/>
                <w:szCs w:val="20"/>
              </w:rPr>
            </w:pPr>
            <w:r w:rsidRPr="004F469F">
              <w:rPr>
                <w:sz w:val="20"/>
                <w:szCs w:val="20"/>
              </w:rPr>
              <w:t>83.9</w:t>
            </w:r>
          </w:p>
        </w:tc>
        <w:tc>
          <w:tcPr>
            <w:tcW w:w="0" w:type="auto"/>
            <w:tcBorders>
              <w:top w:val="nil"/>
              <w:left w:val="nil"/>
              <w:bottom w:val="single" w:sz="4" w:space="0" w:color="auto"/>
              <w:right w:val="single" w:sz="4" w:space="0" w:color="auto"/>
            </w:tcBorders>
            <w:shd w:val="clear" w:color="auto" w:fill="auto"/>
            <w:noWrap/>
            <w:vAlign w:val="center"/>
            <w:hideMark/>
          </w:tcPr>
          <w:p w14:paraId="027A3BB7" w14:textId="3A22D9B5" w:rsidR="003C6A19" w:rsidRPr="004F469F" w:rsidRDefault="003C6A19" w:rsidP="003C6A19">
            <w:pPr>
              <w:jc w:val="center"/>
              <w:rPr>
                <w:sz w:val="20"/>
                <w:szCs w:val="20"/>
              </w:rPr>
            </w:pPr>
            <w:r w:rsidRPr="004F469F">
              <w:rPr>
                <w:sz w:val="20"/>
                <w:szCs w:val="20"/>
              </w:rPr>
              <w:t>-</w:t>
            </w:r>
          </w:p>
        </w:tc>
      </w:tr>
      <w:tr w:rsidR="00494669" w:rsidRPr="004F469F" w14:paraId="088AECD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5022E0" w14:textId="6606B950" w:rsidR="003C6A19" w:rsidRPr="004F469F" w:rsidRDefault="003C6A19" w:rsidP="003C6A19">
            <w:pPr>
              <w:jc w:val="center"/>
              <w:rPr>
                <w:rFonts w:eastAsia="Arial Unicode MS"/>
                <w:sz w:val="20"/>
                <w:szCs w:val="20"/>
              </w:rPr>
            </w:pPr>
            <w:r w:rsidRPr="004F469F">
              <w:rPr>
                <w:rFonts w:eastAsia="Arial Unicode MS"/>
                <w:sz w:val="20"/>
                <w:szCs w:val="20"/>
              </w:rPr>
              <w:t>24 Apr 2010</w:t>
            </w:r>
          </w:p>
        </w:tc>
        <w:tc>
          <w:tcPr>
            <w:tcW w:w="0" w:type="auto"/>
            <w:tcBorders>
              <w:top w:val="nil"/>
              <w:left w:val="nil"/>
              <w:bottom w:val="single" w:sz="4" w:space="0" w:color="auto"/>
              <w:right w:val="single" w:sz="4" w:space="0" w:color="auto"/>
            </w:tcBorders>
            <w:shd w:val="clear" w:color="auto" w:fill="auto"/>
            <w:noWrap/>
            <w:vAlign w:val="center"/>
            <w:hideMark/>
          </w:tcPr>
          <w:p w14:paraId="3156B1BC" w14:textId="3CFD8145" w:rsidR="003C6A19" w:rsidRPr="004F469F" w:rsidRDefault="003C6A19" w:rsidP="003C6A19">
            <w:pPr>
              <w:jc w:val="center"/>
              <w:rPr>
                <w:sz w:val="20"/>
                <w:szCs w:val="20"/>
              </w:rPr>
            </w:pPr>
            <w:r w:rsidRPr="004F469F">
              <w:rPr>
                <w:sz w:val="20"/>
                <w:szCs w:val="20"/>
              </w:rPr>
              <w:t>Tallulah-Yazoo City-Durant, MS</w:t>
            </w:r>
          </w:p>
        </w:tc>
        <w:tc>
          <w:tcPr>
            <w:tcW w:w="0" w:type="auto"/>
            <w:tcBorders>
              <w:top w:val="nil"/>
              <w:left w:val="nil"/>
              <w:bottom w:val="single" w:sz="4" w:space="0" w:color="auto"/>
              <w:right w:val="single" w:sz="4" w:space="0" w:color="auto"/>
            </w:tcBorders>
            <w:shd w:val="clear" w:color="auto" w:fill="auto"/>
            <w:noWrap/>
            <w:vAlign w:val="center"/>
            <w:hideMark/>
          </w:tcPr>
          <w:p w14:paraId="65ED4246"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A14747C" w14:textId="77777777" w:rsidR="003C6A19" w:rsidRPr="004F469F" w:rsidRDefault="003C6A19" w:rsidP="003C6A19">
            <w:pPr>
              <w:jc w:val="center"/>
              <w:rPr>
                <w:sz w:val="20"/>
                <w:szCs w:val="20"/>
              </w:rPr>
            </w:pPr>
            <w:r w:rsidRPr="004F469F">
              <w:rPr>
                <w:sz w:val="20"/>
                <w:szCs w:val="20"/>
              </w:rPr>
              <w:t>675.2</w:t>
            </w:r>
          </w:p>
        </w:tc>
        <w:tc>
          <w:tcPr>
            <w:tcW w:w="0" w:type="auto"/>
            <w:tcBorders>
              <w:top w:val="nil"/>
              <w:left w:val="nil"/>
              <w:bottom w:val="single" w:sz="4" w:space="0" w:color="auto"/>
              <w:right w:val="single" w:sz="4" w:space="0" w:color="auto"/>
            </w:tcBorders>
            <w:shd w:val="clear" w:color="auto" w:fill="auto"/>
            <w:noWrap/>
            <w:vAlign w:val="center"/>
            <w:hideMark/>
          </w:tcPr>
          <w:p w14:paraId="5DC598F4" w14:textId="77777777" w:rsidR="003C6A19" w:rsidRPr="004F469F" w:rsidRDefault="003C6A19" w:rsidP="003C6A19">
            <w:pPr>
              <w:jc w:val="center"/>
              <w:rPr>
                <w:sz w:val="20"/>
                <w:szCs w:val="20"/>
              </w:rPr>
            </w:pPr>
            <w:r w:rsidRPr="004F469F">
              <w:rPr>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0089B5AA" w14:textId="77777777" w:rsidR="003C6A19" w:rsidRPr="004F469F" w:rsidRDefault="003C6A19" w:rsidP="003C6A19">
            <w:pPr>
              <w:jc w:val="center"/>
              <w:rPr>
                <w:sz w:val="20"/>
                <w:szCs w:val="20"/>
              </w:rPr>
            </w:pPr>
            <w:r w:rsidRPr="004F469F">
              <w:rPr>
                <w:sz w:val="20"/>
                <w:szCs w:val="20"/>
              </w:rPr>
              <w:t>5,628</w:t>
            </w:r>
          </w:p>
        </w:tc>
        <w:tc>
          <w:tcPr>
            <w:tcW w:w="0" w:type="auto"/>
            <w:tcBorders>
              <w:top w:val="nil"/>
              <w:left w:val="nil"/>
              <w:bottom w:val="single" w:sz="4" w:space="0" w:color="auto"/>
              <w:right w:val="single" w:sz="4" w:space="0" w:color="auto"/>
            </w:tcBorders>
            <w:shd w:val="clear" w:color="auto" w:fill="auto"/>
            <w:noWrap/>
            <w:vAlign w:val="center"/>
            <w:hideMark/>
          </w:tcPr>
          <w:p w14:paraId="3E0AF940" w14:textId="77777777" w:rsidR="003C6A19" w:rsidRPr="004F469F" w:rsidRDefault="003C6A19" w:rsidP="003C6A19">
            <w:pPr>
              <w:jc w:val="center"/>
              <w:rPr>
                <w:sz w:val="20"/>
                <w:szCs w:val="20"/>
              </w:rPr>
            </w:pPr>
            <w:r w:rsidRPr="004F469F">
              <w:rPr>
                <w:sz w:val="20"/>
                <w:szCs w:val="20"/>
              </w:rPr>
              <w:t>7,337</w:t>
            </w:r>
          </w:p>
        </w:tc>
        <w:tc>
          <w:tcPr>
            <w:tcW w:w="0" w:type="auto"/>
            <w:tcBorders>
              <w:top w:val="nil"/>
              <w:left w:val="nil"/>
              <w:bottom w:val="single" w:sz="4" w:space="0" w:color="auto"/>
              <w:right w:val="single" w:sz="4" w:space="0" w:color="auto"/>
            </w:tcBorders>
            <w:shd w:val="clear" w:color="auto" w:fill="auto"/>
            <w:noWrap/>
            <w:vAlign w:val="center"/>
            <w:hideMark/>
          </w:tcPr>
          <w:p w14:paraId="4608D275" w14:textId="77777777" w:rsidR="003C6A19" w:rsidRPr="004F469F" w:rsidRDefault="003C6A19" w:rsidP="003C6A19">
            <w:pPr>
              <w:jc w:val="center"/>
              <w:rPr>
                <w:sz w:val="20"/>
                <w:szCs w:val="20"/>
              </w:rPr>
            </w:pPr>
            <w:r w:rsidRPr="004F469F">
              <w:rPr>
                <w:sz w:val="20"/>
                <w:szCs w:val="20"/>
              </w:rPr>
              <w:t>13,533</w:t>
            </w:r>
          </w:p>
        </w:tc>
        <w:tc>
          <w:tcPr>
            <w:tcW w:w="0" w:type="auto"/>
            <w:tcBorders>
              <w:top w:val="nil"/>
              <w:left w:val="nil"/>
              <w:bottom w:val="single" w:sz="4" w:space="0" w:color="auto"/>
              <w:right w:val="single" w:sz="4" w:space="0" w:color="auto"/>
            </w:tcBorders>
            <w:shd w:val="clear" w:color="auto" w:fill="auto"/>
            <w:noWrap/>
            <w:vAlign w:val="center"/>
            <w:hideMark/>
          </w:tcPr>
          <w:p w14:paraId="5B7EBF60" w14:textId="77777777" w:rsidR="003C6A19" w:rsidRPr="004F469F" w:rsidRDefault="003C6A19" w:rsidP="003C6A19">
            <w:pPr>
              <w:jc w:val="center"/>
              <w:rPr>
                <w:sz w:val="20"/>
                <w:szCs w:val="20"/>
              </w:rPr>
            </w:pPr>
            <w:r w:rsidRPr="004F469F">
              <w:rPr>
                <w:sz w:val="20"/>
                <w:szCs w:val="20"/>
              </w:rPr>
              <w:t>74.6</w:t>
            </w:r>
          </w:p>
        </w:tc>
        <w:tc>
          <w:tcPr>
            <w:tcW w:w="0" w:type="auto"/>
            <w:tcBorders>
              <w:top w:val="nil"/>
              <w:left w:val="nil"/>
              <w:bottom w:val="single" w:sz="4" w:space="0" w:color="auto"/>
              <w:right w:val="single" w:sz="4" w:space="0" w:color="auto"/>
            </w:tcBorders>
            <w:shd w:val="clear" w:color="auto" w:fill="auto"/>
            <w:noWrap/>
            <w:vAlign w:val="center"/>
            <w:hideMark/>
          </w:tcPr>
          <w:p w14:paraId="28809CCB" w14:textId="77777777" w:rsidR="003C6A19" w:rsidRPr="004F469F" w:rsidRDefault="003C6A19" w:rsidP="003C6A19">
            <w:pPr>
              <w:jc w:val="center"/>
              <w:rPr>
                <w:sz w:val="20"/>
                <w:szCs w:val="20"/>
              </w:rPr>
            </w:pPr>
            <w:r w:rsidRPr="004F469F">
              <w:rPr>
                <w:sz w:val="20"/>
                <w:szCs w:val="20"/>
              </w:rPr>
              <w:t>82.6</w:t>
            </w:r>
          </w:p>
        </w:tc>
        <w:tc>
          <w:tcPr>
            <w:tcW w:w="0" w:type="auto"/>
            <w:tcBorders>
              <w:top w:val="nil"/>
              <w:left w:val="nil"/>
              <w:bottom w:val="single" w:sz="4" w:space="0" w:color="auto"/>
              <w:right w:val="single" w:sz="4" w:space="0" w:color="auto"/>
            </w:tcBorders>
            <w:shd w:val="clear" w:color="auto" w:fill="auto"/>
            <w:noWrap/>
            <w:vAlign w:val="center"/>
            <w:hideMark/>
          </w:tcPr>
          <w:p w14:paraId="690BE632" w14:textId="64550AFB" w:rsidR="003C6A19" w:rsidRPr="004F469F" w:rsidRDefault="003C6A19" w:rsidP="003C6A19">
            <w:pPr>
              <w:jc w:val="center"/>
              <w:rPr>
                <w:sz w:val="20"/>
                <w:szCs w:val="20"/>
              </w:rPr>
            </w:pPr>
            <w:r w:rsidRPr="004F469F">
              <w:rPr>
                <w:sz w:val="20"/>
                <w:szCs w:val="20"/>
              </w:rPr>
              <w:t>-</w:t>
            </w:r>
          </w:p>
        </w:tc>
      </w:tr>
      <w:tr w:rsidR="00494669" w:rsidRPr="004F469F" w14:paraId="7DAB3697"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C1A44" w14:textId="2D933400" w:rsidR="003C6A19" w:rsidRPr="004F469F" w:rsidRDefault="003C6A19" w:rsidP="003C6A19">
            <w:pPr>
              <w:jc w:val="center"/>
              <w:rPr>
                <w:rFonts w:eastAsia="Arial Unicode MS"/>
                <w:b/>
                <w:bCs/>
                <w:sz w:val="20"/>
                <w:szCs w:val="20"/>
              </w:rPr>
            </w:pPr>
            <w:r w:rsidRPr="004F469F">
              <w:rPr>
                <w:rFonts w:eastAsia="Arial Unicode MS"/>
                <w:b/>
                <w:bCs/>
                <w:sz w:val="20"/>
                <w:szCs w:val="20"/>
              </w:rPr>
              <w:t>20 May 2013</w:t>
            </w:r>
          </w:p>
        </w:tc>
        <w:tc>
          <w:tcPr>
            <w:tcW w:w="0" w:type="auto"/>
            <w:tcBorders>
              <w:top w:val="nil"/>
              <w:left w:val="nil"/>
              <w:bottom w:val="single" w:sz="4" w:space="0" w:color="auto"/>
              <w:right w:val="single" w:sz="4" w:space="0" w:color="auto"/>
            </w:tcBorders>
            <w:shd w:val="clear" w:color="auto" w:fill="auto"/>
            <w:noWrap/>
            <w:vAlign w:val="center"/>
            <w:hideMark/>
          </w:tcPr>
          <w:p w14:paraId="697884B5" w14:textId="144B893A" w:rsidR="003C6A19" w:rsidRPr="004F469F" w:rsidRDefault="003C6A19" w:rsidP="003C6A19">
            <w:pPr>
              <w:jc w:val="center"/>
              <w:rPr>
                <w:b/>
                <w:bCs/>
                <w:sz w:val="20"/>
                <w:szCs w:val="20"/>
              </w:rPr>
            </w:pPr>
            <w:r w:rsidRPr="004F469F">
              <w:rPr>
                <w:b/>
                <w:bCs/>
                <w:sz w:val="20"/>
                <w:szCs w:val="20"/>
              </w:rPr>
              <w:t>Moore, OK</w:t>
            </w:r>
          </w:p>
        </w:tc>
        <w:tc>
          <w:tcPr>
            <w:tcW w:w="0" w:type="auto"/>
            <w:tcBorders>
              <w:top w:val="nil"/>
              <w:left w:val="nil"/>
              <w:bottom w:val="single" w:sz="4" w:space="0" w:color="auto"/>
              <w:right w:val="single" w:sz="4" w:space="0" w:color="auto"/>
            </w:tcBorders>
            <w:shd w:val="clear" w:color="auto" w:fill="auto"/>
            <w:noWrap/>
            <w:vAlign w:val="center"/>
            <w:hideMark/>
          </w:tcPr>
          <w:p w14:paraId="4F880412" w14:textId="77777777" w:rsidR="003C6A19" w:rsidRPr="004F469F" w:rsidRDefault="003C6A19" w:rsidP="003C6A19">
            <w:pPr>
              <w:jc w:val="center"/>
              <w:rPr>
                <w:b/>
                <w:bCs/>
                <w:sz w:val="20"/>
                <w:szCs w:val="20"/>
              </w:rPr>
            </w:pPr>
            <w:r w:rsidRPr="004F469F">
              <w:rPr>
                <w:b/>
                <w:bCs/>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30110B18" w14:textId="77777777" w:rsidR="003C6A19" w:rsidRPr="004F469F" w:rsidRDefault="003C6A19" w:rsidP="003C6A19">
            <w:pPr>
              <w:jc w:val="center"/>
              <w:rPr>
                <w:b/>
                <w:bCs/>
                <w:sz w:val="20"/>
                <w:szCs w:val="20"/>
              </w:rPr>
            </w:pPr>
            <w:r w:rsidRPr="004F469F">
              <w:rPr>
                <w:b/>
                <w:bCs/>
                <w:sz w:val="20"/>
                <w:szCs w:val="20"/>
              </w:rPr>
              <w:t>38.7</w:t>
            </w:r>
          </w:p>
        </w:tc>
        <w:tc>
          <w:tcPr>
            <w:tcW w:w="0" w:type="auto"/>
            <w:tcBorders>
              <w:top w:val="nil"/>
              <w:left w:val="nil"/>
              <w:bottom w:val="single" w:sz="4" w:space="0" w:color="auto"/>
              <w:right w:val="single" w:sz="4" w:space="0" w:color="auto"/>
            </w:tcBorders>
            <w:shd w:val="clear" w:color="auto" w:fill="auto"/>
            <w:noWrap/>
            <w:vAlign w:val="center"/>
            <w:hideMark/>
          </w:tcPr>
          <w:p w14:paraId="18E3686B" w14:textId="77777777" w:rsidR="003C6A19" w:rsidRPr="004F469F" w:rsidRDefault="003C6A19" w:rsidP="003C6A19">
            <w:pPr>
              <w:jc w:val="center"/>
              <w:rPr>
                <w:b/>
                <w:bCs/>
                <w:sz w:val="20"/>
                <w:szCs w:val="20"/>
              </w:rPr>
            </w:pPr>
            <w:r w:rsidRPr="004F469F">
              <w:rPr>
                <w:b/>
                <w:bCs/>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67299C66" w14:textId="77777777" w:rsidR="003C6A19" w:rsidRPr="004F469F" w:rsidRDefault="003C6A19" w:rsidP="003C6A19">
            <w:pPr>
              <w:jc w:val="center"/>
              <w:rPr>
                <w:b/>
                <w:bCs/>
                <w:sz w:val="20"/>
                <w:szCs w:val="20"/>
              </w:rPr>
            </w:pPr>
            <w:r w:rsidRPr="004F469F">
              <w:rPr>
                <w:b/>
                <w:bCs/>
                <w:sz w:val="20"/>
                <w:szCs w:val="20"/>
              </w:rPr>
              <w:t>19,181</w:t>
            </w:r>
          </w:p>
        </w:tc>
        <w:tc>
          <w:tcPr>
            <w:tcW w:w="0" w:type="auto"/>
            <w:tcBorders>
              <w:top w:val="nil"/>
              <w:left w:val="nil"/>
              <w:bottom w:val="single" w:sz="4" w:space="0" w:color="auto"/>
              <w:right w:val="single" w:sz="4" w:space="0" w:color="auto"/>
            </w:tcBorders>
            <w:shd w:val="clear" w:color="auto" w:fill="auto"/>
            <w:noWrap/>
            <w:vAlign w:val="center"/>
            <w:hideMark/>
          </w:tcPr>
          <w:p w14:paraId="4261D27E" w14:textId="77777777" w:rsidR="003C6A19" w:rsidRPr="004F469F" w:rsidRDefault="003C6A19" w:rsidP="003C6A19">
            <w:pPr>
              <w:jc w:val="center"/>
              <w:rPr>
                <w:b/>
                <w:bCs/>
                <w:sz w:val="20"/>
                <w:szCs w:val="20"/>
              </w:rPr>
            </w:pPr>
            <w:r w:rsidRPr="004F469F">
              <w:rPr>
                <w:b/>
                <w:bCs/>
                <w:sz w:val="20"/>
                <w:szCs w:val="20"/>
              </w:rPr>
              <w:t>17,548</w:t>
            </w:r>
          </w:p>
        </w:tc>
        <w:tc>
          <w:tcPr>
            <w:tcW w:w="0" w:type="auto"/>
            <w:tcBorders>
              <w:top w:val="nil"/>
              <w:left w:val="nil"/>
              <w:bottom w:val="single" w:sz="4" w:space="0" w:color="auto"/>
              <w:right w:val="single" w:sz="4" w:space="0" w:color="auto"/>
            </w:tcBorders>
            <w:shd w:val="clear" w:color="auto" w:fill="auto"/>
            <w:noWrap/>
            <w:vAlign w:val="center"/>
            <w:hideMark/>
          </w:tcPr>
          <w:p w14:paraId="3DD4F2A8" w14:textId="77777777" w:rsidR="003C6A19" w:rsidRPr="004F469F" w:rsidRDefault="003C6A19" w:rsidP="003C6A19">
            <w:pPr>
              <w:jc w:val="center"/>
              <w:rPr>
                <w:b/>
                <w:bCs/>
                <w:sz w:val="20"/>
                <w:szCs w:val="20"/>
              </w:rPr>
            </w:pPr>
            <w:r w:rsidRPr="004F469F">
              <w:rPr>
                <w:b/>
                <w:bCs/>
                <w:sz w:val="20"/>
                <w:szCs w:val="20"/>
              </w:rPr>
              <w:t>42,244</w:t>
            </w:r>
          </w:p>
        </w:tc>
        <w:tc>
          <w:tcPr>
            <w:tcW w:w="0" w:type="auto"/>
            <w:tcBorders>
              <w:top w:val="nil"/>
              <w:left w:val="nil"/>
              <w:bottom w:val="single" w:sz="4" w:space="0" w:color="auto"/>
              <w:right w:val="single" w:sz="4" w:space="0" w:color="auto"/>
            </w:tcBorders>
            <w:shd w:val="clear" w:color="auto" w:fill="auto"/>
            <w:noWrap/>
            <w:vAlign w:val="center"/>
            <w:hideMark/>
          </w:tcPr>
          <w:p w14:paraId="2D6DEA6E" w14:textId="77777777" w:rsidR="003C6A19" w:rsidRPr="004F469F" w:rsidRDefault="003C6A19" w:rsidP="003C6A19">
            <w:pPr>
              <w:jc w:val="center"/>
              <w:rPr>
                <w:b/>
                <w:bCs/>
                <w:sz w:val="20"/>
                <w:szCs w:val="20"/>
              </w:rPr>
            </w:pPr>
            <w:r w:rsidRPr="004F469F">
              <w:rPr>
                <w:b/>
                <w:bCs/>
                <w:sz w:val="20"/>
                <w:szCs w:val="20"/>
              </w:rPr>
              <w:t>43</w:t>
            </w:r>
          </w:p>
        </w:tc>
        <w:tc>
          <w:tcPr>
            <w:tcW w:w="0" w:type="auto"/>
            <w:tcBorders>
              <w:top w:val="nil"/>
              <w:left w:val="nil"/>
              <w:bottom w:val="single" w:sz="4" w:space="0" w:color="auto"/>
              <w:right w:val="single" w:sz="4" w:space="0" w:color="auto"/>
            </w:tcBorders>
            <w:shd w:val="clear" w:color="auto" w:fill="auto"/>
            <w:noWrap/>
            <w:vAlign w:val="center"/>
            <w:hideMark/>
          </w:tcPr>
          <w:p w14:paraId="6CC737CE" w14:textId="77777777" w:rsidR="003C6A19" w:rsidRPr="004F469F" w:rsidRDefault="003C6A19" w:rsidP="003C6A19">
            <w:pPr>
              <w:jc w:val="center"/>
              <w:rPr>
                <w:b/>
                <w:bCs/>
                <w:sz w:val="20"/>
                <w:szCs w:val="20"/>
              </w:rPr>
            </w:pPr>
            <w:r w:rsidRPr="004F469F">
              <w:rPr>
                <w:b/>
                <w:bCs/>
                <w:sz w:val="20"/>
                <w:szCs w:val="20"/>
              </w:rPr>
              <w:t>82.6</w:t>
            </w:r>
          </w:p>
        </w:tc>
        <w:tc>
          <w:tcPr>
            <w:tcW w:w="0" w:type="auto"/>
            <w:tcBorders>
              <w:top w:val="nil"/>
              <w:left w:val="nil"/>
              <w:bottom w:val="single" w:sz="4" w:space="0" w:color="auto"/>
              <w:right w:val="single" w:sz="4" w:space="0" w:color="auto"/>
            </w:tcBorders>
            <w:shd w:val="clear" w:color="auto" w:fill="auto"/>
            <w:noWrap/>
            <w:vAlign w:val="center"/>
            <w:hideMark/>
          </w:tcPr>
          <w:p w14:paraId="31B4BC5E" w14:textId="77777777" w:rsidR="003C6A19" w:rsidRPr="004F469F" w:rsidRDefault="003C6A19" w:rsidP="003C6A19">
            <w:pPr>
              <w:jc w:val="center"/>
              <w:rPr>
                <w:b/>
                <w:bCs/>
                <w:sz w:val="20"/>
                <w:szCs w:val="20"/>
              </w:rPr>
            </w:pPr>
            <w:r w:rsidRPr="004F469F">
              <w:rPr>
                <w:b/>
                <w:bCs/>
                <w:sz w:val="20"/>
                <w:szCs w:val="20"/>
              </w:rPr>
              <w:t>39</w:t>
            </w:r>
          </w:p>
        </w:tc>
      </w:tr>
      <w:tr w:rsidR="00494669" w:rsidRPr="004F469F" w14:paraId="5631E82E"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5A33E5" w14:textId="30DC31B8" w:rsidR="003C6A19" w:rsidRPr="004F469F" w:rsidRDefault="003C6A19" w:rsidP="003C6A19">
            <w:pPr>
              <w:jc w:val="center"/>
              <w:rPr>
                <w:rFonts w:eastAsia="Arial Unicode MS"/>
                <w:b/>
                <w:bCs/>
                <w:sz w:val="20"/>
                <w:szCs w:val="20"/>
              </w:rPr>
            </w:pPr>
            <w:r w:rsidRPr="004F469F">
              <w:rPr>
                <w:rFonts w:eastAsia="Arial Unicode MS"/>
                <w:b/>
                <w:bCs/>
                <w:sz w:val="20"/>
                <w:szCs w:val="20"/>
              </w:rPr>
              <w:t>28 May 1996</w:t>
            </w:r>
          </w:p>
        </w:tc>
        <w:tc>
          <w:tcPr>
            <w:tcW w:w="0" w:type="auto"/>
            <w:tcBorders>
              <w:top w:val="nil"/>
              <w:left w:val="nil"/>
              <w:bottom w:val="single" w:sz="4" w:space="0" w:color="auto"/>
              <w:right w:val="single" w:sz="4" w:space="0" w:color="auto"/>
            </w:tcBorders>
            <w:shd w:val="clear" w:color="auto" w:fill="auto"/>
            <w:noWrap/>
            <w:vAlign w:val="center"/>
            <w:hideMark/>
          </w:tcPr>
          <w:p w14:paraId="1B85A78B" w14:textId="703F162C" w:rsidR="003C6A19" w:rsidRPr="004F469F" w:rsidRDefault="003C6A19" w:rsidP="003C6A19">
            <w:pPr>
              <w:jc w:val="center"/>
              <w:rPr>
                <w:b/>
                <w:bCs/>
                <w:sz w:val="20"/>
                <w:szCs w:val="20"/>
              </w:rPr>
            </w:pPr>
            <w:r w:rsidRPr="004F469F">
              <w:rPr>
                <w:b/>
                <w:bCs/>
                <w:sz w:val="20"/>
                <w:szCs w:val="20"/>
              </w:rPr>
              <w:t>Pioneer Village-Hillview, KY</w:t>
            </w:r>
          </w:p>
        </w:tc>
        <w:tc>
          <w:tcPr>
            <w:tcW w:w="0" w:type="auto"/>
            <w:tcBorders>
              <w:top w:val="nil"/>
              <w:left w:val="nil"/>
              <w:bottom w:val="single" w:sz="4" w:space="0" w:color="auto"/>
              <w:right w:val="single" w:sz="4" w:space="0" w:color="auto"/>
            </w:tcBorders>
            <w:shd w:val="clear" w:color="auto" w:fill="auto"/>
            <w:noWrap/>
            <w:vAlign w:val="center"/>
            <w:hideMark/>
          </w:tcPr>
          <w:p w14:paraId="717940AE"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3B35476" w14:textId="77777777" w:rsidR="003C6A19" w:rsidRPr="004F469F" w:rsidRDefault="003C6A19" w:rsidP="003C6A19">
            <w:pPr>
              <w:jc w:val="center"/>
              <w:rPr>
                <w:b/>
                <w:bCs/>
                <w:sz w:val="20"/>
                <w:szCs w:val="20"/>
              </w:rPr>
            </w:pPr>
            <w:r w:rsidRPr="004F469F">
              <w:rPr>
                <w:b/>
                <w:bCs/>
                <w:sz w:val="20"/>
                <w:szCs w:val="20"/>
              </w:rPr>
              <w:t>37.5</w:t>
            </w:r>
          </w:p>
        </w:tc>
        <w:tc>
          <w:tcPr>
            <w:tcW w:w="0" w:type="auto"/>
            <w:tcBorders>
              <w:top w:val="nil"/>
              <w:left w:val="nil"/>
              <w:bottom w:val="single" w:sz="4" w:space="0" w:color="auto"/>
              <w:right w:val="single" w:sz="4" w:space="0" w:color="auto"/>
            </w:tcBorders>
            <w:shd w:val="clear" w:color="auto" w:fill="auto"/>
            <w:noWrap/>
            <w:vAlign w:val="center"/>
            <w:hideMark/>
          </w:tcPr>
          <w:p w14:paraId="21BC1972" w14:textId="77777777" w:rsidR="003C6A19" w:rsidRPr="004F469F" w:rsidRDefault="003C6A19" w:rsidP="003C6A19">
            <w:pPr>
              <w:jc w:val="center"/>
              <w:rPr>
                <w:b/>
                <w:bCs/>
                <w:sz w:val="20"/>
                <w:szCs w:val="20"/>
              </w:rPr>
            </w:pPr>
            <w:r w:rsidRPr="004F469F">
              <w:rPr>
                <w:b/>
                <w:bCs/>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4828F771" w14:textId="77777777" w:rsidR="003C6A19" w:rsidRPr="004F469F" w:rsidRDefault="003C6A19" w:rsidP="003C6A19">
            <w:pPr>
              <w:jc w:val="center"/>
              <w:rPr>
                <w:b/>
                <w:bCs/>
                <w:sz w:val="20"/>
                <w:szCs w:val="20"/>
              </w:rPr>
            </w:pPr>
            <w:r w:rsidRPr="004F469F">
              <w:rPr>
                <w:b/>
                <w:bCs/>
                <w:sz w:val="20"/>
                <w:szCs w:val="20"/>
              </w:rPr>
              <w:t>7,877</w:t>
            </w:r>
          </w:p>
        </w:tc>
        <w:tc>
          <w:tcPr>
            <w:tcW w:w="0" w:type="auto"/>
            <w:tcBorders>
              <w:top w:val="nil"/>
              <w:left w:val="nil"/>
              <w:bottom w:val="single" w:sz="4" w:space="0" w:color="auto"/>
              <w:right w:val="single" w:sz="4" w:space="0" w:color="auto"/>
            </w:tcBorders>
            <w:shd w:val="clear" w:color="auto" w:fill="auto"/>
            <w:noWrap/>
            <w:vAlign w:val="center"/>
            <w:hideMark/>
          </w:tcPr>
          <w:p w14:paraId="66A97966" w14:textId="77777777" w:rsidR="003C6A19" w:rsidRPr="004F469F" w:rsidRDefault="003C6A19" w:rsidP="003C6A19">
            <w:pPr>
              <w:jc w:val="center"/>
              <w:rPr>
                <w:b/>
                <w:bCs/>
                <w:sz w:val="20"/>
                <w:szCs w:val="20"/>
              </w:rPr>
            </w:pPr>
            <w:r w:rsidRPr="004F469F">
              <w:rPr>
                <w:b/>
                <w:bCs/>
                <w:sz w:val="20"/>
                <w:szCs w:val="20"/>
              </w:rPr>
              <w:t>8,340</w:t>
            </w:r>
          </w:p>
        </w:tc>
        <w:tc>
          <w:tcPr>
            <w:tcW w:w="0" w:type="auto"/>
            <w:tcBorders>
              <w:top w:val="nil"/>
              <w:left w:val="nil"/>
              <w:bottom w:val="single" w:sz="4" w:space="0" w:color="auto"/>
              <w:right w:val="single" w:sz="4" w:space="0" w:color="auto"/>
            </w:tcBorders>
            <w:shd w:val="clear" w:color="auto" w:fill="auto"/>
            <w:noWrap/>
            <w:vAlign w:val="center"/>
            <w:hideMark/>
          </w:tcPr>
          <w:p w14:paraId="0EA3259C" w14:textId="77777777" w:rsidR="003C6A19" w:rsidRPr="004F469F" w:rsidRDefault="003C6A19" w:rsidP="003C6A19">
            <w:pPr>
              <w:jc w:val="center"/>
              <w:rPr>
                <w:b/>
                <w:bCs/>
                <w:sz w:val="20"/>
                <w:szCs w:val="20"/>
              </w:rPr>
            </w:pPr>
            <w:r w:rsidRPr="004F469F">
              <w:rPr>
                <w:b/>
                <w:bCs/>
                <w:sz w:val="20"/>
                <w:szCs w:val="20"/>
              </w:rPr>
              <w:t>32,553</w:t>
            </w:r>
          </w:p>
        </w:tc>
        <w:tc>
          <w:tcPr>
            <w:tcW w:w="0" w:type="auto"/>
            <w:tcBorders>
              <w:top w:val="nil"/>
              <w:left w:val="nil"/>
              <w:bottom w:val="single" w:sz="4" w:space="0" w:color="auto"/>
              <w:right w:val="single" w:sz="4" w:space="0" w:color="auto"/>
            </w:tcBorders>
            <w:shd w:val="clear" w:color="auto" w:fill="auto"/>
            <w:noWrap/>
            <w:vAlign w:val="center"/>
            <w:hideMark/>
          </w:tcPr>
          <w:p w14:paraId="23E68633" w14:textId="77777777" w:rsidR="003C6A19" w:rsidRPr="004F469F" w:rsidRDefault="003C6A19" w:rsidP="003C6A19">
            <w:pPr>
              <w:jc w:val="center"/>
              <w:rPr>
                <w:b/>
                <w:bCs/>
                <w:sz w:val="20"/>
                <w:szCs w:val="20"/>
              </w:rPr>
            </w:pPr>
            <w:r w:rsidRPr="004F469F">
              <w:rPr>
                <w:b/>
                <w:bCs/>
                <w:sz w:val="20"/>
                <w:szCs w:val="20"/>
              </w:rPr>
              <w:t>54.4</w:t>
            </w:r>
          </w:p>
        </w:tc>
        <w:tc>
          <w:tcPr>
            <w:tcW w:w="0" w:type="auto"/>
            <w:tcBorders>
              <w:top w:val="nil"/>
              <w:left w:val="nil"/>
              <w:bottom w:val="single" w:sz="4" w:space="0" w:color="auto"/>
              <w:right w:val="single" w:sz="4" w:space="0" w:color="auto"/>
            </w:tcBorders>
            <w:shd w:val="clear" w:color="auto" w:fill="auto"/>
            <w:noWrap/>
            <w:vAlign w:val="center"/>
            <w:hideMark/>
          </w:tcPr>
          <w:p w14:paraId="5DB712AA" w14:textId="77777777" w:rsidR="003C6A19" w:rsidRPr="004F469F" w:rsidRDefault="003C6A19" w:rsidP="003C6A19">
            <w:pPr>
              <w:jc w:val="center"/>
              <w:rPr>
                <w:b/>
                <w:bCs/>
                <w:sz w:val="20"/>
                <w:szCs w:val="20"/>
              </w:rPr>
            </w:pPr>
            <w:r w:rsidRPr="004F469F">
              <w:rPr>
                <w:b/>
                <w:bCs/>
                <w:sz w:val="20"/>
                <w:szCs w:val="20"/>
              </w:rPr>
              <w:t>82.5</w:t>
            </w:r>
          </w:p>
        </w:tc>
        <w:tc>
          <w:tcPr>
            <w:tcW w:w="0" w:type="auto"/>
            <w:tcBorders>
              <w:top w:val="nil"/>
              <w:left w:val="nil"/>
              <w:bottom w:val="single" w:sz="4" w:space="0" w:color="auto"/>
              <w:right w:val="single" w:sz="4" w:space="0" w:color="auto"/>
            </w:tcBorders>
            <w:shd w:val="clear" w:color="auto" w:fill="auto"/>
            <w:noWrap/>
            <w:vAlign w:val="center"/>
            <w:hideMark/>
          </w:tcPr>
          <w:p w14:paraId="5353F02E" w14:textId="77777777" w:rsidR="003C6A19" w:rsidRPr="004F469F" w:rsidRDefault="003C6A19" w:rsidP="003C6A19">
            <w:pPr>
              <w:jc w:val="center"/>
              <w:rPr>
                <w:b/>
                <w:bCs/>
                <w:sz w:val="20"/>
                <w:szCs w:val="20"/>
              </w:rPr>
            </w:pPr>
            <w:r w:rsidRPr="004F469F">
              <w:rPr>
                <w:b/>
                <w:bCs/>
                <w:sz w:val="20"/>
                <w:szCs w:val="20"/>
              </w:rPr>
              <w:t>9.3</w:t>
            </w:r>
          </w:p>
        </w:tc>
      </w:tr>
      <w:tr w:rsidR="00494669" w:rsidRPr="004F469F" w14:paraId="6BDE5D00"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A513E3" w14:textId="3F428DDF" w:rsidR="003C6A19" w:rsidRPr="004F469F" w:rsidRDefault="003C6A19" w:rsidP="003C6A19">
            <w:pPr>
              <w:jc w:val="center"/>
              <w:rPr>
                <w:rFonts w:eastAsia="Arial Unicode MS"/>
                <w:b/>
                <w:bCs/>
                <w:sz w:val="20"/>
                <w:szCs w:val="20"/>
              </w:rPr>
            </w:pPr>
            <w:r w:rsidRPr="004F469F">
              <w:rPr>
                <w:rFonts w:eastAsia="Arial Unicode MS"/>
                <w:b/>
                <w:bCs/>
                <w:sz w:val="20"/>
                <w:szCs w:val="20"/>
              </w:rPr>
              <w:t>3 May 1999</w:t>
            </w:r>
          </w:p>
        </w:tc>
        <w:tc>
          <w:tcPr>
            <w:tcW w:w="0" w:type="auto"/>
            <w:tcBorders>
              <w:top w:val="nil"/>
              <w:left w:val="nil"/>
              <w:bottom w:val="single" w:sz="4" w:space="0" w:color="auto"/>
              <w:right w:val="single" w:sz="4" w:space="0" w:color="auto"/>
            </w:tcBorders>
            <w:shd w:val="clear" w:color="auto" w:fill="auto"/>
            <w:noWrap/>
            <w:vAlign w:val="center"/>
            <w:hideMark/>
          </w:tcPr>
          <w:p w14:paraId="7EF8C9DF" w14:textId="5745FEB2" w:rsidR="003C6A19" w:rsidRPr="004F469F" w:rsidRDefault="003C6A19" w:rsidP="003C6A19">
            <w:pPr>
              <w:jc w:val="center"/>
              <w:rPr>
                <w:b/>
                <w:bCs/>
                <w:sz w:val="20"/>
                <w:szCs w:val="20"/>
              </w:rPr>
            </w:pPr>
            <w:r w:rsidRPr="004F469F">
              <w:rPr>
                <w:b/>
                <w:bCs/>
                <w:sz w:val="20"/>
                <w:szCs w:val="20"/>
              </w:rPr>
              <w:t>Wichita-Haysville, KS</w:t>
            </w:r>
          </w:p>
        </w:tc>
        <w:tc>
          <w:tcPr>
            <w:tcW w:w="0" w:type="auto"/>
            <w:tcBorders>
              <w:top w:val="nil"/>
              <w:left w:val="nil"/>
              <w:bottom w:val="single" w:sz="4" w:space="0" w:color="auto"/>
              <w:right w:val="single" w:sz="4" w:space="0" w:color="auto"/>
            </w:tcBorders>
            <w:shd w:val="clear" w:color="auto" w:fill="auto"/>
            <w:noWrap/>
            <w:vAlign w:val="center"/>
            <w:hideMark/>
          </w:tcPr>
          <w:p w14:paraId="29656B1F"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2CB4886" w14:textId="77777777" w:rsidR="003C6A19" w:rsidRPr="004F469F" w:rsidRDefault="003C6A19" w:rsidP="003C6A19">
            <w:pPr>
              <w:jc w:val="center"/>
              <w:rPr>
                <w:b/>
                <w:bCs/>
                <w:sz w:val="20"/>
                <w:szCs w:val="20"/>
              </w:rPr>
            </w:pPr>
            <w:r w:rsidRPr="004F469F">
              <w:rPr>
                <w:b/>
                <w:bCs/>
                <w:sz w:val="20"/>
                <w:szCs w:val="20"/>
              </w:rPr>
              <w:t>31.1</w:t>
            </w:r>
          </w:p>
        </w:tc>
        <w:tc>
          <w:tcPr>
            <w:tcW w:w="0" w:type="auto"/>
            <w:tcBorders>
              <w:top w:val="nil"/>
              <w:left w:val="nil"/>
              <w:bottom w:val="single" w:sz="4" w:space="0" w:color="auto"/>
              <w:right w:val="single" w:sz="4" w:space="0" w:color="auto"/>
            </w:tcBorders>
            <w:shd w:val="clear" w:color="auto" w:fill="auto"/>
            <w:noWrap/>
            <w:vAlign w:val="center"/>
            <w:hideMark/>
          </w:tcPr>
          <w:p w14:paraId="3BAA025D" w14:textId="77777777" w:rsidR="003C6A19" w:rsidRPr="004F469F" w:rsidRDefault="003C6A19" w:rsidP="003C6A19">
            <w:pPr>
              <w:jc w:val="center"/>
              <w:rPr>
                <w:b/>
                <w:bCs/>
                <w:sz w:val="20"/>
                <w:szCs w:val="20"/>
              </w:rPr>
            </w:pPr>
            <w:r w:rsidRPr="004F469F">
              <w:rPr>
                <w:b/>
                <w:bCs/>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042980C8" w14:textId="77777777" w:rsidR="003C6A19" w:rsidRPr="004F469F" w:rsidRDefault="003C6A19" w:rsidP="003C6A19">
            <w:pPr>
              <w:jc w:val="center"/>
              <w:rPr>
                <w:b/>
                <w:bCs/>
                <w:sz w:val="20"/>
                <w:szCs w:val="20"/>
              </w:rPr>
            </w:pPr>
            <w:r w:rsidRPr="004F469F">
              <w:rPr>
                <w:b/>
                <w:bCs/>
                <w:sz w:val="20"/>
                <w:szCs w:val="20"/>
              </w:rPr>
              <w:t>15,361</w:t>
            </w:r>
          </w:p>
        </w:tc>
        <w:tc>
          <w:tcPr>
            <w:tcW w:w="0" w:type="auto"/>
            <w:tcBorders>
              <w:top w:val="nil"/>
              <w:left w:val="nil"/>
              <w:bottom w:val="single" w:sz="4" w:space="0" w:color="auto"/>
              <w:right w:val="single" w:sz="4" w:space="0" w:color="auto"/>
            </w:tcBorders>
            <w:shd w:val="clear" w:color="auto" w:fill="auto"/>
            <w:noWrap/>
            <w:vAlign w:val="center"/>
            <w:hideMark/>
          </w:tcPr>
          <w:p w14:paraId="473E27B6" w14:textId="77777777" w:rsidR="003C6A19" w:rsidRPr="004F469F" w:rsidRDefault="003C6A19" w:rsidP="003C6A19">
            <w:pPr>
              <w:jc w:val="center"/>
              <w:rPr>
                <w:b/>
                <w:bCs/>
                <w:sz w:val="20"/>
                <w:szCs w:val="20"/>
              </w:rPr>
            </w:pPr>
            <w:r w:rsidRPr="004F469F">
              <w:rPr>
                <w:b/>
                <w:bCs/>
                <w:sz w:val="20"/>
                <w:szCs w:val="20"/>
              </w:rPr>
              <w:t>9,074</w:t>
            </w:r>
          </w:p>
        </w:tc>
        <w:tc>
          <w:tcPr>
            <w:tcW w:w="0" w:type="auto"/>
            <w:tcBorders>
              <w:top w:val="nil"/>
              <w:left w:val="nil"/>
              <w:bottom w:val="single" w:sz="4" w:space="0" w:color="auto"/>
              <w:right w:val="single" w:sz="4" w:space="0" w:color="auto"/>
            </w:tcBorders>
            <w:shd w:val="clear" w:color="auto" w:fill="auto"/>
            <w:noWrap/>
            <w:vAlign w:val="center"/>
            <w:hideMark/>
          </w:tcPr>
          <w:p w14:paraId="36864DA8" w14:textId="77777777" w:rsidR="003C6A19" w:rsidRPr="004F469F" w:rsidRDefault="003C6A19" w:rsidP="003C6A19">
            <w:pPr>
              <w:jc w:val="center"/>
              <w:rPr>
                <w:b/>
                <w:bCs/>
                <w:sz w:val="20"/>
                <w:szCs w:val="20"/>
              </w:rPr>
            </w:pPr>
            <w:r w:rsidRPr="004F469F">
              <w:rPr>
                <w:b/>
                <w:bCs/>
                <w:sz w:val="20"/>
                <w:szCs w:val="20"/>
              </w:rPr>
              <w:t>21,860</w:t>
            </w:r>
          </w:p>
        </w:tc>
        <w:tc>
          <w:tcPr>
            <w:tcW w:w="0" w:type="auto"/>
            <w:tcBorders>
              <w:top w:val="nil"/>
              <w:left w:val="nil"/>
              <w:bottom w:val="single" w:sz="4" w:space="0" w:color="auto"/>
              <w:right w:val="single" w:sz="4" w:space="0" w:color="auto"/>
            </w:tcBorders>
            <w:shd w:val="clear" w:color="auto" w:fill="auto"/>
            <w:noWrap/>
            <w:vAlign w:val="center"/>
            <w:hideMark/>
          </w:tcPr>
          <w:p w14:paraId="595DE605" w14:textId="77777777" w:rsidR="003C6A19" w:rsidRPr="004F469F" w:rsidRDefault="003C6A19" w:rsidP="003C6A19">
            <w:pPr>
              <w:jc w:val="center"/>
              <w:rPr>
                <w:b/>
                <w:bCs/>
                <w:sz w:val="20"/>
                <w:szCs w:val="20"/>
              </w:rPr>
            </w:pPr>
            <w:r w:rsidRPr="004F469F">
              <w:rPr>
                <w:b/>
                <w:bCs/>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024E2C4E" w14:textId="77777777" w:rsidR="003C6A19" w:rsidRPr="004F469F" w:rsidRDefault="003C6A19" w:rsidP="003C6A19">
            <w:pPr>
              <w:jc w:val="center"/>
              <w:rPr>
                <w:b/>
                <w:bCs/>
                <w:sz w:val="20"/>
                <w:szCs w:val="20"/>
              </w:rPr>
            </w:pPr>
            <w:r w:rsidRPr="004F469F">
              <w:rPr>
                <w:b/>
                <w:bCs/>
                <w:sz w:val="20"/>
                <w:szCs w:val="20"/>
              </w:rPr>
              <w:t>73.2</w:t>
            </w:r>
          </w:p>
        </w:tc>
        <w:tc>
          <w:tcPr>
            <w:tcW w:w="0" w:type="auto"/>
            <w:tcBorders>
              <w:top w:val="nil"/>
              <w:left w:val="nil"/>
              <w:bottom w:val="single" w:sz="4" w:space="0" w:color="auto"/>
              <w:right w:val="single" w:sz="4" w:space="0" w:color="auto"/>
            </w:tcBorders>
            <w:shd w:val="clear" w:color="auto" w:fill="auto"/>
            <w:noWrap/>
            <w:vAlign w:val="center"/>
            <w:hideMark/>
          </w:tcPr>
          <w:p w14:paraId="0C0661B0" w14:textId="77777777" w:rsidR="003C6A19" w:rsidRPr="004F469F" w:rsidRDefault="003C6A19" w:rsidP="003C6A19">
            <w:pPr>
              <w:jc w:val="center"/>
              <w:rPr>
                <w:b/>
                <w:bCs/>
                <w:sz w:val="20"/>
                <w:szCs w:val="20"/>
              </w:rPr>
            </w:pPr>
            <w:r w:rsidRPr="004F469F">
              <w:rPr>
                <w:b/>
                <w:bCs/>
                <w:sz w:val="20"/>
                <w:szCs w:val="20"/>
              </w:rPr>
              <w:t>5.5</w:t>
            </w:r>
          </w:p>
        </w:tc>
      </w:tr>
      <w:tr w:rsidR="00494669" w:rsidRPr="004F469F" w14:paraId="13238778"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A2C572" w14:textId="3348E42E" w:rsidR="003C6A19" w:rsidRPr="004F469F" w:rsidRDefault="003C6A19" w:rsidP="003C6A19">
            <w:pPr>
              <w:jc w:val="center"/>
              <w:rPr>
                <w:rFonts w:eastAsia="Arial Unicode MS"/>
                <w:b/>
                <w:bCs/>
                <w:sz w:val="20"/>
                <w:szCs w:val="20"/>
              </w:rPr>
            </w:pPr>
            <w:r w:rsidRPr="004F469F">
              <w:rPr>
                <w:rFonts w:eastAsia="Arial Unicode MS"/>
                <w:b/>
                <w:bCs/>
                <w:sz w:val="20"/>
                <w:szCs w:val="20"/>
              </w:rPr>
              <w:t>26 Dec 2015</w:t>
            </w:r>
          </w:p>
        </w:tc>
        <w:tc>
          <w:tcPr>
            <w:tcW w:w="0" w:type="auto"/>
            <w:tcBorders>
              <w:top w:val="nil"/>
              <w:left w:val="nil"/>
              <w:bottom w:val="single" w:sz="4" w:space="0" w:color="auto"/>
              <w:right w:val="single" w:sz="4" w:space="0" w:color="auto"/>
            </w:tcBorders>
            <w:shd w:val="clear" w:color="auto" w:fill="auto"/>
            <w:noWrap/>
            <w:vAlign w:val="center"/>
            <w:hideMark/>
          </w:tcPr>
          <w:p w14:paraId="1B7D8C18" w14:textId="1122109D" w:rsidR="003C6A19" w:rsidRPr="004F469F" w:rsidRDefault="003C6A19" w:rsidP="003C6A19">
            <w:pPr>
              <w:jc w:val="center"/>
              <w:rPr>
                <w:b/>
                <w:bCs/>
                <w:sz w:val="20"/>
                <w:szCs w:val="20"/>
              </w:rPr>
            </w:pPr>
            <w:r w:rsidRPr="004F469F">
              <w:rPr>
                <w:b/>
                <w:bCs/>
                <w:sz w:val="20"/>
                <w:szCs w:val="20"/>
              </w:rPr>
              <w:t>Sunnyvale-Garland, TX</w:t>
            </w:r>
          </w:p>
        </w:tc>
        <w:tc>
          <w:tcPr>
            <w:tcW w:w="0" w:type="auto"/>
            <w:tcBorders>
              <w:top w:val="nil"/>
              <w:left w:val="nil"/>
              <w:bottom w:val="single" w:sz="4" w:space="0" w:color="auto"/>
              <w:right w:val="single" w:sz="4" w:space="0" w:color="auto"/>
            </w:tcBorders>
            <w:shd w:val="clear" w:color="auto" w:fill="auto"/>
            <w:noWrap/>
            <w:vAlign w:val="center"/>
            <w:hideMark/>
          </w:tcPr>
          <w:p w14:paraId="3A743ADA"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80297A3" w14:textId="77777777" w:rsidR="003C6A19" w:rsidRPr="004F469F" w:rsidRDefault="003C6A19" w:rsidP="003C6A19">
            <w:pPr>
              <w:jc w:val="center"/>
              <w:rPr>
                <w:b/>
                <w:bCs/>
                <w:sz w:val="20"/>
                <w:szCs w:val="20"/>
              </w:rPr>
            </w:pPr>
            <w:r w:rsidRPr="004F469F">
              <w:rPr>
                <w:b/>
                <w:bCs/>
                <w:sz w:val="20"/>
                <w:szCs w:val="20"/>
              </w:rPr>
              <w:t>10.6</w:t>
            </w:r>
          </w:p>
        </w:tc>
        <w:tc>
          <w:tcPr>
            <w:tcW w:w="0" w:type="auto"/>
            <w:tcBorders>
              <w:top w:val="nil"/>
              <w:left w:val="nil"/>
              <w:bottom w:val="single" w:sz="4" w:space="0" w:color="auto"/>
              <w:right w:val="single" w:sz="4" w:space="0" w:color="auto"/>
            </w:tcBorders>
            <w:shd w:val="clear" w:color="auto" w:fill="auto"/>
            <w:noWrap/>
            <w:vAlign w:val="center"/>
            <w:hideMark/>
          </w:tcPr>
          <w:p w14:paraId="368004E8" w14:textId="77777777" w:rsidR="003C6A19" w:rsidRPr="004F469F" w:rsidRDefault="003C6A19" w:rsidP="003C6A19">
            <w:pPr>
              <w:jc w:val="center"/>
              <w:rPr>
                <w:b/>
                <w:bCs/>
                <w:sz w:val="20"/>
                <w:szCs w:val="20"/>
              </w:rPr>
            </w:pPr>
            <w:r w:rsidRPr="004F469F">
              <w:rPr>
                <w:b/>
                <w:bCs/>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68491710" w14:textId="77777777" w:rsidR="003C6A19" w:rsidRPr="004F469F" w:rsidRDefault="003C6A19" w:rsidP="003C6A19">
            <w:pPr>
              <w:jc w:val="center"/>
              <w:rPr>
                <w:b/>
                <w:bCs/>
                <w:sz w:val="20"/>
                <w:szCs w:val="20"/>
              </w:rPr>
            </w:pPr>
            <w:r w:rsidRPr="004F469F">
              <w:rPr>
                <w:b/>
                <w:bCs/>
                <w:sz w:val="20"/>
                <w:szCs w:val="20"/>
              </w:rPr>
              <w:t>7,399</w:t>
            </w:r>
          </w:p>
        </w:tc>
        <w:tc>
          <w:tcPr>
            <w:tcW w:w="0" w:type="auto"/>
            <w:tcBorders>
              <w:top w:val="nil"/>
              <w:left w:val="nil"/>
              <w:bottom w:val="single" w:sz="4" w:space="0" w:color="auto"/>
              <w:right w:val="single" w:sz="4" w:space="0" w:color="auto"/>
            </w:tcBorders>
            <w:shd w:val="clear" w:color="auto" w:fill="auto"/>
            <w:noWrap/>
            <w:vAlign w:val="center"/>
            <w:hideMark/>
          </w:tcPr>
          <w:p w14:paraId="5706B866" w14:textId="77777777" w:rsidR="003C6A19" w:rsidRPr="004F469F" w:rsidRDefault="003C6A19" w:rsidP="003C6A19">
            <w:pPr>
              <w:jc w:val="center"/>
              <w:rPr>
                <w:b/>
                <w:bCs/>
                <w:sz w:val="20"/>
                <w:szCs w:val="20"/>
              </w:rPr>
            </w:pPr>
            <w:r w:rsidRPr="004F469F">
              <w:rPr>
                <w:b/>
                <w:bCs/>
                <w:sz w:val="20"/>
                <w:szCs w:val="20"/>
              </w:rPr>
              <w:t>7,197</w:t>
            </w:r>
          </w:p>
        </w:tc>
        <w:tc>
          <w:tcPr>
            <w:tcW w:w="0" w:type="auto"/>
            <w:tcBorders>
              <w:top w:val="nil"/>
              <w:left w:val="nil"/>
              <w:bottom w:val="single" w:sz="4" w:space="0" w:color="auto"/>
              <w:right w:val="single" w:sz="4" w:space="0" w:color="auto"/>
            </w:tcBorders>
            <w:shd w:val="clear" w:color="auto" w:fill="auto"/>
            <w:noWrap/>
            <w:vAlign w:val="center"/>
            <w:hideMark/>
          </w:tcPr>
          <w:p w14:paraId="37DCF700" w14:textId="77777777" w:rsidR="003C6A19" w:rsidRPr="004F469F" w:rsidRDefault="003C6A19" w:rsidP="003C6A19">
            <w:pPr>
              <w:jc w:val="center"/>
              <w:rPr>
                <w:b/>
                <w:bCs/>
                <w:sz w:val="20"/>
                <w:szCs w:val="20"/>
              </w:rPr>
            </w:pPr>
            <w:r w:rsidRPr="004F469F">
              <w:rPr>
                <w:b/>
                <w:bCs/>
                <w:sz w:val="20"/>
                <w:szCs w:val="20"/>
              </w:rPr>
              <w:t>25,536</w:t>
            </w:r>
          </w:p>
        </w:tc>
        <w:tc>
          <w:tcPr>
            <w:tcW w:w="0" w:type="auto"/>
            <w:tcBorders>
              <w:top w:val="nil"/>
              <w:left w:val="nil"/>
              <w:bottom w:val="single" w:sz="4" w:space="0" w:color="auto"/>
              <w:right w:val="single" w:sz="4" w:space="0" w:color="auto"/>
            </w:tcBorders>
            <w:shd w:val="clear" w:color="auto" w:fill="auto"/>
            <w:noWrap/>
            <w:vAlign w:val="center"/>
            <w:hideMark/>
          </w:tcPr>
          <w:p w14:paraId="32FC7B97" w14:textId="77777777" w:rsidR="003C6A19" w:rsidRPr="004F469F" w:rsidRDefault="003C6A19" w:rsidP="003C6A19">
            <w:pPr>
              <w:jc w:val="center"/>
              <w:rPr>
                <w:b/>
                <w:bCs/>
                <w:sz w:val="20"/>
                <w:szCs w:val="20"/>
              </w:rPr>
            </w:pPr>
            <w:r w:rsidRPr="004F469F">
              <w:rPr>
                <w:b/>
                <w:bCs/>
                <w:sz w:val="20"/>
                <w:szCs w:val="20"/>
              </w:rPr>
              <w:t>49.2</w:t>
            </w:r>
          </w:p>
        </w:tc>
        <w:tc>
          <w:tcPr>
            <w:tcW w:w="0" w:type="auto"/>
            <w:tcBorders>
              <w:top w:val="nil"/>
              <w:left w:val="nil"/>
              <w:bottom w:val="single" w:sz="4" w:space="0" w:color="auto"/>
              <w:right w:val="single" w:sz="4" w:space="0" w:color="auto"/>
            </w:tcBorders>
            <w:shd w:val="clear" w:color="auto" w:fill="auto"/>
            <w:noWrap/>
            <w:vAlign w:val="center"/>
            <w:hideMark/>
          </w:tcPr>
          <w:p w14:paraId="1B1E195D" w14:textId="77777777" w:rsidR="003C6A19" w:rsidRPr="004F469F" w:rsidRDefault="003C6A19" w:rsidP="003C6A19">
            <w:pPr>
              <w:jc w:val="center"/>
              <w:rPr>
                <w:b/>
                <w:bCs/>
                <w:sz w:val="20"/>
                <w:szCs w:val="20"/>
              </w:rPr>
            </w:pPr>
            <w:r w:rsidRPr="004F469F">
              <w:rPr>
                <w:b/>
                <w:bCs/>
                <w:sz w:val="20"/>
                <w:szCs w:val="20"/>
              </w:rPr>
              <w:t>63.7</w:t>
            </w:r>
          </w:p>
        </w:tc>
        <w:tc>
          <w:tcPr>
            <w:tcW w:w="0" w:type="auto"/>
            <w:tcBorders>
              <w:top w:val="nil"/>
              <w:left w:val="nil"/>
              <w:bottom w:val="single" w:sz="4" w:space="0" w:color="auto"/>
              <w:right w:val="single" w:sz="4" w:space="0" w:color="auto"/>
            </w:tcBorders>
            <w:shd w:val="clear" w:color="auto" w:fill="auto"/>
            <w:noWrap/>
            <w:vAlign w:val="center"/>
            <w:hideMark/>
          </w:tcPr>
          <w:p w14:paraId="6CBFBF87" w14:textId="77777777" w:rsidR="003C6A19" w:rsidRPr="004F469F" w:rsidRDefault="003C6A19" w:rsidP="003C6A19">
            <w:pPr>
              <w:jc w:val="center"/>
              <w:rPr>
                <w:b/>
                <w:bCs/>
                <w:sz w:val="20"/>
                <w:szCs w:val="20"/>
              </w:rPr>
            </w:pPr>
            <w:r w:rsidRPr="004F469F">
              <w:rPr>
                <w:b/>
                <w:bCs/>
                <w:sz w:val="20"/>
                <w:szCs w:val="20"/>
              </w:rPr>
              <w:t>4</w:t>
            </w:r>
          </w:p>
        </w:tc>
      </w:tr>
      <w:tr w:rsidR="00494669" w:rsidRPr="004F469F" w14:paraId="21322D0D"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0CFF3" w14:textId="62E40231" w:rsidR="003C6A19" w:rsidRPr="004F469F" w:rsidRDefault="003C6A19" w:rsidP="003C6A19">
            <w:pPr>
              <w:jc w:val="center"/>
              <w:rPr>
                <w:rFonts w:eastAsia="Arial Unicode MS"/>
                <w:sz w:val="20"/>
                <w:szCs w:val="20"/>
              </w:rPr>
            </w:pPr>
            <w:r w:rsidRPr="004F469F">
              <w:rPr>
                <w:rFonts w:eastAsia="Arial Unicode MS"/>
                <w:sz w:val="20"/>
                <w:szCs w:val="20"/>
              </w:rPr>
              <w:t>18 May 1995</w:t>
            </w:r>
          </w:p>
        </w:tc>
        <w:tc>
          <w:tcPr>
            <w:tcW w:w="0" w:type="auto"/>
            <w:tcBorders>
              <w:top w:val="nil"/>
              <w:left w:val="nil"/>
              <w:bottom w:val="single" w:sz="4" w:space="0" w:color="auto"/>
              <w:right w:val="single" w:sz="4" w:space="0" w:color="auto"/>
            </w:tcBorders>
            <w:shd w:val="clear" w:color="auto" w:fill="auto"/>
            <w:noWrap/>
            <w:vAlign w:val="center"/>
            <w:hideMark/>
          </w:tcPr>
          <w:p w14:paraId="01067074" w14:textId="6CD89ADD" w:rsidR="003C6A19" w:rsidRPr="004F469F" w:rsidRDefault="003C6A19" w:rsidP="003C6A19">
            <w:pPr>
              <w:jc w:val="center"/>
              <w:rPr>
                <w:sz w:val="20"/>
                <w:szCs w:val="20"/>
              </w:rPr>
            </w:pPr>
            <w:r w:rsidRPr="004F469F">
              <w:rPr>
                <w:sz w:val="20"/>
                <w:szCs w:val="20"/>
              </w:rPr>
              <w:t>Deerfield-Campbellsville, AL</w:t>
            </w:r>
          </w:p>
        </w:tc>
        <w:tc>
          <w:tcPr>
            <w:tcW w:w="0" w:type="auto"/>
            <w:tcBorders>
              <w:top w:val="nil"/>
              <w:left w:val="nil"/>
              <w:bottom w:val="single" w:sz="4" w:space="0" w:color="auto"/>
              <w:right w:val="single" w:sz="4" w:space="0" w:color="auto"/>
            </w:tcBorders>
            <w:shd w:val="clear" w:color="auto" w:fill="auto"/>
            <w:noWrap/>
            <w:vAlign w:val="center"/>
            <w:hideMark/>
          </w:tcPr>
          <w:p w14:paraId="6F14B714"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8C0692A" w14:textId="77777777" w:rsidR="003C6A19" w:rsidRPr="004F469F" w:rsidRDefault="003C6A19" w:rsidP="003C6A19">
            <w:pPr>
              <w:jc w:val="center"/>
              <w:rPr>
                <w:sz w:val="20"/>
                <w:szCs w:val="20"/>
              </w:rPr>
            </w:pPr>
            <w:r w:rsidRPr="004F469F">
              <w:rPr>
                <w:sz w:val="20"/>
                <w:szCs w:val="20"/>
              </w:rPr>
              <w:t>74.6</w:t>
            </w:r>
          </w:p>
        </w:tc>
        <w:tc>
          <w:tcPr>
            <w:tcW w:w="0" w:type="auto"/>
            <w:tcBorders>
              <w:top w:val="nil"/>
              <w:left w:val="nil"/>
              <w:bottom w:val="single" w:sz="4" w:space="0" w:color="auto"/>
              <w:right w:val="single" w:sz="4" w:space="0" w:color="auto"/>
            </w:tcBorders>
            <w:shd w:val="clear" w:color="auto" w:fill="auto"/>
            <w:noWrap/>
            <w:vAlign w:val="center"/>
            <w:hideMark/>
          </w:tcPr>
          <w:p w14:paraId="588F28AD" w14:textId="77777777" w:rsidR="003C6A19" w:rsidRPr="004F469F" w:rsidRDefault="003C6A19" w:rsidP="003C6A19">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07186C70" w14:textId="77777777" w:rsidR="003C6A19" w:rsidRPr="004F469F" w:rsidRDefault="003C6A19" w:rsidP="003C6A19">
            <w:pPr>
              <w:jc w:val="center"/>
              <w:rPr>
                <w:sz w:val="20"/>
                <w:szCs w:val="20"/>
              </w:rPr>
            </w:pPr>
            <w:r w:rsidRPr="004F469F">
              <w:rPr>
                <w:sz w:val="20"/>
                <w:szCs w:val="20"/>
              </w:rPr>
              <w:t>6,173</w:t>
            </w:r>
          </w:p>
        </w:tc>
        <w:tc>
          <w:tcPr>
            <w:tcW w:w="0" w:type="auto"/>
            <w:tcBorders>
              <w:top w:val="nil"/>
              <w:left w:val="nil"/>
              <w:bottom w:val="single" w:sz="4" w:space="0" w:color="auto"/>
              <w:right w:val="single" w:sz="4" w:space="0" w:color="auto"/>
            </w:tcBorders>
            <w:shd w:val="clear" w:color="auto" w:fill="auto"/>
            <w:noWrap/>
            <w:vAlign w:val="center"/>
            <w:hideMark/>
          </w:tcPr>
          <w:p w14:paraId="4F04B444" w14:textId="77777777" w:rsidR="003C6A19" w:rsidRPr="004F469F" w:rsidRDefault="003C6A19" w:rsidP="003C6A19">
            <w:pPr>
              <w:jc w:val="center"/>
              <w:rPr>
                <w:sz w:val="20"/>
                <w:szCs w:val="20"/>
              </w:rPr>
            </w:pPr>
            <w:r w:rsidRPr="004F469F">
              <w:rPr>
                <w:sz w:val="20"/>
                <w:szCs w:val="20"/>
              </w:rPr>
              <w:t>6,383</w:t>
            </w:r>
          </w:p>
        </w:tc>
        <w:tc>
          <w:tcPr>
            <w:tcW w:w="0" w:type="auto"/>
            <w:tcBorders>
              <w:top w:val="nil"/>
              <w:left w:val="nil"/>
              <w:bottom w:val="single" w:sz="4" w:space="0" w:color="auto"/>
              <w:right w:val="single" w:sz="4" w:space="0" w:color="auto"/>
            </w:tcBorders>
            <w:shd w:val="clear" w:color="auto" w:fill="auto"/>
            <w:noWrap/>
            <w:vAlign w:val="center"/>
            <w:hideMark/>
          </w:tcPr>
          <w:p w14:paraId="02847BA9" w14:textId="77777777" w:rsidR="003C6A19" w:rsidRPr="004F469F" w:rsidRDefault="003C6A19" w:rsidP="003C6A19">
            <w:pPr>
              <w:jc w:val="center"/>
              <w:rPr>
                <w:sz w:val="20"/>
                <w:szCs w:val="20"/>
              </w:rPr>
            </w:pPr>
            <w:r w:rsidRPr="004F469F">
              <w:rPr>
                <w:sz w:val="20"/>
                <w:szCs w:val="20"/>
              </w:rPr>
              <w:t>19,534</w:t>
            </w:r>
          </w:p>
        </w:tc>
        <w:tc>
          <w:tcPr>
            <w:tcW w:w="0" w:type="auto"/>
            <w:tcBorders>
              <w:top w:val="nil"/>
              <w:left w:val="nil"/>
              <w:bottom w:val="single" w:sz="4" w:space="0" w:color="auto"/>
              <w:right w:val="single" w:sz="4" w:space="0" w:color="auto"/>
            </w:tcBorders>
            <w:shd w:val="clear" w:color="auto" w:fill="auto"/>
            <w:noWrap/>
            <w:vAlign w:val="center"/>
            <w:hideMark/>
          </w:tcPr>
          <w:p w14:paraId="2F88A58A" w14:textId="77777777" w:rsidR="003C6A19" w:rsidRPr="004F469F" w:rsidRDefault="003C6A19" w:rsidP="003C6A19">
            <w:pPr>
              <w:jc w:val="center"/>
              <w:rPr>
                <w:sz w:val="20"/>
                <w:szCs w:val="20"/>
              </w:rPr>
            </w:pPr>
            <w:r w:rsidRPr="004F469F">
              <w:rPr>
                <w:sz w:val="20"/>
                <w:szCs w:val="20"/>
              </w:rPr>
              <w:t>52.6</w:t>
            </w:r>
          </w:p>
        </w:tc>
        <w:tc>
          <w:tcPr>
            <w:tcW w:w="0" w:type="auto"/>
            <w:tcBorders>
              <w:top w:val="nil"/>
              <w:left w:val="nil"/>
              <w:bottom w:val="single" w:sz="4" w:space="0" w:color="auto"/>
              <w:right w:val="single" w:sz="4" w:space="0" w:color="auto"/>
            </w:tcBorders>
            <w:shd w:val="clear" w:color="auto" w:fill="auto"/>
            <w:noWrap/>
            <w:vAlign w:val="center"/>
            <w:hideMark/>
          </w:tcPr>
          <w:p w14:paraId="284359E1" w14:textId="77777777" w:rsidR="003C6A19" w:rsidRPr="004F469F" w:rsidRDefault="003C6A19" w:rsidP="003C6A19">
            <w:pPr>
              <w:jc w:val="center"/>
              <w:rPr>
                <w:sz w:val="20"/>
                <w:szCs w:val="20"/>
              </w:rPr>
            </w:pPr>
            <w:r w:rsidRPr="004F469F">
              <w:rPr>
                <w:sz w:val="20"/>
                <w:szCs w:val="20"/>
              </w:rPr>
              <w:t>63.6</w:t>
            </w:r>
          </w:p>
        </w:tc>
        <w:tc>
          <w:tcPr>
            <w:tcW w:w="0" w:type="auto"/>
            <w:tcBorders>
              <w:top w:val="nil"/>
              <w:left w:val="nil"/>
              <w:bottom w:val="single" w:sz="4" w:space="0" w:color="auto"/>
              <w:right w:val="single" w:sz="4" w:space="0" w:color="auto"/>
            </w:tcBorders>
            <w:shd w:val="clear" w:color="auto" w:fill="auto"/>
            <w:noWrap/>
            <w:vAlign w:val="center"/>
            <w:hideMark/>
          </w:tcPr>
          <w:p w14:paraId="3ADBE6CD" w14:textId="4CBA01A7" w:rsidR="003C6A19" w:rsidRPr="004F469F" w:rsidRDefault="003C6A19" w:rsidP="003C6A19">
            <w:pPr>
              <w:jc w:val="center"/>
              <w:rPr>
                <w:sz w:val="20"/>
                <w:szCs w:val="20"/>
              </w:rPr>
            </w:pPr>
            <w:r w:rsidRPr="004F469F">
              <w:rPr>
                <w:sz w:val="20"/>
                <w:szCs w:val="20"/>
              </w:rPr>
              <w:t>-</w:t>
            </w:r>
          </w:p>
        </w:tc>
      </w:tr>
      <w:tr w:rsidR="00494669" w:rsidRPr="004F469F" w14:paraId="0AC3E010"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F718C0" w14:textId="16DE36C4" w:rsidR="003C6A19" w:rsidRPr="004F469F" w:rsidRDefault="003C6A19" w:rsidP="003C6A19">
            <w:pPr>
              <w:jc w:val="center"/>
              <w:rPr>
                <w:rFonts w:eastAsia="Arial Unicode MS"/>
                <w:sz w:val="20"/>
                <w:szCs w:val="20"/>
              </w:rPr>
            </w:pPr>
            <w:r w:rsidRPr="004F469F">
              <w:rPr>
                <w:rFonts w:eastAsia="Arial Unicode M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4E7D4D19" w14:textId="06F897CA" w:rsidR="003C6A19" w:rsidRPr="004F469F" w:rsidRDefault="003C6A19" w:rsidP="003C6A19">
            <w:pPr>
              <w:jc w:val="center"/>
              <w:rPr>
                <w:sz w:val="20"/>
                <w:szCs w:val="20"/>
              </w:rPr>
            </w:pPr>
            <w:r w:rsidRPr="004F469F">
              <w:rPr>
                <w:sz w:val="20"/>
                <w:szCs w:val="20"/>
              </w:rPr>
              <w:t>Apison-Cleveland, TN</w:t>
            </w:r>
          </w:p>
        </w:tc>
        <w:tc>
          <w:tcPr>
            <w:tcW w:w="0" w:type="auto"/>
            <w:tcBorders>
              <w:top w:val="nil"/>
              <w:left w:val="nil"/>
              <w:bottom w:val="single" w:sz="4" w:space="0" w:color="auto"/>
              <w:right w:val="single" w:sz="4" w:space="0" w:color="auto"/>
            </w:tcBorders>
            <w:shd w:val="clear" w:color="auto" w:fill="auto"/>
            <w:noWrap/>
            <w:vAlign w:val="center"/>
            <w:hideMark/>
          </w:tcPr>
          <w:p w14:paraId="38039FA2"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7E0FE4BC" w14:textId="77777777" w:rsidR="003C6A19" w:rsidRPr="004F469F" w:rsidRDefault="003C6A19" w:rsidP="003C6A19">
            <w:pPr>
              <w:jc w:val="center"/>
              <w:rPr>
                <w:sz w:val="20"/>
                <w:szCs w:val="20"/>
              </w:rPr>
            </w:pPr>
            <w:r w:rsidRPr="004F469F">
              <w:rPr>
                <w:sz w:val="20"/>
                <w:szCs w:val="20"/>
              </w:rPr>
              <w:t>56.5</w:t>
            </w:r>
          </w:p>
        </w:tc>
        <w:tc>
          <w:tcPr>
            <w:tcW w:w="0" w:type="auto"/>
            <w:tcBorders>
              <w:top w:val="nil"/>
              <w:left w:val="nil"/>
              <w:bottom w:val="single" w:sz="4" w:space="0" w:color="auto"/>
              <w:right w:val="single" w:sz="4" w:space="0" w:color="auto"/>
            </w:tcBorders>
            <w:shd w:val="clear" w:color="auto" w:fill="auto"/>
            <w:noWrap/>
            <w:vAlign w:val="center"/>
            <w:hideMark/>
          </w:tcPr>
          <w:p w14:paraId="42C70D2A" w14:textId="77777777" w:rsidR="003C6A19" w:rsidRPr="004F469F" w:rsidRDefault="003C6A19" w:rsidP="003C6A19">
            <w:pPr>
              <w:jc w:val="center"/>
              <w:rPr>
                <w:sz w:val="20"/>
                <w:szCs w:val="20"/>
              </w:rPr>
            </w:pPr>
            <w:r w:rsidRPr="004F469F">
              <w:rPr>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6950CA50" w14:textId="77777777" w:rsidR="003C6A19" w:rsidRPr="004F469F" w:rsidRDefault="003C6A19" w:rsidP="003C6A19">
            <w:pPr>
              <w:jc w:val="center"/>
              <w:rPr>
                <w:sz w:val="20"/>
                <w:szCs w:val="20"/>
              </w:rPr>
            </w:pPr>
            <w:r w:rsidRPr="004F469F">
              <w:rPr>
                <w:sz w:val="20"/>
                <w:szCs w:val="20"/>
              </w:rPr>
              <w:t>9,833</w:t>
            </w:r>
          </w:p>
        </w:tc>
        <w:tc>
          <w:tcPr>
            <w:tcW w:w="0" w:type="auto"/>
            <w:tcBorders>
              <w:top w:val="nil"/>
              <w:left w:val="nil"/>
              <w:bottom w:val="single" w:sz="4" w:space="0" w:color="auto"/>
              <w:right w:val="single" w:sz="4" w:space="0" w:color="auto"/>
            </w:tcBorders>
            <w:shd w:val="clear" w:color="auto" w:fill="auto"/>
            <w:noWrap/>
            <w:vAlign w:val="center"/>
            <w:hideMark/>
          </w:tcPr>
          <w:p w14:paraId="5B6E58E5" w14:textId="77777777" w:rsidR="003C6A19" w:rsidRPr="004F469F" w:rsidRDefault="003C6A19" w:rsidP="003C6A19">
            <w:pPr>
              <w:jc w:val="center"/>
              <w:rPr>
                <w:sz w:val="20"/>
                <w:szCs w:val="20"/>
              </w:rPr>
            </w:pPr>
            <w:r w:rsidRPr="004F469F">
              <w:rPr>
                <w:sz w:val="20"/>
                <w:szCs w:val="20"/>
              </w:rPr>
              <w:t>8,680</w:t>
            </w:r>
          </w:p>
        </w:tc>
        <w:tc>
          <w:tcPr>
            <w:tcW w:w="0" w:type="auto"/>
            <w:tcBorders>
              <w:top w:val="nil"/>
              <w:left w:val="nil"/>
              <w:bottom w:val="single" w:sz="4" w:space="0" w:color="auto"/>
              <w:right w:val="single" w:sz="4" w:space="0" w:color="auto"/>
            </w:tcBorders>
            <w:shd w:val="clear" w:color="auto" w:fill="auto"/>
            <w:noWrap/>
            <w:vAlign w:val="center"/>
            <w:hideMark/>
          </w:tcPr>
          <w:p w14:paraId="3355305E" w14:textId="77777777" w:rsidR="003C6A19" w:rsidRPr="004F469F" w:rsidRDefault="003C6A19" w:rsidP="003C6A19">
            <w:pPr>
              <w:jc w:val="center"/>
              <w:rPr>
                <w:sz w:val="20"/>
                <w:szCs w:val="20"/>
              </w:rPr>
            </w:pPr>
            <w:r w:rsidRPr="004F469F">
              <w:rPr>
                <w:sz w:val="20"/>
                <w:szCs w:val="20"/>
              </w:rPr>
              <w:t>13,696</w:t>
            </w:r>
          </w:p>
        </w:tc>
        <w:tc>
          <w:tcPr>
            <w:tcW w:w="0" w:type="auto"/>
            <w:tcBorders>
              <w:top w:val="nil"/>
              <w:left w:val="nil"/>
              <w:bottom w:val="single" w:sz="4" w:space="0" w:color="auto"/>
              <w:right w:val="single" w:sz="4" w:space="0" w:color="auto"/>
            </w:tcBorders>
            <w:shd w:val="clear" w:color="auto" w:fill="auto"/>
            <w:noWrap/>
            <w:vAlign w:val="center"/>
            <w:hideMark/>
          </w:tcPr>
          <w:p w14:paraId="662D648E" w14:textId="77777777" w:rsidR="003C6A19" w:rsidRPr="004F469F" w:rsidRDefault="003C6A19" w:rsidP="003C6A19">
            <w:pPr>
              <w:jc w:val="center"/>
              <w:rPr>
                <w:sz w:val="20"/>
                <w:szCs w:val="20"/>
              </w:rPr>
            </w:pPr>
            <w:r w:rsidRPr="004F469F">
              <w:rPr>
                <w:sz w:val="20"/>
                <w:szCs w:val="20"/>
              </w:rPr>
              <w:t>33.9</w:t>
            </w:r>
          </w:p>
        </w:tc>
        <w:tc>
          <w:tcPr>
            <w:tcW w:w="0" w:type="auto"/>
            <w:tcBorders>
              <w:top w:val="nil"/>
              <w:left w:val="nil"/>
              <w:bottom w:val="single" w:sz="4" w:space="0" w:color="auto"/>
              <w:right w:val="single" w:sz="4" w:space="0" w:color="auto"/>
            </w:tcBorders>
            <w:shd w:val="clear" w:color="auto" w:fill="auto"/>
            <w:noWrap/>
            <w:vAlign w:val="center"/>
            <w:hideMark/>
          </w:tcPr>
          <w:p w14:paraId="767796B1" w14:textId="77777777" w:rsidR="003C6A19" w:rsidRPr="004F469F" w:rsidRDefault="003C6A19" w:rsidP="003C6A19">
            <w:pPr>
              <w:jc w:val="center"/>
              <w:rPr>
                <w:sz w:val="20"/>
                <w:szCs w:val="20"/>
              </w:rPr>
            </w:pPr>
            <w:r w:rsidRPr="004F469F">
              <w:rPr>
                <w:sz w:val="20"/>
                <w:szCs w:val="20"/>
              </w:rPr>
              <w:t>63.6</w:t>
            </w:r>
          </w:p>
        </w:tc>
        <w:tc>
          <w:tcPr>
            <w:tcW w:w="0" w:type="auto"/>
            <w:tcBorders>
              <w:top w:val="nil"/>
              <w:left w:val="nil"/>
              <w:bottom w:val="single" w:sz="4" w:space="0" w:color="auto"/>
              <w:right w:val="single" w:sz="4" w:space="0" w:color="auto"/>
            </w:tcBorders>
            <w:shd w:val="clear" w:color="auto" w:fill="auto"/>
            <w:noWrap/>
            <w:vAlign w:val="center"/>
            <w:hideMark/>
          </w:tcPr>
          <w:p w14:paraId="64DCEED9" w14:textId="09E3CCE5" w:rsidR="003C6A19" w:rsidRPr="004F469F" w:rsidRDefault="003C6A19" w:rsidP="003C6A19">
            <w:pPr>
              <w:jc w:val="center"/>
              <w:rPr>
                <w:sz w:val="20"/>
                <w:szCs w:val="20"/>
              </w:rPr>
            </w:pPr>
            <w:r w:rsidRPr="004F469F">
              <w:rPr>
                <w:sz w:val="20"/>
                <w:szCs w:val="20"/>
              </w:rPr>
              <w:t>-</w:t>
            </w:r>
          </w:p>
        </w:tc>
      </w:tr>
      <w:tr w:rsidR="00494669" w:rsidRPr="004F469F" w14:paraId="3F545453"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78880" w14:textId="03381CA0" w:rsidR="003C6A19" w:rsidRPr="004F469F" w:rsidRDefault="003C6A19" w:rsidP="003C6A19">
            <w:pPr>
              <w:jc w:val="center"/>
              <w:rPr>
                <w:rFonts w:eastAsia="Arial Unicode MS"/>
                <w:b/>
                <w:bCs/>
                <w:sz w:val="20"/>
                <w:szCs w:val="20"/>
              </w:rPr>
            </w:pPr>
            <w:r w:rsidRPr="004F469F">
              <w:rPr>
                <w:rFonts w:eastAsia="Arial Unicode MS"/>
                <w:b/>
                <w:bCs/>
                <w:sz w:val="20"/>
                <w:szCs w:val="20"/>
              </w:rPr>
              <w:t>8 May 2003</w:t>
            </w:r>
          </w:p>
        </w:tc>
        <w:tc>
          <w:tcPr>
            <w:tcW w:w="0" w:type="auto"/>
            <w:tcBorders>
              <w:top w:val="nil"/>
              <w:left w:val="nil"/>
              <w:bottom w:val="single" w:sz="4" w:space="0" w:color="auto"/>
              <w:right w:val="single" w:sz="4" w:space="0" w:color="auto"/>
            </w:tcBorders>
            <w:shd w:val="clear" w:color="auto" w:fill="auto"/>
            <w:noWrap/>
            <w:vAlign w:val="center"/>
            <w:hideMark/>
          </w:tcPr>
          <w:p w14:paraId="5FBC634D" w14:textId="40BF1C0B" w:rsidR="003C6A19" w:rsidRPr="004F469F" w:rsidRDefault="003C6A19" w:rsidP="003C6A19">
            <w:pPr>
              <w:jc w:val="center"/>
              <w:rPr>
                <w:b/>
                <w:bCs/>
                <w:sz w:val="20"/>
                <w:szCs w:val="20"/>
              </w:rPr>
            </w:pPr>
            <w:r w:rsidRPr="004F469F">
              <w:rPr>
                <w:b/>
                <w:bCs/>
                <w:sz w:val="20"/>
                <w:szCs w:val="20"/>
              </w:rPr>
              <w:t>Moore-Oklahoma City, OK</w:t>
            </w:r>
          </w:p>
        </w:tc>
        <w:tc>
          <w:tcPr>
            <w:tcW w:w="0" w:type="auto"/>
            <w:tcBorders>
              <w:top w:val="nil"/>
              <w:left w:val="nil"/>
              <w:bottom w:val="single" w:sz="4" w:space="0" w:color="auto"/>
              <w:right w:val="single" w:sz="4" w:space="0" w:color="auto"/>
            </w:tcBorders>
            <w:shd w:val="clear" w:color="auto" w:fill="auto"/>
            <w:noWrap/>
            <w:vAlign w:val="center"/>
            <w:hideMark/>
          </w:tcPr>
          <w:p w14:paraId="593A61C7" w14:textId="77777777" w:rsidR="003C6A19" w:rsidRPr="004F469F" w:rsidRDefault="003C6A19" w:rsidP="003C6A19">
            <w:pPr>
              <w:jc w:val="center"/>
              <w:rPr>
                <w:b/>
                <w:bCs/>
                <w:sz w:val="20"/>
                <w:szCs w:val="20"/>
              </w:rPr>
            </w:pPr>
            <w:r w:rsidRPr="004F469F">
              <w:rPr>
                <w:b/>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FC60335" w14:textId="77777777" w:rsidR="003C6A19" w:rsidRPr="004F469F" w:rsidRDefault="003C6A19" w:rsidP="003C6A19">
            <w:pPr>
              <w:jc w:val="center"/>
              <w:rPr>
                <w:b/>
                <w:bCs/>
                <w:sz w:val="20"/>
                <w:szCs w:val="20"/>
              </w:rPr>
            </w:pPr>
            <w:r w:rsidRPr="004F469F">
              <w:rPr>
                <w:b/>
                <w:bCs/>
                <w:sz w:val="20"/>
                <w:szCs w:val="20"/>
              </w:rPr>
              <w:t>17.8</w:t>
            </w:r>
          </w:p>
        </w:tc>
        <w:tc>
          <w:tcPr>
            <w:tcW w:w="0" w:type="auto"/>
            <w:tcBorders>
              <w:top w:val="nil"/>
              <w:left w:val="nil"/>
              <w:bottom w:val="single" w:sz="4" w:space="0" w:color="auto"/>
              <w:right w:val="single" w:sz="4" w:space="0" w:color="auto"/>
            </w:tcBorders>
            <w:shd w:val="clear" w:color="auto" w:fill="auto"/>
            <w:noWrap/>
            <w:vAlign w:val="center"/>
            <w:hideMark/>
          </w:tcPr>
          <w:p w14:paraId="5A75E204" w14:textId="77777777" w:rsidR="003C6A19" w:rsidRPr="004F469F" w:rsidRDefault="003C6A19" w:rsidP="003C6A19">
            <w:pPr>
              <w:jc w:val="center"/>
              <w:rPr>
                <w:b/>
                <w:bCs/>
                <w:sz w:val="20"/>
                <w:szCs w:val="20"/>
              </w:rPr>
            </w:pPr>
            <w:r w:rsidRPr="004F469F">
              <w:rPr>
                <w:b/>
                <w:bCs/>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76CA484" w14:textId="77777777" w:rsidR="003C6A19" w:rsidRPr="004F469F" w:rsidRDefault="003C6A19" w:rsidP="003C6A19">
            <w:pPr>
              <w:jc w:val="center"/>
              <w:rPr>
                <w:b/>
                <w:bCs/>
                <w:sz w:val="20"/>
                <w:szCs w:val="20"/>
              </w:rPr>
            </w:pPr>
            <w:r w:rsidRPr="004F469F">
              <w:rPr>
                <w:b/>
                <w:bCs/>
                <w:sz w:val="20"/>
                <w:szCs w:val="20"/>
              </w:rPr>
              <w:t>11,163</w:t>
            </w:r>
          </w:p>
        </w:tc>
        <w:tc>
          <w:tcPr>
            <w:tcW w:w="0" w:type="auto"/>
            <w:tcBorders>
              <w:top w:val="nil"/>
              <w:left w:val="nil"/>
              <w:bottom w:val="single" w:sz="4" w:space="0" w:color="auto"/>
              <w:right w:val="single" w:sz="4" w:space="0" w:color="auto"/>
            </w:tcBorders>
            <w:shd w:val="clear" w:color="auto" w:fill="auto"/>
            <w:noWrap/>
            <w:vAlign w:val="center"/>
            <w:hideMark/>
          </w:tcPr>
          <w:p w14:paraId="1DF05FD4" w14:textId="77777777" w:rsidR="003C6A19" w:rsidRPr="004F469F" w:rsidRDefault="003C6A19" w:rsidP="003C6A19">
            <w:pPr>
              <w:jc w:val="center"/>
              <w:rPr>
                <w:b/>
                <w:bCs/>
                <w:sz w:val="20"/>
                <w:szCs w:val="20"/>
              </w:rPr>
            </w:pPr>
            <w:r w:rsidRPr="004F469F">
              <w:rPr>
                <w:b/>
                <w:bCs/>
                <w:sz w:val="20"/>
                <w:szCs w:val="20"/>
              </w:rPr>
              <w:t>7,586</w:t>
            </w:r>
          </w:p>
        </w:tc>
        <w:tc>
          <w:tcPr>
            <w:tcW w:w="0" w:type="auto"/>
            <w:tcBorders>
              <w:top w:val="nil"/>
              <w:left w:val="nil"/>
              <w:bottom w:val="single" w:sz="4" w:space="0" w:color="auto"/>
              <w:right w:val="single" w:sz="4" w:space="0" w:color="auto"/>
            </w:tcBorders>
            <w:shd w:val="clear" w:color="auto" w:fill="auto"/>
            <w:noWrap/>
            <w:vAlign w:val="center"/>
            <w:hideMark/>
          </w:tcPr>
          <w:p w14:paraId="299915DE" w14:textId="77777777" w:rsidR="003C6A19" w:rsidRPr="004F469F" w:rsidRDefault="003C6A19" w:rsidP="003C6A19">
            <w:pPr>
              <w:jc w:val="center"/>
              <w:rPr>
                <w:b/>
                <w:bCs/>
                <w:sz w:val="20"/>
                <w:szCs w:val="20"/>
              </w:rPr>
            </w:pPr>
            <w:r w:rsidRPr="004F469F">
              <w:rPr>
                <w:b/>
                <w:bCs/>
                <w:sz w:val="20"/>
                <w:szCs w:val="20"/>
              </w:rPr>
              <w:t>20,620</w:t>
            </w:r>
          </w:p>
        </w:tc>
        <w:tc>
          <w:tcPr>
            <w:tcW w:w="0" w:type="auto"/>
            <w:tcBorders>
              <w:top w:val="nil"/>
              <w:left w:val="nil"/>
              <w:bottom w:val="single" w:sz="4" w:space="0" w:color="auto"/>
              <w:right w:val="single" w:sz="4" w:space="0" w:color="auto"/>
            </w:tcBorders>
            <w:shd w:val="clear" w:color="auto" w:fill="auto"/>
            <w:noWrap/>
            <w:vAlign w:val="center"/>
            <w:hideMark/>
          </w:tcPr>
          <w:p w14:paraId="70E8B4EB" w14:textId="77777777" w:rsidR="003C6A19" w:rsidRPr="004F469F" w:rsidRDefault="003C6A19" w:rsidP="003C6A19">
            <w:pPr>
              <w:jc w:val="center"/>
              <w:rPr>
                <w:b/>
                <w:bCs/>
                <w:sz w:val="20"/>
                <w:szCs w:val="20"/>
              </w:rPr>
            </w:pPr>
            <w:r w:rsidRPr="004F469F">
              <w:rPr>
                <w:b/>
                <w:bCs/>
                <w:sz w:val="20"/>
                <w:szCs w:val="20"/>
              </w:rPr>
              <w:t>32.6</w:t>
            </w:r>
          </w:p>
        </w:tc>
        <w:tc>
          <w:tcPr>
            <w:tcW w:w="0" w:type="auto"/>
            <w:tcBorders>
              <w:top w:val="nil"/>
              <w:left w:val="nil"/>
              <w:bottom w:val="single" w:sz="4" w:space="0" w:color="auto"/>
              <w:right w:val="single" w:sz="4" w:space="0" w:color="auto"/>
            </w:tcBorders>
            <w:shd w:val="clear" w:color="auto" w:fill="auto"/>
            <w:noWrap/>
            <w:vAlign w:val="center"/>
            <w:hideMark/>
          </w:tcPr>
          <w:p w14:paraId="2A71A252" w14:textId="77777777" w:rsidR="003C6A19" w:rsidRPr="004F469F" w:rsidRDefault="003C6A19" w:rsidP="003C6A19">
            <w:pPr>
              <w:jc w:val="center"/>
              <w:rPr>
                <w:b/>
                <w:bCs/>
                <w:sz w:val="20"/>
                <w:szCs w:val="20"/>
              </w:rPr>
            </w:pPr>
            <w:r w:rsidRPr="004F469F">
              <w:rPr>
                <w:b/>
                <w:bCs/>
                <w:sz w:val="20"/>
                <w:szCs w:val="20"/>
              </w:rPr>
              <w:t>59.9</w:t>
            </w:r>
          </w:p>
        </w:tc>
        <w:tc>
          <w:tcPr>
            <w:tcW w:w="0" w:type="auto"/>
            <w:tcBorders>
              <w:top w:val="nil"/>
              <w:left w:val="nil"/>
              <w:bottom w:val="single" w:sz="4" w:space="0" w:color="auto"/>
              <w:right w:val="single" w:sz="4" w:space="0" w:color="auto"/>
            </w:tcBorders>
            <w:shd w:val="clear" w:color="auto" w:fill="auto"/>
            <w:noWrap/>
            <w:vAlign w:val="center"/>
            <w:hideMark/>
          </w:tcPr>
          <w:p w14:paraId="646CDC82" w14:textId="77777777" w:rsidR="003C6A19" w:rsidRPr="004F469F" w:rsidRDefault="003C6A19" w:rsidP="003C6A19">
            <w:pPr>
              <w:jc w:val="center"/>
              <w:rPr>
                <w:b/>
                <w:bCs/>
                <w:sz w:val="20"/>
                <w:szCs w:val="20"/>
              </w:rPr>
            </w:pPr>
            <w:r w:rsidRPr="004F469F">
              <w:rPr>
                <w:b/>
                <w:bCs/>
                <w:sz w:val="20"/>
                <w:szCs w:val="20"/>
              </w:rPr>
              <w:t>1.7</w:t>
            </w:r>
          </w:p>
        </w:tc>
      </w:tr>
      <w:tr w:rsidR="00494669" w:rsidRPr="004F469F" w14:paraId="18D9ADBC"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33B99D" w14:textId="7EA3A2FD" w:rsidR="003C6A19" w:rsidRPr="004F469F" w:rsidRDefault="003C6A19" w:rsidP="003C6A19">
            <w:pPr>
              <w:jc w:val="center"/>
              <w:rPr>
                <w:rFonts w:eastAsia="Arial Unicode MS"/>
                <w:sz w:val="20"/>
                <w:szCs w:val="20"/>
              </w:rPr>
            </w:pPr>
            <w:r w:rsidRPr="004F469F">
              <w:rPr>
                <w:rFonts w:eastAsia="Arial Unicode MS"/>
                <w:sz w:val="20"/>
                <w:szCs w:val="20"/>
              </w:rPr>
              <w:t>10 Feb 2013</w:t>
            </w:r>
          </w:p>
        </w:tc>
        <w:tc>
          <w:tcPr>
            <w:tcW w:w="0" w:type="auto"/>
            <w:tcBorders>
              <w:top w:val="nil"/>
              <w:left w:val="nil"/>
              <w:bottom w:val="single" w:sz="4" w:space="0" w:color="auto"/>
              <w:right w:val="single" w:sz="4" w:space="0" w:color="auto"/>
            </w:tcBorders>
            <w:shd w:val="clear" w:color="auto" w:fill="auto"/>
            <w:noWrap/>
            <w:vAlign w:val="center"/>
            <w:hideMark/>
          </w:tcPr>
          <w:p w14:paraId="58647E1F" w14:textId="2868A6CD" w:rsidR="003C6A19" w:rsidRPr="004F469F" w:rsidRDefault="003C6A19" w:rsidP="003C6A19">
            <w:pPr>
              <w:jc w:val="center"/>
              <w:rPr>
                <w:sz w:val="20"/>
                <w:szCs w:val="20"/>
              </w:rPr>
            </w:pPr>
            <w:r w:rsidRPr="004F469F">
              <w:rPr>
                <w:sz w:val="20"/>
                <w:szCs w:val="20"/>
              </w:rPr>
              <w:t>Hattiesburg, MS</w:t>
            </w:r>
          </w:p>
        </w:tc>
        <w:tc>
          <w:tcPr>
            <w:tcW w:w="0" w:type="auto"/>
            <w:tcBorders>
              <w:top w:val="nil"/>
              <w:left w:val="nil"/>
              <w:bottom w:val="single" w:sz="4" w:space="0" w:color="auto"/>
              <w:right w:val="single" w:sz="4" w:space="0" w:color="auto"/>
            </w:tcBorders>
            <w:shd w:val="clear" w:color="auto" w:fill="auto"/>
            <w:noWrap/>
            <w:vAlign w:val="center"/>
            <w:hideMark/>
          </w:tcPr>
          <w:p w14:paraId="22474D0C"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4637A69" w14:textId="77777777" w:rsidR="003C6A19" w:rsidRPr="004F469F" w:rsidRDefault="003C6A19" w:rsidP="003C6A19">
            <w:pPr>
              <w:jc w:val="center"/>
              <w:rPr>
                <w:sz w:val="20"/>
                <w:szCs w:val="20"/>
              </w:rPr>
            </w:pPr>
            <w:r w:rsidRPr="004F469F">
              <w:rPr>
                <w:sz w:val="20"/>
                <w:szCs w:val="20"/>
              </w:rPr>
              <w:t>42.1</w:t>
            </w:r>
          </w:p>
        </w:tc>
        <w:tc>
          <w:tcPr>
            <w:tcW w:w="0" w:type="auto"/>
            <w:tcBorders>
              <w:top w:val="nil"/>
              <w:left w:val="nil"/>
              <w:bottom w:val="single" w:sz="4" w:space="0" w:color="auto"/>
              <w:right w:val="single" w:sz="4" w:space="0" w:color="auto"/>
            </w:tcBorders>
            <w:shd w:val="clear" w:color="auto" w:fill="auto"/>
            <w:noWrap/>
            <w:vAlign w:val="center"/>
            <w:hideMark/>
          </w:tcPr>
          <w:p w14:paraId="175BD8B3" w14:textId="77777777" w:rsidR="003C6A19" w:rsidRPr="004F469F" w:rsidRDefault="003C6A19" w:rsidP="003C6A19">
            <w:pPr>
              <w:jc w:val="center"/>
              <w:rPr>
                <w:sz w:val="20"/>
                <w:szCs w:val="20"/>
              </w:rPr>
            </w:pPr>
            <w:r w:rsidRPr="004F469F">
              <w:rPr>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39951A9A" w14:textId="77777777" w:rsidR="003C6A19" w:rsidRPr="004F469F" w:rsidRDefault="003C6A19" w:rsidP="003C6A19">
            <w:pPr>
              <w:jc w:val="center"/>
              <w:rPr>
                <w:sz w:val="20"/>
                <w:szCs w:val="20"/>
              </w:rPr>
            </w:pPr>
            <w:r w:rsidRPr="004F469F">
              <w:rPr>
                <w:sz w:val="20"/>
                <w:szCs w:val="20"/>
              </w:rPr>
              <w:t>16,491</w:t>
            </w:r>
          </w:p>
        </w:tc>
        <w:tc>
          <w:tcPr>
            <w:tcW w:w="0" w:type="auto"/>
            <w:tcBorders>
              <w:top w:val="nil"/>
              <w:left w:val="nil"/>
              <w:bottom w:val="single" w:sz="4" w:space="0" w:color="auto"/>
              <w:right w:val="single" w:sz="4" w:space="0" w:color="auto"/>
            </w:tcBorders>
            <w:shd w:val="clear" w:color="auto" w:fill="auto"/>
            <w:noWrap/>
            <w:vAlign w:val="center"/>
            <w:hideMark/>
          </w:tcPr>
          <w:p w14:paraId="282A5C0A" w14:textId="77777777" w:rsidR="003C6A19" w:rsidRPr="004F469F" w:rsidRDefault="003C6A19" w:rsidP="003C6A19">
            <w:pPr>
              <w:jc w:val="center"/>
              <w:rPr>
                <w:sz w:val="20"/>
                <w:szCs w:val="20"/>
              </w:rPr>
            </w:pPr>
            <w:r w:rsidRPr="004F469F">
              <w:rPr>
                <w:sz w:val="20"/>
                <w:szCs w:val="20"/>
              </w:rPr>
              <w:t>4,947</w:t>
            </w:r>
          </w:p>
        </w:tc>
        <w:tc>
          <w:tcPr>
            <w:tcW w:w="0" w:type="auto"/>
            <w:tcBorders>
              <w:top w:val="nil"/>
              <w:left w:val="nil"/>
              <w:bottom w:val="single" w:sz="4" w:space="0" w:color="auto"/>
              <w:right w:val="single" w:sz="4" w:space="0" w:color="auto"/>
            </w:tcBorders>
            <w:shd w:val="clear" w:color="auto" w:fill="auto"/>
            <w:noWrap/>
            <w:vAlign w:val="center"/>
            <w:hideMark/>
          </w:tcPr>
          <w:p w14:paraId="7C19BA28" w14:textId="77777777" w:rsidR="003C6A19" w:rsidRPr="004F469F" w:rsidRDefault="003C6A19" w:rsidP="003C6A19">
            <w:pPr>
              <w:jc w:val="center"/>
              <w:rPr>
                <w:sz w:val="20"/>
                <w:szCs w:val="20"/>
              </w:rPr>
            </w:pPr>
            <w:r w:rsidRPr="004F469F">
              <w:rPr>
                <w:sz w:val="20"/>
                <w:szCs w:val="20"/>
              </w:rPr>
              <w:t>18,144</w:t>
            </w:r>
          </w:p>
        </w:tc>
        <w:tc>
          <w:tcPr>
            <w:tcW w:w="0" w:type="auto"/>
            <w:tcBorders>
              <w:top w:val="nil"/>
              <w:left w:val="nil"/>
              <w:bottom w:val="single" w:sz="4" w:space="0" w:color="auto"/>
              <w:right w:val="single" w:sz="4" w:space="0" w:color="auto"/>
            </w:tcBorders>
            <w:shd w:val="clear" w:color="auto" w:fill="auto"/>
            <w:noWrap/>
            <w:vAlign w:val="center"/>
            <w:hideMark/>
          </w:tcPr>
          <w:p w14:paraId="02077829" w14:textId="77777777" w:rsidR="003C6A19" w:rsidRPr="004F469F" w:rsidRDefault="003C6A19" w:rsidP="003C6A19">
            <w:pPr>
              <w:jc w:val="center"/>
              <w:rPr>
                <w:sz w:val="20"/>
                <w:szCs w:val="20"/>
              </w:rPr>
            </w:pPr>
            <w:r w:rsidRPr="004F469F">
              <w:rPr>
                <w:sz w:val="20"/>
                <w:szCs w:val="20"/>
              </w:rPr>
              <w:t>5.6</w:t>
            </w:r>
          </w:p>
        </w:tc>
        <w:tc>
          <w:tcPr>
            <w:tcW w:w="0" w:type="auto"/>
            <w:tcBorders>
              <w:top w:val="nil"/>
              <w:left w:val="nil"/>
              <w:bottom w:val="single" w:sz="4" w:space="0" w:color="auto"/>
              <w:right w:val="single" w:sz="4" w:space="0" w:color="auto"/>
            </w:tcBorders>
            <w:shd w:val="clear" w:color="auto" w:fill="auto"/>
            <w:noWrap/>
            <w:vAlign w:val="center"/>
            <w:hideMark/>
          </w:tcPr>
          <w:p w14:paraId="73997876" w14:textId="77777777" w:rsidR="003C6A19" w:rsidRPr="004F469F" w:rsidRDefault="003C6A19" w:rsidP="003C6A19">
            <w:pPr>
              <w:jc w:val="center"/>
              <w:rPr>
                <w:sz w:val="20"/>
                <w:szCs w:val="20"/>
              </w:rPr>
            </w:pPr>
            <w:r w:rsidRPr="004F469F">
              <w:rPr>
                <w:sz w:val="20"/>
                <w:szCs w:val="20"/>
              </w:rPr>
              <w:t>49.5</w:t>
            </w:r>
          </w:p>
        </w:tc>
        <w:tc>
          <w:tcPr>
            <w:tcW w:w="0" w:type="auto"/>
            <w:tcBorders>
              <w:top w:val="nil"/>
              <w:left w:val="nil"/>
              <w:bottom w:val="single" w:sz="4" w:space="0" w:color="auto"/>
              <w:right w:val="single" w:sz="4" w:space="0" w:color="auto"/>
            </w:tcBorders>
            <w:shd w:val="clear" w:color="auto" w:fill="auto"/>
            <w:noWrap/>
            <w:vAlign w:val="center"/>
            <w:hideMark/>
          </w:tcPr>
          <w:p w14:paraId="61AF3038" w14:textId="51D3CEDA" w:rsidR="003C6A19" w:rsidRPr="004F469F" w:rsidRDefault="003C6A19" w:rsidP="003C6A19">
            <w:pPr>
              <w:jc w:val="center"/>
              <w:rPr>
                <w:sz w:val="20"/>
                <w:szCs w:val="20"/>
              </w:rPr>
            </w:pPr>
            <w:r w:rsidRPr="004F469F">
              <w:rPr>
                <w:sz w:val="20"/>
                <w:szCs w:val="20"/>
              </w:rPr>
              <w:t>-</w:t>
            </w:r>
          </w:p>
        </w:tc>
      </w:tr>
      <w:tr w:rsidR="00494669" w:rsidRPr="004F469F" w14:paraId="3FADED1D"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EAD385" w14:textId="45B36CDE" w:rsidR="003C6A19" w:rsidRPr="004F469F" w:rsidRDefault="003C6A19" w:rsidP="003C6A19">
            <w:pPr>
              <w:jc w:val="center"/>
              <w:rPr>
                <w:rFonts w:eastAsia="Arial Unicode MS"/>
                <w:sz w:val="20"/>
                <w:szCs w:val="20"/>
              </w:rPr>
            </w:pPr>
            <w:r w:rsidRPr="004F469F">
              <w:rPr>
                <w:rFonts w:eastAsia="Arial Unicode MS"/>
                <w:sz w:val="20"/>
                <w:szCs w:val="20"/>
              </w:rPr>
              <w:t>27 Apr 2011</w:t>
            </w:r>
          </w:p>
        </w:tc>
        <w:tc>
          <w:tcPr>
            <w:tcW w:w="0" w:type="auto"/>
            <w:tcBorders>
              <w:top w:val="nil"/>
              <w:left w:val="nil"/>
              <w:bottom w:val="single" w:sz="4" w:space="0" w:color="auto"/>
              <w:right w:val="single" w:sz="4" w:space="0" w:color="auto"/>
            </w:tcBorders>
            <w:shd w:val="clear" w:color="auto" w:fill="auto"/>
            <w:noWrap/>
            <w:vAlign w:val="center"/>
            <w:hideMark/>
          </w:tcPr>
          <w:p w14:paraId="58C1876E" w14:textId="180A1DEC" w:rsidR="003C6A19" w:rsidRPr="004F469F" w:rsidRDefault="003C6A19" w:rsidP="003C6A19">
            <w:pPr>
              <w:jc w:val="center"/>
              <w:rPr>
                <w:sz w:val="20"/>
                <w:szCs w:val="20"/>
              </w:rPr>
            </w:pPr>
            <w:r w:rsidRPr="004F469F">
              <w:rPr>
                <w:sz w:val="20"/>
                <w:szCs w:val="20"/>
              </w:rPr>
              <w:t>Pisgah-Trenton, AL-GA</w:t>
            </w:r>
          </w:p>
        </w:tc>
        <w:tc>
          <w:tcPr>
            <w:tcW w:w="0" w:type="auto"/>
            <w:tcBorders>
              <w:top w:val="nil"/>
              <w:left w:val="nil"/>
              <w:bottom w:val="single" w:sz="4" w:space="0" w:color="auto"/>
              <w:right w:val="single" w:sz="4" w:space="0" w:color="auto"/>
            </w:tcBorders>
            <w:shd w:val="clear" w:color="auto" w:fill="auto"/>
            <w:noWrap/>
            <w:vAlign w:val="center"/>
            <w:hideMark/>
          </w:tcPr>
          <w:p w14:paraId="13757961"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CBE3FBA" w14:textId="77777777" w:rsidR="003C6A19" w:rsidRPr="004F469F" w:rsidRDefault="003C6A19" w:rsidP="003C6A19">
            <w:pPr>
              <w:jc w:val="center"/>
              <w:rPr>
                <w:sz w:val="20"/>
                <w:szCs w:val="20"/>
              </w:rPr>
            </w:pPr>
            <w:r w:rsidRPr="004F469F">
              <w:rPr>
                <w:sz w:val="20"/>
                <w:szCs w:val="20"/>
              </w:rPr>
              <w:t>87.1</w:t>
            </w:r>
          </w:p>
        </w:tc>
        <w:tc>
          <w:tcPr>
            <w:tcW w:w="0" w:type="auto"/>
            <w:tcBorders>
              <w:top w:val="nil"/>
              <w:left w:val="nil"/>
              <w:bottom w:val="single" w:sz="4" w:space="0" w:color="auto"/>
              <w:right w:val="single" w:sz="4" w:space="0" w:color="auto"/>
            </w:tcBorders>
            <w:shd w:val="clear" w:color="auto" w:fill="auto"/>
            <w:noWrap/>
            <w:vAlign w:val="center"/>
            <w:hideMark/>
          </w:tcPr>
          <w:p w14:paraId="499F92F8" w14:textId="77777777" w:rsidR="003C6A19" w:rsidRPr="004F469F" w:rsidRDefault="003C6A19" w:rsidP="003C6A19">
            <w:pPr>
              <w:jc w:val="center"/>
              <w:rPr>
                <w:sz w:val="20"/>
                <w:szCs w:val="20"/>
              </w:rPr>
            </w:pPr>
            <w:r w:rsidRPr="004F469F">
              <w:rPr>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14:paraId="09D60A1D" w14:textId="77777777" w:rsidR="003C6A19" w:rsidRPr="004F469F" w:rsidRDefault="003C6A19" w:rsidP="003C6A19">
            <w:pPr>
              <w:jc w:val="center"/>
              <w:rPr>
                <w:sz w:val="20"/>
                <w:szCs w:val="20"/>
              </w:rPr>
            </w:pPr>
            <w:r w:rsidRPr="004F469F">
              <w:rPr>
                <w:sz w:val="20"/>
                <w:szCs w:val="20"/>
              </w:rPr>
              <w:t>5,293</w:t>
            </w:r>
          </w:p>
        </w:tc>
        <w:tc>
          <w:tcPr>
            <w:tcW w:w="0" w:type="auto"/>
            <w:tcBorders>
              <w:top w:val="nil"/>
              <w:left w:val="nil"/>
              <w:bottom w:val="single" w:sz="4" w:space="0" w:color="auto"/>
              <w:right w:val="single" w:sz="4" w:space="0" w:color="auto"/>
            </w:tcBorders>
            <w:shd w:val="clear" w:color="auto" w:fill="auto"/>
            <w:noWrap/>
            <w:vAlign w:val="center"/>
            <w:hideMark/>
          </w:tcPr>
          <w:p w14:paraId="734EC217" w14:textId="77777777" w:rsidR="003C6A19" w:rsidRPr="004F469F" w:rsidRDefault="003C6A19" w:rsidP="003C6A19">
            <w:pPr>
              <w:jc w:val="center"/>
              <w:rPr>
                <w:sz w:val="20"/>
                <w:szCs w:val="20"/>
              </w:rPr>
            </w:pPr>
            <w:r w:rsidRPr="004F469F">
              <w:rPr>
                <w:sz w:val="20"/>
                <w:szCs w:val="20"/>
              </w:rPr>
              <w:t>4,968</w:t>
            </w:r>
          </w:p>
        </w:tc>
        <w:tc>
          <w:tcPr>
            <w:tcW w:w="0" w:type="auto"/>
            <w:tcBorders>
              <w:top w:val="nil"/>
              <w:left w:val="nil"/>
              <w:bottom w:val="single" w:sz="4" w:space="0" w:color="auto"/>
              <w:right w:val="single" w:sz="4" w:space="0" w:color="auto"/>
            </w:tcBorders>
            <w:shd w:val="clear" w:color="auto" w:fill="auto"/>
            <w:noWrap/>
            <w:vAlign w:val="center"/>
            <w:hideMark/>
          </w:tcPr>
          <w:p w14:paraId="2F78D81B" w14:textId="77777777" w:rsidR="003C6A19" w:rsidRPr="004F469F" w:rsidRDefault="003C6A19" w:rsidP="003C6A19">
            <w:pPr>
              <w:jc w:val="center"/>
              <w:rPr>
                <w:sz w:val="20"/>
                <w:szCs w:val="20"/>
              </w:rPr>
            </w:pPr>
            <w:r w:rsidRPr="004F469F">
              <w:rPr>
                <w:sz w:val="20"/>
                <w:szCs w:val="20"/>
              </w:rPr>
              <w:t>17,380</w:t>
            </w:r>
          </w:p>
        </w:tc>
        <w:tc>
          <w:tcPr>
            <w:tcW w:w="0" w:type="auto"/>
            <w:tcBorders>
              <w:top w:val="nil"/>
              <w:left w:val="nil"/>
              <w:bottom w:val="single" w:sz="4" w:space="0" w:color="auto"/>
              <w:right w:val="single" w:sz="4" w:space="0" w:color="auto"/>
            </w:tcBorders>
            <w:shd w:val="clear" w:color="auto" w:fill="auto"/>
            <w:noWrap/>
            <w:vAlign w:val="center"/>
            <w:hideMark/>
          </w:tcPr>
          <w:p w14:paraId="4A073F14" w14:textId="77777777" w:rsidR="003C6A19" w:rsidRPr="004F469F" w:rsidRDefault="003C6A19" w:rsidP="003C6A19">
            <w:pPr>
              <w:jc w:val="center"/>
              <w:rPr>
                <w:sz w:val="20"/>
                <w:szCs w:val="20"/>
              </w:rPr>
            </w:pPr>
            <w:r w:rsidRPr="004F469F">
              <w:rPr>
                <w:sz w:val="20"/>
                <w:szCs w:val="20"/>
              </w:rPr>
              <w:t>43.4</w:t>
            </w:r>
          </w:p>
        </w:tc>
        <w:tc>
          <w:tcPr>
            <w:tcW w:w="0" w:type="auto"/>
            <w:tcBorders>
              <w:top w:val="nil"/>
              <w:left w:val="nil"/>
              <w:bottom w:val="single" w:sz="4" w:space="0" w:color="auto"/>
              <w:right w:val="single" w:sz="4" w:space="0" w:color="auto"/>
            </w:tcBorders>
            <w:shd w:val="clear" w:color="auto" w:fill="auto"/>
            <w:noWrap/>
            <w:vAlign w:val="center"/>
            <w:hideMark/>
          </w:tcPr>
          <w:p w14:paraId="130BAFBF" w14:textId="77777777" w:rsidR="003C6A19" w:rsidRPr="004F469F" w:rsidRDefault="003C6A19" w:rsidP="003C6A19">
            <w:pPr>
              <w:jc w:val="center"/>
              <w:rPr>
                <w:sz w:val="20"/>
                <w:szCs w:val="20"/>
              </w:rPr>
            </w:pPr>
            <w:r w:rsidRPr="004F469F">
              <w:rPr>
                <w:sz w:val="20"/>
                <w:szCs w:val="20"/>
              </w:rPr>
              <w:t>49.3</w:t>
            </w:r>
          </w:p>
        </w:tc>
        <w:tc>
          <w:tcPr>
            <w:tcW w:w="0" w:type="auto"/>
            <w:tcBorders>
              <w:top w:val="nil"/>
              <w:left w:val="nil"/>
              <w:bottom w:val="single" w:sz="4" w:space="0" w:color="auto"/>
              <w:right w:val="single" w:sz="4" w:space="0" w:color="auto"/>
            </w:tcBorders>
            <w:shd w:val="clear" w:color="auto" w:fill="auto"/>
            <w:noWrap/>
            <w:vAlign w:val="center"/>
            <w:hideMark/>
          </w:tcPr>
          <w:p w14:paraId="4261DED2" w14:textId="572A9B09" w:rsidR="003C6A19" w:rsidRPr="004F469F" w:rsidRDefault="003C6A19" w:rsidP="003C6A19">
            <w:pPr>
              <w:jc w:val="center"/>
              <w:rPr>
                <w:sz w:val="20"/>
                <w:szCs w:val="20"/>
              </w:rPr>
            </w:pPr>
            <w:r w:rsidRPr="004F469F">
              <w:rPr>
                <w:sz w:val="20"/>
                <w:szCs w:val="20"/>
              </w:rPr>
              <w:t>-</w:t>
            </w:r>
          </w:p>
        </w:tc>
      </w:tr>
      <w:tr w:rsidR="00494669" w:rsidRPr="004F469F" w14:paraId="26EEF8AB"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6E4EAD" w14:textId="188A79DF" w:rsidR="003C6A19" w:rsidRPr="004F469F" w:rsidRDefault="003C6A19" w:rsidP="003C6A19">
            <w:pPr>
              <w:jc w:val="center"/>
              <w:rPr>
                <w:rFonts w:eastAsia="Arial Unicode MS"/>
                <w:sz w:val="20"/>
                <w:szCs w:val="20"/>
              </w:rPr>
            </w:pPr>
            <w:r w:rsidRPr="004F469F">
              <w:rPr>
                <w:rFonts w:eastAsia="Arial Unicode MS"/>
                <w:sz w:val="20"/>
                <w:szCs w:val="20"/>
              </w:rPr>
              <w:t>17 Nov 2013</w:t>
            </w:r>
          </w:p>
        </w:tc>
        <w:tc>
          <w:tcPr>
            <w:tcW w:w="0" w:type="auto"/>
            <w:tcBorders>
              <w:top w:val="nil"/>
              <w:left w:val="nil"/>
              <w:bottom w:val="single" w:sz="4" w:space="0" w:color="auto"/>
              <w:right w:val="single" w:sz="4" w:space="0" w:color="auto"/>
            </w:tcBorders>
            <w:shd w:val="clear" w:color="auto" w:fill="auto"/>
            <w:noWrap/>
            <w:vAlign w:val="center"/>
            <w:hideMark/>
          </w:tcPr>
          <w:p w14:paraId="38CCEDDB" w14:textId="1945E0E3" w:rsidR="003C6A19" w:rsidRPr="004F469F" w:rsidRDefault="003C6A19" w:rsidP="003C6A19">
            <w:pPr>
              <w:jc w:val="center"/>
              <w:rPr>
                <w:sz w:val="20"/>
                <w:szCs w:val="20"/>
              </w:rPr>
            </w:pPr>
            <w:r w:rsidRPr="004F469F">
              <w:rPr>
                <w:sz w:val="20"/>
                <w:szCs w:val="20"/>
              </w:rPr>
              <w:t>Washington, IL</w:t>
            </w:r>
          </w:p>
        </w:tc>
        <w:tc>
          <w:tcPr>
            <w:tcW w:w="0" w:type="auto"/>
            <w:tcBorders>
              <w:top w:val="nil"/>
              <w:left w:val="nil"/>
              <w:bottom w:val="single" w:sz="4" w:space="0" w:color="auto"/>
              <w:right w:val="single" w:sz="4" w:space="0" w:color="auto"/>
            </w:tcBorders>
            <w:shd w:val="clear" w:color="auto" w:fill="auto"/>
            <w:noWrap/>
            <w:vAlign w:val="center"/>
            <w:hideMark/>
          </w:tcPr>
          <w:p w14:paraId="28CDCE71"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7A757D65" w14:textId="77777777" w:rsidR="003C6A19" w:rsidRPr="004F469F" w:rsidRDefault="003C6A19" w:rsidP="003C6A19">
            <w:pPr>
              <w:jc w:val="center"/>
              <w:rPr>
                <w:sz w:val="20"/>
                <w:szCs w:val="20"/>
              </w:rPr>
            </w:pPr>
            <w:r w:rsidRPr="004F469F">
              <w:rPr>
                <w:sz w:val="20"/>
                <w:szCs w:val="20"/>
              </w:rPr>
              <w:t>60</w:t>
            </w:r>
          </w:p>
        </w:tc>
        <w:tc>
          <w:tcPr>
            <w:tcW w:w="0" w:type="auto"/>
            <w:tcBorders>
              <w:top w:val="nil"/>
              <w:left w:val="nil"/>
              <w:bottom w:val="single" w:sz="4" w:space="0" w:color="auto"/>
              <w:right w:val="single" w:sz="4" w:space="0" w:color="auto"/>
            </w:tcBorders>
            <w:shd w:val="clear" w:color="auto" w:fill="auto"/>
            <w:noWrap/>
            <w:vAlign w:val="center"/>
            <w:hideMark/>
          </w:tcPr>
          <w:p w14:paraId="08587C50" w14:textId="77777777" w:rsidR="003C6A19" w:rsidRPr="004F469F" w:rsidRDefault="003C6A19" w:rsidP="003C6A19">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45A5BCD7" w14:textId="77777777" w:rsidR="003C6A19" w:rsidRPr="004F469F" w:rsidRDefault="003C6A19" w:rsidP="003C6A19">
            <w:pPr>
              <w:jc w:val="center"/>
              <w:rPr>
                <w:sz w:val="20"/>
                <w:szCs w:val="20"/>
              </w:rPr>
            </w:pPr>
            <w:r w:rsidRPr="004F469F">
              <w:rPr>
                <w:sz w:val="20"/>
                <w:szCs w:val="20"/>
              </w:rPr>
              <w:t>5,815</w:t>
            </w:r>
          </w:p>
        </w:tc>
        <w:tc>
          <w:tcPr>
            <w:tcW w:w="0" w:type="auto"/>
            <w:tcBorders>
              <w:top w:val="nil"/>
              <w:left w:val="nil"/>
              <w:bottom w:val="single" w:sz="4" w:space="0" w:color="auto"/>
              <w:right w:val="single" w:sz="4" w:space="0" w:color="auto"/>
            </w:tcBorders>
            <w:shd w:val="clear" w:color="auto" w:fill="auto"/>
            <w:noWrap/>
            <w:vAlign w:val="center"/>
            <w:hideMark/>
          </w:tcPr>
          <w:p w14:paraId="024A4B4B" w14:textId="77777777" w:rsidR="003C6A19" w:rsidRPr="004F469F" w:rsidRDefault="003C6A19" w:rsidP="003C6A19">
            <w:pPr>
              <w:jc w:val="center"/>
              <w:rPr>
                <w:sz w:val="20"/>
                <w:szCs w:val="20"/>
              </w:rPr>
            </w:pPr>
            <w:r w:rsidRPr="004F469F">
              <w:rPr>
                <w:sz w:val="20"/>
                <w:szCs w:val="20"/>
              </w:rPr>
              <w:t>4,408</w:t>
            </w:r>
          </w:p>
        </w:tc>
        <w:tc>
          <w:tcPr>
            <w:tcW w:w="0" w:type="auto"/>
            <w:tcBorders>
              <w:top w:val="nil"/>
              <w:left w:val="nil"/>
              <w:bottom w:val="single" w:sz="4" w:space="0" w:color="auto"/>
              <w:right w:val="single" w:sz="4" w:space="0" w:color="auto"/>
            </w:tcBorders>
            <w:shd w:val="clear" w:color="auto" w:fill="auto"/>
            <w:noWrap/>
            <w:vAlign w:val="center"/>
            <w:hideMark/>
          </w:tcPr>
          <w:p w14:paraId="77371EC9" w14:textId="77777777" w:rsidR="003C6A19" w:rsidRPr="004F469F" w:rsidRDefault="003C6A19" w:rsidP="003C6A19">
            <w:pPr>
              <w:jc w:val="center"/>
              <w:rPr>
                <w:sz w:val="20"/>
                <w:szCs w:val="20"/>
              </w:rPr>
            </w:pPr>
            <w:r w:rsidRPr="004F469F">
              <w:rPr>
                <w:sz w:val="20"/>
                <w:szCs w:val="20"/>
              </w:rPr>
              <w:t>18,304</w:t>
            </w:r>
          </w:p>
        </w:tc>
        <w:tc>
          <w:tcPr>
            <w:tcW w:w="0" w:type="auto"/>
            <w:tcBorders>
              <w:top w:val="nil"/>
              <w:left w:val="nil"/>
              <w:bottom w:val="single" w:sz="4" w:space="0" w:color="auto"/>
              <w:right w:val="single" w:sz="4" w:space="0" w:color="auto"/>
            </w:tcBorders>
            <w:shd w:val="clear" w:color="auto" w:fill="auto"/>
            <w:noWrap/>
            <w:vAlign w:val="center"/>
            <w:hideMark/>
          </w:tcPr>
          <w:p w14:paraId="18A4FB1D" w14:textId="77777777" w:rsidR="003C6A19" w:rsidRPr="004F469F" w:rsidRDefault="003C6A19" w:rsidP="003C6A19">
            <w:pPr>
              <w:jc w:val="center"/>
              <w:rPr>
                <w:sz w:val="20"/>
                <w:szCs w:val="20"/>
              </w:rPr>
            </w:pPr>
            <w:r w:rsidRPr="004F469F">
              <w:rPr>
                <w:sz w:val="20"/>
                <w:szCs w:val="20"/>
              </w:rPr>
              <w:t>30.6</w:t>
            </w:r>
          </w:p>
        </w:tc>
        <w:tc>
          <w:tcPr>
            <w:tcW w:w="0" w:type="auto"/>
            <w:tcBorders>
              <w:top w:val="nil"/>
              <w:left w:val="nil"/>
              <w:bottom w:val="single" w:sz="4" w:space="0" w:color="auto"/>
              <w:right w:val="single" w:sz="4" w:space="0" w:color="auto"/>
            </w:tcBorders>
            <w:shd w:val="clear" w:color="auto" w:fill="auto"/>
            <w:noWrap/>
            <w:vAlign w:val="center"/>
            <w:hideMark/>
          </w:tcPr>
          <w:p w14:paraId="0C4235EB" w14:textId="77777777" w:rsidR="003C6A19" w:rsidRPr="004F469F" w:rsidRDefault="003C6A19" w:rsidP="003C6A19">
            <w:pPr>
              <w:jc w:val="center"/>
              <w:rPr>
                <w:sz w:val="20"/>
                <w:szCs w:val="20"/>
              </w:rPr>
            </w:pPr>
            <w:r w:rsidRPr="004F469F">
              <w:rPr>
                <w:sz w:val="20"/>
                <w:szCs w:val="20"/>
              </w:rPr>
              <w:t>42</w:t>
            </w:r>
          </w:p>
        </w:tc>
        <w:tc>
          <w:tcPr>
            <w:tcW w:w="0" w:type="auto"/>
            <w:tcBorders>
              <w:top w:val="nil"/>
              <w:left w:val="nil"/>
              <w:bottom w:val="single" w:sz="4" w:space="0" w:color="auto"/>
              <w:right w:val="single" w:sz="4" w:space="0" w:color="auto"/>
            </w:tcBorders>
            <w:shd w:val="clear" w:color="auto" w:fill="auto"/>
            <w:noWrap/>
            <w:vAlign w:val="center"/>
            <w:hideMark/>
          </w:tcPr>
          <w:p w14:paraId="631B3C8E" w14:textId="28D12FD8" w:rsidR="003C6A19" w:rsidRPr="004F469F" w:rsidRDefault="003C6A19" w:rsidP="003C6A19">
            <w:pPr>
              <w:jc w:val="center"/>
              <w:rPr>
                <w:sz w:val="20"/>
                <w:szCs w:val="20"/>
              </w:rPr>
            </w:pPr>
            <w:r w:rsidRPr="004F469F">
              <w:rPr>
                <w:sz w:val="20"/>
                <w:szCs w:val="20"/>
              </w:rPr>
              <w:t>-</w:t>
            </w:r>
          </w:p>
        </w:tc>
      </w:tr>
      <w:tr w:rsidR="00494669" w:rsidRPr="004F469F" w14:paraId="4A345626" w14:textId="77777777" w:rsidTr="003C6A19">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C66CDF" w14:textId="7C2540F7" w:rsidR="003C6A19" w:rsidRPr="004F469F" w:rsidRDefault="003C6A19" w:rsidP="003C6A19">
            <w:pPr>
              <w:jc w:val="center"/>
              <w:rPr>
                <w:rFonts w:eastAsia="Arial Unicode MS"/>
                <w:sz w:val="20"/>
                <w:szCs w:val="20"/>
              </w:rPr>
            </w:pPr>
            <w:r w:rsidRPr="004F469F">
              <w:rPr>
                <w:rFonts w:eastAsia="Arial Unicode MS"/>
                <w:sz w:val="20"/>
                <w:szCs w:val="20"/>
              </w:rPr>
              <w:t>24 May 2011</w:t>
            </w:r>
          </w:p>
        </w:tc>
        <w:tc>
          <w:tcPr>
            <w:tcW w:w="0" w:type="auto"/>
            <w:tcBorders>
              <w:top w:val="nil"/>
              <w:left w:val="nil"/>
              <w:bottom w:val="single" w:sz="4" w:space="0" w:color="auto"/>
              <w:right w:val="single" w:sz="4" w:space="0" w:color="auto"/>
            </w:tcBorders>
            <w:shd w:val="clear" w:color="auto" w:fill="auto"/>
            <w:noWrap/>
            <w:vAlign w:val="center"/>
            <w:hideMark/>
          </w:tcPr>
          <w:p w14:paraId="2F4B7C0F" w14:textId="20B1EBFE" w:rsidR="003C6A19" w:rsidRPr="004F469F" w:rsidRDefault="003C6A19" w:rsidP="003C6A19">
            <w:pPr>
              <w:jc w:val="center"/>
              <w:rPr>
                <w:sz w:val="20"/>
                <w:szCs w:val="20"/>
              </w:rPr>
            </w:pPr>
            <w:r w:rsidRPr="004F469F">
              <w:rPr>
                <w:sz w:val="20"/>
                <w:szCs w:val="20"/>
              </w:rPr>
              <w:t>El Reno-Piedmont, OK</w:t>
            </w:r>
          </w:p>
        </w:tc>
        <w:tc>
          <w:tcPr>
            <w:tcW w:w="0" w:type="auto"/>
            <w:tcBorders>
              <w:top w:val="nil"/>
              <w:left w:val="nil"/>
              <w:bottom w:val="single" w:sz="4" w:space="0" w:color="auto"/>
              <w:right w:val="single" w:sz="4" w:space="0" w:color="auto"/>
            </w:tcBorders>
            <w:shd w:val="clear" w:color="auto" w:fill="auto"/>
            <w:noWrap/>
            <w:vAlign w:val="center"/>
            <w:hideMark/>
          </w:tcPr>
          <w:p w14:paraId="7DE30524" w14:textId="77777777" w:rsidR="003C6A19" w:rsidRPr="004F469F" w:rsidRDefault="003C6A19" w:rsidP="003C6A19">
            <w:pPr>
              <w:jc w:val="center"/>
              <w:rPr>
                <w:sz w:val="20"/>
                <w:szCs w:val="20"/>
              </w:rPr>
            </w:pPr>
            <w:r w:rsidRPr="004F469F">
              <w:rPr>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0949310A" w14:textId="77777777" w:rsidR="003C6A19" w:rsidRPr="004F469F" w:rsidRDefault="003C6A19" w:rsidP="003C6A19">
            <w:pPr>
              <w:jc w:val="center"/>
              <w:rPr>
                <w:sz w:val="20"/>
                <w:szCs w:val="20"/>
              </w:rPr>
            </w:pPr>
            <w:r w:rsidRPr="004F469F">
              <w:rPr>
                <w:sz w:val="20"/>
                <w:szCs w:val="20"/>
              </w:rPr>
              <w:t>163.4</w:t>
            </w:r>
          </w:p>
        </w:tc>
        <w:tc>
          <w:tcPr>
            <w:tcW w:w="0" w:type="auto"/>
            <w:tcBorders>
              <w:top w:val="nil"/>
              <w:left w:val="nil"/>
              <w:bottom w:val="single" w:sz="4" w:space="0" w:color="auto"/>
              <w:right w:val="single" w:sz="4" w:space="0" w:color="auto"/>
            </w:tcBorders>
            <w:shd w:val="clear" w:color="auto" w:fill="auto"/>
            <w:noWrap/>
            <w:vAlign w:val="center"/>
            <w:hideMark/>
          </w:tcPr>
          <w:p w14:paraId="57EB02F4" w14:textId="77777777" w:rsidR="003C6A19" w:rsidRPr="004F469F" w:rsidRDefault="003C6A19" w:rsidP="003C6A19">
            <w:pPr>
              <w:jc w:val="center"/>
              <w:rPr>
                <w:sz w:val="20"/>
                <w:szCs w:val="20"/>
              </w:rPr>
            </w:pPr>
            <w:r w:rsidRPr="004F469F">
              <w:rPr>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14:paraId="6DDD3EED" w14:textId="77777777" w:rsidR="003C6A19" w:rsidRPr="004F469F" w:rsidRDefault="003C6A19" w:rsidP="003C6A19">
            <w:pPr>
              <w:jc w:val="center"/>
              <w:rPr>
                <w:sz w:val="20"/>
                <w:szCs w:val="20"/>
              </w:rPr>
            </w:pPr>
            <w:r w:rsidRPr="004F469F">
              <w:rPr>
                <w:sz w:val="20"/>
                <w:szCs w:val="20"/>
              </w:rPr>
              <w:t>5,123</w:t>
            </w:r>
          </w:p>
        </w:tc>
        <w:tc>
          <w:tcPr>
            <w:tcW w:w="0" w:type="auto"/>
            <w:tcBorders>
              <w:top w:val="nil"/>
              <w:left w:val="nil"/>
              <w:bottom w:val="single" w:sz="4" w:space="0" w:color="auto"/>
              <w:right w:val="single" w:sz="4" w:space="0" w:color="auto"/>
            </w:tcBorders>
            <w:shd w:val="clear" w:color="auto" w:fill="auto"/>
            <w:noWrap/>
            <w:vAlign w:val="center"/>
            <w:hideMark/>
          </w:tcPr>
          <w:p w14:paraId="5BC406B4" w14:textId="77777777" w:rsidR="003C6A19" w:rsidRPr="004F469F" w:rsidRDefault="003C6A19" w:rsidP="003C6A19">
            <w:pPr>
              <w:jc w:val="center"/>
              <w:rPr>
                <w:sz w:val="20"/>
                <w:szCs w:val="20"/>
              </w:rPr>
            </w:pPr>
            <w:r w:rsidRPr="004F469F">
              <w:rPr>
                <w:sz w:val="20"/>
                <w:szCs w:val="20"/>
              </w:rPr>
              <w:t>2,566</w:t>
            </w:r>
          </w:p>
        </w:tc>
        <w:tc>
          <w:tcPr>
            <w:tcW w:w="0" w:type="auto"/>
            <w:tcBorders>
              <w:top w:val="nil"/>
              <w:left w:val="nil"/>
              <w:bottom w:val="single" w:sz="4" w:space="0" w:color="auto"/>
              <w:right w:val="single" w:sz="4" w:space="0" w:color="auto"/>
            </w:tcBorders>
            <w:shd w:val="clear" w:color="auto" w:fill="auto"/>
            <w:noWrap/>
            <w:vAlign w:val="center"/>
            <w:hideMark/>
          </w:tcPr>
          <w:p w14:paraId="0A4203EE" w14:textId="77777777" w:rsidR="003C6A19" w:rsidRPr="004F469F" w:rsidRDefault="003C6A19" w:rsidP="003C6A19">
            <w:pPr>
              <w:jc w:val="center"/>
              <w:rPr>
                <w:sz w:val="20"/>
                <w:szCs w:val="20"/>
              </w:rPr>
            </w:pPr>
            <w:r w:rsidRPr="004F469F">
              <w:rPr>
                <w:sz w:val="20"/>
                <w:szCs w:val="20"/>
              </w:rPr>
              <w:t>14,352</w:t>
            </w:r>
          </w:p>
        </w:tc>
        <w:tc>
          <w:tcPr>
            <w:tcW w:w="0" w:type="auto"/>
            <w:tcBorders>
              <w:top w:val="nil"/>
              <w:left w:val="nil"/>
              <w:bottom w:val="single" w:sz="4" w:space="0" w:color="auto"/>
              <w:right w:val="single" w:sz="4" w:space="0" w:color="auto"/>
            </w:tcBorders>
            <w:shd w:val="clear" w:color="auto" w:fill="auto"/>
            <w:noWrap/>
            <w:vAlign w:val="center"/>
            <w:hideMark/>
          </w:tcPr>
          <w:p w14:paraId="219D8174" w14:textId="77777777" w:rsidR="003C6A19" w:rsidRPr="004F469F" w:rsidRDefault="003C6A19" w:rsidP="003C6A19">
            <w:pPr>
              <w:jc w:val="center"/>
              <w:rPr>
                <w:sz w:val="20"/>
                <w:szCs w:val="20"/>
              </w:rPr>
            </w:pPr>
            <w:r w:rsidRPr="004F469F">
              <w:rPr>
                <w:sz w:val="20"/>
                <w:szCs w:val="20"/>
              </w:rPr>
              <w:t>24.1</w:t>
            </w:r>
          </w:p>
        </w:tc>
        <w:tc>
          <w:tcPr>
            <w:tcW w:w="0" w:type="auto"/>
            <w:tcBorders>
              <w:top w:val="nil"/>
              <w:left w:val="nil"/>
              <w:bottom w:val="single" w:sz="4" w:space="0" w:color="auto"/>
              <w:right w:val="single" w:sz="4" w:space="0" w:color="auto"/>
            </w:tcBorders>
            <w:shd w:val="clear" w:color="auto" w:fill="auto"/>
            <w:noWrap/>
            <w:vAlign w:val="center"/>
            <w:hideMark/>
          </w:tcPr>
          <w:p w14:paraId="327BF743" w14:textId="77777777" w:rsidR="003C6A19" w:rsidRPr="004F469F" w:rsidRDefault="003C6A19" w:rsidP="003C6A19">
            <w:pPr>
              <w:jc w:val="center"/>
              <w:rPr>
                <w:sz w:val="20"/>
                <w:szCs w:val="20"/>
              </w:rPr>
            </w:pPr>
            <w:r w:rsidRPr="004F469F">
              <w:rPr>
                <w:sz w:val="20"/>
                <w:szCs w:val="20"/>
              </w:rPr>
              <w:t>26.1</w:t>
            </w:r>
          </w:p>
        </w:tc>
        <w:tc>
          <w:tcPr>
            <w:tcW w:w="0" w:type="auto"/>
            <w:tcBorders>
              <w:top w:val="nil"/>
              <w:left w:val="nil"/>
              <w:bottom w:val="single" w:sz="4" w:space="0" w:color="auto"/>
              <w:right w:val="single" w:sz="4" w:space="0" w:color="auto"/>
            </w:tcBorders>
            <w:shd w:val="clear" w:color="auto" w:fill="auto"/>
            <w:noWrap/>
            <w:vAlign w:val="center"/>
            <w:hideMark/>
          </w:tcPr>
          <w:p w14:paraId="58C9A10D" w14:textId="64B73029" w:rsidR="003C6A19" w:rsidRPr="004F469F" w:rsidRDefault="003C6A19" w:rsidP="003C6A19">
            <w:pPr>
              <w:jc w:val="center"/>
              <w:rPr>
                <w:sz w:val="20"/>
                <w:szCs w:val="20"/>
              </w:rPr>
            </w:pPr>
            <w:r w:rsidRPr="004F469F">
              <w:rPr>
                <w:sz w:val="20"/>
                <w:szCs w:val="20"/>
              </w:rPr>
              <w:t>-</w:t>
            </w:r>
          </w:p>
        </w:tc>
      </w:tr>
      <w:tr w:rsidR="00494669" w:rsidRPr="004F469F" w14:paraId="7D32E35F" w14:textId="77777777" w:rsidTr="003C6A19">
        <w:trPr>
          <w:trHeight w:val="3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D9D542" w14:textId="62BF7A45" w:rsidR="003C6A19" w:rsidRPr="004F469F" w:rsidRDefault="003C6A19" w:rsidP="003C6A19">
            <w:pPr>
              <w:jc w:val="center"/>
              <w:rPr>
                <w:rFonts w:eastAsia="Arial Unicode MS"/>
                <w:sz w:val="20"/>
                <w:szCs w:val="20"/>
              </w:rPr>
            </w:pPr>
            <w:r w:rsidRPr="004F469F">
              <w:rPr>
                <w:rFonts w:eastAsia="Arial Unicode MS"/>
                <w:sz w:val="20"/>
                <w:szCs w:val="20"/>
              </w:rPr>
              <w:t>22 May 2004</w:t>
            </w:r>
          </w:p>
        </w:tc>
        <w:tc>
          <w:tcPr>
            <w:tcW w:w="0" w:type="auto"/>
            <w:tcBorders>
              <w:top w:val="nil"/>
              <w:left w:val="nil"/>
              <w:bottom w:val="single" w:sz="4" w:space="0" w:color="auto"/>
              <w:right w:val="single" w:sz="4" w:space="0" w:color="auto"/>
            </w:tcBorders>
            <w:shd w:val="clear" w:color="auto" w:fill="auto"/>
            <w:noWrap/>
            <w:vAlign w:val="center"/>
            <w:hideMark/>
          </w:tcPr>
          <w:p w14:paraId="43D71C91" w14:textId="5382FDA5" w:rsidR="003C6A19" w:rsidRPr="004F469F" w:rsidRDefault="003C6A19" w:rsidP="003C6A19">
            <w:pPr>
              <w:jc w:val="center"/>
              <w:rPr>
                <w:sz w:val="20"/>
                <w:szCs w:val="20"/>
              </w:rPr>
            </w:pPr>
            <w:r w:rsidRPr="004F469F">
              <w:rPr>
                <w:sz w:val="20"/>
                <w:szCs w:val="20"/>
              </w:rPr>
              <w:t>Hallam, NE</w:t>
            </w:r>
          </w:p>
        </w:tc>
        <w:tc>
          <w:tcPr>
            <w:tcW w:w="0" w:type="auto"/>
            <w:tcBorders>
              <w:top w:val="nil"/>
              <w:left w:val="nil"/>
              <w:bottom w:val="single" w:sz="4" w:space="0" w:color="auto"/>
              <w:right w:val="single" w:sz="4" w:space="0" w:color="auto"/>
            </w:tcBorders>
            <w:shd w:val="clear" w:color="auto" w:fill="auto"/>
            <w:noWrap/>
            <w:vAlign w:val="center"/>
            <w:hideMark/>
          </w:tcPr>
          <w:p w14:paraId="2E6FCD7B" w14:textId="77777777" w:rsidR="003C6A19" w:rsidRPr="004F469F" w:rsidRDefault="003C6A19" w:rsidP="003C6A19">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122AA341" w14:textId="77777777" w:rsidR="003C6A19" w:rsidRPr="004F469F" w:rsidRDefault="003C6A19" w:rsidP="003C6A19">
            <w:pPr>
              <w:jc w:val="center"/>
              <w:rPr>
                <w:sz w:val="20"/>
                <w:szCs w:val="20"/>
              </w:rPr>
            </w:pPr>
            <w:r w:rsidRPr="004F469F">
              <w:rPr>
                <w:sz w:val="20"/>
                <w:szCs w:val="20"/>
              </w:rPr>
              <w:t>349.6</w:t>
            </w:r>
          </w:p>
        </w:tc>
        <w:tc>
          <w:tcPr>
            <w:tcW w:w="0" w:type="auto"/>
            <w:tcBorders>
              <w:top w:val="nil"/>
              <w:left w:val="nil"/>
              <w:bottom w:val="single" w:sz="4" w:space="0" w:color="auto"/>
              <w:right w:val="single" w:sz="4" w:space="0" w:color="auto"/>
            </w:tcBorders>
            <w:shd w:val="clear" w:color="auto" w:fill="auto"/>
            <w:noWrap/>
            <w:vAlign w:val="center"/>
            <w:hideMark/>
          </w:tcPr>
          <w:p w14:paraId="08C5B79A" w14:textId="77777777" w:rsidR="003C6A19" w:rsidRPr="004F469F" w:rsidRDefault="003C6A19" w:rsidP="003C6A19">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4215142" w14:textId="77777777" w:rsidR="003C6A19" w:rsidRPr="004F469F" w:rsidRDefault="003C6A19" w:rsidP="003C6A19">
            <w:pPr>
              <w:jc w:val="center"/>
              <w:rPr>
                <w:sz w:val="20"/>
                <w:szCs w:val="20"/>
              </w:rPr>
            </w:pPr>
            <w:r w:rsidRPr="004F469F">
              <w:rPr>
                <w:sz w:val="20"/>
                <w:szCs w:val="20"/>
              </w:rPr>
              <w:t>5,446</w:t>
            </w:r>
          </w:p>
        </w:tc>
        <w:tc>
          <w:tcPr>
            <w:tcW w:w="0" w:type="auto"/>
            <w:tcBorders>
              <w:top w:val="nil"/>
              <w:left w:val="nil"/>
              <w:bottom w:val="single" w:sz="4" w:space="0" w:color="auto"/>
              <w:right w:val="single" w:sz="4" w:space="0" w:color="auto"/>
            </w:tcBorders>
            <w:shd w:val="clear" w:color="auto" w:fill="auto"/>
            <w:noWrap/>
            <w:vAlign w:val="center"/>
            <w:hideMark/>
          </w:tcPr>
          <w:p w14:paraId="2D37214D" w14:textId="77777777" w:rsidR="003C6A19" w:rsidRPr="004F469F" w:rsidRDefault="003C6A19" w:rsidP="003C6A19">
            <w:pPr>
              <w:jc w:val="center"/>
              <w:rPr>
                <w:sz w:val="20"/>
                <w:szCs w:val="20"/>
              </w:rPr>
            </w:pPr>
            <w:r w:rsidRPr="004F469F">
              <w:rPr>
                <w:sz w:val="20"/>
                <w:szCs w:val="20"/>
              </w:rPr>
              <w:t>2,658</w:t>
            </w:r>
          </w:p>
        </w:tc>
        <w:tc>
          <w:tcPr>
            <w:tcW w:w="0" w:type="auto"/>
            <w:tcBorders>
              <w:top w:val="nil"/>
              <w:left w:val="nil"/>
              <w:bottom w:val="single" w:sz="4" w:space="0" w:color="auto"/>
              <w:right w:val="single" w:sz="4" w:space="0" w:color="auto"/>
            </w:tcBorders>
            <w:shd w:val="clear" w:color="auto" w:fill="auto"/>
            <w:noWrap/>
            <w:vAlign w:val="center"/>
            <w:hideMark/>
          </w:tcPr>
          <w:p w14:paraId="37055606" w14:textId="77777777" w:rsidR="003C6A19" w:rsidRPr="004F469F" w:rsidRDefault="003C6A19" w:rsidP="003C6A19">
            <w:pPr>
              <w:jc w:val="center"/>
              <w:rPr>
                <w:sz w:val="20"/>
                <w:szCs w:val="20"/>
              </w:rPr>
            </w:pPr>
            <w:r w:rsidRPr="004F469F">
              <w:rPr>
                <w:sz w:val="20"/>
                <w:szCs w:val="20"/>
              </w:rPr>
              <w:t>6,350</w:t>
            </w:r>
          </w:p>
        </w:tc>
        <w:tc>
          <w:tcPr>
            <w:tcW w:w="0" w:type="auto"/>
            <w:tcBorders>
              <w:top w:val="nil"/>
              <w:left w:val="nil"/>
              <w:bottom w:val="single" w:sz="4" w:space="0" w:color="auto"/>
              <w:right w:val="single" w:sz="4" w:space="0" w:color="auto"/>
            </w:tcBorders>
            <w:shd w:val="clear" w:color="auto" w:fill="auto"/>
            <w:noWrap/>
            <w:vAlign w:val="center"/>
            <w:hideMark/>
          </w:tcPr>
          <w:p w14:paraId="62C1EFDB" w14:textId="77777777" w:rsidR="003C6A19" w:rsidRPr="004F469F" w:rsidRDefault="003C6A19" w:rsidP="003C6A19">
            <w:pPr>
              <w:jc w:val="center"/>
              <w:rPr>
                <w:sz w:val="20"/>
                <w:szCs w:val="20"/>
              </w:rPr>
            </w:pPr>
            <w:r w:rsidRPr="004F469F">
              <w:rPr>
                <w:sz w:val="20"/>
                <w:szCs w:val="20"/>
              </w:rPr>
              <w:t>14.8</w:t>
            </w:r>
          </w:p>
        </w:tc>
        <w:tc>
          <w:tcPr>
            <w:tcW w:w="0" w:type="auto"/>
            <w:tcBorders>
              <w:top w:val="nil"/>
              <w:left w:val="nil"/>
              <w:bottom w:val="single" w:sz="4" w:space="0" w:color="auto"/>
              <w:right w:val="single" w:sz="4" w:space="0" w:color="auto"/>
            </w:tcBorders>
            <w:shd w:val="clear" w:color="auto" w:fill="auto"/>
            <w:noWrap/>
            <w:vAlign w:val="center"/>
            <w:hideMark/>
          </w:tcPr>
          <w:p w14:paraId="451B8FEE" w14:textId="77777777" w:rsidR="003C6A19" w:rsidRPr="004F469F" w:rsidRDefault="003C6A19" w:rsidP="003C6A19">
            <w:pPr>
              <w:jc w:val="center"/>
              <w:rPr>
                <w:sz w:val="20"/>
                <w:szCs w:val="20"/>
              </w:rPr>
            </w:pPr>
            <w:r w:rsidRPr="004F469F">
              <w:rPr>
                <w:sz w:val="20"/>
                <w:szCs w:val="20"/>
              </w:rPr>
              <w:t>18.5</w:t>
            </w:r>
          </w:p>
        </w:tc>
        <w:tc>
          <w:tcPr>
            <w:tcW w:w="0" w:type="auto"/>
            <w:tcBorders>
              <w:top w:val="nil"/>
              <w:left w:val="nil"/>
              <w:bottom w:val="single" w:sz="4" w:space="0" w:color="auto"/>
              <w:right w:val="single" w:sz="4" w:space="0" w:color="auto"/>
            </w:tcBorders>
            <w:shd w:val="clear" w:color="auto" w:fill="auto"/>
            <w:noWrap/>
            <w:vAlign w:val="center"/>
            <w:hideMark/>
          </w:tcPr>
          <w:p w14:paraId="4D6D8277" w14:textId="6349847F" w:rsidR="003C6A19" w:rsidRPr="004F469F" w:rsidRDefault="003C6A19" w:rsidP="003C6A19">
            <w:pPr>
              <w:jc w:val="center"/>
              <w:rPr>
                <w:sz w:val="20"/>
                <w:szCs w:val="20"/>
              </w:rPr>
            </w:pPr>
            <w:r w:rsidRPr="004F469F">
              <w:rPr>
                <w:sz w:val="20"/>
                <w:szCs w:val="20"/>
              </w:rPr>
              <w:t>-</w:t>
            </w:r>
          </w:p>
        </w:tc>
      </w:tr>
    </w:tbl>
    <w:p w14:paraId="572F81EF" w14:textId="4C99F5FB" w:rsidR="003C6A19" w:rsidRPr="004F469F" w:rsidRDefault="003C6A19" w:rsidP="005C4E5F">
      <w:pPr>
        <w:spacing w:after="120" w:line="480" w:lineRule="auto"/>
        <w:sectPr w:rsidR="003C6A19" w:rsidRPr="004F469F" w:rsidSect="003C6A19">
          <w:pgSz w:w="15840" w:h="12240" w:orient="landscape"/>
          <w:pgMar w:top="1440" w:right="1440" w:bottom="1440" w:left="1440" w:header="720" w:footer="720" w:gutter="0"/>
          <w:cols w:space="720"/>
          <w:docGrid w:linePitch="360"/>
        </w:sectPr>
      </w:pPr>
    </w:p>
    <w:p w14:paraId="42A2422F" w14:textId="77777777" w:rsidR="002E4CCA" w:rsidRPr="004F469F" w:rsidRDefault="002E4CCA" w:rsidP="002E4CCA">
      <w:pPr>
        <w:keepNext/>
        <w:spacing w:after="120" w:line="480" w:lineRule="auto"/>
      </w:pPr>
      <w:r w:rsidRPr="004F469F">
        <w:rPr>
          <w:noProof/>
        </w:rPr>
        <w:lastRenderedPageBreak/>
        <w:drawing>
          <wp:inline distT="0" distB="0" distL="0" distR="0" wp14:anchorId="7A143CE3" wp14:editId="2CAA1EDF">
            <wp:extent cx="5943600" cy="4592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CAS_hatzis_et_al_2018_fig01.pdf"/>
                    <pic:cNvPicPr/>
                  </pic:nvPicPr>
                  <pic:blipFill>
                    <a:blip r:embed="rId1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65D1D65F" w14:textId="1D0CA51F" w:rsidR="002E4CCA" w:rsidRPr="004F469F" w:rsidRDefault="002E4CCA" w:rsidP="002E4CCA">
      <w:pPr>
        <w:pStyle w:val="Caption"/>
        <w:rPr>
          <w:rFonts w:ascii="Times New Roman" w:hAnsi="Times New Roman" w:cs="Times New Roman"/>
          <w:i w:val="0"/>
          <w:iCs w:val="0"/>
          <w:color w:val="auto"/>
          <w:sz w:val="24"/>
          <w:szCs w:val="24"/>
        </w:rPr>
      </w:pPr>
      <w:bookmarkStart w:id="39" w:name="_Toc22035185"/>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Four regions used in this study: Northern Plains (NP); Southern Plains (SP); Great Lakes(GL); Southeast (SE).</w:t>
      </w:r>
      <w:bookmarkEnd w:id="39"/>
    </w:p>
    <w:p w14:paraId="60430029" w14:textId="77777777" w:rsidR="002E4CCA" w:rsidRPr="004F469F" w:rsidRDefault="002E4CCA" w:rsidP="002E4CCA">
      <w:pPr>
        <w:keepNext/>
        <w:spacing w:after="120" w:line="480" w:lineRule="auto"/>
      </w:pPr>
      <w:r w:rsidRPr="004F469F">
        <w:rPr>
          <w:noProof/>
        </w:rPr>
        <w:lastRenderedPageBreak/>
        <w:drawing>
          <wp:inline distT="0" distB="0" distL="0" distR="0" wp14:anchorId="2964355A" wp14:editId="156F2BC1">
            <wp:extent cx="5943600" cy="594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CAS_hatzis_et_al_2018_fig02.pdf"/>
                    <pic:cNvPicPr/>
                  </pic:nvPicPr>
                  <pic:blipFill>
                    <a:blip r:embed="rId13">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56A03FC" w14:textId="7816D1A7" w:rsidR="002E4CCA" w:rsidRPr="004F469F" w:rsidRDefault="002E4CCA" w:rsidP="002E4CCA">
      <w:pPr>
        <w:pStyle w:val="Caption"/>
        <w:rPr>
          <w:rFonts w:ascii="Times New Roman" w:hAnsi="Times New Roman" w:cs="Times New Roman"/>
          <w:i w:val="0"/>
          <w:iCs w:val="0"/>
          <w:color w:val="auto"/>
          <w:sz w:val="24"/>
          <w:szCs w:val="24"/>
        </w:rPr>
      </w:pPr>
      <w:bookmarkStart w:id="40" w:name="_Toc22035186"/>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Simplified workflow for the replication procedure: a) Create a uniform grid surrounding the tornado footprint to be replicated. b) Make copies of the tornado footprint maintaining the size and orientation of the original footprint. c) Move each copy to the center of its corresponding grid cell. d) Repeat b and c until all grid cells have a copy of the original footprint. This example is not to scale; the actual grid is a uniform circular grid with a radius of 40 km and a resolution of 0.5 km for a total of 20,140 grid cells.</w:t>
      </w:r>
      <w:bookmarkEnd w:id="40"/>
    </w:p>
    <w:p w14:paraId="6ED5C97E" w14:textId="77777777" w:rsidR="002E4CCA" w:rsidRPr="004F469F" w:rsidRDefault="002E4CCA" w:rsidP="002E4CCA">
      <w:pPr>
        <w:keepNext/>
        <w:spacing w:after="120" w:line="480" w:lineRule="auto"/>
      </w:pPr>
      <w:r w:rsidRPr="004F469F">
        <w:rPr>
          <w:noProof/>
        </w:rPr>
        <w:lastRenderedPageBreak/>
        <w:drawing>
          <wp:inline distT="0" distB="0" distL="0" distR="0" wp14:anchorId="58AC5BCA" wp14:editId="64EE5451">
            <wp:extent cx="5943600" cy="45929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CAS_hatzis_et_al_2018_fig03.pdf"/>
                    <pic:cNvPicPr/>
                  </pic:nvPicPr>
                  <pic:blipFill>
                    <a:blip r:embed="rId14">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A9FD884" w14:textId="78004C16" w:rsidR="002E4CCA" w:rsidRPr="004F469F" w:rsidRDefault="002E4CCA" w:rsidP="002E4CCA">
      <w:pPr>
        <w:pStyle w:val="Caption"/>
        <w:rPr>
          <w:rFonts w:ascii="Times New Roman" w:hAnsi="Times New Roman" w:cs="Times New Roman"/>
          <w:i w:val="0"/>
          <w:iCs w:val="0"/>
          <w:color w:val="auto"/>
          <w:sz w:val="24"/>
          <w:szCs w:val="24"/>
        </w:rPr>
      </w:pPr>
      <w:bookmarkStart w:id="41" w:name="_Toc22035187"/>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xml:space="preserve">. Mean number of violent tornado days in the US per millennium for the period of a) 1880 - 2016 and select 30 year periods (b) 1880 - 1909, c) 1930 - 1959, d) 1987 - 2016. Figure created following the methods of </w:t>
      </w:r>
      <w:r w:rsidR="007F3AF9" w:rsidRPr="004F469F">
        <w:rPr>
          <w:rFonts w:ascii="Times New Roman" w:hAnsi="Times New Roman" w:cs="Times New Roman"/>
          <w:i w:val="0"/>
          <w:iCs w:val="0"/>
          <w:color w:val="auto"/>
          <w:sz w:val="24"/>
          <w:szCs w:val="24"/>
        </w:rPr>
        <w:fldChar w:fldCharType="begin" w:fldLock="1"/>
      </w:r>
      <w:r w:rsidR="00123266">
        <w:rPr>
          <w:rFonts w:ascii="Times New Roman" w:hAnsi="Times New Roman" w:cs="Times New Roman"/>
          <w:i w:val="0"/>
          <w:iCs w:val="0"/>
          <w:color w:val="auto"/>
          <w:sz w:val="24"/>
          <w:szCs w:val="24"/>
        </w:rPr>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States","type":"paper-conference"},"uris":["http://www.mendeley.com/documents/?uuid=6e052979-6a88-43b7-af1c-e706b78cdfb5"]}],"mendeley":{"formattedCitation":"(Concannon et al., 2000)","plainTextFormattedCitation":"(Concannon et al., 2000)","previouslyFormattedCitation":"(Concannon et al., 2000)"},"properties":{"noteIndex":0},"schema":"https://github.com/citation-style-language/schema/raw/master/csl-citation.json"}</w:instrText>
      </w:r>
      <w:r w:rsidR="007F3AF9" w:rsidRPr="004F469F">
        <w:rPr>
          <w:rFonts w:ascii="Times New Roman" w:hAnsi="Times New Roman" w:cs="Times New Roman"/>
          <w:i w:val="0"/>
          <w:iCs w:val="0"/>
          <w:color w:val="auto"/>
          <w:sz w:val="24"/>
          <w:szCs w:val="24"/>
        </w:rPr>
        <w:fldChar w:fldCharType="separate"/>
      </w:r>
      <w:r w:rsidR="00123266" w:rsidRPr="00123266">
        <w:rPr>
          <w:rFonts w:ascii="Times New Roman" w:hAnsi="Times New Roman" w:cs="Times New Roman"/>
          <w:i w:val="0"/>
          <w:iCs w:val="0"/>
          <w:noProof/>
          <w:color w:val="auto"/>
          <w:sz w:val="24"/>
          <w:szCs w:val="24"/>
        </w:rPr>
        <w:t xml:space="preserve">(Concannon </w:t>
      </w:r>
      <w:r w:rsidR="00123266" w:rsidRPr="00453357">
        <w:rPr>
          <w:rFonts w:ascii="Times New Roman" w:hAnsi="Times New Roman" w:cs="Times New Roman"/>
          <w:noProof/>
          <w:color w:val="auto"/>
          <w:sz w:val="24"/>
          <w:szCs w:val="24"/>
        </w:rPr>
        <w:t>et al.</w:t>
      </w:r>
      <w:r w:rsidR="00123266" w:rsidRPr="00123266">
        <w:rPr>
          <w:rFonts w:ascii="Times New Roman" w:hAnsi="Times New Roman" w:cs="Times New Roman"/>
          <w:i w:val="0"/>
          <w:iCs w:val="0"/>
          <w:noProof/>
          <w:color w:val="auto"/>
          <w:sz w:val="24"/>
          <w:szCs w:val="24"/>
        </w:rPr>
        <w:t>, 2000)</w:t>
      </w:r>
      <w:r w:rsidR="007F3AF9"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w:t>
      </w:r>
      <w:bookmarkEnd w:id="41"/>
    </w:p>
    <w:p w14:paraId="3CA4764A" w14:textId="77777777" w:rsidR="002E4CCA" w:rsidRPr="004F469F" w:rsidRDefault="002E4CCA" w:rsidP="002E4CCA">
      <w:pPr>
        <w:keepNext/>
        <w:spacing w:after="120" w:line="480" w:lineRule="auto"/>
      </w:pPr>
      <w:r w:rsidRPr="004F469F">
        <w:rPr>
          <w:noProof/>
        </w:rPr>
        <w:lastRenderedPageBreak/>
        <w:drawing>
          <wp:inline distT="0" distB="0" distL="0" distR="0" wp14:anchorId="0B2AE911" wp14:editId="26259306">
            <wp:extent cx="5943600" cy="5943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CAS_hatzis_et_al_2018_fig04.pdf"/>
                    <pic:cNvPicPr/>
                  </pic:nvPicPr>
                  <pic:blipFill>
                    <a:blip r:embed="rId1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C5AD04C" w14:textId="304EFB93" w:rsidR="002E4CCA" w:rsidRPr="004F469F" w:rsidRDefault="002E4CCA" w:rsidP="002E4CCA">
      <w:pPr>
        <w:pStyle w:val="Caption"/>
        <w:rPr>
          <w:rFonts w:ascii="Times New Roman" w:hAnsi="Times New Roman" w:cs="Times New Roman"/>
          <w:i w:val="0"/>
          <w:iCs w:val="0"/>
          <w:color w:val="auto"/>
          <w:sz w:val="24"/>
          <w:szCs w:val="24"/>
        </w:rPr>
      </w:pPr>
      <w:bookmarkStart w:id="42" w:name="_Toc22035188"/>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Violent tornado counts (a) and days with a violent tornado (b) per year from 1880 to 2016. Stacked bars are colored by region. Dashed line is the best fit using a linear model.</w:t>
      </w:r>
      <w:bookmarkEnd w:id="42"/>
    </w:p>
    <w:p w14:paraId="5523660A" w14:textId="77777777" w:rsidR="002E4CCA" w:rsidRPr="004F469F" w:rsidRDefault="002E4CCA" w:rsidP="002E4CCA">
      <w:pPr>
        <w:keepNext/>
        <w:spacing w:after="120" w:line="480" w:lineRule="auto"/>
      </w:pPr>
      <w:r w:rsidRPr="004F469F">
        <w:rPr>
          <w:noProof/>
        </w:rPr>
        <w:lastRenderedPageBreak/>
        <w:drawing>
          <wp:inline distT="0" distB="0" distL="0" distR="0" wp14:anchorId="2D5AD80E" wp14:editId="0A8620BA">
            <wp:extent cx="5943600" cy="4592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CAS_hatzis_et_al_2018_fig05.pdf"/>
                    <pic:cNvPicPr/>
                  </pic:nvPicPr>
                  <pic:blipFill>
                    <a:blip r:embed="rId1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A0E6A9E" w14:textId="4EF524B2" w:rsidR="002E4CCA" w:rsidRPr="004F469F" w:rsidRDefault="002E4CCA" w:rsidP="002E4CCA">
      <w:pPr>
        <w:pStyle w:val="Caption"/>
        <w:rPr>
          <w:rFonts w:ascii="Times New Roman" w:hAnsi="Times New Roman" w:cs="Times New Roman"/>
          <w:i w:val="0"/>
          <w:iCs w:val="0"/>
          <w:color w:val="auto"/>
          <w:sz w:val="24"/>
          <w:szCs w:val="24"/>
        </w:rPr>
      </w:pPr>
      <w:bookmarkStart w:id="43" w:name="_Toc22035189"/>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Results of the sensitivity test for best census resolution at the grid cell-level over the study area. The best census level was the one that yielded the lowest root mean square error for the estimation error between the observed and synthetic footprint exposures. The sensitivity test involved replicating the 3 May 1999 Oklahoma tornado outbreak in each grid cell over a uniform rectangular grid with a resolution of 10 km spanning the entire study area.</w:t>
      </w:r>
      <w:bookmarkEnd w:id="43"/>
    </w:p>
    <w:p w14:paraId="6339173A" w14:textId="77777777" w:rsidR="002E4CCA" w:rsidRPr="004F469F" w:rsidRDefault="002E4CCA" w:rsidP="002E4CCA">
      <w:pPr>
        <w:keepNext/>
        <w:spacing w:after="120" w:line="480" w:lineRule="auto"/>
      </w:pPr>
      <w:r w:rsidRPr="004F469F">
        <w:rPr>
          <w:noProof/>
        </w:rPr>
        <w:lastRenderedPageBreak/>
        <w:drawing>
          <wp:inline distT="0" distB="0" distL="0" distR="0" wp14:anchorId="1930EC19" wp14:editId="56A2475A">
            <wp:extent cx="5943600" cy="45929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CAS_hatzis_et_al_2018_fig06.pdf"/>
                    <pic:cNvPicPr/>
                  </pic:nvPicPr>
                  <pic:blipFill>
                    <a:blip r:embed="rId17">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203D0A7A" w14:textId="4B6E5067" w:rsidR="002E4CCA" w:rsidRPr="004F469F" w:rsidRDefault="002E4CCA" w:rsidP="002E4CCA">
      <w:pPr>
        <w:pStyle w:val="Caption"/>
        <w:rPr>
          <w:rFonts w:ascii="Times New Roman" w:hAnsi="Times New Roman" w:cs="Times New Roman"/>
          <w:i w:val="0"/>
          <w:iCs w:val="0"/>
          <w:color w:val="auto"/>
          <w:sz w:val="24"/>
          <w:szCs w:val="24"/>
        </w:rPr>
      </w:pPr>
      <w:bookmarkStart w:id="44" w:name="_Toc22035190"/>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6</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Centroids of (a) violent tornadoes, (b) hits, (c) near-misses, and (d) far-misses between 1995 and 2016. Population density, at the county level, from the 2010 census is included for reference.</w:t>
      </w:r>
      <w:bookmarkEnd w:id="44"/>
    </w:p>
    <w:p w14:paraId="70D1F1A3" w14:textId="77777777" w:rsidR="002E4CCA" w:rsidRPr="004F469F" w:rsidRDefault="002E4CCA" w:rsidP="002E4CCA">
      <w:pPr>
        <w:keepNext/>
        <w:spacing w:after="120" w:line="480" w:lineRule="auto"/>
      </w:pPr>
      <w:r w:rsidRPr="004F469F">
        <w:rPr>
          <w:noProof/>
        </w:rPr>
        <w:lastRenderedPageBreak/>
        <w:drawing>
          <wp:inline distT="0" distB="0" distL="0" distR="0" wp14:anchorId="39C21DCA" wp14:editId="2A9821FC">
            <wp:extent cx="5943600" cy="45929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CAS_hatzis_et_al_2018_fig07.pdf"/>
                    <pic:cNvPicPr/>
                  </pic:nvPicPr>
                  <pic:blipFill>
                    <a:blip r:embed="rId18">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12FEBCE" w14:textId="0DD55EE9" w:rsidR="002E4CCA" w:rsidRPr="004F469F" w:rsidRDefault="002E4CCA" w:rsidP="002E4CCA">
      <w:pPr>
        <w:pStyle w:val="Caption"/>
        <w:rPr>
          <w:rFonts w:ascii="Times New Roman" w:hAnsi="Times New Roman" w:cs="Times New Roman"/>
          <w:i w:val="0"/>
          <w:iCs w:val="0"/>
          <w:color w:val="auto"/>
          <w:sz w:val="24"/>
          <w:szCs w:val="24"/>
        </w:rPr>
      </w:pPr>
      <w:bookmarkStart w:id="45" w:name="_Toc22035191"/>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7</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xml:space="preserve">. High-risk area for all violent tornadoes (grey) and near-misses or hits (stippled) between 1995 and 2016. High-risk area is defined as the area expected to have had at least two violent tornado days per century. High-risk areas were calculated after the data had been smoothed with a Gaussian lowpass filter with a standard deviation of 120 km </w:t>
      </w:r>
      <w:r w:rsidR="007F3AF9" w:rsidRPr="004F469F">
        <w:rPr>
          <w:rFonts w:ascii="Times New Roman" w:hAnsi="Times New Roman" w:cs="Times New Roman"/>
          <w:i w:val="0"/>
          <w:iCs w:val="0"/>
          <w:color w:val="auto"/>
          <w:sz w:val="24"/>
          <w:szCs w:val="24"/>
        </w:rPr>
        <w:fldChar w:fldCharType="begin" w:fldLock="1"/>
      </w:r>
      <w:r w:rsidR="00123266">
        <w:rPr>
          <w:rFonts w:ascii="Times New Roman" w:hAnsi="Times New Roman" w:cs="Times New Roman"/>
          <w:i w:val="0"/>
          <w:iCs w:val="0"/>
          <w:color w:val="auto"/>
          <w:sz w:val="24"/>
          <w:szCs w:val="24"/>
        </w:rPr>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States","type":"paper-conference"},"uris":["http://www.mendeley.com/documents/?uuid=6e052979-6a88-43b7-af1c-e706b78cdfb5"]}],"mendeley":{"formattedCitation":"(Concannon et al., 2000)","plainTextFormattedCitation":"(Concannon et al., 2000)","previouslyFormattedCitation":"(Concannon et al., 2000)"},"properties":{"noteIndex":0},"schema":"https://github.com/citation-style-language/schema/raw/master/csl-citation.json"}</w:instrText>
      </w:r>
      <w:r w:rsidR="007F3AF9" w:rsidRPr="004F469F">
        <w:rPr>
          <w:rFonts w:ascii="Times New Roman" w:hAnsi="Times New Roman" w:cs="Times New Roman"/>
          <w:i w:val="0"/>
          <w:iCs w:val="0"/>
          <w:color w:val="auto"/>
          <w:sz w:val="24"/>
          <w:szCs w:val="24"/>
        </w:rPr>
        <w:fldChar w:fldCharType="separate"/>
      </w:r>
      <w:r w:rsidR="00123266" w:rsidRPr="00123266">
        <w:rPr>
          <w:rFonts w:ascii="Times New Roman" w:hAnsi="Times New Roman" w:cs="Times New Roman"/>
          <w:i w:val="0"/>
          <w:iCs w:val="0"/>
          <w:noProof/>
          <w:color w:val="auto"/>
          <w:sz w:val="24"/>
          <w:szCs w:val="24"/>
        </w:rPr>
        <w:t xml:space="preserve">(Concannon </w:t>
      </w:r>
      <w:r w:rsidR="00123266" w:rsidRPr="00453357">
        <w:rPr>
          <w:rFonts w:ascii="Times New Roman" w:hAnsi="Times New Roman" w:cs="Times New Roman"/>
          <w:noProof/>
          <w:color w:val="auto"/>
          <w:sz w:val="24"/>
          <w:szCs w:val="24"/>
        </w:rPr>
        <w:t>et al.</w:t>
      </w:r>
      <w:r w:rsidR="00123266" w:rsidRPr="00123266">
        <w:rPr>
          <w:rFonts w:ascii="Times New Roman" w:hAnsi="Times New Roman" w:cs="Times New Roman"/>
          <w:i w:val="0"/>
          <w:iCs w:val="0"/>
          <w:noProof/>
          <w:color w:val="auto"/>
          <w:sz w:val="24"/>
          <w:szCs w:val="24"/>
        </w:rPr>
        <w:t>, 2000)</w:t>
      </w:r>
      <w:r w:rsidR="007F3AF9"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w:t>
      </w:r>
      <w:bookmarkEnd w:id="45"/>
    </w:p>
    <w:p w14:paraId="5DD6CD69" w14:textId="77777777" w:rsidR="002E4CCA" w:rsidRPr="004F469F" w:rsidRDefault="002E4CCA" w:rsidP="002E4CCA">
      <w:pPr>
        <w:keepNext/>
        <w:spacing w:after="120" w:line="480" w:lineRule="auto"/>
      </w:pPr>
      <w:r w:rsidRPr="004F469F">
        <w:rPr>
          <w:noProof/>
        </w:rPr>
        <w:lastRenderedPageBreak/>
        <w:drawing>
          <wp:inline distT="0" distB="0" distL="0" distR="0" wp14:anchorId="33AD6FB3" wp14:editId="295C95AB">
            <wp:extent cx="5943600" cy="45929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CAS_hatzis_et_al_2018_fig08.pdf"/>
                    <pic:cNvPicPr/>
                  </pic:nvPicPr>
                  <pic:blipFill>
                    <a:blip r:embed="rId19">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493155B" w14:textId="5CEA90B9" w:rsidR="002E4CCA" w:rsidRPr="004F469F" w:rsidRDefault="002E4CCA" w:rsidP="002E4CCA">
      <w:pPr>
        <w:pStyle w:val="Caption"/>
        <w:rPr>
          <w:rFonts w:ascii="Times New Roman" w:hAnsi="Times New Roman" w:cs="Times New Roman"/>
          <w:i w:val="0"/>
          <w:iCs w:val="0"/>
          <w:color w:val="auto"/>
          <w:sz w:val="24"/>
          <w:szCs w:val="24"/>
        </w:rPr>
      </w:pPr>
      <w:bookmarkStart w:id="46" w:name="_Toc22035192"/>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8</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Probability that a violent tornado hitting within 10 km of its original footprint would have resulted in a hit between 1995 and 2016. Population density, at the county level, from the 2010 census is included for reference. The size of the dots relate to the probability category with higher probabilities represented by larger circles.</w:t>
      </w:r>
      <w:bookmarkEnd w:id="46"/>
    </w:p>
    <w:p w14:paraId="1CE09174" w14:textId="77777777" w:rsidR="002E4CCA" w:rsidRPr="004F469F" w:rsidRDefault="002E4CCA" w:rsidP="002E4CCA">
      <w:pPr>
        <w:keepNext/>
        <w:spacing w:after="120" w:line="480" w:lineRule="auto"/>
      </w:pPr>
      <w:r w:rsidRPr="004F469F">
        <w:rPr>
          <w:noProof/>
        </w:rPr>
        <w:lastRenderedPageBreak/>
        <w:drawing>
          <wp:inline distT="0" distB="0" distL="0" distR="0" wp14:anchorId="212F6884" wp14:editId="5FE681C8">
            <wp:extent cx="5943600" cy="5943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CAS_hatzis_et_al_2018_fig09.pdf"/>
                    <pic:cNvPicPr/>
                  </pic:nvPicPr>
                  <pic:blipFill>
                    <a:blip r:embed="rId2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E38DB31" w14:textId="3B1E580E" w:rsidR="002E4CCA" w:rsidRPr="004F469F" w:rsidRDefault="002E4CCA" w:rsidP="002E4CCA">
      <w:pPr>
        <w:pStyle w:val="Caption"/>
        <w:rPr>
          <w:rFonts w:ascii="Times New Roman" w:hAnsi="Times New Roman" w:cs="Times New Roman"/>
          <w:i w:val="0"/>
          <w:iCs w:val="0"/>
          <w:color w:val="auto"/>
          <w:sz w:val="24"/>
          <w:szCs w:val="24"/>
        </w:rPr>
      </w:pPr>
      <w:bookmarkStart w:id="47" w:name="_Toc22035193"/>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9</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xml:space="preserve">. Examples of the tornado footprints for a near-miss, far-miss, and hit. a) A reference map of the US displaying the extent for each example. b) A near-miss on the City of Norman, Oklahoma on 10 May 2010. c) A far-miss for the Cities of Canton and Pekin in Illinois on 13 May 1995. d) A hit on the City of Cleveland, Tennessee on 27 April 2011. The population grids (for each potential impact zone) were generated following the method of </w:t>
      </w:r>
      <w:r w:rsidR="007F3AF9" w:rsidRPr="004F469F">
        <w:rPr>
          <w:rFonts w:ascii="Times New Roman" w:hAnsi="Times New Roman" w:cs="Times New Roman"/>
          <w:i w:val="0"/>
          <w:iCs w:val="0"/>
          <w:color w:val="auto"/>
          <w:sz w:val="24"/>
          <w:szCs w:val="24"/>
        </w:rPr>
        <w:fldChar w:fldCharType="begin" w:fldLock="1"/>
      </w:r>
      <w:r w:rsidR="00123266">
        <w:rPr>
          <w:rFonts w:ascii="Times New Roman" w:hAnsi="Times New Roman" w:cs="Times New Roman"/>
          <w:i w:val="0"/>
          <w:iCs w:val="0"/>
          <w:color w:val="auto"/>
          <w:sz w:val="24"/>
          <w:szCs w:val="24"/>
        </w:rPr>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007F3AF9" w:rsidRPr="004F469F">
        <w:rPr>
          <w:rFonts w:ascii="Times New Roman" w:hAnsi="Times New Roman" w:cs="Times New Roman"/>
          <w:i w:val="0"/>
          <w:iCs w:val="0"/>
          <w:color w:val="auto"/>
          <w:sz w:val="24"/>
          <w:szCs w:val="24"/>
        </w:rPr>
        <w:fldChar w:fldCharType="separate"/>
      </w:r>
      <w:r w:rsidR="0010658B" w:rsidRPr="00123266">
        <w:rPr>
          <w:rFonts w:ascii="Times New Roman" w:hAnsi="Times New Roman" w:cs="Times New Roman"/>
          <w:i w:val="0"/>
          <w:iCs w:val="0"/>
          <w:noProof/>
          <w:color w:val="auto"/>
          <w:sz w:val="24"/>
          <w:szCs w:val="24"/>
        </w:rPr>
        <w:t xml:space="preserve">(Ashley </w:t>
      </w:r>
      <w:r w:rsidR="0010658B" w:rsidRPr="00453357">
        <w:rPr>
          <w:rFonts w:ascii="Times New Roman" w:hAnsi="Times New Roman" w:cs="Times New Roman"/>
          <w:noProof/>
          <w:color w:val="auto"/>
          <w:sz w:val="24"/>
          <w:szCs w:val="24"/>
        </w:rPr>
        <w:t>et al.</w:t>
      </w:r>
      <w:r w:rsidR="0010658B" w:rsidRPr="00123266">
        <w:rPr>
          <w:rFonts w:ascii="Times New Roman" w:hAnsi="Times New Roman" w:cs="Times New Roman"/>
          <w:i w:val="0"/>
          <w:iCs w:val="0"/>
          <w:noProof/>
          <w:color w:val="auto"/>
          <w:sz w:val="24"/>
          <w:szCs w:val="24"/>
        </w:rPr>
        <w:t>, 2014)</w:t>
      </w:r>
      <w:r w:rsidR="007F3AF9"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xml:space="preserve"> and use the block-level census data from the 1990 and 2010 censuses and a grid cell resolution matching the mean block size in the potential impact zone. The population was linearly interpolated to the year of the tornado.</w:t>
      </w:r>
      <w:bookmarkEnd w:id="47"/>
    </w:p>
    <w:p w14:paraId="2ACB9FC6" w14:textId="77777777" w:rsidR="002E4CCA" w:rsidRPr="004F469F" w:rsidRDefault="002E4CCA" w:rsidP="002E4CCA">
      <w:pPr>
        <w:keepNext/>
        <w:spacing w:after="120" w:line="480" w:lineRule="auto"/>
      </w:pPr>
      <w:r w:rsidRPr="004F469F">
        <w:rPr>
          <w:noProof/>
        </w:rPr>
        <w:lastRenderedPageBreak/>
        <w:drawing>
          <wp:inline distT="0" distB="0" distL="0" distR="0" wp14:anchorId="07C140EF" wp14:editId="290DCC7F">
            <wp:extent cx="5943600" cy="45929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CAS_hatzis_et_al_2018_fig10.pdf"/>
                    <pic:cNvPicPr/>
                  </pic:nvPicPr>
                  <pic:blipFill>
                    <a:blip r:embed="rId2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697057E" w14:textId="62D68A71" w:rsidR="003C6A19" w:rsidRPr="004F469F" w:rsidRDefault="002E4CCA" w:rsidP="002E4CCA">
      <w:pPr>
        <w:pStyle w:val="Caption"/>
        <w:rPr>
          <w:rFonts w:ascii="Times New Roman" w:eastAsia="Times New Roman" w:hAnsi="Times New Roman" w:cs="Times New Roman"/>
          <w:i w:val="0"/>
          <w:iCs w:val="0"/>
          <w:color w:val="auto"/>
          <w:sz w:val="24"/>
          <w:szCs w:val="24"/>
        </w:rPr>
      </w:pPr>
      <w:bookmarkStart w:id="48" w:name="_Toc22035194"/>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10</w:t>
      </w:r>
      <w:r w:rsidR="00637543" w:rsidRPr="004F469F">
        <w:rPr>
          <w:rFonts w:ascii="Times New Roman" w:hAnsi="Times New Roman" w:cs="Times New Roman"/>
          <w:i w:val="0"/>
          <w:iCs w:val="0"/>
          <w:color w:val="auto"/>
          <w:sz w:val="24"/>
          <w:szCs w:val="24"/>
        </w:rPr>
        <w:fldChar w:fldCharType="end"/>
      </w:r>
      <w:r w:rsidR="007F3AF9" w:rsidRPr="004F469F">
        <w:rPr>
          <w:rFonts w:ascii="Times New Roman" w:hAnsi="Times New Roman" w:cs="Times New Roman"/>
          <w:i w:val="0"/>
          <w:iCs w:val="0"/>
          <w:color w:val="auto"/>
          <w:sz w:val="24"/>
          <w:szCs w:val="24"/>
        </w:rPr>
        <w:t xml:space="preserve">. Counties with clusters of (a) violent tornadoes, (b) hits, (c) near-misses, and (d) far-misses. Counties are identified as clusters based on a local Moran's I test with </w:t>
      </w:r>
      <m:oMath>
        <m:r>
          <w:rPr>
            <w:rFonts w:ascii="Cambria Math" w:hAnsi="Cambria Math" w:cs="Times New Roman"/>
            <w:color w:val="auto"/>
            <w:sz w:val="24"/>
            <w:szCs w:val="24"/>
          </w:rPr>
          <m:t>α=0.05</m:t>
        </m:r>
      </m:oMath>
      <w:r w:rsidR="007F3AF9" w:rsidRPr="004F469F">
        <w:rPr>
          <w:rFonts w:ascii="Times New Roman" w:hAnsi="Times New Roman" w:cs="Times New Roman"/>
          <w:i w:val="0"/>
          <w:iCs w:val="0"/>
          <w:color w:val="auto"/>
          <w:sz w:val="24"/>
          <w:szCs w:val="24"/>
        </w:rPr>
        <w:t>. Metropolitan Statistical Areas with populations greater than or equal to 500,000 persons are also plotted for reference.</w:t>
      </w:r>
      <w:bookmarkEnd w:id="48"/>
    </w:p>
    <w:p w14:paraId="6332E514" w14:textId="328B12A6" w:rsidR="002E4CCA" w:rsidRPr="004F469F" w:rsidRDefault="002E4CCA" w:rsidP="005C4E5F">
      <w:pPr>
        <w:spacing w:after="120" w:line="480" w:lineRule="auto"/>
      </w:pPr>
    </w:p>
    <w:p w14:paraId="1C5730BD" w14:textId="216853CF" w:rsidR="002E4CCA" w:rsidRPr="004F469F" w:rsidRDefault="002E4CCA" w:rsidP="005C4E5F">
      <w:pPr>
        <w:spacing w:after="120" w:line="480" w:lineRule="auto"/>
      </w:pPr>
    </w:p>
    <w:p w14:paraId="3A63EF57" w14:textId="683538CA" w:rsidR="002E4CCA" w:rsidRPr="004F469F" w:rsidRDefault="002E4CCA" w:rsidP="005C4E5F">
      <w:pPr>
        <w:spacing w:after="120" w:line="480" w:lineRule="auto"/>
      </w:pPr>
    </w:p>
    <w:p w14:paraId="5CD0884E" w14:textId="635685F1" w:rsidR="002E4CCA" w:rsidRPr="004F469F" w:rsidRDefault="002E4CCA" w:rsidP="005C4E5F">
      <w:pPr>
        <w:spacing w:after="120" w:line="480" w:lineRule="auto"/>
      </w:pPr>
    </w:p>
    <w:p w14:paraId="095D635E" w14:textId="634A8E8C" w:rsidR="002E4CCA" w:rsidRPr="004F469F" w:rsidRDefault="002E4CCA" w:rsidP="005C4E5F">
      <w:pPr>
        <w:spacing w:after="120" w:line="480" w:lineRule="auto"/>
      </w:pPr>
    </w:p>
    <w:p w14:paraId="3E4B812D" w14:textId="77777777" w:rsidR="002E4CCA" w:rsidRPr="004F469F" w:rsidRDefault="002E4CCA" w:rsidP="005C4E5F">
      <w:pPr>
        <w:spacing w:after="120" w:line="480" w:lineRule="auto"/>
      </w:pPr>
    </w:p>
    <w:p w14:paraId="60CB18F1" w14:textId="730A7794" w:rsidR="00797351" w:rsidRPr="004F469F" w:rsidRDefault="00E5297C" w:rsidP="004F469F">
      <w:pPr>
        <w:pStyle w:val="Heading1"/>
        <w:spacing w:before="0" w:after="120"/>
        <w:rPr>
          <w:rFonts w:ascii="Times New Roman" w:hAnsi="Times New Roman" w:cs="Times New Roman"/>
          <w:b/>
          <w:bCs/>
          <w:color w:val="auto"/>
        </w:rPr>
      </w:pPr>
      <w:bookmarkStart w:id="49" w:name="_Toc21861304"/>
      <w:r w:rsidRPr="004F469F">
        <w:rPr>
          <w:rFonts w:ascii="Times New Roman" w:hAnsi="Times New Roman" w:cs="Times New Roman"/>
          <w:b/>
          <w:bCs/>
          <w:color w:val="auto"/>
        </w:rPr>
        <w:lastRenderedPageBreak/>
        <w:t xml:space="preserve">A Tornado Daily Impacts Simulator </w:t>
      </w:r>
      <w:r>
        <w:rPr>
          <w:rFonts w:ascii="Times New Roman" w:hAnsi="Times New Roman" w:cs="Times New Roman"/>
          <w:b/>
          <w:bCs/>
          <w:color w:val="auto"/>
        </w:rPr>
        <w:t>f</w:t>
      </w:r>
      <w:r w:rsidRPr="004F469F">
        <w:rPr>
          <w:rFonts w:ascii="Times New Roman" w:hAnsi="Times New Roman" w:cs="Times New Roman"/>
          <w:b/>
          <w:bCs/>
          <w:color w:val="auto"/>
        </w:rPr>
        <w:t xml:space="preserve">or </w:t>
      </w:r>
      <w:r>
        <w:rPr>
          <w:rFonts w:ascii="Times New Roman" w:hAnsi="Times New Roman" w:cs="Times New Roman"/>
          <w:b/>
          <w:bCs/>
          <w:color w:val="auto"/>
        </w:rPr>
        <w:t>t</w:t>
      </w:r>
      <w:r w:rsidRPr="004F469F">
        <w:rPr>
          <w:rFonts w:ascii="Times New Roman" w:hAnsi="Times New Roman" w:cs="Times New Roman"/>
          <w:b/>
          <w:bCs/>
          <w:color w:val="auto"/>
        </w:rPr>
        <w:t xml:space="preserve">he Central </w:t>
      </w:r>
      <w:r>
        <w:rPr>
          <w:rFonts w:ascii="Times New Roman" w:hAnsi="Times New Roman" w:cs="Times New Roman"/>
          <w:b/>
          <w:bCs/>
          <w:color w:val="auto"/>
        </w:rPr>
        <w:t>a</w:t>
      </w:r>
      <w:r w:rsidRPr="004F469F">
        <w:rPr>
          <w:rFonts w:ascii="Times New Roman" w:hAnsi="Times New Roman" w:cs="Times New Roman"/>
          <w:b/>
          <w:bCs/>
          <w:color w:val="auto"/>
        </w:rPr>
        <w:t>nd Southern United States</w:t>
      </w:r>
      <w:bookmarkEnd w:id="49"/>
    </w:p>
    <w:p w14:paraId="2C0975E2" w14:textId="77777777" w:rsidR="004F469F" w:rsidRPr="004F469F" w:rsidRDefault="004F469F" w:rsidP="004F469F">
      <w:pPr>
        <w:rPr>
          <w:sz w:val="32"/>
          <w:szCs w:val="32"/>
        </w:rPr>
      </w:pPr>
    </w:p>
    <w:p w14:paraId="6A88BE60" w14:textId="77777777" w:rsidR="00797351" w:rsidRPr="004F469F" w:rsidRDefault="00797351" w:rsidP="002C7A24">
      <w:pPr>
        <w:spacing w:after="120" w:line="480" w:lineRule="auto"/>
        <w:rPr>
          <w:b/>
          <w:bCs/>
        </w:rPr>
      </w:pPr>
      <w:r w:rsidRPr="004F469F">
        <w:rPr>
          <w:b/>
          <w:bCs/>
          <w:sz w:val="28"/>
          <w:szCs w:val="28"/>
        </w:rPr>
        <w:t>Abstract</w:t>
      </w:r>
      <w:r w:rsidRPr="004F469F">
        <w:rPr>
          <w:b/>
          <w:bCs/>
        </w:rPr>
        <w:t>:</w:t>
      </w:r>
    </w:p>
    <w:p w14:paraId="1AFC4723" w14:textId="77777777" w:rsidR="00797351" w:rsidRPr="004F469F" w:rsidRDefault="00797351" w:rsidP="0049259D">
      <w:pPr>
        <w:spacing w:after="120" w:line="480" w:lineRule="auto"/>
        <w:ind w:firstLine="720"/>
      </w:pPr>
      <w:r w:rsidRPr="004F469F">
        <w:t>In an average year (1979 – 2016), the US experiences nearly 1,100 tornadoes, which cause a total of 68 fatalities. Annual fatality rates have decreased since the peak in the 1920s, but there is a concern that they could start to rise again with increases in vulnerable populations and the impacts of climate change. It is possible to assess the risk of tornado fatalities using the historical record. However, the rarity of tornadoes and the short period of record may not capture the true risk. One way around this problem is to simulate thousands of years’ worth of tornadoes to get a broader picture of risk. Previous tornado risk models have distributed tornadoes randomly or used climatology to generate realistic tornado patterns on an annual (or longer) time scale. From an operational standpoint, it would be useful to have a model that distributes tornadoes on a daily time step to enable the forecasting of potential tornado impacts on a given day. This study introduces one such model that distributes tornadoes using information about the favorability of the atmospheric environment for tornado development: the Tornado Daily Impacts Simulator (TorDIS). We demonstrate model utility through 1,000-year simulations over several metropolitan areas and through comparison between modeled and observed impacts for several high impact tornado days. Forecasting potential tornado impacts on a daily time step could allow emergency managers to plan ahead for high-risk days to prioritize their resources and save lives.</w:t>
      </w:r>
    </w:p>
    <w:p w14:paraId="5B41D085" w14:textId="77777777" w:rsidR="00797351" w:rsidRPr="004F469F" w:rsidRDefault="00797351" w:rsidP="002C7A24">
      <w:pPr>
        <w:pStyle w:val="Heading2"/>
        <w:spacing w:before="0" w:after="120" w:line="480" w:lineRule="auto"/>
        <w:rPr>
          <w:rFonts w:ascii="Times New Roman" w:hAnsi="Times New Roman" w:cs="Times New Roman"/>
          <w:b/>
          <w:bCs/>
          <w:color w:val="auto"/>
          <w:sz w:val="28"/>
          <w:szCs w:val="28"/>
        </w:rPr>
      </w:pPr>
      <w:bookmarkStart w:id="50" w:name="_Toc21861305"/>
      <w:r w:rsidRPr="004F469F">
        <w:rPr>
          <w:rFonts w:ascii="Times New Roman" w:hAnsi="Times New Roman" w:cs="Times New Roman"/>
          <w:b/>
          <w:bCs/>
          <w:color w:val="auto"/>
          <w:sz w:val="28"/>
          <w:szCs w:val="28"/>
        </w:rPr>
        <w:lastRenderedPageBreak/>
        <w:t>Introduction</w:t>
      </w:r>
      <w:bookmarkEnd w:id="50"/>
    </w:p>
    <w:p w14:paraId="153A9330" w14:textId="043004A1" w:rsidR="002C3A63"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Since the early 1950s, the U.S. has experienced a steady increase in economic losses due to weather-related hazards </w:t>
      </w:r>
      <w:r w:rsidRPr="004F469F">
        <w:fldChar w:fldCharType="begin" w:fldLock="1"/>
      </w:r>
      <w:r w:rsidR="00123266">
        <w:instrText>ADDIN CSL_CITATION {"citationItems":[{"id":"ITEM-1","itemData":{"author":[{"dropping-particle":"","family":"Bouwer","given":"Laurens M","non-dropping-particle":"","parse-names":false,"suffix":""}],"container-title":"Bulletin of the American Meteorological Society","id":"ITEM-1","issue":"1","issued":{"date-parts":[["2011"]]},"page":"39-46","publisher":"American Meteorological Society","title":"Have disaster losses increased due to anthropogenic climate change?","type":"article-journal","volume":"92"},"uris":["http://www.mendeley.com/documents/?uuid=5ea090ec-cc62-449a-8d9f-a770585214f1"]},{"id":"ITEM-2","itemData":{"author":[{"dropping-particle":"","family":"Field","given":"Christopher B","non-dropping-particle":"","parse-names":false,"suffix":""},{"dropping-particle":"","family":"Barros","given":"Vicente","non-dropping-particle":"","parse-names":false,"suffix":""},{"dropping-particle":"","family":"Stocker","given":"Thomas F","non-dropping-particle":"","parse-names":false,"suffix":""},{"dropping-particle":"","family":"Dahe","given":"Qin","non-dropping-particle":"","parse-names":false,"suffix":""}],"id":"ITEM-2","issued":{"date-parts":[["2012"]]},"publisher":"Cambridge University Press","title":"Managing the risks of extreme events and disasters to advance climate change adaptation: special report of the intergovernmental panel on climate change","type":"book"},"uris":["http://www.mendeley.com/documents/?uuid=3e647d0c-50e0-4388-b440-58735e848b73"]},{"id":"ITEM-3","itemData":{"DOI":"10.1007/s11069-013-0566-5","ISBN":"0921-030X","ISSN":"0921030X","abstract":"This paper focuses on the US Billion-dollar Weather/Climate Disaster report by the National Oceanic and Atmospheric Administration's National Climatic Data Center. The current methodology for the production of this loss dataset is described, highlighting its strengths and limitations including sources of uncertainty and bias. The Insurance Services Office/Property Claims Service, the US Federal Emergency Management Agency's National Flood Insurance Program and the US Department of Agriculture's crop insurance program are key sources of quantified disaster loss data, among others. The methodology uses a factor approach to convert from insured losses to total direct losses, one potential limitation. An increasing trend in annual aggregate losses is shown to be primarily attributable to a statistically significant increasing trend of about 5 % per year in the frequency of billion-dollar disasters. So the question arises of how such trend estimates are affected by uncertainties and biases in the billion-dollar disaster data. The net effect of all biases appears to be an underestimation of average loss. In particular, it is shown that the factor approach can result in a considerable underestimation of average loss of roughly 10-15 %. Because this bias is systematic, any trends in losses from tropical cyclones appear to be robust to variations in insurance participation rates. Any attribution of the marked increasing trends in crop losses is complicated by a major expansion of the federally subsidized crop insurance program, as a consequence encompassing more marginal land. Recommendations concerning how the current methodology can be improved to increase the quality of the billion-dollar disaster dataset include refining the factor approach to more realistically take into account spatial and temporal variations in insurance participation rates.","author":[{"dropping-particle":"","family":"Smith","given":"Adam B.","non-dropping-particle":"","parse-names":false,"suffix":""},{"dropping-particle":"","family":"Katz","given":"Richard W.","non-dropping-particle":"","parse-names":false,"suffix":""}],"container-title":"Natural Hazards","id":"ITEM-3","issue":"2","issued":{"date-parts":[["2013"]]},"page":"387-410","title":"US billion-dollar weather and climate disasters: Data sources, trends, accuracy and biases","type":"article-journal","volume":"67"},"uris":["http://www.mendeley.com/documents/?uuid=ff691012-ca7b-4f8a-bad9-1941c6dfa0bf"]}],"mendeley":{"formattedCitation":"(Bouwer, 2011; Field et al., 2012; Smith and Katz, 2013)","plainTextFormattedCitation":"(Bouwer, 2011; Field et al., 2012; Smith and Katz, 2013)","previouslyFormattedCitation":"(Bouwer, 2011; Field et al., 2012; Smith and Katz, 2013)"},"properties":{"noteIndex":0},"schema":"https://github.com/citation-style-language/schema/raw/master/csl-citation.json"}</w:instrText>
      </w:r>
      <w:r w:rsidRPr="004F469F">
        <w:fldChar w:fldCharType="separate"/>
      </w:r>
      <w:r w:rsidR="0010658B" w:rsidRPr="00123266">
        <w:rPr>
          <w:noProof/>
        </w:rPr>
        <w:t xml:space="preserve">(Bouwer, 2011; Field </w:t>
      </w:r>
      <w:r w:rsidR="0010658B" w:rsidRPr="00453357">
        <w:rPr>
          <w:i/>
          <w:iCs/>
          <w:noProof/>
        </w:rPr>
        <w:t>et al.</w:t>
      </w:r>
      <w:r w:rsidR="0010658B" w:rsidRPr="00123266">
        <w:rPr>
          <w:noProof/>
        </w:rPr>
        <w:t>, 2012; Smith and Katz, 2013)</w:t>
      </w:r>
      <w:r w:rsidRPr="004F469F">
        <w:fldChar w:fldCharType="end"/>
      </w:r>
      <w:r w:rsidRPr="004F469F">
        <w:t xml:space="preserve">. The exact cause of this increase is unclear; however, it is likely caused by some combination of changing patterns in urban development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Pr="004F469F">
        <w:fldChar w:fldCharType="end"/>
      </w:r>
      <w:r w:rsidRPr="004F469F">
        <w:t xml:space="preserve"> and changes in the environmental conditions that favor the formation of weather-related hazards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potential","type":"article-journal","volume":"141"},"uris":["http://www.mendeley.com/documents/?uuid=f875dd0e-da5d-4186-8536-d8e3921d37a0"]}],"mendeley":{"formattedCitation":"(Strader et al., 2017a)","plainTextFormattedCitation":"(Strader et al., 2017a)","previouslyFormattedCitation":"(Strader et al., 2017a)"},"properties":{"noteIndex":0},"schema":"https://github.com/citation-style-language/schema/raw/master/csl-citation.json"}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2017a)</w:t>
      </w:r>
      <w:r w:rsidRPr="004F469F">
        <w:fldChar w:fldCharType="end"/>
      </w:r>
      <w:r w:rsidRPr="004F469F">
        <w:t xml:space="preserve">. These changes are likely to continue into the future as the U.S. continues to become increasingly urban </w:t>
      </w:r>
      <w:r w:rsidRPr="004F469F">
        <w:fldChar w:fldCharType="begin" w:fldLock="1"/>
      </w:r>
      <w:r w:rsidR="00123266">
        <w:instrText>ADDIN CSL_CITATION {"citationItems":[{"id":"ITEM-1","itemData":{"author":[{"dropping-particle":"","family":"Alig","given":"Ralph J","non-dropping-particle":"","parse-names":false,"suffix":""},{"dropping-particle":"","family":"Kline","given":"Jeffrey D","non-dropping-particle":"","parse-names":false,"suffix":""},{"dropping-particle":"","family":"Lichtenstein","given":"Mark","non-dropping-particle":"","parse-names":false,"suffix":""}],"container-title":"Landscape and urban planning","id":"ITEM-1","issue":"2-3","issued":{"date-parts":[["2004"]]},"page":"219-234","publisher":"Elsevier","title":"Urbanization on the US landscape: looking ahead in the 21st century","type":"article-journal","volume":"69"},"uris":["http://www.mendeley.com/documents/?uuid=6ba145c8-ed42-4e19-b72f-454ebd21e698"]},{"id":"ITEM-2","itemData":{"author":[{"dropping-particle":"","family":"EPA","given":"","non-dropping-particle":"","parse-names":false,"suffix":""}],"id":"ITEM-2","issued":{"date-parts":[["2009"]]},"title":"Land-use scenarios: National-scale housing-density scenarios consistent with climate change storylines","type":"report"},"uris":["http://www.mendeley.com/documents/?uuid=68db61b7-7a11-4e0f-af0e-09707a8af7f8"]},{"id":"ITEM-3","itemData":{"author":[{"dropping-particle":"","family":"Bierwagen","given":"Britta G","non-dropping-particle":"","parse-names":false,"suffix":""},{"dropping-particle":"","family":"Theobald","given":"David M","non-dropping-particle":"","parse-names":false,"suffix":""},{"dropping-particle":"","family":"Pyke","given":"Christopher R","non-dropping-particle":"","parse-names":false,"suffix":""},{"dropping-particle":"","family":"Choate","given":"Anne","non-dropping-particle":"","parse-names":false,"suffix":""},{"dropping-particle":"","family":"Groth","given":"Philip","non-dropping-particle":"","parse-names":false,"suffix":""},{"dropping-particle":"V","family":"Thomas","given":"John","non-dropping-particle":"","parse-names":false,"suffix":""},{"dropping-particle":"","family":"Morefield","given":"Philip","non-dropping-particle":"","parse-names":false,"suffix":""}],"container-title":"Proceedings of the National Academy of Sciences","id":"ITEM-3","issue":"49","issued":{"date-parts":[["2010"]]},"page":"20887-20892","publisher":"National Acad Sciences","title":"National housing and impervious surface scenarios for integrated climate impact assessments","type":"article-journal","volume":"107"},"uris":["http://www.mendeley.com/documents/?uuid=6c52b402-d4a6-4f4c-a58b-937f6248adad"]}],"mendeley":{"formattedCitation":"(Alig et al., 2004; EPA, 2009; Bierwagen et al., 2010)","plainTextFormattedCitation":"(Alig et al., 2004; EPA, 2009; Bierwagen et al., 2010)","previouslyFormattedCitation":"(Alig et al., 2004; EPA, 2009; Bierwagen et al., 2010)"},"properties":{"noteIndex":0},"schema":"https://github.com/citation-style-language/schema/raw/master/csl-citation.json"}</w:instrText>
      </w:r>
      <w:r w:rsidRPr="004F469F">
        <w:fldChar w:fldCharType="separate"/>
      </w:r>
      <w:r w:rsidR="00123266" w:rsidRPr="00123266">
        <w:rPr>
          <w:noProof/>
        </w:rPr>
        <w:t xml:space="preserve">(Alig </w:t>
      </w:r>
      <w:r w:rsidR="00123266" w:rsidRPr="00453357">
        <w:rPr>
          <w:i/>
          <w:iCs/>
          <w:noProof/>
        </w:rPr>
        <w:t>et al.</w:t>
      </w:r>
      <w:r w:rsidR="00123266" w:rsidRPr="00123266">
        <w:rPr>
          <w:noProof/>
        </w:rPr>
        <w:t xml:space="preserve">, 2004; EPA, 2009; Bierwagen </w:t>
      </w:r>
      <w:r w:rsidR="00123266" w:rsidRPr="00453357">
        <w:rPr>
          <w:i/>
          <w:iCs/>
          <w:noProof/>
        </w:rPr>
        <w:t>et al.</w:t>
      </w:r>
      <w:r w:rsidR="00123266" w:rsidRPr="00123266">
        <w:rPr>
          <w:noProof/>
        </w:rPr>
        <w:t>, 2010)</w:t>
      </w:r>
      <w:r w:rsidRPr="004F469F">
        <w:fldChar w:fldCharType="end"/>
      </w:r>
      <w:r w:rsidRPr="004F469F">
        <w:t xml:space="preserve"> and as climate change causes an increase in the number of days favoring severe weather events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forcing","type":"article-journal"},"uris":["http://www.mendeley.com/documents/?uuid=c9745462-d91f-4c64-b242-b426b7f04f12"]},{"id":"ITEM-3","itemData":{"author":[{"dropping-particle":"","family":"Gensini","given":"Victor A.","non-dropping-particle":"","parse-names":false,"suffix":""},{"dropping-particle":"","family":"Mote","given":"Thomas L.","non-dropping-particle":"","parse-names":false,"suffix":""}],"container-title":"Climatic Change","id":"ITEM-3","issue":"1-2","issued":{"date-parts":[["2015"]]},"page":"307-321","publisher":"Springer","title":"Downscaled estimates of late 21st century severe weather from CCSM3","type":"article-journal","volume":"129"},"uris":["http://www.mendeley.com/documents/?uuid=18e2bc25-26e3-4cdd-b884-615f1f068201"]}],"mendeley":{"formattedCitation":"(Trapp et al., 2007; Diffenbaugh et al., 2013; Gensini and Mote, 2015)","plainTextFormattedCitation":"(Trapp et al., 2007; Diffenbaugh et al., 2013; Gensini and Mote, 2015)","previouslyFormattedCitation":"(Trapp et al., 2007; Diffenbaugh et al., 2013; Gensini and Mote, 2015)"},"properties":{"noteIndex":0},"schema":"https://github.com/citation-style-language/schema/raw/master/csl-citation.json"}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2013; Gensini and Mote, 2015)</w:t>
      </w:r>
      <w:r w:rsidRPr="004F469F">
        <w:fldChar w:fldCharType="end"/>
      </w:r>
      <w:r w:rsidRPr="004F469F">
        <w:t xml:space="preserve">. </w:t>
      </w:r>
    </w:p>
    <w:p w14:paraId="06E9711C" w14:textId="4562288A" w:rsidR="00797351" w:rsidRPr="004F469F" w:rsidRDefault="002C3A63"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t>Here</w:t>
      </w:r>
      <w:r w:rsidR="00797351" w:rsidRPr="004F469F">
        <w:t>, we focus on one particular hazard, the tornado</w:t>
      </w:r>
      <w:r>
        <w:t>. We</w:t>
      </w:r>
      <w:r w:rsidR="00797351" w:rsidRPr="004F469F">
        <w:t xml:space="preserve"> define tornado risk as the probability of occurrence of a tornado at a given time and place</w:t>
      </w:r>
      <w:r>
        <w:t>. We define</w:t>
      </w:r>
      <w:r w:rsidR="00797351" w:rsidRPr="004F469F">
        <w:t xml:space="preserve"> tornado exposure as the number of persons or housing units residing in the direct path of the tornado </w:t>
      </w:r>
      <w:r w:rsidR="00797351"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00797351"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00797351" w:rsidRPr="004F469F">
        <w:fldChar w:fldCharType="end"/>
      </w:r>
      <w:r w:rsidR="00797351" w:rsidRPr="004F469F">
        <w:t xml:space="preserve">. The exact effect that climate change has on tornadoes is unknown, but there have already been changes in interannual variability and the spatiotemporal clustering of tornadoes </w:t>
      </w:r>
      <w:r w:rsidR="00797351" w:rsidRPr="004F469F">
        <w:fldChar w:fldCharType="begin" w:fldLock="1"/>
      </w:r>
      <w:r w:rsidR="00123266">
        <w:instrText>ADDIN CSL_CITATION {"citationItems":[{"id":"ITEM-1","itemData":{"DOI":"10.1126/science.1257460","ISBN":"0027-8424","ISSN":"0036-8075","PMID":"24062439","abstract":"The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T.","non-dropping-particle":"","parse-names":false,"suffix":""}],"container-title":"Science","id":"ITEM-1","issue":"6207","issued":{"date-parts":[["2014"]]},"page":"349-352","title":"Increased variability of tornado occurrence in the United States","type":"article-journal","volume":"346"},"uris":["http://www.mendeley.com/documents/?uuid=8864379a-9c12-4249-abb6-42120421d27f"]},{"id":"ITEM-2","itemData":{"DOI":"10.1007/s00382-014-2277-3","ISBN":"0027-8424","ISSN":"14320894","PMID":"24062439","abstract":"The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environmen","author":[{"dropping-particle":"","family":"Elsner","given":"James B.","non-dropping-particle":"","parse-names":false,"suffix":""},{"dropping-particle":"","family":"Elsner","given":"Svetoslava C.","non-dropping-particle":"","parse-names":false,"suffix":""},{"dropping-particle":"","family":"Jagger","given":"Thomas H.","non-dropping-particle":"","parse-names":false,"suffix":""}],"container-title":"Climate Dynamics","id":"ITEM-2","issue":"3-4","issued":{"date-parts":[["2015"]]},"page":"651-659","publisher":"Springer","title":"The increasing efficiency of tornado days in the United States","type":"article-journal","volume":"45"},"uris":["http://www.mendeley.com/documents/?uuid=3f69e9ce-eaab-4c23-9a16-21daebeb7d3a"]}],"mendeley":{"formattedCitation":"(Brooks et al., 2014; Elsner et al., 2015)","plainTextFormattedCitation":"(Brooks et al., 2014; Elsner et al., 2015)","previouslyFormattedCitation":"(Brooks et al., 2014; Elsner et al., 2015)"},"properties":{"noteIndex":0},"schema":"https://github.com/citation-style-language/schema/raw/master/csl-citation.json"}</w:instrText>
      </w:r>
      <w:r w:rsidR="00797351"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2015)</w:t>
      </w:r>
      <w:r w:rsidR="00797351" w:rsidRPr="004F469F">
        <w:fldChar w:fldCharType="end"/>
      </w:r>
      <w:r w:rsidR="00797351" w:rsidRPr="004F469F">
        <w:t xml:space="preserve"> as well as shifts in regional climatology </w:t>
      </w:r>
      <w:r w:rsidR="00797351" w:rsidRPr="004F469F">
        <w:fldChar w:fldCharType="begin" w:fldLock="1"/>
      </w:r>
      <w:r w:rsidR="0010658B">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frequency","type":"article-journal","volume":"1"},"uris":["http://www.mendeley.com/documents/?uuid=7cab4c3c-c328-479b-a5a4-be4e6b605bd6"]}],"mendeley":{"formattedCitation":"(Gensini and Brooks, 2018)","plainTextFormattedCitation":"(Gensini and Brooks, 2018)","previouslyFormattedCitation":"(Gensini and Brooks, 2018)"},"properties":{"noteIndex":0},"schema":"https://github.com/citation-style-language/schema/raw/master/csl-citation.json"}</w:instrText>
      </w:r>
      <w:r w:rsidR="00797351" w:rsidRPr="004F469F">
        <w:fldChar w:fldCharType="separate"/>
      </w:r>
      <w:r w:rsidR="0010658B" w:rsidRPr="0010658B">
        <w:rPr>
          <w:noProof/>
        </w:rPr>
        <w:t>(Gensini and Brooks, 2018)</w:t>
      </w:r>
      <w:r w:rsidR="00797351" w:rsidRPr="004F469F">
        <w:fldChar w:fldCharType="end"/>
      </w:r>
      <w:r w:rsidR="00797351" w:rsidRPr="004F469F">
        <w:t>.</w:t>
      </w:r>
    </w:p>
    <w:p w14:paraId="44A4FD23" w14:textId="7CF3B5A6"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Advances in computational resources and software have enabled researchers to model the impact of hazards on people and property over large spatial domains and time periods </w:t>
      </w:r>
      <w:r w:rsidRPr="004F469F">
        <w:fldChar w:fldCharType="begin" w:fldLock="1"/>
      </w:r>
      <w:r w:rsidR="00123266">
        <w:instrText>ADDIN CSL_CITATION {"citationItems":[{"id":"ITEM-1","itemData":{"author":[{"dropping-particle":"","family":"Burton","given":"Christopher G","non-dropping-particle":"","parse-names":false,"suffix":""}],"container-title":"Natural Hazards Review","id":"ITEM-1","issue":"2","issued":{"date-parts":[["2010"]]},"page":"58-68","publisher":"American Society of Civil Engineers","title":"Social vulnerability and hurricane impact modeling","type":"article-journal","volume":"11"},"uris":["http://www.mendeley.com/documents/?uuid=82f55156-ea88-488f-a9bb-1b80e2d9b928"]},{"id":"ITEM-2","itemData":{"author":[{"dropping-particle":"","family":"Ashley","given":"Walker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illinois","type":"article-journal","volume":"6"},"uris":["http://www.mendeley.com/documents/?uuid=0e441156-498a-43d6-9545-e97b6fa0d5df"]}],"mendeley":{"formattedCitation":"(Burton, 2010; Ashley et al., 2014)","plainTextFormattedCitation":"(Burton, 2010; Ashley et al., 2014)","previouslyFormattedCitation":"(Burton, 2010; Ashley et al., 2014)"},"properties":{"noteIndex":0},"schema":"https://github.com/citation-style-language/schema/raw/master/csl-citation.json"}</w:instrText>
      </w:r>
      <w:r w:rsidRPr="004F469F">
        <w:fldChar w:fldCharType="separate"/>
      </w:r>
      <w:r w:rsidR="0010658B" w:rsidRPr="00123266">
        <w:rPr>
          <w:noProof/>
        </w:rPr>
        <w:t xml:space="preserve">(Burton, 2010; Ashley </w:t>
      </w:r>
      <w:r w:rsidR="0010658B" w:rsidRPr="00453357">
        <w:rPr>
          <w:i/>
          <w:iCs/>
          <w:noProof/>
        </w:rPr>
        <w:t>et al.</w:t>
      </w:r>
      <w:r w:rsidR="0010658B" w:rsidRPr="00123266">
        <w:rPr>
          <w:noProof/>
        </w:rPr>
        <w:t>, 2014)</w:t>
      </w:r>
      <w:r w:rsidRPr="004F469F">
        <w:fldChar w:fldCharType="end"/>
      </w:r>
      <w:r w:rsidRPr="004F469F">
        <w:t xml:space="preserve">. Much of the modeling research has focused on the impacts of hurricanes </w:t>
      </w:r>
      <w:r w:rsidRPr="004F469F">
        <w:fldChar w:fldCharType="begin" w:fldLock="1"/>
      </w:r>
      <w:r w:rsidR="00123266">
        <w:instrText>ADDIN CSL_CITATION {"citationItems":[{"id":"ITEM-1","itemData":{"author":[{"dropping-particle":"","family":"Pinelli","given":"Jean-Paul","non-dropping-particle":"","parse-names":false,"suffix":""},{"dropping-particle":"","family":"Simiu","given":"Emil","non-dropping-particle":"","parse-names":false,"suffix":""},{"dropping-particle":"","family":"Gurley","given":"Kurt","non-dropping-particle":"","parse-names":false,"suffix":""},{"dropping-particle":"","family":"Subramanian","given":"Chelakara","non-dropping-particle":"","parse-names":false,"suffix":""},{"dropping-particle":"","family":"Zhang","given":"Liang","non-dropping-particle":"","parse-names":false,"suffix":""},{"dropping-particle":"","family":"Cope","given":"Anne","non-dropping-particle":"","parse-names":false,"suffix":""},{"dropping-particle":"","family":"Filliben","given":"James J","non-dropping-particle":"","parse-names":false,"suffix":""},{"dropping-particle":"","family":"Hamid","given":"Shahid","non-dropping-particle":"","parse-names":false,"suffix":""}],"container-title":"Journal of Structural Engineering","id":"ITEM-1","issue":"11","issued":{"date-parts":[["2004"]]},"page":"1685-1691","publisher":"American Society of Civil Engineers","title":"Hurricane damage prediction model for residential structures","type":"article-journal","volume":"130"},"uris":["http://www.mendeley.com/documents/?uuid=68878deb-aed3-4f89-8dae-19481c978c57"]},{"id":"ITEM-2","itemData":{"author":[{"dropping-particle":"","family":"Peduzzi","given":"Pascal","non-dropping-particle":"","parse-names":false,"suffix":""},{"dropping-particle":"","family":"Chatenoux","given":"Bruno","non-dropping-particle":"","parse-names":false,"suffix":""},{"dropping-particle":"","family":"Dao","given":"H","non-dropping-particle":"","parse-names":false,"suffix":""},{"dropping-particle":"","family":"Bono","given":"Andréa","non-dropping-particle":"De","parse-names":false,"suffix":""},{"dropping-particle":"","family":"Herold","given":"Christian","non-dropping-particle":"","parse-names":false,"suffix":""},{"dropping-particle":"","family":"Kossin","given":"James","non-dropping-particle":"","parse-names":false,"suffix":""},{"dropping-particle":"","family":"Mouton","given":"Frédéric","non-dropping-particle":"","parse-names":false,"suffix":""},{"dropping-particle":"","family":"Nordbeck","given":"Ola","non-dropping-particle":"","parse-names":false,"suffix":""}],"container-title":"Nature climate change","id":"ITEM-2","issue":"4","issued":{"date-parts":[["2012"]]},"page":"289","publisher":"Nature Publishing Group","title":"Global trends in tropical cyclone risk","type":"article-journal","volume":"2"},"uris":["http://www.mendeley.com/documents/?uuid=d0f3665f-7b18-4511-8171-bdba910a212c"]}],"mendeley":{"formattedCitation":"(Pinelli et al., 2004; Peduzzi et al., 2012)","plainTextFormattedCitation":"(Pinelli et al., 2004; Peduzzi et al., 2012)","previouslyFormattedCitation":"(Pinelli et al., 2004; Peduzzi et al., 2012)"},"properties":{"noteIndex":0},"schema":"https://github.com/citation-style-language/schema/raw/master/csl-citation.json"}</w:instrText>
      </w:r>
      <w:r w:rsidRPr="004F469F">
        <w:fldChar w:fldCharType="separate"/>
      </w:r>
      <w:r w:rsidR="0010658B" w:rsidRPr="00123266">
        <w:rPr>
          <w:noProof/>
        </w:rPr>
        <w:t xml:space="preserve">(Pinelli </w:t>
      </w:r>
      <w:r w:rsidR="0010658B" w:rsidRPr="00453357">
        <w:rPr>
          <w:i/>
          <w:iCs/>
          <w:noProof/>
        </w:rPr>
        <w:t>et al.</w:t>
      </w:r>
      <w:r w:rsidR="0010658B" w:rsidRPr="00123266">
        <w:rPr>
          <w:noProof/>
        </w:rPr>
        <w:t xml:space="preserve">, 2004; Peduzzi </w:t>
      </w:r>
      <w:r w:rsidR="0010658B" w:rsidRPr="00453357">
        <w:rPr>
          <w:i/>
          <w:iCs/>
          <w:noProof/>
        </w:rPr>
        <w:t>et al.</w:t>
      </w:r>
      <w:r w:rsidR="0010658B" w:rsidRPr="00123266">
        <w:rPr>
          <w:noProof/>
        </w:rPr>
        <w:t>, 2012)</w:t>
      </w:r>
      <w:r w:rsidRPr="004F469F">
        <w:fldChar w:fldCharType="end"/>
      </w:r>
      <w:r w:rsidRPr="004F469F">
        <w:t xml:space="preserve">, floods </w:t>
      </w:r>
      <w:r w:rsidRPr="004F469F">
        <w:fldChar w:fldCharType="begin" w:fldLock="1"/>
      </w:r>
      <w:r w:rsidR="00123266">
        <w:instrText>ADDIN CSL_CITATION {"citationItems":[{"id":"ITEM-1","itemData":{"author":[{"dropping-particle":"","family":"Remo","given":"Jonathan W F","non-dropping-particle":"","parse-names":false,"suffix":""},{"dropping-particle":"","family":"Carlson","given":"Megan","non-dropping-particle":"","parse-names":false,"suffix":""},{"dropping-particle":"","family":"Pinter","given":"Nicholas","non-dropping-particle":"","parse-names":false,"suffix":""}],"container-title":"Natural hazards","id":"ITEM-1","issue":"2","issued":{"date-parts":[["2012"]]},"page":"551-575","publisher":"Springer","title":"Hydraulic and flood-loss modeling of levee, floodplain, and river management strategies, Middle Mississippi River, USA","type":"article-journal","volume":"61"},"uris":["http://www.mendeley.com/documents/?uuid=9a93a444-9e55-4aeb-8c53-25b69b7bcaea"]}],"mendeley":{"formattedCitation":"(Remo et al., 2012)","plainTextFormattedCitation":"(Remo et al., 2012)","previouslyFormattedCitation":"(Remo et al., 2012)"},"properties":{"noteIndex":0},"schema":"https://github.com/citation-style-language/schema/raw/master/csl-citation.json"}</w:instrText>
      </w:r>
      <w:r w:rsidRPr="004F469F">
        <w:fldChar w:fldCharType="separate"/>
      </w:r>
      <w:r w:rsidR="00123266" w:rsidRPr="00123266">
        <w:rPr>
          <w:noProof/>
        </w:rPr>
        <w:t xml:space="preserve">(Remo </w:t>
      </w:r>
      <w:r w:rsidR="00123266" w:rsidRPr="00453357">
        <w:rPr>
          <w:i/>
          <w:iCs/>
          <w:noProof/>
        </w:rPr>
        <w:t>et al.</w:t>
      </w:r>
      <w:r w:rsidR="00123266" w:rsidRPr="00123266">
        <w:rPr>
          <w:noProof/>
        </w:rPr>
        <w:t>, 2012)</w:t>
      </w:r>
      <w:r w:rsidRPr="004F469F">
        <w:fldChar w:fldCharType="end"/>
      </w:r>
      <w:r w:rsidRPr="004F469F">
        <w:t xml:space="preserve"> and earthquakes </w:t>
      </w:r>
      <w:r w:rsidRPr="004F469F">
        <w:fldChar w:fldCharType="begin" w:fldLock="1"/>
      </w:r>
      <w:r w:rsidR="00123266">
        <w:instrText>ADDIN CSL_CITATION {"citationItems":[{"id":"ITEM-1","itemData":{"author":[{"dropping-particle":"","family":"Remo","given":"Jonathan W F","non-dropping-particle":"","parse-names":false,"suffix":""},{"dropping-particle":"","family":"Pinter","given":"Nicholas","non-dropping-particle":"","parse-names":false,"suffix":""}],"container-title":"Natural hazards","id":"ITEM-1","issue":"2","issued":{"date-parts":[["2012"]]},"page":"1055-1081","publisher":"Springer","title":"Hazus-MH earthquake modeling in the central USA","type":"article-journal","volume":"63"},"uris":["http://www.mendeley.com/documents/?uuid=0b114f0a-6f78-42b0-b096-6a35ff650022"]},{"id":"ITEM-2","itemData":{"author":[{"dropping-particle":"","family":"Dell’Acqua","given":"F","non-dropping-particle":"","parse-names":false,"suffix":""},{"dropping-particle":"","family":"Gamba","given":"P","non-dropping-particle":"","parse-names":false,"suffix":""},{"dropping-particle":"","family":"Jaiswal","given":"K","non-dropping-particle":"","parse-names":false,"suffix":""}],"container-title":"Natural hazards","id":"ITEM-2","issue":"3","issued":{"date-parts":[["2013"]]},"page":"1291-1309","publisher":"Springer","title":"Spatial aspects of building and population exposure data and their implications for global earthquake exposure modeling","type":"article-journal","volume":"68"},"uris":["http://www.mendeley.com/documents/?uuid=90c48ae1-5aaf-43c3-9958-c469487a6304"]}],"mendeley":{"formattedCitation":"(Remo and Pinter, 2012; Dell’Acqua et al., 2013)","plainTextFormattedCitation":"(Remo and Pinter, 2012; Dell’Acqua et al., 2013)","previouslyFormattedCitation":"(Remo and Pinter, 2012; Dell’Acqua et al., 2013)"},"properties":{"noteIndex":0},"schema":"https://github.com/citation-style-language/schema/raw/master/csl-citation.json"}</w:instrText>
      </w:r>
      <w:r w:rsidRPr="004F469F">
        <w:fldChar w:fldCharType="separate"/>
      </w:r>
      <w:r w:rsidR="00123266" w:rsidRPr="00123266">
        <w:rPr>
          <w:noProof/>
        </w:rPr>
        <w:t xml:space="preserve">(Remo and Pinter, 2012; Dell’Acqua </w:t>
      </w:r>
      <w:r w:rsidR="00123266" w:rsidRPr="00453357">
        <w:rPr>
          <w:i/>
          <w:iCs/>
          <w:noProof/>
        </w:rPr>
        <w:t>et al.</w:t>
      </w:r>
      <w:r w:rsidR="00123266" w:rsidRPr="00123266">
        <w:rPr>
          <w:noProof/>
        </w:rPr>
        <w:t>, 2013)</w:t>
      </w:r>
      <w:r w:rsidRPr="004F469F">
        <w:fldChar w:fldCharType="end"/>
      </w:r>
      <w:r w:rsidRPr="004F469F">
        <w:t xml:space="preserve">. Research on tornado impacts has mostly focused on scenario work involving transposing historical or synthetic tornado footprints </w:t>
      </w:r>
      <w:r w:rsidRPr="004F469F">
        <w:lastRenderedPageBreak/>
        <w:t xml:space="preserve">over heavily populated areas to identify worst-case scenario events </w:t>
      </w:r>
      <w:r w:rsidRPr="004F469F">
        <w:fldChar w:fldCharType="begin" w:fldLock="1"/>
      </w:r>
      <w:r w:rsidR="00123266">
        <w:instrText>ADDIN CSL_CITATION {"citationItems":[{"id":"ITEM-1","itemData":{"author":[{"dropping-particle":"","family":"Rae","given":"Scott","non-dropping-particle":"","parse-names":false,"suffix":""},{"dropping-particle":"","family":"Stefkovich","given":"Jim","non-dropping-particle":"","parse-names":false,"suffix":""}],"container-title":"Extended Abstracts, 20th Conf. on Severe Local Storms","id":"ITEM-1","issued":{"date-parts":[["2000"]]},"publisher":"Amer. Meteor. Soc","publisher-place":"Orlando, FL","title":"The tornado damage risk assessment predicting the impact of a big outbreak in Dallas-Fort Worth, Texas","type":"article-journal","volume":"9.6"},"uris":["http://www.mendeley.com/documents/?uuid=07ecb52e-9663-42ec-9c57-e744cff78446"]},{"id":"ITEM-2","itemData":{"DOI":"10.1175/BAMS-88-1-31","ISBN":"0003-0007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areas","type":"article-journal","volume":"88"},"uris":["http://www.mendeley.com/documents/?uuid=6b61d9bd-055f-4858-8645-03943c0892b6"]},{"id":"ITEM-3","itemData":{"author":[{"dropping-particle":"","family":"Ashley","given":"Walker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Society","id":"ITEM-3","issue":"2","issued":{"date-parts":[["2014"]]},"page":"175-193","title":"Spatiotemporal changes in tornado hazard exposure: The case of the expanding bull's-eye effect in Chicago, illinois","type":"article-journal","volume":"6"},"uris":["http://www.mendeley.com/documents/?uuid=0e441156-498a-43d6-9545-e97b6fa0d5df"]}],"mendeley":{"formattedCitation":"(Rae and Stefkovich, 2000; Wurman et al., 2007; Ashley et al., 2014)","plainTextFormattedCitation":"(Rae and Stefkovich, 2000; Wurman et al., 2007; Ashley et al., 2014)","previouslyFormattedCitation":"(Rae and Stefkovich, 2000; Wurman et al., 2007; Ashley et al., 2014)"},"properties":{"noteIndex":0},"schema":"https://github.com/citation-style-language/schema/raw/master/csl-citation.json"}</w:instrText>
      </w:r>
      <w:r w:rsidRPr="004F469F">
        <w:fldChar w:fldCharType="separate"/>
      </w:r>
      <w:r w:rsidR="0010658B" w:rsidRPr="00123266">
        <w:rPr>
          <w:noProof/>
        </w:rPr>
        <w:t xml:space="preserve">(Rae and Stefkovich, 2000; 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2014)</w:t>
      </w:r>
      <w:r w:rsidRPr="004F469F">
        <w:fldChar w:fldCharType="end"/>
      </w:r>
      <w:r w:rsidRPr="004F469F">
        <w:t xml:space="preserve">. For example, a study by Hatzis </w:t>
      </w:r>
      <w:r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suppress-author":1,"uris":["http://www.mendeley.com/documents/?uuid=0032bc5e-f0bd-436a-ab51-61b7467838eb"]}],"mendeley":{"formattedCitation":"(2019)","plainTextFormattedCitation":"(2019)","previouslyFormattedCitation":"(2019)"},"properties":{"noteIndex":0},"schema":"https://github.com/citation-style-language/schema/raw/master/csl-citation.json"}</w:instrText>
      </w:r>
      <w:r w:rsidRPr="004F469F">
        <w:fldChar w:fldCharType="separate"/>
      </w:r>
      <w:r w:rsidR="00123266" w:rsidRPr="00123266">
        <w:rPr>
          <w:noProof/>
        </w:rPr>
        <w:t>(2019)</w:t>
      </w:r>
      <w:r w:rsidRPr="004F469F">
        <w:fldChar w:fldCharType="end"/>
      </w:r>
      <w:r w:rsidRPr="004F469F">
        <w:t xml:space="preserve"> focused on replicating historical violent tornadoes to determine the likelihood of a violent tornado hitting or narrowly missing a heavily populated area. Other recent tornado modeling research has employed Monte Carlo methods, a technique which uses repeated random sampling to ascertain the probability distribution for some unknown quantity </w:t>
      </w:r>
      <w:r w:rsidRPr="004F469F">
        <w:fldChar w:fldCharType="begin" w:fldLock="1"/>
      </w:r>
      <w:r w:rsidRPr="004F469F">
        <w:instrText>ADDIN CSL_CITATION {"citationItems":[{"id":"ITEM-1","itemData":{"author":[{"dropping-particle":"","family":"Mooney","given":"Christopher Z","non-dropping-particle":"","parse-names":false,"suffix":""}],"id":"ITEM-1","issued":{"date-parts":[["1997"]]},"publisher":"Sage Publications","title":"Monte carlo simulation","type":"book","volume":"116"},"uris":["http://www.mendeley.com/documents/?uuid=6b6fdacf-b2cc-407e-a1b0-3d0341e757a2"]}],"mendeley":{"formattedCitation":"(Mooney, 1997)","plainTextFormattedCitation":"(Mooney, 1997)","previouslyFormattedCitation":"(Mooney, 1997)"},"properties":{"noteIndex":0},"schema":"https://github.com/citation-style-language/schema/raw/master/csl-citation.json"}</w:instrText>
      </w:r>
      <w:r w:rsidRPr="004F469F">
        <w:fldChar w:fldCharType="separate"/>
      </w:r>
      <w:r w:rsidRPr="004F469F">
        <w:rPr>
          <w:noProof/>
        </w:rPr>
        <w:t>(Mooney, 1997)</w:t>
      </w:r>
      <w:r w:rsidRPr="004F469F">
        <w:fldChar w:fldCharType="end"/>
      </w:r>
      <w:r w:rsidRPr="004F469F">
        <w:t xml:space="preserve">, to better understand probabilistic impacts of tornadoes </w:t>
      </w:r>
      <w:r w:rsidRPr="004F469F">
        <w:fldChar w:fldCharType="begin" w:fldLock="1"/>
      </w:r>
      <w:r w:rsidR="00123266">
        <w:instrText>ADDIN CSL_CITATION {"citationItems":[{"id":"ITEM-1","itemData":{"author":[{"dropping-particle":"","family":"Meyer","given":"Cathryn L","non-dropping-particle":"","parse-names":false,"suffix":""},{"dropping-particle":"","family":"Brooks","given":"H E","non-dropping-particle":"","parse-names":false,"suffix":""},{"dropping-particle":"","family":"Kay","given":"M P","non-dropping-particle":"","parse-names":false,"suffix":""}],"container-title":"Preprints, 16th Conf. on Probability and Statistics, Orlando, FL, Amer. Meteor. Soc., J88--J95","id":"ITEM-1","issued":{"date-parts":[["2002"]]},"title":"A hazard model for tornado occurrence in the United States","type":"paper-conference"},"uris":["http://www.mendeley.com/documents/?uuid=cb11ad16-1ceb-49c0-8cbd-939c4056b68a"]},{"id":"ITEM-2","itemData":{"author":[{"dropping-particle":"","family":"Daneshvaran","given":"Siamak","non-dropping-particle":"","parse-names":false,"suffix":""},{"dropping-particle":"","family":"Morden","given":"Robert E","non-dropping-particle":"","parse-names":false,"suffix":""}],"container-title":"The Journal of Risk Finance","id":"ITEM-2","issue":"2","issued":{"date-parts":[["2007"]]},"page":"97-111","publisher":"Emerald Group Publishing Limited","title":"Tornado risk analysis in the United States","type":"article-journal","volume":"8"},"uris":["http://www.mendeley.com/documents/?uuid=52728e2f-ec04-4536-99b4-a14b08b4b54a"]}],"mendeley":{"formattedCitation":"(Meyer et al., 2002; Daneshvaran and Morden, 2007)","plainTextFormattedCitation":"(Meyer et al., 2002; Daneshvaran and Morden, 2007)","previouslyFormattedCitation":"(Meyer et al., 2002; Daneshvaran and Morden, 2007)"},"properties":{"noteIndex":0},"schema":"https://github.com/citation-style-language/schema/raw/master/csl-citation.json"}</w:instrText>
      </w:r>
      <w:r w:rsidRPr="004F469F">
        <w:fldChar w:fldCharType="separate"/>
      </w:r>
      <w:r w:rsidR="00123266" w:rsidRPr="00123266">
        <w:rPr>
          <w:noProof/>
        </w:rPr>
        <w:t xml:space="preserve">(Meyer </w:t>
      </w:r>
      <w:r w:rsidR="00123266" w:rsidRPr="00453357">
        <w:rPr>
          <w:i/>
          <w:iCs/>
          <w:noProof/>
        </w:rPr>
        <w:t>et al.</w:t>
      </w:r>
      <w:r w:rsidR="00123266" w:rsidRPr="00123266">
        <w:rPr>
          <w:noProof/>
        </w:rPr>
        <w:t>, 2002; Daneshvaran and Morden, 2007)</w:t>
      </w:r>
      <w:r w:rsidRPr="004F469F">
        <w:fldChar w:fldCharType="end"/>
      </w:r>
      <w:r w:rsidRPr="004F469F">
        <w:t xml:space="preserve">. One model, in particular, the Tornado Impact Monte Carlo (TorMC) model, developed by Strader </w:t>
      </w:r>
      <w:r w:rsidRPr="00453357">
        <w:rPr>
          <w:i/>
          <w:iCs/>
        </w:rPr>
        <w:t>et al.</w:t>
      </w:r>
      <w:r w:rsidRPr="004F469F">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is unique in its examination of the dynamic interaction between tornado risk, tornado severity, and exposure. This model was also used to study the impact of urbanization and climate change on future tornado exposure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potential","type":"article-journal","volume":"141"},"uris":["http://www.mendeley.com/documents/?uuid=f875dd0e-da5d-4186-8536-d8e3921d37a0"]}],"mendeley":{"formattedCitation":"(Strader et al., 2017a)","plainTextFormattedCitation":"(Strader et al., 2017a)","previouslyFormattedCitation":"(Strader et al., 2017a)"},"properties":{"noteIndex":0},"schema":"https://github.com/citation-style-language/schema/raw/master/csl-citation.json"}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2017a)</w:t>
      </w:r>
      <w:r w:rsidRPr="004F469F">
        <w:fldChar w:fldCharType="end"/>
      </w:r>
      <w:r w:rsidRPr="004F469F">
        <w:t>.</w:t>
      </w:r>
    </w:p>
    <w:p w14:paraId="089009E0" w14:textId="5EC1B099"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 The TorMC model represents an important step in the simulation of the dynamic relationship between tornado risk, tornado severity, and vulnerability over time and space by assessing tornado impacts on an annual time scale. However, from an operational standpoint, it would be useful to have a model capable of simulating tornado impacts on shorter time scales </w:t>
      </w:r>
      <w:r w:rsidRPr="004F469F">
        <w:fldChar w:fldCharType="begin" w:fldLock="1"/>
      </w:r>
      <w:r w:rsidR="00123266">
        <w:instrText>ADDIN CSL_CITATION {"citationItems":[{"id":"ITEM-1","itemData":{"author":[{"dropping-particle":"","family":"Karstens","given":"Christopher D","non-dropping-particle":"","parse-names":false,"suffix":""},{"dropping-particle":"","family":"Stumpf","given":"Greg","non-dropping-particle":"","parse-names":false,"suffix":""},{"dropping-particle":"","family":"Ling","given":"Chen","non-dropping-particle":"","parse-names":false,"suffix":""},{"dropping-particle":"","family":"Hua","given":"Lesheng","non-dropping-particle":"","parse-names":false,"suffix":""},{"dropping-particle":"","family":"Kingfield","given":"Darrel","non-dropping-particle":"","parse-names":false,"suffix":""},{"dropping-particle":"","family":"Smith","given":"Travis M","non-dropping-particle":"","parse-names":false,"suffix":""},{"dropping-particle":"","family":"Correia Jr","given":"James","non-dropping-particle":"","parse-names":false,"suffix":""},{"dropping-particle":"","family":"Calhoun","given":"Kristin","non-dropping-particle":"","parse-names":false,"suffix":""},{"dropping-particle":"","family":"Ortega","given":"Kiel","non-dropping-particle":"","parse-names":false,"suffix":""},{"dropping-particle":"","family":"Melick","given":"Chris","non-dropping-particle":"","parse-names":false,"suffix":""},{"dropping-particle":"","family":"others","given":"","non-dropping-particle":"","parse-names":false,"suffix":""}],"container-title":"Weather and Forecasting","id":"ITEM-1","issue":"6","issued":{"date-parts":[["2015"]]},"page":"1551-1570","title":"Evaluation of a probabilistic forecasting methodology for severe convective weather in the 2014 Hazardous Weather Testbed","type":"article-journal","volume":"30"},"uris":["http://www.mendeley.com/documents/?uuid=9aefb553-fbcc-4d56-8202-7be54bbe4572"]},{"id":"ITEM-2","itemData":{"author":[{"dropping-particle":"","family":"Smith","given":"Bryan T","non-dropping-particle":"","parse-names":false,"suffix":""},{"dropping-particle":"","family":"Thompson","given":"Richard L","non-dropping-particle":"","parse-names":false,"suffix":""},{"dropping-particle":"","family":"Dean","given":"Andrew R","non-dropping-particle":"","parse-names":false,"suffix":""},{"dropping-particle":"","family":"Marsh","given":"Patrick T","non-dropping-particle":"","parse-names":false,"suffix":""}],"container-title":"Weather and Forecasting","id":"ITEM-2","issue":"4","issued":{"date-parts":[["2015"]]},"page":"914-932","title":"Diagnosing the conditional probability of tornado damage rating using environmental and radar attributes","type":"article-journal","volume":"30"},"uris":["http://www.mendeley.com/documents/?uuid=6690e74c-1a87-48f6-b4ac-5ae933c0f9cf"]}],"mendeley":{"formattedCitation":"(Karstens et al., 2015; Smith et al., 2015)","plainTextFormattedCitation":"(Karstens et al., 2015; Smith et al., 2015)","previouslyFormattedCitation":"(Karstens et al., 2015; Smith et al., 2015)"},"properties":{"noteIndex":0},"schema":"https://github.com/citation-style-language/schema/raw/master/csl-citation.json"}</w:instrText>
      </w:r>
      <w:r w:rsidRPr="004F469F">
        <w:fldChar w:fldCharType="separate"/>
      </w:r>
      <w:r w:rsidR="0010658B" w:rsidRPr="00123266">
        <w:rPr>
          <w:noProof/>
        </w:rPr>
        <w:t xml:space="preserve">(Karstens </w:t>
      </w:r>
      <w:r w:rsidR="0010658B" w:rsidRPr="00453357">
        <w:rPr>
          <w:i/>
          <w:iCs/>
          <w:noProof/>
        </w:rPr>
        <w:t>et al.</w:t>
      </w:r>
      <w:r w:rsidR="0010658B" w:rsidRPr="00123266">
        <w:rPr>
          <w:noProof/>
        </w:rPr>
        <w:t xml:space="preserve">, 2015; Smith </w:t>
      </w:r>
      <w:r w:rsidR="0010658B" w:rsidRPr="00453357">
        <w:rPr>
          <w:i/>
          <w:iCs/>
          <w:noProof/>
        </w:rPr>
        <w:t>et al.</w:t>
      </w:r>
      <w:r w:rsidR="0010658B" w:rsidRPr="00123266">
        <w:rPr>
          <w:noProof/>
        </w:rPr>
        <w:t>, 2015)</w:t>
      </w:r>
      <w:r w:rsidRPr="004F469F">
        <w:fldChar w:fldCharType="end"/>
      </w:r>
      <w:r w:rsidRPr="004F469F">
        <w:t xml:space="preserve">. </w:t>
      </w:r>
      <w:r w:rsidR="000D619D">
        <w:t>A daily impacts model would allow a user to determine how the impact of an observed tornado footprint compares to the potential impacts that could have occurred under the same atmospheric environment (</w:t>
      </w:r>
      <w:r w:rsidR="000D619D" w:rsidRPr="00CA4E80">
        <w:rPr>
          <w:i/>
          <w:iCs/>
        </w:rPr>
        <w:t>i.e.</w:t>
      </w:r>
      <w:r w:rsidR="000D619D">
        <w:t>, how many more people could have potentially been exposed</w:t>
      </w:r>
      <w:r w:rsidR="00CA4E80">
        <w:t xml:space="preserve"> to the tornado)</w:t>
      </w:r>
      <w:r w:rsidR="000D619D">
        <w:t xml:space="preserve">. </w:t>
      </w:r>
      <w:r w:rsidRPr="004F469F">
        <w:t xml:space="preserve">Such a model would rely on information regarding the favorability of the atmospheric environment for the production of tornadoes </w:t>
      </w:r>
      <w:r w:rsidRPr="004F469F">
        <w:fldChar w:fldCharType="begin" w:fldLock="1"/>
      </w:r>
      <w:r w:rsidR="00123266">
        <w:instrText>ADDIN CSL_CITATION {"citationItems":[{"id":"ITEM-1","itemData":{"DOI":"10.1175/WAF-D-10-05046.1","ISBN":"0882-8156","ISSN":"0882-8156","abstract":"With the advent of convection-allowing NWP models (CAMs) comes the potential for new forms of forecast guidance. While CAMs lack the required resolution to simulate many severe phenomena associated with convection (e.g., large hail, downburst winds, and tornadoes), they can still provide unique guidance for the occurrence of these phenomena if “extreme” patterns of behavior in simulated storms are strongly correlated with observed severe phenomena. This concept is explored using output from a series of CAM forecasts generated on a daily basis during the spring of 2008. This output is mined for the presence of extreme values of updraft helicity (UH), a diagnostic field used to identify supercellular storms. Extreme values of the UH field are flagged as simulated “surrogate” severe weather reports and the spatial correspondence between these surrogate reports and actual observed severe reports is determined. In addition, probabilistic forecasts [surrogate severe probabilistic forecasts (SSPFs)] are created from each field's simulated surrogate severe reports using a Gaussian smoother. The simulated surrogate reports are capable of reproducing the seasonal climatology observed within the field of actual reports. The SSPFs created from the surrogates are verified using ROC curves and reliability diagrams and the sensitivity of the verification metrics to the smoothing parameter in the Gaussian distribution is tested. The SSPFs produce reliable forecast probabilities with minimal calibration. These results demonstrate that a relatively straightforward postprocessing procedure, which focuses on the characteristics of explicitly predicted convective entities, can provide reliable severe weather forecast guidance. It is anticipated that this technique will be even more valuable when implemented within a convection-allowing ensemble forecasting system.","author":[{"dropping-particle":"","family":"Sobash","given":"Ryan A","non-dropping-particle":"","parse-names":false,"suffix":""},{"dropping-particle":"","family":"Kain","given":"John S","non-dropping-particle":"","parse-names":false,"suffix":""},{"dropping-particle":"","family":"Bright","given":"David R","non-dropping-particle":"","parse-names":false,"suffix":""},{"dropping-particle":"","family":"Dean","given":"Andrew R","non-dropping-particle":"","parse-names":false,"suffix":""},{"dropping-particle":"","family":"Coniglio","given":"Michael C","non-dropping-particle":"","parse-names":false,"suffix":""},{"dropping-particle":"","family":"Weiss","given":"Steven J","non-dropping-particle":"","parse-names":false,"suffix":""}],"container-title":"Weather and Forecasting","id":"ITEM-1","issue":"5","issued":{"date-parts":[["2011"]]},"page":"714-728","title":"Probabilistic Forecast Guidance for Severe Thunderstorms Based on the Identification of Extreme Phenomena in Convection-Allowing Model Forecasts","type":"article-journal","volume":"26"},"uris":["http://www.mendeley.com/documents/?uuid=8ca8218e-cafd-42a2-83bc-c644d7cc35fe"]},{"id":"ITEM-2","itemData":{"DOI":"10.1175/WAF-D-12-00125.1","ISSN":"0882-8156","abstract":"AbstractThe self-organizing map (SOM) statistical technique is applied to vertical profiles of thermodynamic and kinematic parameters from a Rapid Update Cycle-2 (RUC-2) proximity sounding dataset with the goal of better distinguishing and predicting supercell and tornadic environments. An SOM is a topologically ordered mapping of input data onto a two-dimensional array of nodes that can be used to classify large datasets into meaningful clusters. The relative ability of SOMs derived from each parameter to separate soundings in a way that is useful in discriminating between storm type, location, and time of year is discussed. Sensitivity to SOM configuration is also explored. Simple skill scores are computed for each SOM to evaluate the relative potential of each variable for future development as a method of probabilistic forecasting. It is found that variance in SOM nodes is reduced compared to the overall dataset, indicating that this is a viable classification method. SOMs of profiles of wind-derived ...","author":[{"dropping-particle":"","family":"Nowotarski","given":"Christopher J.","non-dropping-particle":"","parse-names":false,"suffix":""},{"dropping-particle":"","family":"Jensen","given":"Anders A.","non-dropping-particle":"","parse-names":false,"suffix":""}],"container-title":"Weather and Forecasting","id":"ITEM-2","issue":"3","issued":{"date-parts":[["2013"]]},"page":"783-801","title":"Classifying Proximity Soundings with Self-Organizing Maps toward Improving Supercell and Tornado Forecasting","type":"article-journal","volume":"28"},"uris":["http://www.mendeley.com/documents/?uuid=6e355317-6712-47c2-a4ec-dffca02117ed"]},{"id":"ITEM-3","itemData":{"author":[{"dropping-particle":"","family":"Karstens","given":"Christopher D","non-dropping-particle":"","parse-names":false,"suffix":""},{"dropping-particle":"","family":"Stumpf","given":"Greg","non-dropping-particle":"","parse-names":false,"suffix":""},{"dropping-particle":"","family":"Ling","given":"Chen","non-dropping-particle":"","parse-names":false,"suffix":""},{"dropping-particle":"","family":"Hua","given":"Lesheng","non-dropping-particle":"","parse-names":false,"suffix":""},{"dropping-particle":"","family":"Kingfield","given":"Darrel","non-dropping-particle":"","parse-names":false,"suffix":""},{"dropping-particle":"","family":"Smith","given":"Travis M","non-dropping-particle":"","parse-names":false,"suffix":""},{"dropping-particle":"","family":"Correia Jr","given":"James","non-dropping-particle":"","parse-names":false,"suffix":""},{"dropping-particle":"","family":"Calhoun","given":"Kristin","non-dropping-particle":"","parse-names":false,"suffix":""},{"dropping-particle":"","family":"Ortega","given":"Kiel","non-dropping-particle":"","parse-names":false,"suffix":""},{"dropping-particle":"","family":"Melick","given":"Chris","non-dropping-particle":"","parse-names":false,"suffix":""},{"dropping-particle":"","family":"others","given":"","non-dropping-particle":"","parse-names":false,"suffix":""}],"container-title":"Weather and Forecasting","id":"ITEM-3","issue":"6","issued":{"date-parts":[["2015"]]},"page":"1551-1570","title":"Evaluation of a probabilistic forecasting methodology for severe convective weather in the 2014 Hazardous Weather Testbed","type":"article-journal","volume":"30"},"uris":["http://www.mendeley.com/documents/?uuid=9aefb553-fbcc-4d56-8202-7be54bbe4572"]}],"mendeley":{"formattedCitation":"(Sobash et al., 2011; Nowotarski and Jensen, 2013; Karstens et al., 2015)","plainTextFormattedCitation":"(Sobash et al., 2011; Nowotarski and Jensen, 2013; Karstens et al., 2015)","previouslyFormattedCitation":"(Sobash et al., 2011; Nowotarski and Jensen, 2013; Karstens et al., 2015)"},"properties":{"noteIndex":0},"schema":"https://github.com/citation-style-language/schema/raw/master/csl-citation.json"}</w:instrText>
      </w:r>
      <w:r w:rsidRPr="004F469F">
        <w:fldChar w:fldCharType="separate"/>
      </w:r>
      <w:r w:rsidR="0010658B" w:rsidRPr="00123266">
        <w:rPr>
          <w:noProof/>
        </w:rPr>
        <w:t xml:space="preserve">(Sobash </w:t>
      </w:r>
      <w:r w:rsidR="0010658B" w:rsidRPr="00453357">
        <w:rPr>
          <w:i/>
          <w:iCs/>
          <w:noProof/>
        </w:rPr>
        <w:t>et al.</w:t>
      </w:r>
      <w:r w:rsidR="0010658B" w:rsidRPr="00123266">
        <w:rPr>
          <w:noProof/>
        </w:rPr>
        <w:t xml:space="preserve">, 2011; Nowotarski and Jensen, 2013; Karstens </w:t>
      </w:r>
      <w:r w:rsidR="0010658B" w:rsidRPr="00453357">
        <w:rPr>
          <w:i/>
          <w:iCs/>
          <w:noProof/>
        </w:rPr>
        <w:t>et al.</w:t>
      </w:r>
      <w:r w:rsidR="0010658B" w:rsidRPr="00123266">
        <w:rPr>
          <w:noProof/>
        </w:rPr>
        <w:t>, 2015)</w:t>
      </w:r>
      <w:r w:rsidRPr="004F469F">
        <w:fldChar w:fldCharType="end"/>
      </w:r>
      <w:r w:rsidRPr="004F469F">
        <w:t xml:space="preserve">. Sources of such information could be atmospheric reanalysis data </w:t>
      </w:r>
      <w:r w:rsidRPr="004F469F">
        <w:fldChar w:fldCharType="begin" w:fldLock="1"/>
      </w:r>
      <w:r w:rsidR="00123266">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Reanalysis","type":"article-journal","volume":"6"},"uris":["http://www.mendeley.com/documents/?uuid=c00b076a-fd2d-4516-ac75-69faf6495920"]}],"mendeley":{"formattedCitation":"(Brooks et al., 2003b; Trapp et al., 2007; Gensini and Ashley, 2011)","plainTextFormattedCitation":"(Brooks et al., 2003b; Trapp et al., 2007; Gensini and Ashley, 2011)","previouslyFormattedCitation":"(Brooks et al., 2003b; Trapp et al., 2007; Gensini and Ashley, 2011)"},"properties":{"noteIndex":0},"schema":"https://github.com/citation-style-language/schema/raw/master/csl-citation.json"}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2003b; Trapp </w:t>
      </w:r>
      <w:r w:rsidR="00123266" w:rsidRPr="00453357">
        <w:rPr>
          <w:i/>
          <w:iCs/>
          <w:noProof/>
        </w:rPr>
        <w:t>et al.</w:t>
      </w:r>
      <w:r w:rsidR="00123266" w:rsidRPr="00123266">
        <w:rPr>
          <w:noProof/>
        </w:rPr>
        <w:t>, 2007; Gensini and Ashley, 2011)</w:t>
      </w:r>
      <w:r w:rsidRPr="004F469F">
        <w:fldChar w:fldCharType="end"/>
      </w:r>
      <w:r w:rsidRPr="004F469F">
        <w:t xml:space="preserve"> or probabilistic outlooks from the Storm Prediction Center (SPC</w:t>
      </w:r>
      <w:r w:rsidR="004018A9">
        <w:t>;</w:t>
      </w:r>
      <w:r w:rsidRPr="004F469F">
        <w:t xml:space="preserve"> </w:t>
      </w:r>
      <w:r w:rsidRPr="004F469F">
        <w:fldChar w:fldCharType="begin" w:fldLock="1"/>
      </w:r>
      <w:r w:rsidR="004018A9">
        <w:instrText>ADDIN CSL_CITATION {"citationItems":[{"id":"ITEM-1","itemData":{"author":[{"dropping-particle":"","family":"Kay","given":"Michael P","non-dropping-particle":"","parse-names":false,"suffix":""},{"dropping-particle":"","family":"Brooks","given":"Harold E","non-dropping-particle":"","parse-names":false,"suffix":""}],"container-title":"Preprints, 20th Conf. on Severe Local Storms, Orlando, FL, Amer. Meteor. Soc","id":"ITEM-1","issued":{"date-parts":[["2000"]]},"title":"Verification of probabilistic severe storm forecasts at the SPC","type":"paper-conference","volume":"9"},"uris":["http://www.mendeley.com/documents/?uuid=7ccc78c8-ee4a-4d8a-a599-e93a1b086e06"]},{"id":"ITEM-2","itemData":{"author":[{"dropping-particle":"","family":"Stensrud","given":"David J","non-dropping-particle":"","parse-names":false,"suffix":""},{"dropping-particle":"","family":"Xue","given":"Ming","non-dropping-particle":"","parse-names":false,"suffix":""},{"dropping-particle":"","family":"Wicker","given":"Louis J","non-dropping-particle":"","parse-names":false,"suffix":""},{"dropping-particle":"","family":"Kelleher","given":"Kevin E","non-dropping-particle":"","parse-names":false,"suffix":""},{"dropping-particle":"","family":"Foster","given":"Michael P","non-dropping-particle":"","parse-names":false,"suffix":""},{"dropping-particle":"","family":"Schaefer","given":"Joseph T","non-dropping-particle":"","parse-names":false,"suffix":""},{"dropping-particle":"","family":"Schneider","given":"Russell S","non-dropping-particle":"","parse-names":false,"suffix":""},{"dropping-particle":"","family":"Benjamin","given":"Stanley G","non-dropping-particle":"","parse-names":false,"suffix":""},{"dropping-particle":"","family":"Weygandt","given":"Stephen S","non-dropping-particle":"","parse-names":false,"suffix":""},{"dropping-particle":"","family":"Ferree","given":"John T","non-dropping-particle":"","parse-names":false,"suffix":""},{"dropping-particle":"","family":"others","given":"","non-dropping-particle":"","parse-names":false,"suffix":""}],"container-title":"Bulletin of the American Meteorological Society","id":"ITEM-2","issue":"10","issued":{"date-parts":[["2009"]]},"page":"1487-1500","publisher":"American Meteorological Society","title":"Convective-scale warn-on-forecast system: A vision for 2020","type":"article-journal","volume":"90"},"uris":["http://www.mendeley.com/documents/?uuid=f7b64925-835c-458f-99d1-b871ab0ea046"]}],"mendeley":{"formattedCitation":"(Kay and Brooks, 2000; Stensrud et al., 2009)","manualFormatting":"Kay and Brooks, 2000; Stensrud et al., 2009)","plainTextFormattedCitation":"(Kay and Brooks, 2000; Stensrud et al., 2009)","previouslyFormattedCitation":"(Kay and Brooks, 2000; Stensrud et al., 2009)"},"properties":{"noteIndex":0},"schema":"https://github.com/citation-style-language/schema/raw/master/csl-citation.json"}</w:instrText>
      </w:r>
      <w:r w:rsidRPr="004F469F">
        <w:fldChar w:fldCharType="separate"/>
      </w:r>
      <w:r w:rsidR="0010658B" w:rsidRPr="00123266">
        <w:rPr>
          <w:noProof/>
        </w:rPr>
        <w:t xml:space="preserve">Kay </w:t>
      </w:r>
      <w:r w:rsidR="0010658B" w:rsidRPr="00123266">
        <w:rPr>
          <w:noProof/>
        </w:rPr>
        <w:lastRenderedPageBreak/>
        <w:t xml:space="preserve">and Brooks, 2000; Stensrud </w:t>
      </w:r>
      <w:r w:rsidR="0010658B" w:rsidRPr="00453357">
        <w:rPr>
          <w:i/>
          <w:iCs/>
          <w:noProof/>
        </w:rPr>
        <w:t>et al.</w:t>
      </w:r>
      <w:r w:rsidR="0010658B" w:rsidRPr="00123266">
        <w:rPr>
          <w:noProof/>
        </w:rPr>
        <w:t>, 2009)</w:t>
      </w:r>
      <w:r w:rsidRPr="004F469F">
        <w:fldChar w:fldCharType="end"/>
      </w:r>
      <w:r w:rsidRPr="004F469F">
        <w:t xml:space="preserve">. Environmental data could also be used to constrain tornado parameters such as magnitude </w:t>
      </w:r>
      <w:r w:rsidRPr="004F469F">
        <w:fldChar w:fldCharType="begin" w:fldLock="1"/>
      </w:r>
      <w:r w:rsidR="0010658B">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id":"ITEM-2","itemData":{"author":[{"dropping-particle":"","family":"Naylor","given":"Jason","non-dropping-particle":"","parse-names":false,"suffix":""},{"dropping-particle":"","family":"Gilmore","given":"Matthew S","non-dropping-particle":"","parse-names":false,"suffix":""}],"container-title":"Geophysical Research Letters","id":"ITEM-2","issue":"17","issued":{"date-parts":[["2012"]]},"publisher":"Wiley Online Library","title":"Environmental factors influential to the duration and intensity of tornadoes in simulated supercells","type":"article-journal","volume":"39"},"uris":["http://www.mendeley.com/documents/?uuid=284c594e-1385-4b4a-b267-e378ad7cf4dc"]}],"mendeley":{"formattedCitation":"(Colquhoun and Riley, 1996; Naylor and Gilmore, 2012)","plainTextFormattedCitation":"(Colquhoun and Riley, 1996; Naylor and Gilmore, 2012)","previouslyFormattedCitation":"(Colquhoun and Riley, 1996; Naylor and Gilmore, 2012)"},"properties":{"noteIndex":0},"schema":"https://github.com/citation-style-language/schema/raw/master/csl-citation.json"}</w:instrText>
      </w:r>
      <w:r w:rsidRPr="004F469F">
        <w:fldChar w:fldCharType="separate"/>
      </w:r>
      <w:r w:rsidR="0010658B" w:rsidRPr="0010658B">
        <w:rPr>
          <w:noProof/>
        </w:rPr>
        <w:t>(Colquhoun and Riley, 1996; Naylor and Gilmore, 2012)</w:t>
      </w:r>
      <w:r w:rsidRPr="004F469F">
        <w:fldChar w:fldCharType="end"/>
      </w:r>
      <w:r w:rsidRPr="004F469F">
        <w:t xml:space="preserve"> or even the number of tornadoes occurring on a given day </w:t>
      </w:r>
      <w:r w:rsidRPr="004F469F">
        <w:fldChar w:fldCharType="begin" w:fldLock="1"/>
      </w:r>
      <w:r w:rsidR="00123266">
        <w:instrText>ADDIN CSL_CITATION {"citationItems":[{"id":"ITEM-1","itemData":{"DOI":"10.1175/1520-0434(2000)015&lt;0682:AOOECA&gt;2.0.CO;2","ISSN":"0882-8156","abstract":"An overview of conditions associated with the Oklahoma–Kansas tornado outbreak of 3May 1999 is presented, with emphasis on the evolution of environmental and supercellular characteristics most relevant to the prediction of violent tornado episodes. This examination provides a unique perspective of the event by combining analyses of remote observational data and numerical guidance with direct observations of the event in the field by forecasters and other observers. The 3 May 1999 outbreak included two prolific supercells that produced several violent tornadoes, with ambient parameters comparable to those of past tornado outbreaks in the southern and central Great Plains. However, not all aspects leading to the evening of 3 May unambiguously favored a major tornado outbreak. The problems that faced operational forecasters at the Storm Prediction Center are discussed in the context of this outbreak, including environmental shear and instability, subtle processes contributing to convective initiation, the roles of preexisting boundaries, and storm-relative flow. This examination reveals several specific aspects where conceptual models are deficient and/or additional research is warranted. 1.","author":[{"dropping-particle":"","family":"Thompson","given":"Richard L.","non-dropping-particle":"","parse-names":false,"suffix":""},{"dropping-particle":"","family":"Edwards","given":"Roger","non-dropping-particle":"","parse-names":false,"suffix":""}],"container-title":"Weather and Forecasting","id":"ITEM-1","issue":"6","issued":{"date-parts":[["2000"]]},"page":"682-699","title":"An Overview of Environmental Conditions and Forecast Implications of the 3 May 1999 Tornado Outbreak","type":"article-journal","volume":"15"},"uris":["http://www.mendeley.com/documents/?uuid=7024c3dd-ed58-325a-a529-e916bd82827c"]},{"id":"ITEM-2","itemData":{"DOI":"10.1175/2009WAF2222297.1","ISBN":"0882-8156","ISSN":"0882-8156","author":[{"dropping-particle":"","family":"Corfidi","given":"Stephen F.","non-dropping-particle":"","parse-names":false,"suffix":""},{"dropping-particle":"","family":"Weiss","given":"Steven J.","non-dropping-particle":"","parse-names":false,"suffix":""},{"dropping-particle":"","family":"Kain","given":"John S.","non-dropping-particle":"","parse-names":false,"suffix":""},{"dropping-particle":"","family":"Corfidi","given":"Sarah J.","non-dropping-particle":"","parse-names":false,"suffix":""},{"dropping-particle":"","family":"Rabin","given":"Robert M.","non-dropping-particle":"","parse-names":false,"suffix":""},{"dropping-particle":"","family":"Levit","given":"Jason J.","non-dropping-particle":"","parse-names":false,"suffix":""}],"container-title":"Weather and Forecasting","id":"ITEM-2","issue":"2","issued":{"date-parts":[["2010"]]},"page":"465-510","title":"Revisiting the 3–4 April 1974 super outbreak of tornadoes","type":"article-journal","volume":"25"},"uris":["http://www.mendeley.com/documents/?uuid=292de221-5d49-4491-bb56-00f66dada67c"]}],"mendeley":{"formattedCitation":"(Thompson and Edwards, 2000; Corfidi et al., 2010)","plainTextFormattedCitation":"(Thompson and Edwards, 2000; Corfidi et al., 2010)","previouslyFormattedCitation":"(Thompson and Edwards, 2000; Corfidi et al., 2010)"},"properties":{"noteIndex":0},"schema":"https://github.com/citation-style-language/schema/raw/master/csl-citation.json"}</w:instrText>
      </w:r>
      <w:r w:rsidRPr="004F469F">
        <w:fldChar w:fldCharType="separate"/>
      </w:r>
      <w:r w:rsidR="0010658B" w:rsidRPr="00123266">
        <w:rPr>
          <w:noProof/>
        </w:rPr>
        <w:t xml:space="preserve">(Thompson and Edwards, 2000; Corfidi </w:t>
      </w:r>
      <w:r w:rsidR="0010658B" w:rsidRPr="00453357">
        <w:rPr>
          <w:i/>
          <w:iCs/>
          <w:noProof/>
        </w:rPr>
        <w:t>et al.</w:t>
      </w:r>
      <w:r w:rsidR="0010658B" w:rsidRPr="00123266">
        <w:rPr>
          <w:noProof/>
        </w:rPr>
        <w:t>, 2010)</w:t>
      </w:r>
      <w:r w:rsidRPr="004F469F">
        <w:fldChar w:fldCharType="end"/>
      </w:r>
      <w:r w:rsidRPr="004F469F">
        <w:t>. Additionally, climate projections for variables related to the atmospheric environment (</w:t>
      </w:r>
      <w:r w:rsidRPr="004F469F">
        <w:rPr>
          <w:i/>
          <w:iCs/>
        </w:rPr>
        <w:t>e.g.</w:t>
      </w:r>
      <w:r w:rsidRPr="004F469F">
        <w:t xml:space="preserve">, shear and convective available potential energy) allow for a more rigorous approach to estimating future tornado impacts under climate change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Climatology","id":"ITEM-3","issue":"5","issued":{"date-parts":[["2014"]]},"page":"1699-1705","title":"Future convective environments using NARCCAP","type":"article-journal","volume":"34"},"uris":["http://www.mendeley.com/documents/?uuid=dc5272eb-bd85-42a6-8efc-ce143f74e287"]}],"mendeley":{"formattedCitation":"(Trapp et al., 2007; Diffenbaugh et al., 2013; Gensini et al., 2014b)","plainTextFormattedCitation":"(Trapp et al., 2007; Diffenbaugh et al., 2013; Gensini et al., 2014b)","previouslyFormattedCitation":"(Trapp et al., 2007; Diffenbaugh et al., 2013;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2013; Gensini </w:t>
      </w:r>
      <w:r w:rsidR="00123266" w:rsidRPr="00453357">
        <w:rPr>
          <w:i/>
          <w:iCs/>
          <w:noProof/>
        </w:rPr>
        <w:t>et al.</w:t>
      </w:r>
      <w:r w:rsidR="00123266" w:rsidRPr="00123266">
        <w:rPr>
          <w:noProof/>
        </w:rPr>
        <w:t>, 2014b)</w:t>
      </w:r>
      <w:r w:rsidRPr="004F469F">
        <w:fldChar w:fldCharType="end"/>
      </w:r>
      <w:r w:rsidRPr="004F469F">
        <w:t xml:space="preserve">. By using projected atmospheric environments, it may be possible to estimate the location of future changes in tornado occurrence and severity as well as the magnitude of those changes </w:t>
      </w:r>
      <w:r w:rsidRPr="004F469F">
        <w:fldChar w:fldCharType="begin" w:fldLock="1"/>
      </w:r>
      <w:r w:rsidR="00123266">
        <w:instrText>ADDIN CSL_CITATION {"citationItems":[{"id":"ITEM-1","itemData":{"DOI":"10.1029/2008EO530001","ISBN":"2324-9250","ISSN":"00963941","abstract":"Tornadoes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Union","id":"ITEM-1","issue":"53","issued":{"date-parts":[["2008"]]},"page":"553-554","title":"Does global warming influence tornado activity?","type":"article-journal","volume":"89"},"uris":["http://www.mendeley.com/documents/?uuid=3e309387-b981-4120-ba7b-ece4c9971012"]},{"id":"ITEM-2","itemData":{"DOI":"10.1007/s40641-015-0006-6","ISBN":"2198-6061","ISSN":"2198-6061","abstract":"Substantial progress has been made recently relating the large-scale climate system and hazardous convective weather (HCW; tornadoes, hail, and damaging wind), particularly over the USA where there are large societal impacts and a long observational record. Despite observational data limitations, HCW has shown to be influenced by the climate system and the tropical atmosphere via the Madden-Julian Oscillation and El Niño-Southern Oscillation. Analysis of the atmospheric environments favorable to HCW (e.g., convective available potential energy and vertical wind shear) avoids observational and model limitations. While few robust trends are seen over recent decades, future climate projections indicate increased frequency of such environments over the USA, Europe, and Australia, suggesting increased future HCW activity. A recent increase in the year-to-year variability of US tornado occurrence is striking, but not yet understood. Dynamical downscaling to convection-permitting resolutions promises improved understanding of the relationships between large-scale climate and HCW occurrence.","author":[{"dropping-particle":"","family":"Tippett","given":"Michael K.","non-dropping-particle":"","parse-names":false,"suffix":""},{"dropping-particle":"","family":"Allen","given":"John T.","non-dropping-particle":"","parse-names":false,"suffix":""},{"dropping-particle":"","family":"Gensini","given":"Victor A.","non-dropping-particle":"","parse-names":false,"suffix":""},{"dropping-particle":"","family":"Brooks","given":"Harold E.","non-dropping-particle":"","parse-names":false,"suffix":""}],"container-title":"Current Climate Change Reports","id":"ITEM-2","issue":"2","issued":{"date-parts":[["2015"]]},"page":"60-73","title":"Climate and Hazardous Convective Weather","type":"article-journal","volume":"1"},"uris":["http://www.mendeley.com/documents/?uuid=c8501d8b-7c2a-4f5a-886c-ed01995532c8"]}],"mendeley":{"formattedCitation":"(Diffenbaugh et al., 2008; Tippett et al., 2015)","plainTextFormattedCitation":"(Diffenbaugh et al., 2008; Tippett et al., 2015)","previouslyFormattedCitation":"(Diffenbaugh et al., 2008; Tippett et al., 2015)"},"properties":{"noteIndex":0},"schema":"https://github.com/citation-style-language/schema/raw/master/csl-citation.json"}</w:instrText>
      </w:r>
      <w:r w:rsidRPr="004F469F">
        <w:fldChar w:fldCharType="separate"/>
      </w:r>
      <w:r w:rsidR="00123266" w:rsidRPr="00123266">
        <w:rPr>
          <w:noProof/>
        </w:rPr>
        <w:t xml:space="preserve">(Diffenbaugh </w:t>
      </w:r>
      <w:r w:rsidR="00123266" w:rsidRPr="00453357">
        <w:rPr>
          <w:i/>
          <w:iCs/>
          <w:noProof/>
        </w:rPr>
        <w:t>et al.</w:t>
      </w:r>
      <w:r w:rsidR="00123266" w:rsidRPr="00123266">
        <w:rPr>
          <w:noProof/>
        </w:rPr>
        <w:t xml:space="preserve">, 2008; Tippett </w:t>
      </w:r>
      <w:r w:rsidR="00123266" w:rsidRPr="00453357">
        <w:rPr>
          <w:i/>
          <w:iCs/>
          <w:noProof/>
        </w:rPr>
        <w:t>et al.</w:t>
      </w:r>
      <w:r w:rsidR="00123266" w:rsidRPr="00123266">
        <w:rPr>
          <w:noProof/>
        </w:rPr>
        <w:t>, 2015)</w:t>
      </w:r>
      <w:r w:rsidRPr="004F469F">
        <w:fldChar w:fldCharType="end"/>
      </w:r>
      <w:r w:rsidRPr="004F469F">
        <w:t xml:space="preserve">. </w:t>
      </w:r>
    </w:p>
    <w:p w14:paraId="18D787E8" w14:textId="77777777"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No current published modeling approach simulates tornado impacts at the daily time scale. Hence, the objective of this research is to present a proof of concept for one such daily impacts model: The Tornado Daily Impacts Simulator (TorDIS). Like the TorMC model, TorDIS overlays tornado paths upon cost surfaces such as population or housing units. However, in TorDIS, all aspects of the tornado path (</w:t>
      </w:r>
      <w:r w:rsidRPr="004F469F">
        <w:rPr>
          <w:i/>
          <w:iCs/>
        </w:rPr>
        <w:t>i.e.</w:t>
      </w:r>
      <w:r w:rsidRPr="004F469F">
        <w:t>, location, size, intensity, direction) are constrained by the environment in which it forms. In the following sections, we describe the TorDIS approach, validate the model’s deterministic components through a global sensitivity analysis, and showcase the model’s utility through applications at the daily and annual time scales over the central and southern United States.</w:t>
      </w:r>
    </w:p>
    <w:p w14:paraId="1F85853B" w14:textId="77777777" w:rsidR="00797351" w:rsidRPr="004F469F" w:rsidRDefault="00797351" w:rsidP="002C7A24">
      <w:pPr>
        <w:pStyle w:val="Heading2"/>
        <w:spacing w:before="0" w:after="120" w:line="480" w:lineRule="auto"/>
        <w:rPr>
          <w:rFonts w:ascii="Times New Roman" w:hAnsi="Times New Roman" w:cs="Times New Roman"/>
          <w:b/>
          <w:bCs/>
          <w:color w:val="auto"/>
          <w:sz w:val="28"/>
          <w:szCs w:val="28"/>
        </w:rPr>
      </w:pPr>
      <w:bookmarkStart w:id="51" w:name="_Toc21861306"/>
      <w:r w:rsidRPr="004F469F">
        <w:rPr>
          <w:rFonts w:ascii="Times New Roman" w:hAnsi="Times New Roman" w:cs="Times New Roman"/>
          <w:b/>
          <w:bCs/>
          <w:color w:val="auto"/>
          <w:sz w:val="28"/>
          <w:szCs w:val="28"/>
        </w:rPr>
        <w:t>TorDIS Development</w:t>
      </w:r>
      <w:bookmarkEnd w:id="51"/>
    </w:p>
    <w:p w14:paraId="6054F9E1" w14:textId="7A3EC9C0"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TorDIS was developed as an extension of the work of Strader </w:t>
      </w:r>
      <w:r w:rsidRPr="00453357">
        <w:rPr>
          <w:i/>
          <w:iCs/>
        </w:rPr>
        <w:t>et al.</w:t>
      </w:r>
      <w:r w:rsidRPr="004F469F">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to link tornado distribution and characteristics to daily atmospheric environments instead of basing them on climatology. Like TorMC, TorDIS is limited by the accuracy and scope of the historical data used by the model </w:t>
      </w:r>
      <w:r w:rsidRPr="004F469F">
        <w:fldChar w:fldCharType="begin" w:fldLock="1"/>
      </w:r>
      <w:r w:rsidR="00123266">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id":"ITEM-2","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Forecasting","id":"ITEM-2","issue":"4","issued":{"date-parts":[["2003"]]},"page":"626-640","title":"Climatological estimates of local daily tornado probability for the United States","type":"article-journal","volume":"18"},"uris":["http://www.mendeley.com/documents/?uuid=d2c29800-b258-46b1-9db2-3480e3ee0273"]},{"id":"ITEM-3","itemData":{"author":[{"dropping-particle":"","family":"Doswell","given":"Charles A. III","non-dropping-particle":"","parse-names":false,"suffix":""}],"container-title":"E-Journal of Severe Storms Meteorology","id":"ITEM-3","issue":"5","issued":{"date-parts":[["2007"]]},"page":"1-16","title":"Small sample size and data quality issues illustrated using tornado occurrence data","type":"article-journal","volume":"2"},"uris":["http://www.mendeley.com/documents/?uuid=24d98012-7de0-4b8b-aa56-20206aeaa6d7"]}],"mendeley":{"formattedCitation":"(Brooks et al., 2003a; Verbout et al., 2006; Doswell, 2007)","plainTextFormattedCitation":"(Brooks et al., 2003a; Verbout et al., 2006; Doswell, 2007)","previouslyFormattedCitation":"(Brooks et al., 2003a; Verbout et al., 2006; Doswell, 2007)"},"properties":{"noteIndex":0},"schema":"https://github.com/citation-style-language/schema/raw/master/csl-citation.json"}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2003a; Verbout </w:t>
      </w:r>
      <w:r w:rsidR="00123266" w:rsidRPr="00453357">
        <w:rPr>
          <w:i/>
          <w:iCs/>
          <w:noProof/>
        </w:rPr>
        <w:t>et al.</w:t>
      </w:r>
      <w:r w:rsidR="00123266" w:rsidRPr="00123266">
        <w:rPr>
          <w:noProof/>
        </w:rPr>
        <w:t>, 2006; Doswell, 2007)</w:t>
      </w:r>
      <w:r w:rsidRPr="004F469F">
        <w:fldChar w:fldCharType="end"/>
      </w:r>
      <w:r w:rsidRPr="004F469F">
        <w:t xml:space="preserve">. The primary </w:t>
      </w:r>
      <w:r w:rsidRPr="004F469F">
        <w:lastRenderedPageBreak/>
        <w:t xml:space="preserve">objective of this study is to expand upon the methods of Strader </w:t>
      </w:r>
      <w:r w:rsidRPr="00453357">
        <w:rPr>
          <w:i/>
          <w:iCs/>
        </w:rPr>
        <w:t>et al.</w:t>
      </w:r>
      <w:r w:rsidRPr="004F469F">
        <w:rPr>
          <w:i/>
          <w:iCs/>
        </w:rPr>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to work towards simulating tornado impacts at time scale suitable for operational use.</w:t>
      </w:r>
    </w:p>
    <w:p w14:paraId="37031796" w14:textId="77777777"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TorDIS has five process steps (Figure 3.1): (1) parameterization and study area selection; (2) production of a tornado probability raster and determination of whether the day is favorable for tornado development; (3) selection of tornado parameters and creation of footprints; (4) extraction of cost information across the footprint; and (5) production of model output. Like the TorMC model, TorDIS is modular in nature with many user-defined parameters to allow the user to control model output. </w:t>
      </w:r>
    </w:p>
    <w:p w14:paraId="0CACB015" w14:textId="77777777" w:rsidR="00797351" w:rsidRPr="004F469F" w:rsidRDefault="00797351" w:rsidP="002C7A24">
      <w:pPr>
        <w:pStyle w:val="Heading3"/>
        <w:spacing w:before="0" w:after="120" w:line="480" w:lineRule="auto"/>
        <w:rPr>
          <w:rFonts w:ascii="Times New Roman" w:hAnsi="Times New Roman" w:cs="Times New Roman"/>
          <w:i/>
          <w:iCs/>
          <w:color w:val="auto"/>
        </w:rPr>
      </w:pPr>
      <w:bookmarkStart w:id="52" w:name="_Toc21861307"/>
      <w:r w:rsidRPr="004F469F">
        <w:rPr>
          <w:rFonts w:ascii="Times New Roman" w:hAnsi="Times New Roman" w:cs="Times New Roman"/>
          <w:i/>
          <w:iCs/>
          <w:color w:val="auto"/>
        </w:rPr>
        <w:t>Model Input</w:t>
      </w:r>
      <w:bookmarkEnd w:id="52"/>
    </w:p>
    <w:p w14:paraId="57EBE042" w14:textId="77777777" w:rsidR="00797351" w:rsidRPr="004F469F" w:rsidRDefault="00797351" w:rsidP="002C7A24">
      <w:pPr>
        <w:pStyle w:val="Heading4"/>
        <w:spacing w:before="0" w:after="120" w:line="480" w:lineRule="auto"/>
        <w:rPr>
          <w:rFonts w:ascii="Times New Roman" w:hAnsi="Times New Roman" w:cs="Times New Roman"/>
          <w:i w:val="0"/>
          <w:iCs w:val="0"/>
          <w:color w:val="auto"/>
        </w:rPr>
      </w:pPr>
      <w:r w:rsidRPr="004F469F">
        <w:rPr>
          <w:rFonts w:ascii="Times New Roman" w:hAnsi="Times New Roman" w:cs="Times New Roman"/>
          <w:i w:val="0"/>
          <w:iCs w:val="0"/>
          <w:color w:val="auto"/>
        </w:rPr>
        <w:t>Tornado Record</w:t>
      </w:r>
    </w:p>
    <w:p w14:paraId="0F071A86" w14:textId="18CD2C6C"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rPr>
          <w:bCs/>
        </w:rPr>
      </w:pPr>
      <w:r w:rsidRPr="004F469F">
        <w:tab/>
        <w:t>TorDIS simulates tornadoes by sampling various tornado parameters from the historical tornado distribution or theoretical distributions based on the historical record. The model requires a tornado database, in shapefile format, containing tornado locations, path lengths, widths, intensities, and dates, as lines. By default, TorDIS uses the SVRGIS tornado database (US) from the SPC for the period 1979 to 2016 (https://www.spc.noaa.gov/gis/svrgis/)</w:t>
      </w:r>
      <w:r w:rsidRPr="004F469F">
        <w:rPr>
          <w:bCs/>
        </w:rPr>
        <w:t xml:space="preserve">. However, the model can also be adjusted to use other databases such as the U.S. Significant Tornado dataset </w:t>
      </w:r>
      <w:r w:rsidRPr="004F469F">
        <w:rPr>
          <w:bCs/>
        </w:rPr>
        <w:fldChar w:fldCharType="begin" w:fldLock="1"/>
      </w:r>
      <w:r w:rsidR="00C31A1B" w:rsidRPr="004F469F">
        <w:rPr>
          <w:bCs/>
        </w:rPr>
        <w:instrText>ADDIN CSL_CITATION {"citationItems":[{"id":"ITEM-1","itemData":{"ISBN":"1879362031","author":[{"dropping-particle":"","family":"Grazulis","given":"Thomas P.","non-dropping-particle":"","parse-names":false,"suffix":""}],"id":"ITEM-1","issued":{"date-parts":[["1993"]]},"number-of-pages":"1326","publisher":"Enviromental Films","title":"Significant Tornadoes: 1680-1991","type":"book"},"uris":["http://www.mendeley.com/documents/?uuid=38eac11f-29c5-48cb-8964-889060b73087"]},{"id":"ITEM-2","itemData":{"ISBN":"187936204X","author":[{"dropping-particle":"","family":"Grazulis","given":"Thomas P.","non-dropping-particle":"","parse-names":false,"suffix":""}],"id":"ITEM-2","issued":{"date-parts":[["1997"]]},"number-of-pages":"118","publisher":"Environmental Films","title":"Significant Tornadoes (Update): 1992-1995","type":"book"},"uris":["http://www.mendeley.com/documents/?uuid=df4baf2d-949a-47b7-a427-d4d2d13ea34d"]}],"mendeley":{"formattedCitation":"(Grazulis, 1993, 1997)","plainTextFormattedCitation":"(Grazulis, 1993, 1997)","previouslyFormattedCitation":"(Grazulis, 1993, 1997)"},"properties":{"noteIndex":0},"schema":"https://github.com/citation-style-language/schema/raw/master/csl-citation.json"}</w:instrText>
      </w:r>
      <w:r w:rsidRPr="004F469F">
        <w:rPr>
          <w:bCs/>
        </w:rPr>
        <w:fldChar w:fldCharType="separate"/>
      </w:r>
      <w:r w:rsidR="00C31A1B" w:rsidRPr="004F469F">
        <w:rPr>
          <w:bCs/>
          <w:noProof/>
        </w:rPr>
        <w:t>(Grazulis, 1993, 1997)</w:t>
      </w:r>
      <w:r w:rsidRPr="004F469F">
        <w:rPr>
          <w:bCs/>
        </w:rPr>
        <w:fldChar w:fldCharType="end"/>
      </w:r>
      <w:r w:rsidRPr="004F469F">
        <w:rPr>
          <w:bCs/>
        </w:rPr>
        <w:t xml:space="preserve"> or the European Severe Weather Database (https://www.essl.org/cms/european-severe-weather-database/). The SVRGIS tornado database has many known flaws that have been reported elsewhere, including, but not limited to: population bias, reporting frequency (fewer weak tornadoes were observed early in the record), questions of accuracy (due to amateur reports), changes in reporting methodologies (</w:t>
      </w:r>
      <w:r w:rsidRPr="004F469F">
        <w:rPr>
          <w:bCs/>
          <w:i/>
          <w:iCs/>
        </w:rPr>
        <w:t>e.g.</w:t>
      </w:r>
      <w:r w:rsidRPr="004F469F">
        <w:rPr>
          <w:bCs/>
        </w:rPr>
        <w:t xml:space="preserve">, reporting mean path width versus maximum path width), and concerns regarding using damage assessments to determine tornado intensity </w:t>
      </w:r>
      <w:r w:rsidRPr="004F469F">
        <w:rPr>
          <w:bCs/>
        </w:rPr>
        <w:fldChar w:fldCharType="begin" w:fldLock="1"/>
      </w:r>
      <w:r w:rsidR="00123266">
        <w:rPr>
          <w:bCs/>
        </w:rPr>
        <w:instrText>ADDIN CSL_CITATION {"citationItems":[{"id":"ITEM-1","itemData":{"DOI":"10.1175/WAF910.1","abstract":"Over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Forecasting","id":"ITEM-1","issue":"1","issued":{"date-parts":[["2006"]]},"page":"86-93","title":"Evolution of the U.S. tornado database: 1954-2003","type":"article-journal","volume":"21"},"uris":["http://www.mendeley.com/documents/?uuid=158f941c-21cf-45f6-9bc6-7f308a153955"]},{"id":"ITEM-2","itemData":{"author":[{"dropping-particle":"","family":"Ashley","given":"Walker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Applications","id":"ITEM-3","issue":"3","issued":{"date-parts":[["2015"]]},"page":"513-524","publisher":"Wiley Online Library","title":"A climatology of tornado intensity assessments","type":"article-journal","volume":"22"},"uris":["http://www.mendeley.com/documents/?uuid=e4377686-df2f-4b6e-9560-9cec9e268521"]}],"mendeley":{"formattedCitation":"(Verbout et al., 2006; Ashley et al., 2014; Strader et al., 2015)","plainTextFormattedCitation":"(Verbout et al., 2006; Ashley et al., 2014; Strader et al., 2015)","previouslyFormattedCitation":"(Verbout et al., 2006; Ashley et al., 2014; Strader et al., 2015)"},"properties":{"noteIndex":0},"schema":"https://github.com/citation-style-language/schema/raw/master/csl-citation.json"}</w:instrText>
      </w:r>
      <w:r w:rsidRPr="004F469F">
        <w:rPr>
          <w:bCs/>
        </w:rPr>
        <w:fldChar w:fldCharType="separate"/>
      </w:r>
      <w:r w:rsidR="0010658B" w:rsidRPr="00123266">
        <w:rPr>
          <w:bCs/>
          <w:noProof/>
        </w:rPr>
        <w:t xml:space="preserve">(Verbout </w:t>
      </w:r>
      <w:r w:rsidR="0010658B" w:rsidRPr="00453357">
        <w:rPr>
          <w:bCs/>
          <w:i/>
          <w:iCs/>
          <w:noProof/>
        </w:rPr>
        <w:t>et al.</w:t>
      </w:r>
      <w:r w:rsidR="0010658B" w:rsidRPr="00123266">
        <w:rPr>
          <w:bCs/>
          <w:noProof/>
        </w:rPr>
        <w:t xml:space="preserve">, 2006; Ashley </w:t>
      </w:r>
      <w:r w:rsidR="0010658B" w:rsidRPr="00453357">
        <w:rPr>
          <w:bCs/>
          <w:i/>
          <w:iCs/>
          <w:noProof/>
        </w:rPr>
        <w:t>et al.</w:t>
      </w:r>
      <w:r w:rsidR="0010658B" w:rsidRPr="00123266">
        <w:rPr>
          <w:bCs/>
          <w:noProof/>
        </w:rPr>
        <w:t xml:space="preserve">, 2014; Strader </w:t>
      </w:r>
      <w:r w:rsidR="0010658B" w:rsidRPr="00453357">
        <w:rPr>
          <w:bCs/>
          <w:i/>
          <w:iCs/>
          <w:noProof/>
        </w:rPr>
        <w:t xml:space="preserve">et </w:t>
      </w:r>
      <w:r w:rsidR="0010658B" w:rsidRPr="00453357">
        <w:rPr>
          <w:bCs/>
          <w:i/>
          <w:iCs/>
          <w:noProof/>
        </w:rPr>
        <w:lastRenderedPageBreak/>
        <w:t>al.</w:t>
      </w:r>
      <w:r w:rsidR="0010658B" w:rsidRPr="00123266">
        <w:rPr>
          <w:bCs/>
          <w:noProof/>
        </w:rPr>
        <w:t>, 2015)</w:t>
      </w:r>
      <w:r w:rsidRPr="004F469F">
        <w:rPr>
          <w:bCs/>
        </w:rPr>
        <w:fldChar w:fldCharType="end"/>
      </w:r>
      <w:r w:rsidRPr="004F469F">
        <w:rPr>
          <w:bCs/>
        </w:rPr>
        <w:t xml:space="preserve">. However, we selected it for use in the model since it is still the best record available </w:t>
      </w:r>
      <w:r w:rsidRPr="004F469F">
        <w:rPr>
          <w:bCs/>
        </w:rPr>
        <w:fldChar w:fldCharType="begin" w:fldLock="1"/>
      </w:r>
      <w:r w:rsidR="00123266">
        <w:rPr>
          <w:bCs/>
        </w:rPr>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rPr>
          <w:bCs/>
        </w:rPr>
        <w:fldChar w:fldCharType="separate"/>
      </w:r>
      <w:r w:rsidR="00123266" w:rsidRPr="00123266">
        <w:rPr>
          <w:bCs/>
          <w:noProof/>
        </w:rPr>
        <w:t xml:space="preserve">(Strader </w:t>
      </w:r>
      <w:r w:rsidR="00123266" w:rsidRPr="00453357">
        <w:rPr>
          <w:bCs/>
          <w:i/>
          <w:iCs/>
          <w:noProof/>
        </w:rPr>
        <w:t>et al.</w:t>
      </w:r>
      <w:r w:rsidR="00123266" w:rsidRPr="00123266">
        <w:rPr>
          <w:bCs/>
          <w:noProof/>
        </w:rPr>
        <w:t>, 2016)</w:t>
      </w:r>
      <w:r w:rsidRPr="004F469F">
        <w:rPr>
          <w:bCs/>
        </w:rPr>
        <w:fldChar w:fldCharType="end"/>
      </w:r>
      <w:r w:rsidRPr="004F469F">
        <w:rPr>
          <w:bCs/>
        </w:rPr>
        <w:t>.</w:t>
      </w:r>
    </w:p>
    <w:p w14:paraId="1E91324A" w14:textId="77777777" w:rsidR="00797351" w:rsidRPr="004F469F" w:rsidRDefault="00797351" w:rsidP="002C7A24">
      <w:pPr>
        <w:pStyle w:val="Heading4"/>
        <w:spacing w:before="0" w:after="120" w:line="480" w:lineRule="auto"/>
        <w:rPr>
          <w:rFonts w:ascii="Times New Roman" w:hAnsi="Times New Roman" w:cs="Times New Roman"/>
          <w:i w:val="0"/>
          <w:iCs w:val="0"/>
          <w:color w:val="auto"/>
        </w:rPr>
      </w:pPr>
      <w:r w:rsidRPr="004F469F">
        <w:rPr>
          <w:rFonts w:ascii="Times New Roman" w:hAnsi="Times New Roman" w:cs="Times New Roman"/>
          <w:i w:val="0"/>
          <w:iCs w:val="0"/>
          <w:color w:val="auto"/>
        </w:rPr>
        <w:t>Atmospheric Environmental Data</w:t>
      </w:r>
    </w:p>
    <w:p w14:paraId="43430FC8" w14:textId="46E44392" w:rsidR="00797351" w:rsidRPr="004F469F" w:rsidRDefault="00797351" w:rsidP="0049259D">
      <w:pPr>
        <w:pStyle w:val="PlainText"/>
        <w:spacing w:after="120" w:line="480" w:lineRule="auto"/>
        <w:ind w:firstLine="720"/>
        <w:rPr>
          <w:rFonts w:ascii="Times New Roman" w:eastAsia="Times New Roman" w:hAnsi="Times New Roman" w:cs="Times New Roman"/>
          <w:sz w:val="24"/>
          <w:szCs w:val="24"/>
        </w:rPr>
      </w:pPr>
      <w:r w:rsidRPr="004F469F">
        <w:rPr>
          <w:rFonts w:ascii="Times New Roman" w:eastAsia="Times New Roman" w:hAnsi="Times New Roman" w:cs="Times New Roman"/>
          <w:bCs/>
          <w:sz w:val="24"/>
          <w:szCs w:val="24"/>
        </w:rPr>
        <w:t xml:space="preserve">An important aspect of TorDIS is the linkage between tornado occurrence and intensity, and the atmospheric environment in which the tornado forms. </w:t>
      </w:r>
      <w:r w:rsidRPr="004F469F">
        <w:rPr>
          <w:rFonts w:ascii="Times New Roman" w:eastAsia="Times New Roman" w:hAnsi="Times New Roman" w:cs="Times New Roman"/>
          <w:sz w:val="24"/>
          <w:szCs w:val="24"/>
        </w:rPr>
        <w:t xml:space="preserve">Tornadoes require certain key ingredients to form, including a moist, unstable atmosphere, a source of lift, rotation, and low cloud bases </w:t>
      </w:r>
      <w:r w:rsidRPr="004F469F">
        <w:rPr>
          <w:rFonts w:ascii="Times New Roman" w:eastAsia="Times New Roman" w:hAnsi="Times New Roman" w:cs="Times New Roman"/>
          <w:sz w:val="24"/>
          <w:szCs w:val="24"/>
        </w:rPr>
        <w:fldChar w:fldCharType="begin" w:fldLock="1"/>
      </w:r>
      <w:r w:rsidR="00123266">
        <w:rPr>
          <w:rFonts w:ascii="Times New Roman" w:eastAsia="Times New Roman" w:hAnsi="Times New Roman" w:cs="Times New Roman"/>
          <w:sz w:val="24"/>
          <w:szCs w:val="24"/>
        </w:rPr>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data","type":"article-journal","volume":"67"},"uris":["http://www.mendeley.com/documents/?uuid=2299b90d-1ada-4897-b75e-ee0ee8a4e064"]}],"mendeley":{"formattedCitation":"(Brooks et al., 2003b; Ashley and Strader, 2016)","plainTextFormattedCitation":"(Brooks et al., 2003b; Ashley and Strader, 2016)","previouslyFormattedCitation":"(Brooks et al., 2003b; Ashley and Strader, 2016)"},"properties":{"noteIndex":0},"schema":"https://github.com/citation-style-language/schema/raw/master/csl-citation.json"}</w:instrText>
      </w:r>
      <w:r w:rsidRPr="004F469F">
        <w:rPr>
          <w:rFonts w:ascii="Times New Roman" w:eastAsia="Times New Roman" w:hAnsi="Times New Roman" w:cs="Times New Roman"/>
          <w:sz w:val="24"/>
          <w:szCs w:val="24"/>
        </w:rPr>
        <w:fldChar w:fldCharType="separate"/>
      </w:r>
      <w:r w:rsidR="00123266" w:rsidRPr="00123266">
        <w:rPr>
          <w:rFonts w:ascii="Times New Roman" w:eastAsia="Times New Roman" w:hAnsi="Times New Roman" w:cs="Times New Roman"/>
          <w:noProof/>
          <w:sz w:val="24"/>
          <w:szCs w:val="24"/>
        </w:rPr>
        <w:t xml:space="preserve">(Brooks </w:t>
      </w:r>
      <w:r w:rsidR="00123266" w:rsidRPr="00453357">
        <w:rPr>
          <w:rFonts w:ascii="Times New Roman" w:eastAsia="Times New Roman" w:hAnsi="Times New Roman" w:cs="Times New Roman"/>
          <w:i/>
          <w:iCs/>
          <w:noProof/>
          <w:sz w:val="24"/>
          <w:szCs w:val="24"/>
        </w:rPr>
        <w:t>et al.</w:t>
      </w:r>
      <w:r w:rsidR="00123266" w:rsidRPr="00123266">
        <w:rPr>
          <w:rFonts w:ascii="Times New Roman" w:eastAsia="Times New Roman" w:hAnsi="Times New Roman" w:cs="Times New Roman"/>
          <w:noProof/>
          <w:sz w:val="24"/>
          <w:szCs w:val="24"/>
        </w:rPr>
        <w:t>, 2003b; Ashley and Strader, 2016)</w:t>
      </w:r>
      <w:r w:rsidRPr="004F469F">
        <w:rPr>
          <w:rFonts w:ascii="Times New Roman" w:eastAsia="Times New Roman" w:hAnsi="Times New Roman" w:cs="Times New Roman"/>
          <w:sz w:val="24"/>
          <w:szCs w:val="24"/>
        </w:rPr>
        <w:fldChar w:fldCharType="end"/>
      </w:r>
      <w:r w:rsidRPr="004F469F">
        <w:rPr>
          <w:rFonts w:ascii="Times New Roman" w:eastAsia="Times New Roman" w:hAnsi="Times New Roman" w:cs="Times New Roman"/>
          <w:sz w:val="24"/>
          <w:szCs w:val="24"/>
        </w:rPr>
        <w:t xml:space="preserve">. These ingredients can be represented by certain severe weather diagnostic parameters, such as Convective Available Potential Energy (CAPE), Storm Relative Helicity (SRH), and Vertical Wind Shear (VWS). These parameters can be derived from reanalysis data </w:t>
      </w:r>
      <w:r w:rsidRPr="004F469F">
        <w:rPr>
          <w:rFonts w:ascii="Times New Roman" w:eastAsia="Times New Roman" w:hAnsi="Times New Roman" w:cs="Times New Roman"/>
          <w:sz w:val="24"/>
          <w:szCs w:val="24"/>
        </w:rPr>
        <w:fldChar w:fldCharType="begin" w:fldLock="1"/>
      </w:r>
      <w:r w:rsidR="00123266">
        <w:rPr>
          <w:rFonts w:ascii="Times New Roman" w:eastAsia="Times New Roman" w:hAnsi="Times New Roman" w:cs="Times New Roman"/>
          <w:sz w:val="24"/>
          <w:szCs w:val="24"/>
        </w:rPr>
        <w:instrText>ADDIN CSL_CITATION {"citationItems":[{"id":"ITEM-1","itemData":{"DOI":"10.1002/joc.3769","ISBN":"1097-0088","ISSN":"10970088","abstract":"This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Climatology","id":"ITEM-1","issue":"5","issued":{"date-parts":[["2014"]]},"page":"1699-1705","title":"Future convective environments using NARCCAP","type":"article-journal","volume":"34"},"uris":["http://www.mendeley.com/documents/?uuid=dc5272eb-bd85-42a6-8efc-ce143f74e287"]},{"id":"ITEM-2","itemData":{"ISBN":"1559-5404","author":[{"dropping-particle":"","family":"Gensini","given":"Victor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Reanalysis","type":"article-journal","volume":"6"},"uris":["http://www.mendeley.com/documents/?uuid=c00b076a-fd2d-4516-ac75-69faf6495920"]},{"id":"ITEM-3","itemData":{"ISBN":"0169-8095","author":[{"dropping-particle":"","family":"Brooks","given":"Harold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Research","id":"ITEM-3","issued":{"date-parts":[["2003"]]},"page":"73-94","title":"The spatial distribution of severe thunderstorm and tornado environments from global reanalysis data","type":"article-journal","volume":"67"},"uris":["http://www.mendeley.com/documents/?uuid=2299b90d-1ada-4897-b75e-ee0ee8a4e064"]}],"mendeley":{"formattedCitation":"(Brooks et al., 2003b; Gensini and Ashley, 2011; Gensini et al., 2014b)","plainTextFormattedCitation":"(Brooks et al., 2003b; Gensini and Ashley, 2011; Gensini et al., 2014b)","previouslyFormattedCitation":"(Brooks et al., 2003b; Gensini and Ashley, 2011; Gensini et al., 2014b)"},"properties":{"noteIndex":0},"schema":"https://github.com/citation-style-language/schema/raw/master/csl-citation.json"}</w:instrText>
      </w:r>
      <w:r w:rsidRPr="004F469F">
        <w:rPr>
          <w:rFonts w:ascii="Times New Roman" w:eastAsia="Times New Roman" w:hAnsi="Times New Roman" w:cs="Times New Roman"/>
          <w:sz w:val="24"/>
          <w:szCs w:val="24"/>
        </w:rPr>
        <w:fldChar w:fldCharType="separate"/>
      </w:r>
      <w:r w:rsidR="00123266" w:rsidRPr="00123266">
        <w:rPr>
          <w:rFonts w:ascii="Times New Roman" w:eastAsia="Times New Roman" w:hAnsi="Times New Roman" w:cs="Times New Roman"/>
          <w:noProof/>
          <w:sz w:val="24"/>
          <w:szCs w:val="24"/>
        </w:rPr>
        <w:t xml:space="preserve">(Brooks </w:t>
      </w:r>
      <w:r w:rsidR="00123266" w:rsidRPr="00453357">
        <w:rPr>
          <w:rFonts w:ascii="Times New Roman" w:eastAsia="Times New Roman" w:hAnsi="Times New Roman" w:cs="Times New Roman"/>
          <w:i/>
          <w:iCs/>
          <w:noProof/>
          <w:sz w:val="24"/>
          <w:szCs w:val="24"/>
        </w:rPr>
        <w:t>et al.</w:t>
      </w:r>
      <w:r w:rsidR="00123266" w:rsidRPr="00123266">
        <w:rPr>
          <w:rFonts w:ascii="Times New Roman" w:eastAsia="Times New Roman" w:hAnsi="Times New Roman" w:cs="Times New Roman"/>
          <w:noProof/>
          <w:sz w:val="24"/>
          <w:szCs w:val="24"/>
        </w:rPr>
        <w:t xml:space="preserve">, 2003b; Gensini and Ashley, 2011; Gensini </w:t>
      </w:r>
      <w:r w:rsidR="00123266" w:rsidRPr="00453357">
        <w:rPr>
          <w:rFonts w:ascii="Times New Roman" w:eastAsia="Times New Roman" w:hAnsi="Times New Roman" w:cs="Times New Roman"/>
          <w:i/>
          <w:iCs/>
          <w:noProof/>
          <w:sz w:val="24"/>
          <w:szCs w:val="24"/>
        </w:rPr>
        <w:t>et al.</w:t>
      </w:r>
      <w:r w:rsidR="00123266" w:rsidRPr="00123266">
        <w:rPr>
          <w:rFonts w:ascii="Times New Roman" w:eastAsia="Times New Roman" w:hAnsi="Times New Roman" w:cs="Times New Roman"/>
          <w:noProof/>
          <w:sz w:val="24"/>
          <w:szCs w:val="24"/>
        </w:rPr>
        <w:t>, 2014b)</w:t>
      </w:r>
      <w:r w:rsidRPr="004F469F">
        <w:rPr>
          <w:rFonts w:ascii="Times New Roman" w:eastAsia="Times New Roman" w:hAnsi="Times New Roman" w:cs="Times New Roman"/>
          <w:sz w:val="24"/>
          <w:szCs w:val="24"/>
        </w:rPr>
        <w:fldChar w:fldCharType="end"/>
      </w:r>
      <w:r w:rsidRPr="004F469F">
        <w:rPr>
          <w:rFonts w:ascii="Times New Roman" w:eastAsia="Times New Roman" w:hAnsi="Times New Roman" w:cs="Times New Roman"/>
          <w:sz w:val="24"/>
          <w:szCs w:val="24"/>
        </w:rPr>
        <w:t xml:space="preserve">. TorDIS uses both gridded diagnostic parameters and proximity soundings (atmospheric profiles at the closest points in space and time to the occurrence of tornadoes) to determine the favorability of the environment for tornado formation, and the intensity of a tornado should one occur, respectively. </w:t>
      </w:r>
    </w:p>
    <w:p w14:paraId="7EC14FC2" w14:textId="02496C6B" w:rsidR="00797351" w:rsidRPr="004F469F" w:rsidRDefault="00797351" w:rsidP="0049259D">
      <w:pPr>
        <w:pStyle w:val="PlainText"/>
        <w:spacing w:after="120" w:line="480" w:lineRule="auto"/>
        <w:ind w:firstLine="720"/>
        <w:rPr>
          <w:rFonts w:ascii="Times New Roman" w:hAnsi="Times New Roman" w:cs="Times New Roman"/>
          <w:sz w:val="24"/>
          <w:szCs w:val="24"/>
        </w:rPr>
      </w:pPr>
      <w:r w:rsidRPr="004F469F">
        <w:rPr>
          <w:rFonts w:ascii="Times New Roman" w:eastAsia="Times New Roman" w:hAnsi="Times New Roman" w:cs="Times New Roman"/>
          <w:sz w:val="24"/>
          <w:szCs w:val="24"/>
        </w:rPr>
        <w:t>By default, TorDIS uses reanalysis data from 1979 to 2016 from</w:t>
      </w:r>
      <w:r w:rsidRPr="004F469F">
        <w:rPr>
          <w:rFonts w:ascii="Times New Roman" w:hAnsi="Times New Roman" w:cs="Times New Roman"/>
          <w:sz w:val="24"/>
          <w:szCs w:val="24"/>
        </w:rPr>
        <w:t xml:space="preserve"> the North American Regional Reanalysis (NARR) project for the central and southern United States (Figure 3.2). The NARR is an extension of the National Centers for Environmental Prediction (NCEP) Global Reanalysis project and uses the high-resolution Eta model (with 32 km horizontal resolution and 45 sigma levels) combined with the Regional Data Assimilation System (RDAS) to generate high-resolution atmospheric field variables </w:t>
      </w:r>
      <w:r w:rsidRPr="004F469F">
        <w:rPr>
          <w:rFonts w:ascii="Times New Roman" w:hAnsi="Times New Roman" w:cs="Times New Roman"/>
          <w:sz w:val="24"/>
          <w:szCs w:val="24"/>
        </w:rPr>
        <w:fldChar w:fldCharType="begin" w:fldLock="1"/>
      </w:r>
      <w:r w:rsidR="0010658B">
        <w:rPr>
          <w:rFonts w:ascii="Times New Roman" w:hAnsi="Times New Roman" w:cs="Times New Roman"/>
          <w:sz w:val="24"/>
          <w:szCs w:val="24"/>
        </w:rPr>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Reanalysis","type":"article-journal","volume":"6"},"uris":["http://www.mendeley.com/documents/?uuid=c00b076a-fd2d-4516-ac75-69faf6495920"]}],"mendeley":{"formattedCitation":"(Gensini and Ashley, 2011)","plainTextFormattedCitation":"(Gensini and Ashley, 2011)","previouslyFormattedCitation":"(Gensini and Ashley, 2011)"},"properties":{"noteIndex":0},"schema":"https://github.com/citation-style-language/schema/raw/master/csl-citation.json"}</w:instrText>
      </w:r>
      <w:r w:rsidRPr="004F469F">
        <w:rPr>
          <w:rFonts w:ascii="Times New Roman" w:hAnsi="Times New Roman" w:cs="Times New Roman"/>
          <w:sz w:val="24"/>
          <w:szCs w:val="24"/>
        </w:rPr>
        <w:fldChar w:fldCharType="separate"/>
      </w:r>
      <w:r w:rsidR="0010658B" w:rsidRPr="0010658B">
        <w:rPr>
          <w:rFonts w:ascii="Times New Roman" w:hAnsi="Times New Roman" w:cs="Times New Roman"/>
          <w:noProof/>
          <w:sz w:val="24"/>
          <w:szCs w:val="24"/>
        </w:rPr>
        <w:t>(Gensini and Ashley, 2011)</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The fields are available eight times daily from 1979 to 2016, and all vertical fields are available at 29 pressure levels. Mesinger </w:t>
      </w:r>
      <w:r w:rsidRPr="00453357">
        <w:rPr>
          <w:rFonts w:ascii="Times New Roman" w:hAnsi="Times New Roman" w:cs="Times New Roman"/>
          <w:i/>
          <w:iCs/>
          <w:sz w:val="24"/>
          <w:szCs w:val="24"/>
        </w:rPr>
        <w:t>et al.</w:t>
      </w:r>
      <w:r w:rsidRPr="004F469F">
        <w:rPr>
          <w:rFonts w:ascii="Times New Roman" w:hAnsi="Times New Roman" w:cs="Times New Roman"/>
          <w:i/>
          <w:iCs/>
          <w:sz w:val="24"/>
          <w:szCs w:val="24"/>
        </w:rPr>
        <w:t xml:space="preserve"> </w:t>
      </w:r>
      <w:r w:rsidRPr="004F469F">
        <w:rPr>
          <w:rFonts w:ascii="Times New Roman" w:hAnsi="Times New Roman" w:cs="Times New Roman"/>
          <w:sz w:val="24"/>
          <w:szCs w:val="24"/>
        </w:rPr>
        <w:fldChar w:fldCharType="begin" w:fldLock="1"/>
      </w:r>
      <w:r w:rsidRPr="004F469F">
        <w:rPr>
          <w:rFonts w:ascii="Times New Roman" w:hAnsi="Times New Roman" w:cs="Times New Roman"/>
          <w:sz w:val="24"/>
          <w:szCs w:val="24"/>
        </w:rPr>
        <w:instrText>ADDIN CSL_CITATION {"citationItems":[{"id":"ITEM-1","itemData":{"ISBN":"1520-0477","author":[{"dropping-particle":"","family":"Mesinger","given":"Fedor","non-dropping-particle":"","parse-names":false,"suffix":""},{"dropping-particle":"","family":"DiMego","given":"Geoff","non-dropping-particle":"","parse-names":false,"suffix":""},{"dropping-particle":"","family":"Kalnay","given":"Eugenia","non-dropping-particle":"","parse-names":false,"suffix":""},{"dropping-particle":"","family":"Mitchell","given":"Kenneth","non-dropping-particle":"","parse-names":false,"suffix":""},{"dropping-particle":"","family":"Shafran","given":"Perry C","non-dropping-particle":"","parse-names":false,"suffix":""},{"dropping-particle":"","family":"Ebisuzaki","given":"Wesley","non-dropping-particle":"","parse-names":false,"suffix":""},{"dropping-particle":"","family":"Jovic","given":"Dušan","non-dropping-particle":"","parse-names":false,"suffix":""},{"dropping-particle":"","family":"Woollen","given":"Jack","non-dropping-particle":"","parse-names":false,"suffix":""},{"dropping-particle":"","family":"Rogers","given":"Eric","non-dropping-particle":"","parse-names":false,"suffix":""},{"dropping-particle":"","family":"Berbery","given":"Ernesto H","non-dropping-particle":"","parse-names":false,"suffix":""}],"container-title":"Bulletin of the American Meteorological Society","id":"ITEM-1","issue":"3","issued":{"date-parts":[["2006"]]},"page":"343-360","title":"North American regional reanalysis","type":"article-journal","volume":"87"},"suppress-author":1,"uris":["http://www.mendeley.com/documents/?uuid=25124c7f-363c-4790-a760-d90c2f63cd55"]}],"mendeley":{"formattedCitation":"(2006)","plainTextFormattedCitation":"(2006)","previouslyFormattedCitation":"(2006)"},"properties":{"noteIndex":0},"schema":"https://github.com/citation-style-language/schema/raw/master/csl-citation.json"}</w:instrText>
      </w:r>
      <w:r w:rsidRPr="004F469F">
        <w:rPr>
          <w:rFonts w:ascii="Times New Roman" w:hAnsi="Times New Roman" w:cs="Times New Roman"/>
          <w:sz w:val="24"/>
          <w:szCs w:val="24"/>
        </w:rPr>
        <w:fldChar w:fldCharType="separate"/>
      </w:r>
      <w:r w:rsidRPr="004F469F">
        <w:rPr>
          <w:rFonts w:ascii="Times New Roman" w:hAnsi="Times New Roman" w:cs="Times New Roman"/>
          <w:noProof/>
          <w:sz w:val="24"/>
          <w:szCs w:val="24"/>
        </w:rPr>
        <w:t>(2006)</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evaluated the quality of the NARR data and found </w:t>
      </w:r>
      <w:r w:rsidR="00C41DA1">
        <w:rPr>
          <w:rFonts w:ascii="Times New Roman" w:hAnsi="Times New Roman" w:cs="Times New Roman"/>
          <w:sz w:val="24"/>
          <w:szCs w:val="24"/>
        </w:rPr>
        <w:t xml:space="preserve">it </w:t>
      </w:r>
      <w:r w:rsidRPr="004F469F">
        <w:rPr>
          <w:rFonts w:ascii="Times New Roman" w:hAnsi="Times New Roman" w:cs="Times New Roman"/>
          <w:sz w:val="24"/>
          <w:szCs w:val="24"/>
        </w:rPr>
        <w:t xml:space="preserve">to be a major improvement in both accuracy and resolution over previous global reanalysis efforts. We chose </w:t>
      </w:r>
      <w:r w:rsidRPr="004F469F">
        <w:rPr>
          <w:rFonts w:ascii="Times New Roman" w:hAnsi="Times New Roman" w:cs="Times New Roman"/>
          <w:sz w:val="24"/>
          <w:szCs w:val="24"/>
        </w:rPr>
        <w:lastRenderedPageBreak/>
        <w:t xml:space="preserve">this data set because of its high resolution over North America. There are caveats with the data: small biases have been documented in temperature and precipitation fields </w:t>
      </w:r>
      <w:r w:rsidRPr="004F469F">
        <w:rPr>
          <w:rFonts w:ascii="Times New Roman" w:hAnsi="Times New Roman" w:cs="Times New Roman"/>
          <w:sz w:val="24"/>
          <w:szCs w:val="24"/>
        </w:rPr>
        <w:fldChar w:fldCharType="begin" w:fldLock="1"/>
      </w:r>
      <w:r w:rsidR="0010658B">
        <w:rPr>
          <w:rFonts w:ascii="Times New Roman" w:hAnsi="Times New Roman" w:cs="Times New Roman"/>
          <w:sz w:val="24"/>
          <w:szCs w:val="24"/>
        </w:rPr>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Reanalysis","type":"article-journal","volume":"6"},"uris":["http://www.mendeley.com/documents/?uuid=c00b076a-fd2d-4516-ac75-69faf6495920"]}],"mendeley":{"formattedCitation":"(Gensini and Ashley, 2011)","plainTextFormattedCitation":"(Gensini and Ashley, 2011)","previouslyFormattedCitation":"(Gensini and Ashley, 2011)"},"properties":{"noteIndex":0},"schema":"https://github.com/citation-style-language/schema/raw/master/csl-citation.json"}</w:instrText>
      </w:r>
      <w:r w:rsidRPr="004F469F">
        <w:rPr>
          <w:rFonts w:ascii="Times New Roman" w:hAnsi="Times New Roman" w:cs="Times New Roman"/>
          <w:sz w:val="24"/>
          <w:szCs w:val="24"/>
        </w:rPr>
        <w:fldChar w:fldCharType="separate"/>
      </w:r>
      <w:r w:rsidR="0010658B" w:rsidRPr="0010658B">
        <w:rPr>
          <w:rFonts w:ascii="Times New Roman" w:hAnsi="Times New Roman" w:cs="Times New Roman"/>
          <w:noProof/>
          <w:sz w:val="24"/>
          <w:szCs w:val="24"/>
        </w:rPr>
        <w:t>(Gensini and Ashley, 2011)</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and a lower vertical resolution in the lowest layers can cause biases for some thermodynamic parameters which require vertical integration (</w:t>
      </w:r>
      <w:r w:rsidRPr="004F469F">
        <w:rPr>
          <w:rFonts w:ascii="Times New Roman" w:hAnsi="Times New Roman" w:cs="Times New Roman"/>
          <w:i/>
          <w:iCs/>
          <w:sz w:val="24"/>
          <w:szCs w:val="24"/>
        </w:rPr>
        <w:t>e.g.</w:t>
      </w:r>
      <w:r w:rsidRPr="004F469F">
        <w:rPr>
          <w:rFonts w:ascii="Times New Roman" w:hAnsi="Times New Roman" w:cs="Times New Roman"/>
          <w:sz w:val="24"/>
          <w:szCs w:val="24"/>
        </w:rPr>
        <w:t xml:space="preserve">, CAPE) when compared to collocated observations </w:t>
      </w:r>
      <w:r w:rsidRPr="004F469F">
        <w:rPr>
          <w:rFonts w:ascii="Times New Roman" w:hAnsi="Times New Roman" w:cs="Times New Roman"/>
          <w:sz w:val="24"/>
          <w:szCs w:val="24"/>
        </w:rPr>
        <w:fldChar w:fldCharType="begin" w:fldLock="1"/>
      </w:r>
      <w:r w:rsidR="00123266">
        <w:rPr>
          <w:rFonts w:ascii="Times New Roman" w:hAnsi="Times New Roman" w:cs="Times New Roman"/>
          <w:sz w:val="24"/>
          <w:szCs w:val="24"/>
        </w:rPr>
        <w:instrText>ADDIN CSL_CITATION {"citationItems":[{"id":"ITEM-1","itemData":{"DOI":"10.1175/jamc-d-13-0263.1","ISBN":"1558-8424 1558-8432","author":[{"dropping-particle":"","family":"Gensini","given":"Victor A.","non-dropping-particle":"","parse-names":false,"suffix":""},{"dropping-particle":"","family":"Mote","given":"Thomas L.","non-dropping-particle":"","parse-names":false,"suffix":""},{"dropping-particle":"","family":"Brooks","given":"Harold E.","non-dropping-particle":"","parse-names":false,"suffix":""}],"container-title":"Journal of Applied Meteorology and Climatology","id":"ITEM-1","issue":"3","issued":{"date-parts":[["2014"]]},"page":"742-751","title":"Severe-Thunderstorm Reanalysis Environments and Collocated Radiosonde Observations","type":"article-journal","volume":"53"},"uris":["http://www.mendeley.com/documents/?uuid=ae489d68-78f3-45b4-b300-1c5569e8bb90"]}],"mendeley":{"formattedCitation":"(Gensini et al., 2014a)","plainTextFormattedCitation":"(Gensini et al., 2014a)","previouslyFormattedCitation":"(Gensini et al., 2014a)"},"properties":{"noteIndex":0},"schema":"https://github.com/citation-style-language/schema/raw/master/csl-citation.json"}</w:instrText>
      </w:r>
      <w:r w:rsidRPr="004F469F">
        <w:rPr>
          <w:rFonts w:ascii="Times New Roman" w:hAnsi="Times New Roman" w:cs="Times New Roman"/>
          <w:sz w:val="24"/>
          <w:szCs w:val="24"/>
        </w:rPr>
        <w:fldChar w:fldCharType="separate"/>
      </w:r>
      <w:r w:rsidR="00123266" w:rsidRPr="00123266">
        <w:rPr>
          <w:rFonts w:ascii="Times New Roman" w:hAnsi="Times New Roman" w:cs="Times New Roman"/>
          <w:noProof/>
          <w:sz w:val="24"/>
          <w:szCs w:val="24"/>
        </w:rPr>
        <w:t xml:space="preserve">(Gensini </w:t>
      </w:r>
      <w:r w:rsidR="00123266" w:rsidRPr="00453357">
        <w:rPr>
          <w:rFonts w:ascii="Times New Roman" w:hAnsi="Times New Roman" w:cs="Times New Roman"/>
          <w:i/>
          <w:iCs/>
          <w:noProof/>
          <w:sz w:val="24"/>
          <w:szCs w:val="24"/>
        </w:rPr>
        <w:t>et al.</w:t>
      </w:r>
      <w:r w:rsidR="00123266" w:rsidRPr="00123266">
        <w:rPr>
          <w:rFonts w:ascii="Times New Roman" w:hAnsi="Times New Roman" w:cs="Times New Roman"/>
          <w:noProof/>
          <w:sz w:val="24"/>
          <w:szCs w:val="24"/>
        </w:rPr>
        <w:t>, 2014a)</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We collected all gridded reanalysis data only once per day (at 0000 UTC, the peak time for severe weather activity in the central United States</w:t>
      </w:r>
      <w:r w:rsidR="003642A7">
        <w:rPr>
          <w:rFonts w:ascii="Times New Roman" w:hAnsi="Times New Roman" w:cs="Times New Roman"/>
          <w:sz w:val="24"/>
          <w:szCs w:val="24"/>
        </w:rPr>
        <w:t>;</w:t>
      </w:r>
      <w:r w:rsidRPr="004F469F">
        <w:rPr>
          <w:rFonts w:ascii="Times New Roman" w:hAnsi="Times New Roman" w:cs="Times New Roman"/>
          <w:sz w:val="24"/>
          <w:szCs w:val="24"/>
        </w:rPr>
        <w:t xml:space="preserve"> </w:t>
      </w:r>
      <w:r w:rsidRPr="004F469F">
        <w:rPr>
          <w:rFonts w:ascii="Times New Roman" w:hAnsi="Times New Roman" w:cs="Times New Roman"/>
          <w:sz w:val="24"/>
          <w:szCs w:val="24"/>
        </w:rPr>
        <w:fldChar w:fldCharType="begin" w:fldLock="1"/>
      </w:r>
      <w:r w:rsidR="003642A7">
        <w:rPr>
          <w:rFonts w:ascii="Times New Roman" w:hAnsi="Times New Roman" w:cs="Times New Roman"/>
          <w:sz w:val="24"/>
          <w:szCs w:val="24"/>
        </w:rPr>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Reanalysis","type":"article-journal","volume":"6"},"uris":["http://www.mendeley.com/documents/?uuid=c00b076a-fd2d-4516-ac75-69faf6495920"]}],"mendeley":{"formattedCitation":"(Brooks et al., 2003b; Gensini and Ashley, 2011)","manualFormatting":"Brooks et al., 2003b; Gensini and Ashley, 2011","plainTextFormattedCitation":"(Brooks et al., 2003b; Gensini and Ashley, 2011)","previouslyFormattedCitation":"(Brooks et al., 2003b; Gensini and Ashley, 2011)"},"properties":{"noteIndex":0},"schema":"https://github.com/citation-style-language/schema/raw/master/csl-citation.json"}</w:instrText>
      </w:r>
      <w:r w:rsidRPr="004F469F">
        <w:rPr>
          <w:rFonts w:ascii="Times New Roman" w:hAnsi="Times New Roman" w:cs="Times New Roman"/>
          <w:sz w:val="24"/>
          <w:szCs w:val="24"/>
        </w:rPr>
        <w:fldChar w:fldCharType="separate"/>
      </w:r>
      <w:r w:rsidR="00123266" w:rsidRPr="00123266">
        <w:rPr>
          <w:rFonts w:ascii="Times New Roman" w:hAnsi="Times New Roman" w:cs="Times New Roman"/>
          <w:noProof/>
          <w:sz w:val="24"/>
          <w:szCs w:val="24"/>
        </w:rPr>
        <w:t xml:space="preserve">Brooks </w:t>
      </w:r>
      <w:r w:rsidR="00123266" w:rsidRPr="00453357">
        <w:rPr>
          <w:rFonts w:ascii="Times New Roman" w:hAnsi="Times New Roman" w:cs="Times New Roman"/>
          <w:i/>
          <w:iCs/>
          <w:noProof/>
          <w:sz w:val="24"/>
          <w:szCs w:val="24"/>
        </w:rPr>
        <w:t>et al.</w:t>
      </w:r>
      <w:r w:rsidR="00123266" w:rsidRPr="00123266">
        <w:rPr>
          <w:rFonts w:ascii="Times New Roman" w:hAnsi="Times New Roman" w:cs="Times New Roman"/>
          <w:noProof/>
          <w:sz w:val="24"/>
          <w:szCs w:val="24"/>
        </w:rPr>
        <w:t>, 2003b; Gensini and Ashley, 2011</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while we collected proximity sounding data at the time closest to the tornado report </w:t>
      </w:r>
      <w:r w:rsidRPr="004F469F">
        <w:rPr>
          <w:rFonts w:ascii="Times New Roman" w:hAnsi="Times New Roman" w:cs="Times New Roman"/>
          <w:sz w:val="24"/>
          <w:szCs w:val="24"/>
        </w:rPr>
        <w:fldChar w:fldCharType="begin" w:fldLock="1"/>
      </w:r>
      <w:r w:rsidRPr="004F469F">
        <w:rPr>
          <w:rFonts w:ascii="Times New Roman" w:hAnsi="Times New Roman" w:cs="Times New Roman"/>
          <w:sz w:val="24"/>
          <w:szCs w:val="24"/>
        </w:rPr>
        <w:instrText>ADDIN CSL_CITATION {"citationItems":[{"id":"ITEM-1","itemData":{"author":[{"dropping-particle":"","family":"Lee","given":"James Wynn","non-dropping-particle":"","parse-names":false,"suffix":""}],"id":"ITEM-1","issued":{"date-parts":[["2002"]]},"publisher":"University of Oklahoma","title":"Tornado proximity soundings from the NCEP/NCAR reanalysis data","type":"thesis"},"uris":["http://www.mendeley.com/documents/?uuid=bba92b88-62e5-40bc-afd0-bd991c88247b"]}],"mendeley":{"formattedCitation":"(Lee, 2002)","plainTextFormattedCitation":"(Lee, 2002)","previouslyFormattedCitation":"(Lee, 2002)"},"properties":{"noteIndex":0},"schema":"https://github.com/citation-style-language/schema/raw/master/csl-citation.json"}</w:instrText>
      </w:r>
      <w:r w:rsidRPr="004F469F">
        <w:rPr>
          <w:rFonts w:ascii="Times New Roman" w:hAnsi="Times New Roman" w:cs="Times New Roman"/>
          <w:sz w:val="24"/>
          <w:szCs w:val="24"/>
        </w:rPr>
        <w:fldChar w:fldCharType="separate"/>
      </w:r>
      <w:r w:rsidRPr="004F469F">
        <w:rPr>
          <w:rFonts w:ascii="Times New Roman" w:hAnsi="Times New Roman" w:cs="Times New Roman"/>
          <w:noProof/>
          <w:sz w:val="24"/>
          <w:szCs w:val="24"/>
        </w:rPr>
        <w:t>(Lee, 2002)</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The NARR data is processed using the Sounding/Hodograph Analysis Research Program in Python </w:t>
      </w:r>
      <w:r w:rsidRPr="004F469F">
        <w:rPr>
          <w:rFonts w:ascii="Times New Roman" w:hAnsi="Times New Roman" w:cs="Times New Roman"/>
          <w:sz w:val="24"/>
          <w:szCs w:val="24"/>
        </w:rPr>
        <w:fldChar w:fldCharType="begin" w:fldLock="1"/>
      </w:r>
      <w:r w:rsidR="00123266">
        <w:rPr>
          <w:rFonts w:ascii="Times New Roman" w:hAnsi="Times New Roman" w:cs="Times New Roman"/>
          <w:sz w:val="24"/>
          <w:szCs w:val="24"/>
        </w:rPr>
        <w:instrText>ADDIN CSL_CITATION {"citationItems":[{"id":"ITEM-1","itemData":{"author":[{"dropping-particle":"","family":"Halbert","given":"K T","non-dropping-particle":"","parse-names":false,"suffix":""},{"dropping-particle":"","family":"Blumberg","given":"W G","non-dropping-particle":"","parse-names":false,"suffix":""},{"dropping-particle":"","family":"Marsh","given":"P T","non-dropping-particle":"","parse-names":false,"suffix":""}],"container-title":"Preprints, 5th Symposium on Advances in Modeling and Analysis Using Python, Phoenix AZ","id":"ITEM-1","issued":{"date-parts":[["2015"]]},"title":"SHARPpy: Fueling the Python Cult","type":"paper-conference"},"uris":["http://www.mendeley.com/documents/?uuid=8fc0cee2-3c84-400c-ac5c-b77e9e9f1986"]}],"mendeley":{"formattedCitation":"(Halbert et al., 2015)","plainTextFormattedCitation":"(Halbert et al., 2015)","previouslyFormattedCitation":"(Halbert et al., 2015)"},"properties":{"noteIndex":0},"schema":"https://github.com/citation-style-language/schema/raw/master/csl-citation.json"}</w:instrText>
      </w:r>
      <w:r w:rsidRPr="004F469F">
        <w:rPr>
          <w:rFonts w:ascii="Times New Roman" w:hAnsi="Times New Roman" w:cs="Times New Roman"/>
          <w:sz w:val="24"/>
          <w:szCs w:val="24"/>
        </w:rPr>
        <w:fldChar w:fldCharType="separate"/>
      </w:r>
      <w:r w:rsidR="00123266" w:rsidRPr="00123266">
        <w:rPr>
          <w:rFonts w:ascii="Times New Roman" w:hAnsi="Times New Roman" w:cs="Times New Roman"/>
          <w:noProof/>
          <w:sz w:val="24"/>
          <w:szCs w:val="24"/>
        </w:rPr>
        <w:t xml:space="preserve">(Halbert </w:t>
      </w:r>
      <w:r w:rsidR="00123266" w:rsidRPr="00453357">
        <w:rPr>
          <w:rFonts w:ascii="Times New Roman" w:hAnsi="Times New Roman" w:cs="Times New Roman"/>
          <w:i/>
          <w:iCs/>
          <w:noProof/>
          <w:sz w:val="24"/>
          <w:szCs w:val="24"/>
        </w:rPr>
        <w:t>et al.</w:t>
      </w:r>
      <w:r w:rsidR="00123266" w:rsidRPr="00123266">
        <w:rPr>
          <w:rFonts w:ascii="Times New Roman" w:hAnsi="Times New Roman" w:cs="Times New Roman"/>
          <w:noProof/>
          <w:sz w:val="24"/>
          <w:szCs w:val="24"/>
        </w:rPr>
        <w:t>, 2015)</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to obtain the severe weather diagnostic parameters used by the model. </w:t>
      </w:r>
    </w:p>
    <w:p w14:paraId="591DB917" w14:textId="52A41070" w:rsidR="00797351" w:rsidRPr="004F469F" w:rsidRDefault="00797351" w:rsidP="0049259D">
      <w:pPr>
        <w:pStyle w:val="PlainText"/>
        <w:spacing w:after="120" w:line="480" w:lineRule="auto"/>
        <w:ind w:firstLine="720"/>
        <w:rPr>
          <w:rFonts w:ascii="Times New Roman" w:hAnsi="Times New Roman" w:cs="Times New Roman"/>
          <w:sz w:val="24"/>
          <w:szCs w:val="24"/>
        </w:rPr>
      </w:pPr>
      <w:r w:rsidRPr="004F469F">
        <w:rPr>
          <w:rFonts w:ascii="Times New Roman" w:hAnsi="Times New Roman" w:cs="Times New Roman"/>
          <w:sz w:val="24"/>
          <w:szCs w:val="24"/>
        </w:rPr>
        <w:t xml:space="preserve">TorDIS can also be calibrated to use other reanalysis data sets, such as the NCEP Reanalysis-2 </w:t>
      </w:r>
      <w:r w:rsidRPr="004F469F">
        <w:rPr>
          <w:rFonts w:ascii="Times New Roman" w:hAnsi="Times New Roman" w:cs="Times New Roman"/>
          <w:sz w:val="24"/>
          <w:szCs w:val="24"/>
        </w:rPr>
        <w:fldChar w:fldCharType="begin" w:fldLock="1"/>
      </w:r>
      <w:r w:rsidR="00123266">
        <w:rPr>
          <w:rFonts w:ascii="Times New Roman" w:hAnsi="Times New Roman" w:cs="Times New Roman"/>
          <w:sz w:val="24"/>
          <w:szCs w:val="24"/>
        </w:rPr>
        <w:instrText>ADDIN CSL_CITATION {"citationItems":[{"id":"ITEM-1","itemData":{"author":[{"dropping-particle":"","family":"Kanamitsu","given":"Masao","non-dropping-particle":"","parse-names":false,"suffix":""},{"dropping-particle":"","family":"Ebisuzaki","given":"Wesley","non-dropping-particle":"","parse-names":false,"suffix":""},{"dropping-particle":"","family":"Woollen","given":"Jack","non-dropping-particle":"","parse-names":false,"suffix":""},{"dropping-particle":"","family":"Yang","given":"Shi-Keng","non-dropping-particle":"","parse-names":false,"suffix":""},{"dropping-particle":"","family":"Hnilo","given":"J J","non-dropping-particle":"","parse-names":false,"suffix":""},{"dropping-particle":"","family":"Fiorino","given":"M","non-dropping-particle":"","parse-names":false,"suffix":""},{"dropping-particle":"","family":"Potter","given":"G L","non-dropping-particle":"","parse-names":false,"suffix":""}],"container-title":"Bulletin of the American Meteorological Society","id":"ITEM-1","issue":"11","issued":{"date-parts":[["2002"]]},"page":"1631-1644","publisher":"American Meteorological Society","title":"Ncep--doe amip-ii reanalysis (r-2)","type":"article-journal","volume":"83"},"uris":["http://www.mendeley.com/documents/?uuid=3e60a8a2-5322-42f4-b697-c53a5a6a8177"]}],"mendeley":{"formattedCitation":"(Kanamitsu et al., 2002)","plainTextFormattedCitation":"(Kanamitsu et al., 2002)","previouslyFormattedCitation":"(Kanamitsu et al., 2002)"},"properties":{"noteIndex":0},"schema":"https://github.com/citation-style-language/schema/raw/master/csl-citation.json"}</w:instrText>
      </w:r>
      <w:r w:rsidRPr="004F469F">
        <w:rPr>
          <w:rFonts w:ascii="Times New Roman" w:hAnsi="Times New Roman" w:cs="Times New Roman"/>
          <w:sz w:val="24"/>
          <w:szCs w:val="24"/>
        </w:rPr>
        <w:fldChar w:fldCharType="separate"/>
      </w:r>
      <w:r w:rsidR="0010658B" w:rsidRPr="00123266">
        <w:rPr>
          <w:rFonts w:ascii="Times New Roman" w:hAnsi="Times New Roman" w:cs="Times New Roman"/>
          <w:noProof/>
          <w:sz w:val="24"/>
          <w:szCs w:val="24"/>
        </w:rPr>
        <w:t xml:space="preserve">(Kanamitsu </w:t>
      </w:r>
      <w:r w:rsidR="0010658B" w:rsidRPr="00453357">
        <w:rPr>
          <w:rFonts w:ascii="Times New Roman" w:hAnsi="Times New Roman" w:cs="Times New Roman"/>
          <w:i/>
          <w:iCs/>
          <w:noProof/>
          <w:sz w:val="24"/>
          <w:szCs w:val="24"/>
        </w:rPr>
        <w:t>et al.</w:t>
      </w:r>
      <w:r w:rsidR="0010658B" w:rsidRPr="00123266">
        <w:rPr>
          <w:rFonts w:ascii="Times New Roman" w:hAnsi="Times New Roman" w:cs="Times New Roman"/>
          <w:noProof/>
          <w:sz w:val="24"/>
          <w:szCs w:val="24"/>
        </w:rPr>
        <w:t>, 2002)</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as well as to use future atmospheric environments from climate models, such as the North American Regional Climate Change Assessment Program </w:t>
      </w:r>
      <w:r w:rsidRPr="004F469F">
        <w:rPr>
          <w:rFonts w:ascii="Times New Roman" w:hAnsi="Times New Roman" w:cs="Times New Roman"/>
          <w:sz w:val="24"/>
          <w:szCs w:val="24"/>
        </w:rPr>
        <w:fldChar w:fldCharType="begin" w:fldLock="1"/>
      </w:r>
      <w:r w:rsidR="00123266">
        <w:rPr>
          <w:rFonts w:ascii="Times New Roman" w:hAnsi="Times New Roman" w:cs="Times New Roman"/>
          <w:sz w:val="24"/>
          <w:szCs w:val="24"/>
        </w:rPr>
        <w:instrText>ADDIN CSL_CITATION {"citationItems":[{"id":"ITEM-1","itemData":{"author":[{"dropping-particle":"","family":"Mearns","given":"L O","non-dropping-particle":"","parse-names":false,"suffix":""},{"dropping-particle":"","family":"Sain","given":"Steve","non-dropping-particle":"","parse-names":false,"suffix":""},{"dropping-particle":"","family":"Leung","given":"L R","non-dropping-particle":"","parse-names":false,"suffix":""},{"dropping-particle":"","family":"Bukovsky","given":"M S","non-dropping-particle":"","parse-names":false,"suffix":""},{"dropping-particle":"","family":"McGinnis","given":"Seth","non-dropping-particle":"","parse-names":false,"suffix":""},{"dropping-particle":"","family":"Biner","given":"S","non-dropping-particle":"","parse-names":false,"suffix":""},{"dropping-particle":"","family":"Caya","given":"Daniel","non-dropping-particle":"","parse-names":false,"suffix":""},{"dropping-particle":"","family":"Arritt","given":"R W","non-dropping-particle":"","parse-names":false,"suffix":""},{"dropping-particle":"","family":"Gutowski","given":"William","non-dropping-particle":"","parse-names":false,"suffix":""},{"dropping-particle":"","family":"Takle","given":"E","non-dropping-particle":"","parse-names":false,"suffix":""},{"dropping-particle":"","family":"others","given":"","non-dropping-particle":"","parse-names":false,"suffix":""}],"container-title":"Climatic Change","id":"ITEM-1","issue":"4","issued":{"date-parts":[["2013"]]},"page":"965-975","publisher":"Springer","title":"Climate change projections of the North American regional climate change assessment program (NARCCAP)","type":"article-journal","volume":"120"},"uris":["http://www.mendeley.com/documents/?uuid=ddf62348-cdb8-4bf0-82e0-7b44c0bf1ed0"]}],"mendeley":{"formattedCitation":"(Mearns et al., 2013)","plainTextFormattedCitation":"(Mearns et al., 2013)","previouslyFormattedCitation":"(Mearns et al., 2013)"},"properties":{"noteIndex":0},"schema":"https://github.com/citation-style-language/schema/raw/master/csl-citation.json"}</w:instrText>
      </w:r>
      <w:r w:rsidRPr="004F469F">
        <w:rPr>
          <w:rFonts w:ascii="Times New Roman" w:hAnsi="Times New Roman" w:cs="Times New Roman"/>
          <w:sz w:val="24"/>
          <w:szCs w:val="24"/>
        </w:rPr>
        <w:fldChar w:fldCharType="separate"/>
      </w:r>
      <w:r w:rsidR="0010658B" w:rsidRPr="00123266">
        <w:rPr>
          <w:rFonts w:ascii="Times New Roman" w:hAnsi="Times New Roman" w:cs="Times New Roman"/>
          <w:noProof/>
          <w:sz w:val="24"/>
          <w:szCs w:val="24"/>
        </w:rPr>
        <w:t xml:space="preserve">(Mearns </w:t>
      </w:r>
      <w:r w:rsidR="0010658B" w:rsidRPr="00453357">
        <w:rPr>
          <w:rFonts w:ascii="Times New Roman" w:hAnsi="Times New Roman" w:cs="Times New Roman"/>
          <w:i/>
          <w:iCs/>
          <w:noProof/>
          <w:sz w:val="24"/>
          <w:szCs w:val="24"/>
        </w:rPr>
        <w:t>et al.</w:t>
      </w:r>
      <w:r w:rsidR="0010658B" w:rsidRPr="00123266">
        <w:rPr>
          <w:rFonts w:ascii="Times New Roman" w:hAnsi="Times New Roman" w:cs="Times New Roman"/>
          <w:noProof/>
          <w:sz w:val="24"/>
          <w:szCs w:val="24"/>
        </w:rPr>
        <w:t>, 2013)</w:t>
      </w:r>
      <w:r w:rsidRPr="004F469F">
        <w:rPr>
          <w:rFonts w:ascii="Times New Roman" w:hAnsi="Times New Roman" w:cs="Times New Roman"/>
          <w:sz w:val="24"/>
          <w:szCs w:val="24"/>
        </w:rPr>
        <w:fldChar w:fldCharType="end"/>
      </w:r>
      <w:r w:rsidRPr="004F469F">
        <w:rPr>
          <w:rFonts w:ascii="Times New Roman" w:hAnsi="Times New Roman" w:cs="Times New Roman"/>
          <w:sz w:val="24"/>
          <w:szCs w:val="24"/>
        </w:rPr>
        <w:t xml:space="preserve"> as long as they are available at </w:t>
      </w:r>
      <w:r w:rsidR="00C41DA1">
        <w:rPr>
          <w:rFonts w:ascii="Times New Roman" w:hAnsi="Times New Roman" w:cs="Times New Roman"/>
          <w:sz w:val="24"/>
          <w:szCs w:val="24"/>
        </w:rPr>
        <w:t xml:space="preserve">a </w:t>
      </w:r>
      <w:r w:rsidRPr="004F469F">
        <w:rPr>
          <w:rFonts w:ascii="Times New Roman" w:hAnsi="Times New Roman" w:cs="Times New Roman"/>
          <w:sz w:val="24"/>
          <w:szCs w:val="24"/>
        </w:rPr>
        <w:t>daily time scale.</w:t>
      </w:r>
    </w:p>
    <w:p w14:paraId="64528BAF" w14:textId="77777777" w:rsidR="00797351" w:rsidRPr="004F469F" w:rsidRDefault="00797351" w:rsidP="002C7A24">
      <w:pPr>
        <w:pStyle w:val="Heading3"/>
        <w:spacing w:before="0" w:after="120" w:line="480" w:lineRule="auto"/>
        <w:rPr>
          <w:rFonts w:ascii="Times New Roman" w:hAnsi="Times New Roman" w:cs="Times New Roman"/>
          <w:i/>
          <w:iCs/>
          <w:color w:val="auto"/>
        </w:rPr>
      </w:pPr>
      <w:bookmarkStart w:id="53" w:name="_Toc21861308"/>
      <w:r w:rsidRPr="004F469F">
        <w:rPr>
          <w:rFonts w:ascii="Times New Roman" w:hAnsi="Times New Roman" w:cs="Times New Roman"/>
          <w:i/>
          <w:iCs/>
          <w:color w:val="auto"/>
        </w:rPr>
        <w:t>Model Mode and Study Area Selection</w:t>
      </w:r>
      <w:bookmarkEnd w:id="53"/>
    </w:p>
    <w:p w14:paraId="4DC59ABB" w14:textId="0A794717"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rPr>
          <w:bCs/>
        </w:rPr>
      </w:pPr>
      <w:r w:rsidRPr="004F469F">
        <w:rPr>
          <w:bCs/>
        </w:rPr>
        <w:tab/>
        <w:t>TorDIS has two modes in which it can be run: daily or annually. Like TorMC, TorDIS is a stochastic model which relies on Monte Carlo simulations to estimate tornado impacts. In daily mode, the user specifies the number of Monte Carlo simulations to run (</w:t>
      </w:r>
      <w:r w:rsidRPr="004F469F">
        <w:rPr>
          <w:bCs/>
          <w:i/>
        </w:rPr>
        <w:t>n</w:t>
      </w:r>
      <w:r w:rsidRPr="004F469F">
        <w:rPr>
          <w:bCs/>
        </w:rPr>
        <w:t>) and tornado production on the specified day (</w:t>
      </w:r>
      <w:r w:rsidRPr="004F469F">
        <w:rPr>
          <w:bCs/>
          <w:i/>
          <w:iCs/>
        </w:rPr>
        <w:t>e.g.</w:t>
      </w:r>
      <w:r w:rsidRPr="004F469F">
        <w:rPr>
          <w:bCs/>
        </w:rPr>
        <w:t xml:space="preserve">, 27 April 2011) is simulated </w:t>
      </w:r>
      <w:r w:rsidRPr="004F469F">
        <w:rPr>
          <w:bCs/>
          <w:i/>
        </w:rPr>
        <w:t>n</w:t>
      </w:r>
      <w:r w:rsidRPr="004F469F">
        <w:rPr>
          <w:bCs/>
        </w:rPr>
        <w:t xml:space="preserve"> times to assess the potential impacts over the spatial domain on the day. This mode can be used to assess the likelihood of population exposure exceeding that of a particularly impactful tornado on the day (</w:t>
      </w:r>
      <w:r w:rsidRPr="004F469F">
        <w:rPr>
          <w:bCs/>
          <w:i/>
          <w:iCs/>
        </w:rPr>
        <w:t>e.g.</w:t>
      </w:r>
      <w:r w:rsidRPr="004F469F">
        <w:rPr>
          <w:bCs/>
        </w:rPr>
        <w:t>, the EF4 tornado that hit Tuscaloosa and Birmingham, AL on 27 April 2011</w:t>
      </w:r>
      <w:r w:rsidR="003642A7">
        <w:rPr>
          <w:bCs/>
        </w:rPr>
        <w:t>;</w:t>
      </w:r>
      <w:r w:rsidRPr="004F469F">
        <w:rPr>
          <w:bCs/>
        </w:rPr>
        <w:t xml:space="preserve"> </w:t>
      </w:r>
      <w:r w:rsidRPr="004F469F">
        <w:rPr>
          <w:bCs/>
        </w:rPr>
        <w:fldChar w:fldCharType="begin" w:fldLock="1"/>
      </w:r>
      <w:r w:rsidR="003642A7">
        <w:rPr>
          <w:bCs/>
        </w:rPr>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perspective","type":"article-journal","volume":"67"},"uris":["http://www.mendeley.com/documents/?uuid=42235697-4e43-4cf7-9772-fa9a876de81d"]}],"mendeley":{"formattedCitation":"(Doswell et al., 2012)","manualFormatting":"Doswell et al., 2012","plainTextFormattedCitation":"(Doswell et al., 2012)","previouslyFormattedCitation":"(Doswell et al., 2012)"},"properties":{"noteIndex":0},"schema":"https://github.com/citation-style-language/schema/raw/master/csl-citation.json"}</w:instrText>
      </w:r>
      <w:r w:rsidRPr="004F469F">
        <w:rPr>
          <w:bCs/>
        </w:rPr>
        <w:fldChar w:fldCharType="separate"/>
      </w:r>
      <w:r w:rsidR="00123266" w:rsidRPr="00123266">
        <w:rPr>
          <w:bCs/>
          <w:noProof/>
        </w:rPr>
        <w:t xml:space="preserve">Doswell </w:t>
      </w:r>
      <w:r w:rsidR="00123266" w:rsidRPr="00453357">
        <w:rPr>
          <w:bCs/>
          <w:i/>
          <w:iCs/>
          <w:noProof/>
        </w:rPr>
        <w:t>et al.</w:t>
      </w:r>
      <w:r w:rsidR="00123266" w:rsidRPr="00123266">
        <w:rPr>
          <w:bCs/>
          <w:noProof/>
        </w:rPr>
        <w:t>, 2012</w:t>
      </w:r>
      <w:r w:rsidRPr="004F469F">
        <w:rPr>
          <w:bCs/>
        </w:rPr>
        <w:fldChar w:fldCharType="end"/>
      </w:r>
      <w:r w:rsidRPr="004F469F">
        <w:rPr>
          <w:bCs/>
        </w:rPr>
        <w:t xml:space="preserve">). In annual mode, the user specifies the number of Monte Carlo simulations to run and for each </w:t>
      </w:r>
      <w:r w:rsidRPr="004F469F">
        <w:rPr>
          <w:bCs/>
        </w:rPr>
        <w:lastRenderedPageBreak/>
        <w:t xml:space="preserve">simulation, a year of atmospheric environment data is randomly selected from the available data and tornadoes are simulated for each favorable day over that year. This mode is used to assess the long-term risk of tornado impacts, such as the risk of population exposure exceeding 5,000 persons in a given area </w:t>
      </w:r>
      <w:r w:rsidRPr="004F469F">
        <w:rPr>
          <w:bCs/>
        </w:rPr>
        <w:fldChar w:fldCharType="begin" w:fldLock="1"/>
      </w:r>
      <w:r w:rsidR="00F37017">
        <w:rPr>
          <w:bCs/>
        </w:rPr>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States","type":"article-journal","volume":"11"},"uris":["http://www.mendeley.com/documents/?uuid=0032bc5e-f0bd-436a-ab51-61b7467838eb"]}],"mendeley":{"formattedCitation":"(Hatzis et al., 2019)","plainTextFormattedCitation":"(Hatzis et al., 2019)","previouslyFormattedCitation":"(Hatzis et al., 2019)"},"properties":{"noteIndex":0},"schema":"https://github.com/citation-style-language/schema/raw/master/csl-citation.json"}</w:instrText>
      </w:r>
      <w:r w:rsidRPr="004F469F">
        <w:rPr>
          <w:bCs/>
        </w:rPr>
        <w:fldChar w:fldCharType="separate"/>
      </w:r>
      <w:r w:rsidR="00123266" w:rsidRPr="00123266">
        <w:rPr>
          <w:bCs/>
          <w:noProof/>
        </w:rPr>
        <w:t xml:space="preserve">(Hatzis </w:t>
      </w:r>
      <w:r w:rsidR="00123266" w:rsidRPr="00453357">
        <w:rPr>
          <w:bCs/>
          <w:i/>
          <w:iCs/>
          <w:noProof/>
        </w:rPr>
        <w:t>et al.</w:t>
      </w:r>
      <w:r w:rsidR="00123266" w:rsidRPr="00123266">
        <w:rPr>
          <w:bCs/>
          <w:noProof/>
        </w:rPr>
        <w:t>, 2019)</w:t>
      </w:r>
      <w:r w:rsidRPr="004F469F">
        <w:rPr>
          <w:bCs/>
        </w:rPr>
        <w:fldChar w:fldCharType="end"/>
      </w:r>
      <w:r w:rsidRPr="004F469F">
        <w:rPr>
          <w:bCs/>
        </w:rPr>
        <w:t>.</w:t>
      </w:r>
    </w:p>
    <w:p w14:paraId="30CDCFD3" w14:textId="671152EA"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rPr>
          <w:bCs/>
        </w:rPr>
        <w:tab/>
        <w:t>In addition to selecting a mode and number of simulations, the user also must select a</w:t>
      </w:r>
      <w:r w:rsidRPr="004F469F">
        <w:t xml:space="preserve"> study area over which to run the model. The study area must be at least 5,000 km</w:t>
      </w:r>
      <w:r w:rsidRPr="004F469F">
        <w:rPr>
          <w:vertAlign w:val="superscript"/>
        </w:rPr>
        <w:t>2</w:t>
      </w:r>
      <w:r w:rsidRPr="004F469F">
        <w:t xml:space="preserve"> (corresponding to the SPC’s practice of forecasting tornadoes within 40 km of a given location</w:t>
      </w:r>
      <w:r w:rsidR="004018A9">
        <w:t>;</w:t>
      </w:r>
      <w:r w:rsidRPr="004F469F">
        <w:t xml:space="preserve"> </w:t>
      </w:r>
      <w:r w:rsidRPr="004F469F">
        <w:fldChar w:fldCharType="begin" w:fldLock="1"/>
      </w:r>
      <w:r w:rsidR="004018A9">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2013)","manualFormatting":"Hitchens et al., 2013)","plainTextFormattedCitation":"(Hitchens et al., 2013)","previouslyFormattedCitation":"(Hitchens et al., 2013)"},"properties":{"noteIndex":0},"schema":"https://github.com/citation-style-language/schema/raw/master/csl-citation.json"}</w:instrText>
      </w:r>
      <w:r w:rsidRPr="004F469F">
        <w:fldChar w:fldCharType="separate"/>
      </w:r>
      <w:r w:rsidR="00123266" w:rsidRPr="00123266">
        <w:rPr>
          <w:noProof/>
        </w:rPr>
        <w:t xml:space="preserve">Hitchens </w:t>
      </w:r>
      <w:r w:rsidR="00123266" w:rsidRPr="00453357">
        <w:rPr>
          <w:i/>
          <w:iCs/>
          <w:noProof/>
        </w:rPr>
        <w:t>et al.</w:t>
      </w:r>
      <w:r w:rsidR="00123266" w:rsidRPr="00123266">
        <w:rPr>
          <w:noProof/>
        </w:rPr>
        <w:t>, 2013)</w:t>
      </w:r>
      <w:r w:rsidRPr="004F469F">
        <w:fldChar w:fldCharType="end"/>
      </w:r>
      <w:r w:rsidRPr="004F469F">
        <w:t xml:space="preserve"> and be within the model’s spatial domain (Figure 3.2). The maximum study area size is limited by both the size of the domain and the buffer size used to reduce edge effects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Figure 3.2 shows the maximum study area size for a 50 km buffer as a dashed line. The model is first run over the entire domain, and then the footprints are clipped to the specified study area. The procedure is done this way to ensure that sufficient tornado footprints are generated over the study area for each day since daily tornado probabilities are low for smaller areas </w:t>
      </w:r>
      <w:r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States","type":"article-journal","volume":"18"},"uris":["http://www.mendeley.com/documents/?uuid=d2c29800-b258-46b1-9db2-3480e3ee0273"]}],"mendeley":{"formattedCitation":"(Brooks et al., 2003a)","plainTextFormattedCitation":"(Brooks et al., 2003a)","previouslyFormattedCitation":"(Brooks et al., 2003a)"},"properties":{"noteIndex":0},"schema":"https://github.com/citation-style-language/schema/raw/master/csl-citation.json"}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2003a)</w:t>
      </w:r>
      <w:r w:rsidRPr="004F469F">
        <w:fldChar w:fldCharType="end"/>
      </w:r>
      <w:r w:rsidRPr="004F469F">
        <w:t>.</w:t>
      </w:r>
    </w:p>
    <w:p w14:paraId="62AAADF6" w14:textId="77777777" w:rsidR="00797351" w:rsidRPr="004F469F" w:rsidRDefault="00797351" w:rsidP="002C7A24">
      <w:pPr>
        <w:pStyle w:val="Heading3"/>
        <w:spacing w:before="0" w:after="120" w:line="480" w:lineRule="auto"/>
        <w:rPr>
          <w:rFonts w:ascii="Times New Roman" w:hAnsi="Times New Roman" w:cs="Times New Roman"/>
          <w:i/>
          <w:iCs/>
          <w:color w:val="auto"/>
        </w:rPr>
      </w:pPr>
      <w:bookmarkStart w:id="54" w:name="_Toc21861309"/>
      <w:r w:rsidRPr="004F469F">
        <w:rPr>
          <w:rFonts w:ascii="Times New Roman" w:hAnsi="Times New Roman" w:cs="Times New Roman"/>
          <w:i/>
          <w:iCs/>
          <w:color w:val="auto"/>
        </w:rPr>
        <w:t>Tornado Probability Surface and Daily Tornado Count</w:t>
      </w:r>
      <w:bookmarkEnd w:id="54"/>
    </w:p>
    <w:p w14:paraId="48E0AE2D" w14:textId="77777777" w:rsidR="00797351" w:rsidRPr="004F469F" w:rsidRDefault="00797351" w:rsidP="002C7A24">
      <w:pPr>
        <w:pStyle w:val="Heading4"/>
        <w:spacing w:before="0" w:after="120" w:line="480" w:lineRule="auto"/>
        <w:rPr>
          <w:rFonts w:ascii="Times New Roman" w:hAnsi="Times New Roman" w:cs="Times New Roman"/>
          <w:i w:val="0"/>
          <w:iCs w:val="0"/>
          <w:color w:val="auto"/>
        </w:rPr>
      </w:pPr>
      <w:r w:rsidRPr="004F469F">
        <w:rPr>
          <w:rFonts w:ascii="Times New Roman" w:hAnsi="Times New Roman" w:cs="Times New Roman"/>
          <w:i w:val="0"/>
          <w:iCs w:val="0"/>
          <w:color w:val="auto"/>
        </w:rPr>
        <w:t>Tornado Probability Regression Model Specification and Sensitivity Analysis</w:t>
      </w:r>
    </w:p>
    <w:p w14:paraId="6E86DF31" w14:textId="209B497C"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rPr>
          <w:bCs/>
        </w:rPr>
      </w:pPr>
      <w:r w:rsidRPr="004F469F">
        <w:rPr>
          <w:bCs/>
        </w:rPr>
        <w:tab/>
        <w:t>Tornado distribution in the model begins with a decision of whether or not the atmospheric environment is favorable for tornado development on a given day</w:t>
      </w:r>
      <w:r w:rsidR="002C3A63">
        <w:rPr>
          <w:bCs/>
        </w:rPr>
        <w:t xml:space="preserve"> of the simulation</w:t>
      </w:r>
      <w:r w:rsidRPr="004F469F">
        <w:rPr>
          <w:bCs/>
        </w:rPr>
        <w:t xml:space="preserve">. A number of methods have been suggested for defining environmental favorability, within both atmospheric and health sciences, including linear discriminant analysis </w:t>
      </w:r>
      <w:r w:rsidRPr="004F469F">
        <w:rPr>
          <w:bCs/>
        </w:rPr>
        <w:fldChar w:fldCharType="begin" w:fldLock="1"/>
      </w:r>
      <w:r w:rsidR="00123266">
        <w:rPr>
          <w:bCs/>
        </w:rPr>
        <w:instrText>ADDIN CSL_CITATION {"citationItems":[{"id":"ITEM-1","itemData":{"author":[{"dropping-particle":"","family":"Lee","given":"James Wynn","non-dropping-particle":"","parse-names":false,"suffix":""}],"id":"ITEM-1","issued":{"date-parts":[["2002"]]},"publisher":"University of Oklahoma","title":"Tornado proximity soundings from the NCEP/NCAR reanalysis data","type":"thesis"},"uris":["http://www.mendeley.com/documents/?uuid=bba92b88-62e5-40bc-afd0-bd991c88247b"]},{"id":"ITEM-2","itemData":{"ISBN":"0169-8095","author":[{"dropping-particle":"","family":"Brooks","given":"Harold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Reanalysis","type":"article-journal","volume":"6"},"uris":["http://www.mendeley.com/documents/?uuid=c00b076a-fd2d-4516-ac75-69faf6495920"]}],"mendeley":{"formattedCitation":"(Lee, 2002; Brooks et al., 2003b; Gensini and Ashley, 2011)","plainTextFormattedCitation":"(Lee, 2002; Brooks et al., 2003b; Gensini and Ashley, 2011)","previouslyFormattedCitation":"(Lee, 2002; Brooks et al., 2003b; Gensini and Ashley, 2011)"},"properties":{"noteIndex":0},"schema":"https://github.com/citation-style-language/schema/raw/master/csl-citation.json"}</w:instrText>
      </w:r>
      <w:r w:rsidRPr="004F469F">
        <w:rPr>
          <w:bCs/>
        </w:rPr>
        <w:fldChar w:fldCharType="separate"/>
      </w:r>
      <w:r w:rsidR="00123266" w:rsidRPr="00123266">
        <w:rPr>
          <w:bCs/>
          <w:noProof/>
        </w:rPr>
        <w:t xml:space="preserve">(Lee, 2002; Brooks </w:t>
      </w:r>
      <w:r w:rsidR="00123266" w:rsidRPr="00453357">
        <w:rPr>
          <w:bCs/>
          <w:i/>
          <w:iCs/>
          <w:noProof/>
        </w:rPr>
        <w:t>et al.</w:t>
      </w:r>
      <w:r w:rsidR="00123266" w:rsidRPr="00123266">
        <w:rPr>
          <w:bCs/>
          <w:noProof/>
        </w:rPr>
        <w:t>, 2003b; Gensini and Ashley, 2011)</w:t>
      </w:r>
      <w:r w:rsidRPr="004F469F">
        <w:rPr>
          <w:bCs/>
        </w:rPr>
        <w:fldChar w:fldCharType="end"/>
      </w:r>
      <w:r w:rsidRPr="004F469F">
        <w:rPr>
          <w:bCs/>
        </w:rPr>
        <w:t>, geographic weighted regression (GWR</w:t>
      </w:r>
      <w:r w:rsidR="004018A9">
        <w:rPr>
          <w:bCs/>
        </w:rPr>
        <w:t>;</w:t>
      </w:r>
      <w:r w:rsidRPr="004F469F">
        <w:rPr>
          <w:bCs/>
        </w:rPr>
        <w:t xml:space="preserve"> </w:t>
      </w:r>
      <w:r w:rsidRPr="004F469F">
        <w:rPr>
          <w:bCs/>
        </w:rPr>
        <w:fldChar w:fldCharType="begin" w:fldLock="1"/>
      </w:r>
      <w:r w:rsidR="00123266">
        <w:rPr>
          <w:bCs/>
        </w:rPr>
        <w:instrText>ADDIN CSL_CITATION {"citationItems":[{"id":"ITEM-1","itemData":{"ISBN":"1097-0258","author":[{"dropping-particle":"","family":"Nakaya","given":"Tomoki","non-dropping-particle":"","parse-names":false,"suffix":""},{"dropping-particle":"","family":"Fotheringham","given":"Alexander S","non-dropping-particle":"","parse-names":false,"suffix":""},{"dropping-particle":"","family":"Brunsdon","given":"Chris","non-dropping-particle":"","parse-names":false,"suffix":""},{"dropping-particle":"","family":"Charlton","given":"Martin","non-dropping-particle":"","parse-names":false,"suffix":""}],"container-title":"Statistics in medicine","id":"ITEM-1","issue":"17","issued":{"date-parts":[["2005"]]},"page":"2695-2717","title":"Geographically weighted Poisson regression for disease association mapping","type":"article-journal","volume":"24"},"uris":["http://www.mendeley.com/documents/?uuid=001d5af7-1ada-4f40-941b-0bb1aa7ea69d"]},{"id":"ITEM-2","itemData":{"ISBN":"0143-6228","author":[{"dropping-particle":"","family":"Ivajnšič","given":"Danijel","non-dropping-particle":"","parse-names":false,"suffix":""},{"dropping-particle":"","family":"Kaligarič","given":"Mitja","non-dropping-particle":"","parse-names":false,"suffix":""},{"dropping-particle":"","family":"Žiberna","given":"Igor","non-dropping-particle":"","parse-names":false,"suffix":""}],"container-title":"Applied Geography","id":"ITEM-2","issued":{"date-parts":[["2014"]]},"page":"341-353","title":"Geographically weighted regression of the urban heat island of a small city","type":"article-journal","volume":"53"},"uris":["http://www.mendeley.com/documents/?uuid=0abd2e18-6ad7-471b-b75e-29950c0fb26f"]}],"mendeley":{"formattedCitation":"(Nakaya et al., 2005; Ivajnšič et al., 2014)","plainTextFormattedCitation":"(Nakaya et al., 2005; Ivajnšič et al., 2014)","previouslyFormattedCitation":"(Nakaya et al., 2005; Ivajnšič et al., 2014)"},"properties":{"noteIndex":0},"schema":"https://github.com/citation-style-language/schema/raw/master/csl-citation.json"}</w:instrText>
      </w:r>
      <w:r w:rsidRPr="004F469F">
        <w:rPr>
          <w:bCs/>
        </w:rPr>
        <w:fldChar w:fldCharType="separate"/>
      </w:r>
      <w:r w:rsidR="00123266" w:rsidRPr="00123266">
        <w:rPr>
          <w:bCs/>
          <w:noProof/>
        </w:rPr>
        <w:t xml:space="preserve">Nakaya </w:t>
      </w:r>
      <w:r w:rsidR="00123266" w:rsidRPr="00453357">
        <w:rPr>
          <w:bCs/>
          <w:i/>
          <w:iCs/>
          <w:noProof/>
        </w:rPr>
        <w:t>et al.</w:t>
      </w:r>
      <w:r w:rsidR="00123266" w:rsidRPr="00123266">
        <w:rPr>
          <w:bCs/>
          <w:noProof/>
        </w:rPr>
        <w:t xml:space="preserve">, 2005; Ivajnšič </w:t>
      </w:r>
      <w:r w:rsidR="00123266" w:rsidRPr="00453357">
        <w:rPr>
          <w:bCs/>
          <w:i/>
          <w:iCs/>
          <w:noProof/>
        </w:rPr>
        <w:t>et al.</w:t>
      </w:r>
      <w:r w:rsidR="00123266" w:rsidRPr="00123266">
        <w:rPr>
          <w:bCs/>
          <w:noProof/>
        </w:rPr>
        <w:t>, 2014)</w:t>
      </w:r>
      <w:r w:rsidRPr="004F469F">
        <w:rPr>
          <w:bCs/>
        </w:rPr>
        <w:fldChar w:fldCharType="end"/>
      </w:r>
      <w:r w:rsidRPr="004F469F">
        <w:rPr>
          <w:bCs/>
        </w:rPr>
        <w:t xml:space="preserve">, and logistic regression </w:t>
      </w:r>
      <w:r w:rsidRPr="004F469F">
        <w:rPr>
          <w:bCs/>
        </w:rPr>
        <w:fldChar w:fldCharType="begin" w:fldLock="1"/>
      </w:r>
      <w:r w:rsidR="00123266">
        <w:rPr>
          <w:bCs/>
        </w:rPr>
        <w:instrText>ADDIN CSL_CITATION {"citationItems":[{"id":"ITEM-1","itemData":{"ISBN":"1520-0434","author":[{"dropping-particle":"","family":"Billet","given":"John","non-dropping-particle":"","parse-names":false,"suffix":""},{"dropping-particle":"","family":"DeLisi","given":"Mark","non-dropping-particle":"","parse-names":false,"suffix":""},{"dropping-particle":"","family":"Smith","given":"Brian G","non-dropping-particle":"","parse-names":false,"suffix":""},{"dropping-particle":"","family":"Gates","given":"Cory","non-dropping-particle":"","parse-names":false,"suffix":""}],"container-title":"Weather and Forecasting","id":"ITEM-1","issue":"1","issued":{"date-parts":[["1997"]]},"page":"154-164","title":"Use of regression techniques to predict hail size and the probability of large hail","type":"article-journal","volume":"12"},"uris":["http://www.mendeley.com/documents/?uuid=9883c396-fd35-400c-b368-7d7f54fd26d2"]}],"mendeley":{"formattedCitation":"(Billet et al., 1997)","plainTextFormattedCitation":"(Billet et al., 1997)","previouslyFormattedCitation":"(Billet et al., 1997)"},"properties":{"noteIndex":0},"schema":"https://github.com/citation-style-language/schema/raw/master/csl-citation.json"}</w:instrText>
      </w:r>
      <w:r w:rsidRPr="004F469F">
        <w:rPr>
          <w:bCs/>
        </w:rPr>
        <w:fldChar w:fldCharType="separate"/>
      </w:r>
      <w:r w:rsidR="0010658B" w:rsidRPr="00123266">
        <w:rPr>
          <w:bCs/>
          <w:noProof/>
        </w:rPr>
        <w:t xml:space="preserve">(Billet </w:t>
      </w:r>
      <w:r w:rsidR="0010658B" w:rsidRPr="00453357">
        <w:rPr>
          <w:bCs/>
          <w:i/>
          <w:iCs/>
          <w:noProof/>
        </w:rPr>
        <w:t>et al.</w:t>
      </w:r>
      <w:r w:rsidR="0010658B" w:rsidRPr="00123266">
        <w:rPr>
          <w:bCs/>
          <w:noProof/>
        </w:rPr>
        <w:t>, 1997)</w:t>
      </w:r>
      <w:r w:rsidRPr="004F469F">
        <w:rPr>
          <w:bCs/>
        </w:rPr>
        <w:fldChar w:fldCharType="end"/>
      </w:r>
      <w:r w:rsidRPr="004F469F">
        <w:rPr>
          <w:bCs/>
        </w:rPr>
        <w:t xml:space="preserve">. TorDIS makes use of logistic regression as most atmospheric variables do not follow a normal distribution (days with high </w:t>
      </w:r>
      <w:r w:rsidRPr="004F469F">
        <w:rPr>
          <w:bCs/>
        </w:rPr>
        <w:lastRenderedPageBreak/>
        <w:t>CAPE and/or high VWS are rare</w:t>
      </w:r>
      <w:r w:rsidR="003642A7">
        <w:rPr>
          <w:bCs/>
        </w:rPr>
        <w:t>;</w:t>
      </w:r>
      <w:r w:rsidRPr="004F469F">
        <w:rPr>
          <w:bCs/>
        </w:rPr>
        <w:t xml:space="preserve"> </w:t>
      </w:r>
      <w:r w:rsidRPr="004F469F">
        <w:rPr>
          <w:bCs/>
        </w:rPr>
        <w:fldChar w:fldCharType="begin" w:fldLock="1"/>
      </w:r>
      <w:r w:rsidR="003642A7">
        <w:rPr>
          <w:bCs/>
        </w:rPr>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Reanalysis","type":"article-journal","volume":"6"},"uris":["http://www.mendeley.com/documents/?uuid=c00b076a-fd2d-4516-ac75-69faf6495920"]},{"id":"ITEM-2","itemData":{"ISBN":"0169-8095","author":[{"dropping-particle":"","family":"Brooks","given":"Harold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data","type":"article-journal","volume":"67"},"uris":["http://www.mendeley.com/documents/?uuid=2299b90d-1ada-4897-b75e-ee0ee8a4e064"]}],"mendeley":{"formattedCitation":"(Brooks et al., 2003b; Gensini and Ashley, 2011)","manualFormatting":"Brooks et al., 2003b; Gensini and Ashley, 2011","plainTextFormattedCitation":"(Brooks et al., 2003b; Gensini and Ashley, 2011)","previouslyFormattedCitation":"(Brooks et al., 2003b; Gensini and Ashley, 2011)"},"properties":{"noteIndex":0},"schema":"https://github.com/citation-style-language/schema/raw/master/csl-citation.json"}</w:instrText>
      </w:r>
      <w:r w:rsidRPr="004F469F">
        <w:rPr>
          <w:bCs/>
        </w:rPr>
        <w:fldChar w:fldCharType="separate"/>
      </w:r>
      <w:r w:rsidR="00123266" w:rsidRPr="00123266">
        <w:rPr>
          <w:bCs/>
          <w:noProof/>
        </w:rPr>
        <w:t xml:space="preserve">Brooks </w:t>
      </w:r>
      <w:r w:rsidR="00123266" w:rsidRPr="00453357">
        <w:rPr>
          <w:bCs/>
          <w:i/>
          <w:iCs/>
          <w:noProof/>
        </w:rPr>
        <w:t>et al.</w:t>
      </w:r>
      <w:r w:rsidR="00123266" w:rsidRPr="00123266">
        <w:rPr>
          <w:bCs/>
          <w:noProof/>
        </w:rPr>
        <w:t>, 2003b; Gensini and Ashley, 2011</w:t>
      </w:r>
      <w:r w:rsidRPr="004F469F">
        <w:rPr>
          <w:bCs/>
        </w:rPr>
        <w:fldChar w:fldCharType="end"/>
      </w:r>
      <w:r w:rsidRPr="004F469F">
        <w:rPr>
          <w:bCs/>
        </w:rPr>
        <w:t xml:space="preserve">), one of the assumptions of linear discriminant analysis </w:t>
      </w:r>
      <w:r w:rsidRPr="004F469F">
        <w:rPr>
          <w:bCs/>
        </w:rPr>
        <w:fldChar w:fldCharType="begin" w:fldLock="1"/>
      </w:r>
      <w:r w:rsidR="00123266">
        <w:rPr>
          <w:bCs/>
        </w:rPr>
        <w:instrText>ADDIN CSL_CITATION {"citationItems":[{"id":"ITEM-1","itemData":{"author":[{"dropping-particle":"","family":"Pohar","given":"Maja","non-dropping-particle":"","parse-names":false,"suffix":""},{"dropping-particle":"","family":"Blas","given":"Mateja","non-dropping-particle":"","parse-names":false,"suffix":""},{"dropping-particle":"","family":"Turk","given":"Sandra","non-dropping-particle":"","parse-names":false,"suffix":""}],"container-title":"Metodoloski zvezki","id":"ITEM-1","issue":"1","issued":{"date-parts":[["2004"]]},"page":"143","publisher":"Anuska Ferligoj","title":"Comparison of logistic regression and linear discriminant analysis: a simulation study","type":"article-journal","volume":"1"},"uris":["http://www.mendeley.com/documents/?uuid=b9bf4561-ec2d-4fab-a818-466049076265"]}],"mendeley":{"formattedCitation":"(Pohar et al., 2004)","plainTextFormattedCitation":"(Pohar et al., 2004)","previouslyFormattedCitation":"(Pohar et al., 2004)"},"properties":{"noteIndex":0},"schema":"https://github.com/citation-style-language/schema/raw/master/csl-citation.json"}</w:instrText>
      </w:r>
      <w:r w:rsidRPr="004F469F">
        <w:rPr>
          <w:bCs/>
        </w:rPr>
        <w:fldChar w:fldCharType="separate"/>
      </w:r>
      <w:r w:rsidR="00123266" w:rsidRPr="00123266">
        <w:rPr>
          <w:bCs/>
          <w:noProof/>
        </w:rPr>
        <w:t xml:space="preserve">(Pohar </w:t>
      </w:r>
      <w:r w:rsidR="00123266" w:rsidRPr="00453357">
        <w:rPr>
          <w:bCs/>
          <w:i/>
          <w:iCs/>
          <w:noProof/>
        </w:rPr>
        <w:t>et al.</w:t>
      </w:r>
      <w:r w:rsidR="00123266" w:rsidRPr="00123266">
        <w:rPr>
          <w:bCs/>
          <w:noProof/>
        </w:rPr>
        <w:t>, 2004)</w:t>
      </w:r>
      <w:r w:rsidRPr="004F469F">
        <w:rPr>
          <w:bCs/>
        </w:rPr>
        <w:fldChar w:fldCharType="end"/>
      </w:r>
      <w:r w:rsidRPr="004F469F">
        <w:rPr>
          <w:bCs/>
        </w:rPr>
        <w:t xml:space="preserve">. Additionally, geographically weighted regression has a high computational cost </w:t>
      </w:r>
      <w:r w:rsidRPr="004F469F">
        <w:rPr>
          <w:bCs/>
        </w:rPr>
        <w:fldChar w:fldCharType="begin" w:fldLock="1"/>
      </w:r>
      <w:r w:rsidR="00123266">
        <w:rPr>
          <w:bCs/>
        </w:rPr>
        <w:instrText>ADDIN CSL_CITATION {"citationItems":[{"id":"ITEM-1","itemData":{"author":[{"dropping-particle":"","family":"Ali","given":"Kamar","non-dropping-particle":"","parse-names":false,"suffix":""},{"dropping-particle":"","family":"Partridge","given":"Mark D","non-dropping-particle":"","parse-names":false,"suffix":""},{"dropping-particle":"","family":"Olfert","given":"M Rose","non-dropping-particle":"","parse-names":false,"suffix":""}],"container-title":"International Regional Science Review","id":"ITEM-1","issue":"3","issued":{"date-parts":[["2007"]]},"page":"300-329","publisher":"Sage Publications Sage CA: Los Angeles, CA","title":"Can geographically weighted regressions improve regional analysis and policy making?","type":"article-journal","volume":"30"},"uris":["http://www.mendeley.com/documents/?uuid=bb254303-4777-455c-9d7b-929fd778afe3"]}],"mendeley":{"formattedCitation":"(Ali et al., 2007)","plainTextFormattedCitation":"(Ali et al., 2007)","previouslyFormattedCitation":"(Ali et al., 2007)"},"properties":{"noteIndex":0},"schema":"https://github.com/citation-style-language/schema/raw/master/csl-citation.json"}</w:instrText>
      </w:r>
      <w:r w:rsidRPr="004F469F">
        <w:rPr>
          <w:bCs/>
        </w:rPr>
        <w:fldChar w:fldCharType="separate"/>
      </w:r>
      <w:r w:rsidR="00123266" w:rsidRPr="00123266">
        <w:rPr>
          <w:bCs/>
          <w:noProof/>
        </w:rPr>
        <w:t xml:space="preserve">(Ali </w:t>
      </w:r>
      <w:r w:rsidR="00123266" w:rsidRPr="00453357">
        <w:rPr>
          <w:bCs/>
          <w:i/>
          <w:iCs/>
          <w:noProof/>
        </w:rPr>
        <w:t>et al.</w:t>
      </w:r>
      <w:r w:rsidR="00123266" w:rsidRPr="00123266">
        <w:rPr>
          <w:bCs/>
          <w:noProof/>
        </w:rPr>
        <w:t>, 2007)</w:t>
      </w:r>
      <w:r w:rsidRPr="004F469F">
        <w:rPr>
          <w:bCs/>
        </w:rPr>
        <w:fldChar w:fldCharType="end"/>
      </w:r>
      <w:r w:rsidRPr="004F469F">
        <w:rPr>
          <w:bCs/>
        </w:rPr>
        <w:t xml:space="preserve"> and so it is not uncommon for large-scale studies on severe weather favorability to opt for non-geographically weighted methods (</w:t>
      </w:r>
      <w:r w:rsidRPr="004F469F">
        <w:rPr>
          <w:bCs/>
          <w:i/>
          <w:iCs/>
        </w:rPr>
        <w:t>e.g.</w:t>
      </w:r>
      <w:r w:rsidRPr="004F469F">
        <w:rPr>
          <w:bCs/>
        </w:rPr>
        <w:t xml:space="preserve">, </w:t>
      </w:r>
      <w:r w:rsidRPr="004F469F">
        <w:rPr>
          <w:bCs/>
        </w:rPr>
        <w:fldChar w:fldCharType="begin" w:fldLock="1"/>
      </w:r>
      <w:r w:rsidR="00123266">
        <w:rPr>
          <w:bCs/>
        </w:rPr>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Reanalysis","type":"article-journal","volume":"6"},"uris":["http://www.mendeley.com/documents/?uuid=c00b076a-fd2d-4516-ac75-69faf6495920"]},{"id":"ITEM-3","itemData":{"author":[{"dropping-particle":"","family":"Diffenbaugh","given":"Noah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Sciences","id":"ITEM-3","issued":{"date-parts":[["2013"]]},"page":"201307758","publisher":"National Acad Sciences","title":"Robust increases in severe thunderstorm environments in response to greenhouse forcing","type":"article-journal"},"uris":["http://www.mendeley.com/documents/?uuid=c9745462-d91f-4c64-b242-b426b7f04f12"]}],"mendeley":{"formattedCitation":"(Brooks et al., 2003b; Gensini and Ashley, 2011; Diffenbaugh et al., 2013)","manualFormatting":"Brooks, Lee and Craven, 2003; Gensini and Ashley, 2011; Diffenbaugh, Scherer and Trapp, 2013)","plainTextFormattedCitation":"(Brooks et al., 2003b; Gensini and Ashley, 2011; Diffenbaugh et al., 2013)","previouslyFormattedCitation":"(Brooks et al., 2003b; Gensini and Ashley, 2011; Diffenbaugh et al., 2013)"},"properties":{"noteIndex":0},"schema":"https://github.com/citation-style-language/schema/raw/master/csl-citation.json"}</w:instrText>
      </w:r>
      <w:r w:rsidRPr="004F469F">
        <w:rPr>
          <w:bCs/>
        </w:rPr>
        <w:fldChar w:fldCharType="separate"/>
      </w:r>
      <w:r w:rsidRPr="004F469F">
        <w:rPr>
          <w:bCs/>
          <w:noProof/>
        </w:rPr>
        <w:t>Brooks, Lee and Craven, 2003; Gensini and Ashley, 2011; Diffenbaugh, Scherer and Trapp, 2013)</w:t>
      </w:r>
      <w:r w:rsidRPr="004F469F">
        <w:rPr>
          <w:bCs/>
        </w:rPr>
        <w:fldChar w:fldCharType="end"/>
      </w:r>
      <w:r w:rsidRPr="004F469F">
        <w:rPr>
          <w:bCs/>
        </w:rPr>
        <w:t>.</w:t>
      </w:r>
    </w:p>
    <w:p w14:paraId="472D5BC1" w14:textId="4FA52397"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rPr>
          <w:bCs/>
        </w:rPr>
        <w:tab/>
        <w:t>TorDIS uses four logistic regression equations (Table 3.1) to determine tornado favorability: severe weather probability in a low CAPE environment (svr</w:t>
      </w:r>
      <w:r w:rsidRPr="004F469F">
        <w:rPr>
          <w:bCs/>
          <w:vertAlign w:val="subscript"/>
        </w:rPr>
        <w:t>low</w:t>
      </w:r>
      <w:r w:rsidRPr="004F469F">
        <w:rPr>
          <w:bCs/>
        </w:rPr>
        <w:t>), tornado probability given severe weather in a low CAPE environment (torn</w:t>
      </w:r>
      <w:r w:rsidRPr="004F469F">
        <w:rPr>
          <w:bCs/>
          <w:vertAlign w:val="subscript"/>
        </w:rPr>
        <w:t>low</w:t>
      </w:r>
      <w:r w:rsidRPr="004F469F">
        <w:rPr>
          <w:bCs/>
        </w:rPr>
        <w:t>), severe weather probability in a moderate to high CAPE environment (svr</w:t>
      </w:r>
      <w:r w:rsidRPr="004F469F">
        <w:rPr>
          <w:bCs/>
          <w:vertAlign w:val="subscript"/>
        </w:rPr>
        <w:t>mod</w:t>
      </w:r>
      <w:r w:rsidRPr="004F469F">
        <w:rPr>
          <w:bCs/>
        </w:rPr>
        <w:t>), and tornado probability given severe weather in a moderate to high CAPE environment (torn</w:t>
      </w:r>
      <w:r w:rsidRPr="004F469F">
        <w:rPr>
          <w:bCs/>
          <w:vertAlign w:val="subscript"/>
        </w:rPr>
        <w:t>mod</w:t>
      </w:r>
      <w:r w:rsidRPr="004F469F">
        <w:rPr>
          <w:bCs/>
        </w:rPr>
        <w:t xml:space="preserve">). We used these equations since studies have shown that predicting tornadoes is more difficult in low CAPE environments </w:t>
      </w:r>
      <w:r w:rsidRPr="004F469F">
        <w:rPr>
          <w:bCs/>
        </w:rPr>
        <w:fldChar w:fldCharType="begin" w:fldLock="1"/>
      </w:r>
      <w:r w:rsidR="0010658B">
        <w:rPr>
          <w:bCs/>
        </w:rPr>
        <w:instrText>ADDIN CSL_CITATION {"citationItems":[{"id":"ITEM-1","itemData":{"author":[{"dropping-particle":"","family":"Sherburn","given":"Keith D","non-dropping-particle":"","parse-names":false,"suffix":""},{"dropping-particle":"","family":"Parker","given":"Matthew D","non-dropping-particle":"","parse-names":false,"suffix":""}],"container-title":"Weather and forecasting","id":"ITEM-1","issue":"4","issued":{"date-parts":[["2014"]]},"page":"854-877","title":"Climatology and ingredients of significant severe convection in high-shear, low-CAPE environments","type":"article-journal","volume":"29"},"uris":["http://www.mendeley.com/documents/?uuid=b801798a-5229-4b5c-960f-e35b1e287cba"]},{"id":"ITEM-2","itemData":{"author":[{"dropping-particle":"","family":"Dean","given":"Andrew R","non-dropping-particle":"","parse-names":false,"suffix":""},{"dropping-particle":"","family":"Schneider","given":"Russell S","non-dropping-particle":"","parse-names":false,"suffix":""}],"id":"ITEM-2","issued":{"date-parts":[["2008"]]},"title":"9A. 2 Forecast Challenges at the NWS Storm Prediction Center Relating to the Frequency of Favorable Severe Storm Environments","type":"article-journal"},"uris":["http://www.mendeley.com/documents/?uuid=2c1700f2-d35b-4be2-88dd-335643b76b08"]}],"mendeley":{"formattedCitation":"(Dean and Schneider, 2008; Sherburn and Parker, 2014)","plainTextFormattedCitation":"(Dean and Schneider, 2008; Sherburn and Parker, 2014)","previouslyFormattedCitation":"(Dean and Schneider, 2008; Sherburn and Parker, 2014)"},"properties":{"noteIndex":0},"schema":"https://github.com/citation-style-language/schema/raw/master/csl-citation.json"}</w:instrText>
      </w:r>
      <w:r w:rsidRPr="004F469F">
        <w:rPr>
          <w:bCs/>
        </w:rPr>
        <w:fldChar w:fldCharType="separate"/>
      </w:r>
      <w:r w:rsidR="0010658B" w:rsidRPr="0010658B">
        <w:rPr>
          <w:bCs/>
          <w:noProof/>
        </w:rPr>
        <w:t>(Dean and Schneider, 2008; Sherburn and Parker, 2014)</w:t>
      </w:r>
      <w:r w:rsidRPr="004F469F">
        <w:rPr>
          <w:bCs/>
        </w:rPr>
        <w:fldChar w:fldCharType="end"/>
      </w:r>
      <w:r w:rsidRPr="004F469F">
        <w:rPr>
          <w:bCs/>
        </w:rPr>
        <w:t xml:space="preserve"> and Brooks </w:t>
      </w:r>
      <w:r w:rsidRPr="00453357">
        <w:rPr>
          <w:bCs/>
          <w:i/>
          <w:iCs/>
        </w:rPr>
        <w:t>et al.</w:t>
      </w:r>
      <w:r w:rsidRPr="004F469F">
        <w:rPr>
          <w:bCs/>
          <w:i/>
          <w:iCs/>
        </w:rPr>
        <w:t xml:space="preserve"> </w:t>
      </w:r>
      <w:r w:rsidRPr="004F469F">
        <w:rPr>
          <w:bCs/>
        </w:rPr>
        <w:fldChar w:fldCharType="begin" w:fldLock="1"/>
      </w:r>
      <w:r w:rsidR="00123266">
        <w:rPr>
          <w:bCs/>
        </w:rPr>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suppress-author":1,"uris":["http://www.mendeley.com/documents/?uuid=2299b90d-1ada-4897-b75e-ee0ee8a4e064"]}],"mendeley":{"formattedCitation":"(2003b)","plainTextFormattedCitation":"(2003b)","previouslyFormattedCitation":"(2003b)"},"properties":{"noteIndex":0},"schema":"https://github.com/citation-style-language/schema/raw/master/csl-citation.json"}</w:instrText>
      </w:r>
      <w:r w:rsidRPr="004F469F">
        <w:rPr>
          <w:bCs/>
        </w:rPr>
        <w:fldChar w:fldCharType="separate"/>
      </w:r>
      <w:r w:rsidR="00123266" w:rsidRPr="00123266">
        <w:rPr>
          <w:bCs/>
          <w:noProof/>
        </w:rPr>
        <w:t>(2003b)</w:t>
      </w:r>
      <w:r w:rsidRPr="004F469F">
        <w:rPr>
          <w:bCs/>
        </w:rPr>
        <w:fldChar w:fldCharType="end"/>
      </w:r>
      <w:r w:rsidRPr="004F469F">
        <w:rPr>
          <w:bCs/>
        </w:rPr>
        <w:t xml:space="preserve"> suggest predicting the occurrence of tornadoes given that severe weather is already occurring. An environment was considered to be low CAPE where </w:t>
      </w:r>
      <m:oMath>
        <m:r>
          <m:rPr>
            <m:nor/>
          </m:rPr>
          <w:rPr>
            <w:bCs/>
          </w:rPr>
          <m:t xml:space="preserve">CAPE ≤ 500 J </m:t>
        </m:r>
        <m:sSup>
          <m:sSupPr>
            <m:ctrlPr>
              <w:rPr>
                <w:rFonts w:ascii="Cambria Math" w:hAnsi="Cambria Math"/>
                <w:bCs/>
              </w:rPr>
            </m:ctrlPr>
          </m:sSupPr>
          <m:e>
            <m:r>
              <m:rPr>
                <m:nor/>
              </m:rPr>
              <w:rPr>
                <w:bCs/>
              </w:rPr>
              <m:t>kg</m:t>
            </m:r>
          </m:e>
          <m:sup>
            <m:r>
              <m:rPr>
                <m:nor/>
              </m:rPr>
              <w:rPr>
                <w:bCs/>
              </w:rPr>
              <m:t>-1</m:t>
            </m:r>
          </m:sup>
        </m:sSup>
      </m:oMath>
      <w:r w:rsidRPr="004F469F">
        <w:rPr>
          <w:bCs/>
        </w:rPr>
        <w:t xml:space="preserve">, following Sherburn and Parker </w:t>
      </w:r>
      <w:r w:rsidRPr="004F469F">
        <w:rPr>
          <w:bCs/>
        </w:rPr>
        <w:fldChar w:fldCharType="begin" w:fldLock="1"/>
      </w:r>
      <w:r w:rsidRPr="004F469F">
        <w:rPr>
          <w:bCs/>
        </w:rPr>
        <w:instrText>ADDIN CSL_CITATION {"citationItems":[{"id":"ITEM-1","itemData":{"author":[{"dropping-particle":"","family":"Sherburn","given":"Keith D","non-dropping-particle":"","parse-names":false,"suffix":""},{"dropping-particle":"","family":"Parker","given":"Matthew D","non-dropping-particle":"","parse-names":false,"suffix":""}],"container-title":"Weather and forecasting","id":"ITEM-1","issue":"4","issued":{"date-parts":[["2014"]]},"page":"854-877","title":"Climatology and ingredients of significant severe convection in high-shear, low-CAPE environments","type":"article-journal","volume":"29"},"suppress-author":1,"uris":["http://www.mendeley.com/documents/?uuid=b801798a-5229-4b5c-960f-e35b1e287cba"]}],"mendeley":{"formattedCitation":"(2014)","plainTextFormattedCitation":"(2014)","previouslyFormattedCitation":"(2014)"},"properties":{"noteIndex":0},"schema":"https://github.com/citation-style-language/schema/raw/master/csl-citation.json"}</w:instrText>
      </w:r>
      <w:r w:rsidRPr="004F469F">
        <w:rPr>
          <w:bCs/>
        </w:rPr>
        <w:fldChar w:fldCharType="separate"/>
      </w:r>
      <w:r w:rsidRPr="004F469F">
        <w:rPr>
          <w:bCs/>
          <w:noProof/>
        </w:rPr>
        <w:t>(2014)</w:t>
      </w:r>
      <w:r w:rsidRPr="004F469F">
        <w:rPr>
          <w:bCs/>
        </w:rPr>
        <w:fldChar w:fldCharType="end"/>
      </w:r>
      <w:r w:rsidRPr="004F469F">
        <w:rPr>
          <w:bCs/>
        </w:rPr>
        <w:t>. We considered many common severe weather diagnostic parameters for inclusion in the regression equations (</w:t>
      </w:r>
      <w:r w:rsidRPr="004F469F">
        <w:rPr>
          <w:bCs/>
          <w:i/>
          <w:iCs/>
        </w:rPr>
        <w:t>e.g.</w:t>
      </w:r>
      <w:r w:rsidRPr="004F469F">
        <w:rPr>
          <w:bCs/>
        </w:rPr>
        <w:t xml:space="preserve">, CAPE for a surface-based parcel, Freezing Layer; Lifted Condensation Level, 0 to 1 km vertical wind shear; vertical velocities at </w:t>
      </w:r>
      <w:r w:rsidRPr="004F469F">
        <w:t>850 mb, 500 mb, and 200 mb</w:t>
      </w:r>
      <w:r w:rsidR="004018A9">
        <w:t>;</w:t>
      </w:r>
      <w:r w:rsidRPr="004F469F">
        <w:t xml:space="preserve"> </w:t>
      </w:r>
      <w:r w:rsidRPr="004F469F">
        <w:rPr>
          <w:bCs/>
        </w:rPr>
        <w:fldChar w:fldCharType="begin" w:fldLock="1"/>
      </w:r>
      <w:r w:rsidR="004018A9">
        <w:rPr>
          <w:bCs/>
        </w:rPr>
        <w:instrText>ADDIN CSL_CITATION {"citationItems":[{"id":"ITEM-1","itemData":{"author":[{"dropping-particle":"","family":"Lock","given":"Noah","non-dropping-particle":"","parse-names":false,"suffix":""}],"id":"ITEM-1","issued":{"date-parts":[["2012"]]},"title":"An Analysis of Deep Convection Initiation Environments","type":"article-journal"},"uris":["http://www.mendeley.com/documents/?uuid=d53a3eff-9cff-4a02-bccb-35dd90c79282"]},{"id":"ITEM-2","itemData":{"DOI":"10.1175/jamc-d-13-0263.1","ISBN":"1558-8424 1558-8432","author":[{"dropping-particle":"","family":"Gensini","given":"Victor A.","non-dropping-particle":"","parse-names":false,"suffix":""},{"dropping-particle":"","family":"Mote","given":"Thomas L.","non-dropping-particle":"","parse-names":false,"suffix":""},{"dropping-particle":"","family":"Brooks","given":"Harold E.","non-dropping-particle":"","parse-names":false,"suffix":""}],"container-title":"Journal of Applied Meteorology and Climatology","id":"ITEM-2","issue":"3","issued":{"date-parts":[["2014"]]},"page":"742-751","title":"Severe-Thunderstorm Reanalysis Environments and Collocated Radiosonde Observations","type":"article-journal","volume":"53"},"uris":["http://www.mendeley.com/documents/?uuid=ae489d68-78f3-45b4-b300-1c5569e8bb90"]},{"id":"ITEM-3","itemData":{"ISBN":"0169-8095","author":[{"dropping-particle":"","family":"Brooks","given":"Harold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Research","id":"ITEM-3","issued":{"date-parts":[["2003"]]},"page":"73-94","title":"The spatial distribution of severe thunderstorm and tornado environments from global reanalysis data","type":"article-journal","volume":"67"},"uris":["http://www.mendeley.com/documents/?uuid=2299b90d-1ada-4897-b75e-ee0ee8a4e064"]}],"mendeley":{"formattedCitation":"(Brooks et al., 2003b; Lock, 2012; Gensini et al., 2014a)","manualFormatting":"Brooks et al., 2003b; Lock, 2012; Gensini et al., 2014a","plainTextFormattedCitation":"(Brooks et al., 2003b; Lock, 2012; Gensini et al., 2014a)","previouslyFormattedCitation":"(Lock, 2012)"},"properties":{"noteIndex":0},"schema":"https://github.com/citation-style-language/schema/raw/master/csl-citation.json"}</w:instrText>
      </w:r>
      <w:r w:rsidRPr="004F469F">
        <w:rPr>
          <w:bCs/>
        </w:rPr>
        <w:fldChar w:fldCharType="separate"/>
      </w:r>
      <w:r w:rsidR="004018A9" w:rsidRPr="004018A9">
        <w:rPr>
          <w:bCs/>
          <w:noProof/>
        </w:rPr>
        <w:t xml:space="preserve">Brooks </w:t>
      </w:r>
      <w:r w:rsidR="004018A9" w:rsidRPr="00453357">
        <w:rPr>
          <w:bCs/>
          <w:i/>
          <w:iCs/>
          <w:noProof/>
        </w:rPr>
        <w:t>et al.</w:t>
      </w:r>
      <w:r w:rsidR="004018A9" w:rsidRPr="004018A9">
        <w:rPr>
          <w:bCs/>
          <w:noProof/>
        </w:rPr>
        <w:t xml:space="preserve">, 2003b; Lock, 2012; Gensini </w:t>
      </w:r>
      <w:r w:rsidR="004018A9" w:rsidRPr="00453357">
        <w:rPr>
          <w:bCs/>
          <w:i/>
          <w:iCs/>
          <w:noProof/>
        </w:rPr>
        <w:t>et al.</w:t>
      </w:r>
      <w:r w:rsidR="004018A9" w:rsidRPr="004018A9">
        <w:rPr>
          <w:bCs/>
          <w:noProof/>
        </w:rPr>
        <w:t>, 2014a</w:t>
      </w:r>
      <w:r w:rsidRPr="004F469F">
        <w:rPr>
          <w:bCs/>
        </w:rPr>
        <w:fldChar w:fldCharType="end"/>
      </w:r>
      <w:r w:rsidRPr="004F469F">
        <w:rPr>
          <w:bCs/>
        </w:rPr>
        <w:t xml:space="preserve">). However, after testing for multicollinearity </w:t>
      </w:r>
      <w:r w:rsidRPr="004F469F">
        <w:rPr>
          <w:bCs/>
        </w:rPr>
        <w:fldChar w:fldCharType="begin" w:fldLock="1"/>
      </w:r>
      <w:r w:rsidR="00123266">
        <w:rPr>
          <w:bCs/>
        </w:rPr>
        <w:instrText>ADDIN CSL_CITATION {"citationItems":[{"id":"ITEM-1","itemData":{"DOI":"10.1111/j.2041-210X.2009.00001.x","ISBN":"2041210X","ISSN":"2041210X","PMID":"18401120","abstract":"1. While teaching statistics to ecologists, the lead authors of this paper have noticed common statistical problems. If a random sample of their work (including scientific papers) produced before doing these courses were selected, half would probably contain violations of the underlying assumptions of the statistical techniques employed. 2. Some violations have little impact on the results or ecological conclusions; yet others increase type I or type II errors, potentially resulting in wrong ecological conclusions. Most of these violations can be avoided by applying better data exploration. These problems are especially troublesome in applied ecology, where management and policy decisions are often at stake. 3. Here, we provide a protocol for data exploration; discuss current tools to detect outliers, heterogeneity of variance, collinearity, dependence of observations, problems with interactions, double zeros in multivariate analysis, zero inflation in generalized linear modelling, and the correct type of relationships between dependent and independent variables; and provide advice on how to address these problems when they arise. We also address misconceptions about normality, and provide advice on data transformations. 4. Data exploration avoids type I and type II errors, among other problems, thereby reducing the chance of making wrong ecological conclusions and poor recommendations. It is therefore essential for good quality management and policy based on statistical analyses.","author":[{"dropping-particle":"","family":"Zuur","given":"Alain F","non-dropping-particle":"","parse-names":false,"suffix":""},{"dropping-particle":"","family":"Ieno","given":"Elena N","non-dropping-particle":"","parse-names":false,"suffix":""},{"dropping-particle":"","family":"Elphick","given":"Chris S","non-dropping-particle":"","parse-names":false,"suffix":""}],"container-title":"Methods in Ecology and Evolution","id":"ITEM-1","issue":"1","issued":{"date-parts":[["2010"]]},"page":"3-14","title":"A protocol for data exploration to avoid common statistical problems","type":"article-journal","volume":"1"},"uris":["http://www.mendeley.com/documents/?uuid=c5aef279-efeb-41af-b60a-e350319593f2"]}],"mendeley":{"formattedCitation":"(Zuur et al., 2010)","plainTextFormattedCitation":"(Zuur et al., 2010)","previouslyFormattedCitation":"(Zuur et al., 2010)"},"properties":{"noteIndex":0},"schema":"https://github.com/citation-style-language/schema/raw/master/csl-citation.json"}</w:instrText>
      </w:r>
      <w:r w:rsidRPr="004F469F">
        <w:rPr>
          <w:bCs/>
        </w:rPr>
        <w:fldChar w:fldCharType="separate"/>
      </w:r>
      <w:r w:rsidR="00123266" w:rsidRPr="00123266">
        <w:rPr>
          <w:bCs/>
          <w:noProof/>
        </w:rPr>
        <w:t xml:space="preserve">(Zuur </w:t>
      </w:r>
      <w:r w:rsidR="00123266" w:rsidRPr="00453357">
        <w:rPr>
          <w:bCs/>
          <w:i/>
          <w:iCs/>
          <w:noProof/>
        </w:rPr>
        <w:t>et al.</w:t>
      </w:r>
      <w:r w:rsidR="00123266" w:rsidRPr="00123266">
        <w:rPr>
          <w:bCs/>
          <w:noProof/>
        </w:rPr>
        <w:t>, 2010)</w:t>
      </w:r>
      <w:r w:rsidRPr="004F469F">
        <w:rPr>
          <w:bCs/>
        </w:rPr>
        <w:fldChar w:fldCharType="end"/>
      </w:r>
      <w:r w:rsidRPr="004F469F">
        <w:rPr>
          <w:bCs/>
        </w:rPr>
        <w:t xml:space="preserve"> and an application of the least absolute shrinkage and selection operator </w:t>
      </w:r>
      <w:r w:rsidRPr="004F469F">
        <w:rPr>
          <w:bCs/>
        </w:rPr>
        <w:fldChar w:fldCharType="begin" w:fldLock="1"/>
      </w:r>
      <w:r w:rsidR="0010658B">
        <w:rPr>
          <w:bCs/>
        </w:rPr>
        <w:instrText>ADDIN CSL_CITATION {"citationItems":[{"id":"ITEM-1","itemData":{"author":[{"dropping-particle":"","family":"Thompson","given":"Warren Robert","non-dropping-particle":"","parse-names":false,"suffix":""}],"id":"ITEM-1","issued":{"date-parts":[["2009"]]},"publisher":"Florida State University","title":"Variable selection of correlated predictors in logistic regression: investigating the diet-heart hypothesis","type":"thesis"},"uris":["http://www.mendeley.com/documents/?uuid=c92cfcd6-1da9-4fd4-85fd-f4049c35a2bb"]}],"mendeley":{"formattedCitation":"(Thompson, 2009)","plainTextFormattedCitation":"(Thompson, 2009)","previouslyFormattedCitation":"(Thompson, 2009)"},"properties":{"noteIndex":0},"schema":"https://github.com/citation-style-language/schema/raw/master/csl-citation.json"}</w:instrText>
      </w:r>
      <w:r w:rsidRPr="004F469F">
        <w:rPr>
          <w:bCs/>
        </w:rPr>
        <w:fldChar w:fldCharType="separate"/>
      </w:r>
      <w:r w:rsidR="0010658B" w:rsidRPr="0010658B">
        <w:rPr>
          <w:bCs/>
          <w:noProof/>
        </w:rPr>
        <w:t>(Thompson, 2009)</w:t>
      </w:r>
      <w:r w:rsidRPr="004F469F">
        <w:rPr>
          <w:bCs/>
        </w:rPr>
        <w:fldChar w:fldCharType="end"/>
      </w:r>
      <w:r w:rsidRPr="004F469F">
        <w:rPr>
          <w:bCs/>
        </w:rPr>
        <w:t xml:space="preserve">, only ten were selected for the initial model specification: CAPE, Convective Inhibition (CIN), and Lifted Condensation Level (LCL) for a mixed-layer (lowest 100 mb) parcel; </w:t>
      </w:r>
      <w:r w:rsidRPr="004F469F">
        <w:t xml:space="preserve">surface height (ELEV); 2 – 4 km lapse rate (LR24); 0 – 1 (VWS1) and 0 </w:t>
      </w:r>
      <w:r w:rsidRPr="004F469F">
        <w:lastRenderedPageBreak/>
        <w:t>– 6 (VWS6) km vertical wind shear; vertical velocity at 850 mb (</w:t>
      </w:r>
      <m:oMath>
        <m:sSub>
          <m:sSubPr>
            <m:ctrlPr>
              <w:rPr>
                <w:rFonts w:ascii="Cambria Math" w:hAnsi="Cambria Math"/>
                <w:i/>
              </w:rPr>
            </m:ctrlPr>
          </m:sSubPr>
          <m:e>
            <m:r>
              <w:rPr>
                <w:rFonts w:ascii="Cambria Math" w:hAnsi="Cambria Math"/>
              </w:rPr>
              <m:t>ω</m:t>
            </m:r>
          </m:e>
          <m:sub>
            <m:r>
              <w:rPr>
                <w:rFonts w:ascii="Cambria Math" w:hAnsi="Cambria Math"/>
              </w:rPr>
              <m:t>850</m:t>
            </m:r>
          </m:sub>
        </m:sSub>
      </m:oMath>
      <w:r w:rsidRPr="004F469F">
        <w:t>) and 500 mb (</w:t>
      </w:r>
      <m:oMath>
        <m:sSub>
          <m:sSubPr>
            <m:ctrlPr>
              <w:rPr>
                <w:rFonts w:ascii="Cambria Math" w:hAnsi="Cambria Math"/>
                <w:i/>
              </w:rPr>
            </m:ctrlPr>
          </m:sSubPr>
          <m:e>
            <m:r>
              <w:rPr>
                <w:rFonts w:ascii="Cambria Math" w:hAnsi="Cambria Math"/>
              </w:rPr>
              <m:t>ω</m:t>
            </m:r>
          </m:e>
          <m:sub>
            <m:r>
              <w:rPr>
                <w:rFonts w:ascii="Cambria Math" w:hAnsi="Cambria Math"/>
              </w:rPr>
              <m:t>500</m:t>
            </m:r>
          </m:sub>
        </m:sSub>
      </m:oMath>
      <w:r w:rsidRPr="004F469F">
        <w:t xml:space="preserve">), and 0 – 3 km Storm Relative Helicity (SRH3). </w:t>
      </w:r>
    </w:p>
    <w:p w14:paraId="3225C5D1" w14:textId="51E99535" w:rsidR="00797351" w:rsidRPr="004F469F" w:rsidRDefault="00797351" w:rsidP="0049259D">
      <w:pPr>
        <w:spacing w:after="120" w:line="480" w:lineRule="auto"/>
        <w:ind w:firstLine="720"/>
        <w:rPr>
          <w:b/>
          <w:bCs/>
        </w:rPr>
      </w:pPr>
      <w:r w:rsidRPr="004F469F">
        <w:t xml:space="preserve">After the initial model specification, a global sensitivity analysis was conducted on all regression equations to determine which variables explained most of the variability in model output. The global sensitivity analysis method used was the method of Sobol </w:t>
      </w:r>
      <w:r w:rsidRPr="004F469F">
        <w:fldChar w:fldCharType="begin" w:fldLock="1"/>
      </w:r>
      <w:r w:rsidRPr="004F469F">
        <w:instrText>ADDIN CSL_CITATION {"citationItems":[{"id":"ITEM-1","itemData":{"author":[{"dropping-particle":"","family":"Sobol","given":"Ilya M","non-dropping-particle":"","parse-names":false,"suffix":""}],"container-title":"Mathematical modelling and computational experiments","id":"ITEM-1","issue":"4","issued":{"date-parts":[["1993"]]},"page":"407-414","title":"Sensitivity estimates for nonlinear mathematical models","type":"article-journal","volume":"1"},"suppress-author":1,"uris":["http://www.mendeley.com/documents/?uuid=46134a2e-e6a0-41d5-8f72-02ef3105718a"]}],"mendeley":{"formattedCitation":"(1993)","plainTextFormattedCitation":"(1993)","previouslyFormattedCitation":"(1993)"},"properties":{"noteIndex":0},"schema":"https://github.com/citation-style-language/schema/raw/master/csl-citation.json"}</w:instrText>
      </w:r>
      <w:r w:rsidRPr="004F469F">
        <w:fldChar w:fldCharType="separate"/>
      </w:r>
      <w:r w:rsidRPr="004F469F">
        <w:rPr>
          <w:noProof/>
        </w:rPr>
        <w:t>(1993)</w:t>
      </w:r>
      <w:r w:rsidRPr="004F469F">
        <w:fldChar w:fldCharType="end"/>
      </w:r>
      <w:r w:rsidRPr="004F469F">
        <w:t xml:space="preserve"> as improved by Saltelli </w:t>
      </w:r>
      <w:r w:rsidRPr="004F469F">
        <w:fldChar w:fldCharType="begin" w:fldLock="1"/>
      </w:r>
      <w:r w:rsidRPr="004F469F">
        <w:instrText>ADDIN CSL_CITATION {"citationItems":[{"id":"ITEM-1","itemData":{"author":[{"dropping-particle":"","family":"Saltelli","given":"Andrea","non-dropping-particle":"","parse-names":false,"suffix":""}],"container-title":"Computer physics communications","id":"ITEM-1","issue":"2","issued":{"date-parts":[["2002"]]},"page":"280-297","publisher":"Elsevier","title":"Making best use of model evaluations to compute sensitivity indices","type":"article-journal","volume":"145"},"suppress-author":1,"uris":["http://www.mendeley.com/documents/?uuid=5f46c180-19ff-4385-9613-9a5a3c992f32"]}],"mendeley":{"formattedCitation":"(2002)","plainTextFormattedCitation":"(2002)","previouslyFormattedCitation":"(2002)"},"properties":{"noteIndex":0},"schema":"https://github.com/citation-style-language/schema/raw/master/csl-citation.json"}</w:instrText>
      </w:r>
      <w:r w:rsidRPr="004F469F">
        <w:fldChar w:fldCharType="separate"/>
      </w:r>
      <w:r w:rsidRPr="004F469F">
        <w:rPr>
          <w:noProof/>
        </w:rPr>
        <w:t>(2002)</w:t>
      </w:r>
      <w:r w:rsidRPr="004F469F">
        <w:fldChar w:fldCharType="end"/>
      </w:r>
      <w:r w:rsidRPr="004F469F">
        <w:t xml:space="preserve"> and implemented using SimLab software </w:t>
      </w:r>
      <w:r w:rsidRPr="004F469F">
        <w:fldChar w:fldCharType="begin" w:fldLock="1"/>
      </w:r>
      <w:r w:rsidR="0010658B">
        <w:instrText>ADDIN CSL_CITATION {"citationItems":[{"id":"ITEM-1","itemData":{"author":[{"dropping-particle":"","family":"Giglioli","given":"N","non-dropping-particle":"","parse-names":false,"suffix":""},{"dropping-particle":"","family":"Saltelli","given":"A","non-dropping-particle":"","parse-names":false,"suffix":""}],"container-title":"Ispra, Italy: Institute for Systems Informatics and Safety (Joint Research Centre, European Commission)","id":"ITEM-1","issued":{"date-parts":[["2008"]]},"title":"Simlab 2.2 Reference Manual","type":"article-journal"},"uris":["http://www.mendeley.com/documents/?uuid=14e075f0-4aa5-42c9-bbf8-f455ed75a2fb"]}],"mendeley":{"formattedCitation":"(Giglioli and Saltelli, 2008)","plainTextFormattedCitation":"(Giglioli and Saltelli, 2008)","previouslyFormattedCitation":"(Giglioli and Saltelli, 2008)"},"properties":{"noteIndex":0},"schema":"https://github.com/citation-style-language/schema/raw/master/csl-citation.json"}</w:instrText>
      </w:r>
      <w:r w:rsidRPr="004F469F">
        <w:fldChar w:fldCharType="separate"/>
      </w:r>
      <w:r w:rsidR="0010658B" w:rsidRPr="0010658B">
        <w:rPr>
          <w:noProof/>
        </w:rPr>
        <w:t>(Giglioli and Saltelli, 2008)</w:t>
      </w:r>
      <w:r w:rsidRPr="004F469F">
        <w:fldChar w:fldCharType="end"/>
      </w:r>
      <w:r w:rsidRPr="004F469F">
        <w:t>. In this method, model output variances are decomposed into partial variances representing the contribution of model parameters (individually and together through interactions) to the overall uncertainty of the model output. The measure of this uncertainty, used in this study, was a normalized version of the Total Order Index (S</w:t>
      </w:r>
      <w:r w:rsidRPr="004F469F">
        <w:rPr>
          <w:vertAlign w:val="subscript"/>
        </w:rPr>
        <w:t>t</w:t>
      </w:r>
      <w:r w:rsidRPr="004F469F">
        <w:t xml:space="preserve">) which represents the contribution of each parameter (and its interactions) to the overall uncertainty </w:t>
      </w:r>
      <w:r w:rsidRPr="004F469F">
        <w:fldChar w:fldCharType="begin" w:fldLock="1"/>
      </w:r>
      <w:r w:rsidRPr="004F469F">
        <w:instrText>ADDIN CSL_CITATION {"citationItems":[{"id":"ITEM-1","itemData":{"author":[{"dropping-particle":"","family":"Confalonieri","given":"Roberto","non-dropping-particle":"","parse-names":false,"suffix":""}],"container-title":"European Journal of Agronomy","id":"ITEM-1","issue":"2","issued":{"date-parts":[["2010"]]},"page":"89-93","publisher":"Elsevier","title":"Monte Carlo based sensitivity analysis of two crop simulators and considerations on model balance","type":"article-journal","volume":"33"},"uris":["http://www.mendeley.com/documents/?uuid=f8f213d1-4b9d-4efd-aa9e-18e95b594f10"]}],"mendeley":{"formattedCitation":"(Confalonieri, 2010)","plainTextFormattedCitation":"(Confalonieri, 2010)","previouslyFormattedCitation":"(Confalonieri, 2010)"},"properties":{"noteIndex":0},"schema":"https://github.com/citation-style-language/schema/raw/master/csl-citation.json"}</w:instrText>
      </w:r>
      <w:r w:rsidRPr="004F469F">
        <w:fldChar w:fldCharType="separate"/>
      </w:r>
      <w:r w:rsidRPr="004F469F">
        <w:rPr>
          <w:noProof/>
        </w:rPr>
        <w:t>(Confalonieri, 2010)</w:t>
      </w:r>
      <w:r w:rsidRPr="004F469F">
        <w:fldChar w:fldCharType="end"/>
      </w:r>
      <w:r w:rsidRPr="004F469F">
        <w:t xml:space="preserve"> of the model output. Following Confalonieri </w:t>
      </w:r>
      <w:r w:rsidRPr="004F469F">
        <w:fldChar w:fldCharType="begin" w:fldLock="1"/>
      </w:r>
      <w:r w:rsidRPr="004F469F">
        <w:instrText>ADDIN CSL_CITATION {"citationItems":[{"id":"ITEM-1","itemData":{"author":[{"dropping-particle":"","family":"Confalonieri","given":"Roberto","non-dropping-particle":"","parse-names":false,"suffix":""}],"container-title":"European Journal of Agronomy","id":"ITEM-1","issue":"2","issued":{"date-parts":[["2010"]]},"page":"89-93","publisher":"Elsevier","title":"Monte Carlo based sensitivity analysis of two crop simulators and considerations on model balance","type":"article-journal","volume":"33"},"suppress-author":1,"uris":["http://www.mendeley.com/documents/?uuid=f8f213d1-4b9d-4efd-aa9e-18e95b594f10"]}],"mendeley":{"formattedCitation":"(2010)","plainTextFormattedCitation":"(2010)","previouslyFormattedCitation":"(2010)"},"properties":{"noteIndex":0},"schema":"https://github.com/citation-style-language/schema/raw/master/csl-citation.json"}</w:instrText>
      </w:r>
      <w:r w:rsidRPr="004F469F">
        <w:fldChar w:fldCharType="separate"/>
      </w:r>
      <w:r w:rsidRPr="004F469F">
        <w:rPr>
          <w:noProof/>
        </w:rPr>
        <w:t>(2010)</w:t>
      </w:r>
      <w:r w:rsidRPr="004F469F">
        <w:fldChar w:fldCharType="end"/>
      </w:r>
      <w:r w:rsidRPr="004F469F">
        <w:t>, a model parameter was considered important enough to be included if its S</w:t>
      </w:r>
      <w:r w:rsidRPr="004F469F">
        <w:rPr>
          <w:vertAlign w:val="subscript"/>
        </w:rPr>
        <w:t>t</w:t>
      </w:r>
      <w:r w:rsidRPr="004F469F">
        <w:t xml:space="preserve"> was at least 5%. Table 3.1 shows the final list of parameters selected for each model. The Tornado Forecast Model Selection and Validation section of Appendix A shows the results of the regression model validation and sensitivity analysis.</w:t>
      </w:r>
    </w:p>
    <w:p w14:paraId="6E22C06F" w14:textId="77777777" w:rsidR="00797351" w:rsidRPr="004F469F" w:rsidRDefault="00797351" w:rsidP="0049259D">
      <w:pPr>
        <w:pStyle w:val="Heading4"/>
        <w:spacing w:before="0" w:after="120" w:line="480" w:lineRule="auto"/>
        <w:rPr>
          <w:rFonts w:ascii="Times New Roman" w:hAnsi="Times New Roman" w:cs="Times New Roman"/>
          <w:i w:val="0"/>
          <w:iCs w:val="0"/>
          <w:color w:val="auto"/>
        </w:rPr>
      </w:pPr>
      <w:r w:rsidRPr="004F469F">
        <w:rPr>
          <w:rFonts w:ascii="Times New Roman" w:hAnsi="Times New Roman" w:cs="Times New Roman"/>
          <w:i w:val="0"/>
          <w:iCs w:val="0"/>
          <w:color w:val="auto"/>
        </w:rPr>
        <w:t>Daily Tornado Production</w:t>
      </w:r>
    </w:p>
    <w:p w14:paraId="463D568A" w14:textId="319AE60A"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rPr>
          <w:bCs/>
        </w:rPr>
      </w:pPr>
      <w:r w:rsidRPr="004F469F">
        <w:tab/>
        <w:t>The process of determining whether a simulated day will have tornadoes starts with the creation of a tornado probability surface for that day. The tornado</w:t>
      </w:r>
      <w:r w:rsidRPr="004F469F">
        <w:rPr>
          <w:bCs/>
        </w:rPr>
        <w:t xml:space="preserve"> probability surfaces are created by applying the regression equations to the gridded environmental data. First, the CAPE status (low or moderate to high) is assessed for each grid cell to determine which set of regression equations to use on that grid cell. The severe weather probability is then calculated using the relevant equation. </w:t>
      </w:r>
      <w:r w:rsidRPr="004F469F">
        <w:t xml:space="preserve">Following SPC's practice of not including severe weather probabilities below 2% </w:t>
      </w:r>
      <w:r w:rsidRPr="004F469F">
        <w:fldChar w:fldCharType="begin" w:fldLock="1"/>
      </w:r>
      <w:r w:rsidR="00123266">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2013)","plainTextFormattedCitation":"(Hitchens et al., 2013)","previouslyFormattedCitation":"(Hitchens et al., 2013)"},"properties":{"noteIndex":0},"schema":"https://github.com/citation-style-language/schema/raw/master/csl-citation.json"}</w:instrText>
      </w:r>
      <w:r w:rsidRPr="004F469F">
        <w:fldChar w:fldCharType="separate"/>
      </w:r>
      <w:r w:rsidR="00123266" w:rsidRPr="00123266">
        <w:rPr>
          <w:noProof/>
        </w:rPr>
        <w:t xml:space="preserve">(Hitchens </w:t>
      </w:r>
      <w:r w:rsidR="00123266" w:rsidRPr="00453357">
        <w:rPr>
          <w:i/>
          <w:iCs/>
          <w:noProof/>
        </w:rPr>
        <w:t>et al.</w:t>
      </w:r>
      <w:r w:rsidR="00123266" w:rsidRPr="00123266">
        <w:rPr>
          <w:noProof/>
        </w:rPr>
        <w:t>, 2013)</w:t>
      </w:r>
      <w:r w:rsidRPr="004F469F">
        <w:fldChar w:fldCharType="end"/>
      </w:r>
      <w:r w:rsidRPr="004F469F">
        <w:t xml:space="preserve">, </w:t>
      </w:r>
      <w:r w:rsidRPr="004F469F">
        <w:rPr>
          <w:bCs/>
        </w:rPr>
        <w:t xml:space="preserve">if the cell has a severe weather probability of less </w:t>
      </w:r>
      <w:r w:rsidRPr="004F469F">
        <w:rPr>
          <w:bCs/>
        </w:rPr>
        <w:lastRenderedPageBreak/>
        <w:t xml:space="preserve">than 2% the tornado probability is set to 0. Otherwise, the tornado probability is calculated using the relevant equation. Finally, a Gaussian low-pass filter with a 120 km standard deviation is applied to the tornado probability surface to smooth the data </w:t>
      </w:r>
      <w:r w:rsidRPr="004F469F">
        <w:rPr>
          <w:bCs/>
        </w:rPr>
        <w:fldChar w:fldCharType="begin" w:fldLock="1"/>
      </w:r>
      <w:r w:rsidR="0010658B">
        <w:rPr>
          <w:bCs/>
        </w:rPr>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Reanalysis","type":"article-journal","volume":"6"},"uris":["http://www.mendeley.com/documents/?uuid=c00b076a-fd2d-4516-ac75-69faf6495920"]}],"mendeley":{"formattedCitation":"(Gensini and Ashley, 2011)","plainTextFormattedCitation":"(Gensini and Ashley, 2011)","previouslyFormattedCitation":"(Gensini and Ashley, 2011)"},"properties":{"noteIndex":0},"schema":"https://github.com/citation-style-language/schema/raw/master/csl-citation.json"}</w:instrText>
      </w:r>
      <w:r w:rsidRPr="004F469F">
        <w:rPr>
          <w:bCs/>
        </w:rPr>
        <w:fldChar w:fldCharType="separate"/>
      </w:r>
      <w:r w:rsidR="0010658B" w:rsidRPr="0010658B">
        <w:rPr>
          <w:bCs/>
          <w:noProof/>
        </w:rPr>
        <w:t>(Gensini and Ashley, 2011)</w:t>
      </w:r>
      <w:r w:rsidRPr="004F469F">
        <w:rPr>
          <w:bCs/>
        </w:rPr>
        <w:fldChar w:fldCharType="end"/>
      </w:r>
      <w:r w:rsidRPr="004F469F">
        <w:rPr>
          <w:bCs/>
        </w:rPr>
        <w:t xml:space="preserve"> and all grid cells with tornado probabilities below 2% are set to 0 as well (Figure 3.3). Smoothing is performed to help spread favorable environments over a larger area since environments change over a day </w:t>
      </w:r>
      <w:r w:rsidRPr="004F469F">
        <w:rPr>
          <w:bCs/>
        </w:rPr>
        <w:fldChar w:fldCharType="begin" w:fldLock="1"/>
      </w:r>
      <w:r w:rsidR="00123266">
        <w:rPr>
          <w:bCs/>
        </w:rPr>
        <w:instrText>ADDIN CSL_CITATION {"citationItems":[{"id":"ITEM-1","itemData":{"author":[{"dropping-particle":"","family":"Brooks","given":"Harold E.","non-dropping-particle":"","parse-names":false,"suffix":""},{"dropping-particle":"","family":"Anderson","given":"Aaron R","non-dropping-particle":"","parse-names":false,"suffix":""},{"dropping-particle":"","family":"Riemann","given":"Kathrin","non-dropping-particle":"","parse-names":false,"suffix":""},{"dropping-particle":"","family":"Ebbers","given":"Irina","non-dropping-particle":"","parse-names":false,"suffix":""},{"dropping-particle":"","family":"Flachs","given":"Heather","non-dropping-particle":"","parse-names":false,"suffix":""}],"container-title":"Atmospheric Research","id":"ITEM-1","issue":"2-4","issued":{"date-parts":[["2007"]]},"page":"294-305","publisher":"Elsevier","title":"Climatological aspects of convective parameters from the NCAR/NCEP reanalysis","type":"article-journal","volume":"83"},"uris":["http://www.mendeley.com/documents/?uuid=c425bbf0-18ff-4e0e-87d8-e2e7c1bcbcc1"]}],"mendeley":{"formattedCitation":"(Brooks et al., 2007)","plainTextFormattedCitation":"(Brooks et al., 2007)","previouslyFormattedCitation":"(Brooks et al., 2007)"},"properties":{"noteIndex":0},"schema":"https://github.com/citation-style-language/schema/raw/master/csl-citation.json"}</w:instrText>
      </w:r>
      <w:r w:rsidRPr="004F469F">
        <w:rPr>
          <w:bCs/>
        </w:rPr>
        <w:fldChar w:fldCharType="separate"/>
      </w:r>
      <w:r w:rsidR="0010658B" w:rsidRPr="00123266">
        <w:rPr>
          <w:bCs/>
          <w:noProof/>
        </w:rPr>
        <w:t xml:space="preserve">(Brooks </w:t>
      </w:r>
      <w:r w:rsidR="0010658B" w:rsidRPr="00453357">
        <w:rPr>
          <w:bCs/>
          <w:i/>
          <w:iCs/>
          <w:noProof/>
        </w:rPr>
        <w:t>et al.</w:t>
      </w:r>
      <w:r w:rsidR="0010658B" w:rsidRPr="00123266">
        <w:rPr>
          <w:bCs/>
          <w:noProof/>
        </w:rPr>
        <w:t>, 2007)</w:t>
      </w:r>
      <w:r w:rsidRPr="004F469F">
        <w:rPr>
          <w:bCs/>
        </w:rPr>
        <w:fldChar w:fldCharType="end"/>
      </w:r>
      <w:r w:rsidRPr="004F469F">
        <w:rPr>
          <w:bCs/>
        </w:rPr>
        <w:t>.</w:t>
      </w:r>
    </w:p>
    <w:p w14:paraId="3A2DBB7C" w14:textId="1E4C2B2D"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rPr>
          <w:bCs/>
        </w:rPr>
        <w:tab/>
        <w:t xml:space="preserve">Days are considered to be favorable for tornado production when the favourable area (area with 2% or higher probability) covers </w:t>
      </w:r>
      <w:r w:rsidRPr="004F469F">
        <w:t>at least 5,000 km</w:t>
      </w:r>
      <w:r w:rsidRPr="004F469F">
        <w:rPr>
          <w:vertAlign w:val="superscript"/>
        </w:rPr>
        <w:t>2</w:t>
      </w:r>
      <w:r w:rsidRPr="004F469F">
        <w:t xml:space="preserve"> </w:t>
      </w:r>
      <w:r w:rsidRPr="004F469F">
        <w:fldChar w:fldCharType="begin" w:fldLock="1"/>
      </w:r>
      <w:r w:rsidR="00123266">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2013)","plainTextFormattedCitation":"(Hitchens et al., 2013)","previouslyFormattedCitation":"(Hitchens et al., 2013)"},"properties":{"noteIndex":0},"schema":"https://github.com/citation-style-language/schema/raw/master/csl-citation.json"}</w:instrText>
      </w:r>
      <w:r w:rsidRPr="004F469F">
        <w:fldChar w:fldCharType="separate"/>
      </w:r>
      <w:r w:rsidR="00123266" w:rsidRPr="00123266">
        <w:rPr>
          <w:noProof/>
        </w:rPr>
        <w:t xml:space="preserve">(Hitchens </w:t>
      </w:r>
      <w:r w:rsidR="00123266" w:rsidRPr="00453357">
        <w:rPr>
          <w:i/>
          <w:iCs/>
          <w:noProof/>
        </w:rPr>
        <w:t>et al.</w:t>
      </w:r>
      <w:r w:rsidR="00123266" w:rsidRPr="00123266">
        <w:rPr>
          <w:noProof/>
        </w:rPr>
        <w:t>, 2013)</w:t>
      </w:r>
      <w:r w:rsidRPr="004F469F">
        <w:fldChar w:fldCharType="end"/>
      </w:r>
      <w:r w:rsidRPr="004F469F">
        <w:t xml:space="preserve">. Since daily tornado production is highly variable </w:t>
      </w:r>
      <w:r w:rsidRPr="004F469F">
        <w:fldChar w:fldCharType="begin" w:fldLock="1"/>
      </w:r>
      <w:r w:rsidR="00123266">
        <w:instrText>ADDIN CSL_CITATION {"citationItems":[{"id":"ITEM-1","itemData":{"author":[{"dropping-particle":"","family":"Elsner","given":"J B","non-dropping-particle":"","parse-names":false,"suffix":""},{"dropping-particle":"","family":"Jagger","given":"T H","non-dropping-particle":"","parse-names":false,"suffix":""},{"dropping-particle":"","family":"Widen","given":"H M","non-dropping-particle":"","parse-names":false,"suffix":""},{"dropping-particle":"","family":"Chavas","given":"D R","non-dropping-particle":"","parse-names":false,"suffix":""}],"container-title":"Environmental Research Letters","id":"ITEM-1","issue":"2","issued":{"date-parts":[["2014"]]},"page":"24018","publisher":"IOP Publishing","title":"Daily tornado frequency distributions in the United States","type":"article-journal","volume":"9"},"uris":["http://www.mendeley.com/documents/?uuid=afac0a05-ef42-498e-a8a1-fec17a6e7639"]},{"id":"ITEM-2","itemData":{"author":[{"dropping-particle":"","family":"Tippett","given":"Michael K","non-dropping-particle":"","parse-names":false,"suffix":""},{"dropping-particle":"","family":"Cohen","given":"Joel E","non-dropping-particle":"","parse-names":false,"suffix":""}],"container-title":"Nature communications","id":"ITEM-2","issued":{"date-parts":[["2016"]]},"page":"10668","publisher":"Nature Publishing Group","title":"Tornado outbreak variability follows Taylor’s power law of fluctuation scaling and increases dramatically with severity","type":"article-journal","volume":"7"},"uris":["http://www.mendeley.com/documents/?uuid=c94d99d3-9fde-4b37-855c-9bcc66b442f7"]}],"mendeley":{"formattedCitation":"(Elsner et al., 2014; Tippett and Cohen, 2016)","plainTextFormattedCitation":"(Elsner et al., 2014; Tippett and Cohen, 2016)","previouslyFormattedCitation":"(Elsner et al., 2014; Tippett and Cohen, 2016)"},"properties":{"noteIndex":0},"schema":"https://github.com/citation-style-language/schema/raw/master/csl-citation.json"}</w:instrText>
      </w:r>
      <w:r w:rsidRPr="004F469F">
        <w:fldChar w:fldCharType="separate"/>
      </w:r>
      <w:r w:rsidR="0010658B" w:rsidRPr="00123266">
        <w:rPr>
          <w:noProof/>
        </w:rPr>
        <w:t xml:space="preserve">(Elsner </w:t>
      </w:r>
      <w:r w:rsidR="0010658B" w:rsidRPr="00453357">
        <w:rPr>
          <w:i/>
          <w:iCs/>
          <w:noProof/>
        </w:rPr>
        <w:t>et al.</w:t>
      </w:r>
      <w:r w:rsidR="0010658B" w:rsidRPr="00123266">
        <w:rPr>
          <w:noProof/>
        </w:rPr>
        <w:t>, 2014; Tippett and Cohen, 2016)</w:t>
      </w:r>
      <w:r w:rsidRPr="004F469F">
        <w:fldChar w:fldCharType="end"/>
      </w:r>
      <w:r w:rsidRPr="004F469F">
        <w:t xml:space="preserve"> and not all days that are considered favorable produce tornadoes </w:t>
      </w:r>
      <w:r w:rsidRPr="004F469F">
        <w:fldChar w:fldCharType="begin" w:fldLock="1"/>
      </w:r>
      <w:r w:rsidR="00123266">
        <w:instrText>ADDIN CSL_CITATION {"citationItems":[{"id":"ITEM-1","itemData":{"author":[{"dropping-particle":"","family":"Lock","given":"Noah","non-dropping-particle":"","parse-names":false,"suffix":""}],"id":"ITEM-1","issued":{"date-parts":[["2012"]]},"title":"An Analysis of Deep Convection Initiation Environments","type":"article-journal"},"uris":["http://www.mendeley.com/documents/?uuid=d53a3eff-9cff-4a02-bccb-35dd90c79282"]},{"id":"ITEM-2","itemData":{"DOI":"10.1073/pnas.0705494104","ISBN":"0027-8424","abstract":"Severe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forcing","type":"article-journal","volume":"104"},"uris":["http://www.mendeley.com/documents/?uuid=ff306650-3c82-4142-8d04-d598e3b78415"]}],"mendeley":{"formattedCitation":"(Trapp et al., 2007; Lock, 2012)","plainTextFormattedCitation":"(Trapp et al., 2007; Lock, 2012)","previouslyFormattedCitation":"(Trapp et al., 2007; Lock, 2012)"},"properties":{"noteIndex":0},"schema":"https://github.com/citation-style-language/schema/raw/master/csl-citation.json"}</w:instrText>
      </w:r>
      <w:r w:rsidRPr="004F469F">
        <w:fldChar w:fldCharType="separate"/>
      </w:r>
      <w:r w:rsidR="0010658B" w:rsidRPr="00123266">
        <w:rPr>
          <w:noProof/>
        </w:rPr>
        <w:t xml:space="preserve">(Trapp </w:t>
      </w:r>
      <w:r w:rsidR="0010658B" w:rsidRPr="00453357">
        <w:rPr>
          <w:i/>
          <w:iCs/>
          <w:noProof/>
        </w:rPr>
        <w:t>et al.</w:t>
      </w:r>
      <w:r w:rsidR="0010658B" w:rsidRPr="00123266">
        <w:rPr>
          <w:noProof/>
        </w:rPr>
        <w:t>, 2007; Lock, 2012)</w:t>
      </w:r>
      <w:r w:rsidRPr="004F469F">
        <w:fldChar w:fldCharType="end"/>
      </w:r>
      <w:r w:rsidRPr="004F469F">
        <w:t xml:space="preserve">, daily tornado counts are randomly drawn from the historical record. Tornado production is linked to LCL with higher LCLs corresponding to increased outflow, and a reduced likelihood of tornado formation </w:t>
      </w:r>
      <w:r w:rsidRPr="004F469F">
        <w:fldChar w:fldCharType="begin" w:fldLock="1"/>
      </w:r>
      <w:r w:rsidR="0010658B">
        <w:instrText>ADDIN CSL_CITATION {"citationItems":[{"id":"ITEM-1","itemData":{"DOI":"10.1175/1520-0434(1998)013&lt;1148:ABCOSD&gt;2.0.CO;2","ISBN":"1520-0434","ISSN":"0882-8156","abstract":"Abstract All of the 0000 UTC soundings from the United States made during the year 1992 that have nonzero convective available potential energy (CAPE) are examined. Soundings are classified as being associated with nonsupercell thunderstorms, supercells without significant tornadoes, and supercells with significant tornadoes. This classification is made by attempting to pair, based on the low-level sounding winds, an upstream sounding with each occurrence of a significant tornado, large hail, and/or 10 or more cloud-to-ground lightning flashes. Severe weather wind parameters (mean shear, 0–6-km shear, storm-relative helicity, and storm-relative anvil-level flow) and CAPE parameters (total CAPE and CAPE in the lowest 3000 m with buoyancy) are shown to discriminate weakly between the environments of the three classified types of storms. Combined parameters (energy–helicity index and vorticity generation parameter) discriminate strongly between the environments. The height of the lifting condensation level a...","author":[{"dropping-particle":"","family":"Rasmussen","given":"Erik N.","non-dropping-particle":"","parse-names":false,"suffix":""},{"dropping-particle":"","family":"Blanchard","given":"David O.","non-dropping-particle":"","parse-names":false,"suffix":""}],"container-title":"Weather and Forecasting","id":"ITEM-1","issue":"4","issued":{"date-parts":[["1998"]]},"page":"1148-1164","title":"A Baseline Climatology of Sounding-Derived Supercell andTornado Forecast Parameters","type":"article-journal","volume":"13"},"uris":["http://www.mendeley.com/documents/?uuid=0956546c-d452-46cc-95d1-52a1972ff49c"]}],"mendeley":{"formattedCitation":"(Rasmussen and Blanchard, 1998)","plainTextFormattedCitation":"(Rasmussen and Blanchard, 1998)","previouslyFormattedCitation":"(Rasmussen and Blanchard, 1998)"},"properties":{"noteIndex":0},"schema":"https://github.com/citation-style-language/schema/raw/master/csl-citation.json"}</w:instrText>
      </w:r>
      <w:r w:rsidRPr="004F469F">
        <w:fldChar w:fldCharType="separate"/>
      </w:r>
      <w:r w:rsidR="0010658B" w:rsidRPr="0010658B">
        <w:rPr>
          <w:noProof/>
        </w:rPr>
        <w:t>(Rasmussen and Blanchard, 1998)</w:t>
      </w:r>
      <w:r w:rsidRPr="004F469F">
        <w:fldChar w:fldCharType="end"/>
      </w:r>
      <w:r w:rsidRPr="004F469F">
        <w:t xml:space="preserve">. Tornado outbreaks also tend to be the largest in the spring and fall </w:t>
      </w:r>
      <w:r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States","type":"article-journal","volume":"18"},"uris":["http://www.mendeley.com/documents/?uuid=d2c29800-b258-46b1-9db2-3480e3ee0273"]},{"id":"ITEM-2","itemData":{"DOI":"10.1175/WAF959.1","ISSN":"0882-8156","abstract":"The notion of an “outbreak” of severe weather has been used for decades, buthas never been formally defined. There are many different criteria by which outbreaks can be defined based on severe weather occurrence data, and there is not likely to be any compelling logic to choose any single criterion as ideal for all purposes. Therefore, a method has been developed that uses multiple variables and allows for considerable flexibility. The technique can be adapted easily to any project that needs to establish a ranking of weather events. The intended use involves isolating the most important tornado outbreak days, as well as important outbreak days of primarily nontornadicsevere convective weather, during a period when the number of reports has been growing rapidly from nonmeteorological factors. The method is illustrated for both tornadic and primarily nontornadic severe weather event day cases. The impact of the secular trends in the data has been reduced by a simple detrending scheme. The effect of detrending is less important for the tornado outbreak cases and is illustrated by comparing rankings with and without detrending. It is shown that the resulting rankings are relatively resistant to secular trends in the data, as intended, and not strongly sensitive to the choices made in applying the method. The rankings are also consistent with subjective judgments of the relative importance of historical tornado outbreak cases.","author":[{"dropping-particle":"","family":"Doswell","given":"Charles A. III","non-dropping-particle":"","parse-names":false,"suffix":""},{"dropping-particle":"","family":"Edwards","given":"R.","non-dropping-particle":"","parse-names":false,"suffix":""},{"dropping-particle":"","family":"Thompson","given":"R. L.","non-dropping-particle":"","parse-names":false,"suffix":""},{"dropping-particle":"","family":"Hart","given":"J. A.","non-dropping-particle":"","parse-names":false,"suffix":""},{"dropping-particle":"","family":"Crosbie","given":"K. C.","non-dropping-particle":"","parse-names":false,"suffix":""}],"container-title":"Weather and Forecasting","id":"ITEM-2","issue":"1955","issued":{"date-parts":[["2006"]]},"page":"939-951","title":"A Simple and Flexible Method for Ranking Severe Weather Events","type":"article-journal","volume":"21"},"uris":["http://www.mendeley.com/documents/?uuid=776a4316-32c2-4189-83ed-25285f677e1e"]}],"mendeley":{"formattedCitation":"(Brooks et al., 2003a; Doswell et al., 2006)","plainTextFormattedCitation":"(Brooks et al., 2003a; Doswell et al., 2006)","previouslyFormattedCitation":"(Brooks et al., 2003a; Doswell et al., 2006)"},"properties":{"noteIndex":0},"schema":"https://github.com/citation-style-language/schema/raw/master/csl-citation.json"}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2003a; Doswell </w:t>
      </w:r>
      <w:r w:rsidR="00123266" w:rsidRPr="00453357">
        <w:rPr>
          <w:i/>
          <w:iCs/>
          <w:noProof/>
        </w:rPr>
        <w:t>et al.</w:t>
      </w:r>
      <w:r w:rsidR="00123266" w:rsidRPr="00123266">
        <w:rPr>
          <w:noProof/>
        </w:rPr>
        <w:t>, 2006)</w:t>
      </w:r>
      <w:r w:rsidRPr="004F469F">
        <w:fldChar w:fldCharType="end"/>
      </w:r>
      <w:r w:rsidRPr="004F469F">
        <w:t>. To account for these patterns, daily tornado counts are broken down into eight categories based on season, and the 5</w:t>
      </w:r>
      <w:r w:rsidRPr="004F469F">
        <w:rPr>
          <w:vertAlign w:val="superscript"/>
        </w:rPr>
        <w:t>th</w:t>
      </w:r>
      <w:r w:rsidRPr="004F469F">
        <w:t xml:space="preserve"> percentile daily LCL height over the domain and a daily tornado count is randomly drawn from the relevant category based on the atmospheric conditions of the day for each day that is considered favorable for tornado production. Once the tornado probability surface has been created, and a daily tornado count has been selected, tornado touchdown points are distributed across the model domain using a weighted random distribution based on the tornado probability surface. </w:t>
      </w:r>
    </w:p>
    <w:p w14:paraId="077E453D"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55" w:name="_Toc21861310"/>
      <w:r w:rsidRPr="004F469F">
        <w:rPr>
          <w:rFonts w:ascii="Times New Roman" w:hAnsi="Times New Roman" w:cs="Times New Roman"/>
          <w:i/>
          <w:iCs/>
          <w:color w:val="auto"/>
        </w:rPr>
        <w:t>Tornado Intensity</w:t>
      </w:r>
      <w:bookmarkEnd w:id="55"/>
    </w:p>
    <w:p w14:paraId="1232E9B0" w14:textId="3B9A1E38"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Tornado intensity is related to SRH3 with more intense tornadoes more common in high helicity environments more conducive of supercell production </w:t>
      </w:r>
      <w:r w:rsidRPr="004F469F">
        <w:fldChar w:fldCharType="begin" w:fldLock="1"/>
      </w:r>
      <w:r w:rsidR="0010658B">
        <w:instrText>ADDIN CSL_CITATION {"citationItems":[{"id":"ITEM-1","itemData":{"DOI":"10.1175/1520-0434(1998)013&lt;1148:ABCOSD&gt;2.0.CO;2","ISBN":"1520-0434","ISSN":"0882-8156","abstract":"Abstract All of the 0000 UTC soundings from the United States made during the year 1992 that have nonzero convective available potential energy (CAPE) are examined. Soundings are classified as being associated with nonsupercell thunderstorms, supercells without significant tornadoes, and supercells with significant tornadoes. This classification is made by attempting to pair, based on the low-level sounding winds, an upstream sounding with each occurrence of a significant tornado, large hail, and/or 10 or more cloud-to-ground lightning flashes. Severe weather wind parameters (mean shear, 0–6-km shear, storm-relative helicity, and storm-relative anvil-level flow) and CAPE parameters (total CAPE and CAPE in the lowest 3000 m with buoyancy) are shown to discriminate weakly between the environments of the three classified types of storms. Combined parameters (energy–helicity index and vorticity generation parameter) discriminate strongly between the environments. The height of the lifting condensation level a...","author":[{"dropping-particle":"","family":"Rasmussen","given":"Erik N.","non-dropping-particle":"","parse-names":false,"suffix":""},{"dropping-particle":"","family":"Blanchard","given":"David O.","non-dropping-particle":"","parse-names":false,"suffix":""}],"container-title":"Weather and Forecasting","id":"ITEM-1","issue":"4","issued":{"date-parts":[["1998"]]},"page":"1148-1164","title":"A Baseline Climatology of Sounding-Derived Supercell andTornado Forecast Parameters","type":"article-journal","volume":"13"},"uris":["http://www.mendeley.com/documents/?uuid=0956546c-d452-46cc-95d1-52a1972ff49c"]},{"id":"ITEM-2","itemData":{"author":[{"dropping-particle":"","family":"Colquhoun","given":"John R","non-dropping-particle":"","parse-names":false,"suffix":""},{"dropping-particle":"","family":"Riley","given":"Philip A","non-dropping-particle":"","parse-names":false,"suffix":""}],"container-title":"Weather and forecasting","id":"ITEM-2","issue":"3","issued":{"date-parts":[["1996"]]},"page":"360-371","title":"Relationships between tornado intensity and various wind and thermodynamic variables","type":"article-journal","volume":"11"},"uris":["http://www.mendeley.com/documents/?uuid=5b1ef918-c699-4eec-b415-f7400f110109"]}],"mendeley":{"formattedCitation":"(Colquhoun and Riley, 1996; Rasmussen and Blanchard, 1998)","plainTextFormattedCitation":"(Colquhoun and Riley, 1996; Rasmussen and Blanchard, 1998)","previouslyFormattedCitation":"(Colquhoun and Riley, 1996; Rasmussen and Blanchard, 1998)"},"properties":{"noteIndex":0},"schema":"https://github.com/citation-style-language/schema/raw/master/csl-citation.json"}</w:instrText>
      </w:r>
      <w:r w:rsidRPr="004F469F">
        <w:fldChar w:fldCharType="separate"/>
      </w:r>
      <w:r w:rsidR="0010658B" w:rsidRPr="0010658B">
        <w:rPr>
          <w:noProof/>
        </w:rPr>
        <w:t xml:space="preserve">(Colquhoun and Riley, 1996; </w:t>
      </w:r>
      <w:r w:rsidR="0010658B" w:rsidRPr="0010658B">
        <w:rPr>
          <w:noProof/>
        </w:rPr>
        <w:lastRenderedPageBreak/>
        <w:t>Rasmussen and Blanchard, 1998)</w:t>
      </w:r>
      <w:r w:rsidRPr="004F469F">
        <w:fldChar w:fldCharType="end"/>
      </w:r>
      <w:r w:rsidRPr="004F469F">
        <w:t>. The literature suggests multiple SRH3 thresholds for supercell production, and thus stronger tornadoes, including 150 m</w:t>
      </w:r>
      <w:r w:rsidRPr="004F469F">
        <w:rPr>
          <w:vertAlign w:val="superscript"/>
        </w:rPr>
        <w:t>2</w:t>
      </w:r>
      <w:r w:rsidRPr="004F469F">
        <w:t xml:space="preserve"> s</w:t>
      </w:r>
      <w:r w:rsidRPr="004F469F">
        <w:rPr>
          <w:vertAlign w:val="superscript"/>
        </w:rPr>
        <w:t>-2</w:t>
      </w:r>
      <w:r w:rsidRPr="004F469F">
        <w:t xml:space="preserve"> and 250 m</w:t>
      </w:r>
      <w:r w:rsidRPr="004F469F">
        <w:rPr>
          <w:vertAlign w:val="superscript"/>
        </w:rPr>
        <w:t>2</w:t>
      </w:r>
      <w:r w:rsidRPr="004F469F">
        <w:t xml:space="preserve"> s</w:t>
      </w:r>
      <w:r w:rsidRPr="004F469F">
        <w:rPr>
          <w:vertAlign w:val="superscript"/>
        </w:rPr>
        <w:t>-2</w:t>
      </w:r>
      <w:r w:rsidRPr="004F469F">
        <w:t xml:space="preserve"> </w:t>
      </w:r>
      <w:r w:rsidRPr="004F469F">
        <w:fldChar w:fldCharType="begin" w:fldLock="1"/>
      </w:r>
      <w:r w:rsidR="00123266">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variables","type":"article-journal","volume":"11"},"uris":["http://www.mendeley.com/documents/?uuid=5b1ef918-c699-4eec-b415-f7400f110109"]},{"id":"ITEM-2","itemData":{"author":[{"dropping-particle":"","family":"Droegemeier","given":"Kelvin K","non-dropping-particle":"","parse-names":false,"suffix":""},{"dropping-particle":"","family":"Lazarus","given":"Steven M","non-dropping-particle":"","parse-names":false,"suffix":""},{"dropping-particle":"","family":"Davies-Jones","given":"Robert","non-dropping-particle":"","parse-names":false,"suffix":""}],"container-title":"Monthly weather review","id":"ITEM-2","issue":"7","issued":{"date-parts":[["1993"]]},"page":"2005-2029","title":"The influence of helicity on numerically simulated convective storms","type":"article-journal","volume":"121"},"uris":["http://www.mendeley.com/documents/?uuid=3fa2f889-d9b8-42d3-a42e-ce6c4249f2be"]},{"id":"ITEM-3","itemData":{"author":[{"dropping-particle":"","family":"Moller","given":"Alan R.","non-dropping-particle":"","parse-names":false,"suffix":""},{"dropping-particle":"","family":"Doswell","given":"Charles A. III","non-dropping-particle":"","parse-names":false,"suffix":""},{"dropping-particle":"","family":"Foster","given":"Michael P.","non-dropping-particle":"","parse-names":false,"suffix":""},{"dropping-particle":"","family":"Woodall","given":"Gary R.","non-dropping-particle":"","parse-names":false,"suffix":""}],"container-title":"Weather and Forecasting","id":"ITEM-3","issue":"3","issued":{"date-parts":[["1994"]]},"page":"327-347","title":"The operational recognition of supercell thunderstorm environments and storm structures","type":"article-journal","volume":"9"},"uris":["http://www.mendeley.com/documents/?uuid=bf6032bc-b45b-491d-aec7-87a088b5cccf"]}],"mendeley":{"formattedCitation":"(Droegemeier et al., 1993; Moller et al., 1994; Colquhoun and Riley, 1996)","plainTextFormattedCitation":"(Droegemeier et al., 1993; Moller et al., 1994; Colquhoun and Riley, 1996)","previouslyFormattedCitation":"(Droegemeier et al., 1993; Moller et al., 1994; Colquhoun and Riley, 1996)"},"properties":{"noteIndex":0},"schema":"https://github.com/citation-style-language/schema/raw/master/csl-citation.json"}</w:instrText>
      </w:r>
      <w:r w:rsidRPr="004F469F">
        <w:fldChar w:fldCharType="separate"/>
      </w:r>
      <w:r w:rsidR="00123266" w:rsidRPr="00123266">
        <w:rPr>
          <w:noProof/>
        </w:rPr>
        <w:t xml:space="preserve">(Droegemeier </w:t>
      </w:r>
      <w:r w:rsidR="00123266" w:rsidRPr="00453357">
        <w:rPr>
          <w:i/>
          <w:iCs/>
          <w:noProof/>
        </w:rPr>
        <w:t>et al.</w:t>
      </w:r>
      <w:r w:rsidR="00123266" w:rsidRPr="00123266">
        <w:rPr>
          <w:noProof/>
        </w:rPr>
        <w:t xml:space="preserve">, 1993; Moller </w:t>
      </w:r>
      <w:r w:rsidR="00123266" w:rsidRPr="00453357">
        <w:rPr>
          <w:i/>
          <w:iCs/>
          <w:noProof/>
        </w:rPr>
        <w:t>et al.</w:t>
      </w:r>
      <w:r w:rsidR="00123266" w:rsidRPr="00123266">
        <w:rPr>
          <w:noProof/>
        </w:rPr>
        <w:t>, 1994; Colquhoun and Riley, 1996)</w:t>
      </w:r>
      <w:r w:rsidRPr="004F469F">
        <w:fldChar w:fldCharType="end"/>
      </w:r>
      <w:r w:rsidRPr="004F469F">
        <w:t>. A preliminary investigation of proximity sounding data for tornadoes in the SVRGIS database showed a clear distinction between tornado intensities for tornadoes with SRH3 in the following categories: low (</w:t>
      </w:r>
      <m:oMath>
        <m:r>
          <w:rPr>
            <w:rFonts w:ascii="Cambria Math" w:hAnsi="Cambria Math"/>
          </w:rPr>
          <m:t xml:space="preserve">SRH3&lt;150 </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oMath>
      <w:r w:rsidRPr="004F469F">
        <w:t>), moderate (</w:t>
      </w:r>
      <m:oMath>
        <m:r>
          <w:rPr>
            <w:rFonts w:ascii="Cambria Math" w:hAnsi="Cambria Math"/>
          </w:rPr>
          <m:t xml:space="preserve">150 </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≤SRH3 &lt;250 </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 xml:space="preserve"> </m:t>
        </m:r>
      </m:oMath>
      <w:r w:rsidRPr="004F469F">
        <w:t>), and high (</w:t>
      </w:r>
      <m:oMath>
        <m:r>
          <w:rPr>
            <w:rFonts w:ascii="Cambria Math" w:hAnsi="Cambria Math"/>
          </w:rPr>
          <m:t xml:space="preserve">SRH3≥250 </m:t>
        </m:r>
        <m:sSup>
          <m:sSupPr>
            <m:ctrlPr>
              <w:rPr>
                <w:rFonts w:ascii="Cambria Math" w:hAnsi="Cambria Math"/>
                <w:i/>
              </w:rPr>
            </m:ctrlPr>
          </m:sSupPr>
          <m:e>
            <m:r>
              <w:rPr>
                <w:rFonts w:ascii="Cambria Math" w:hAnsi="Cambria Math"/>
              </w:rPr>
              <m:t>m</m:t>
            </m:r>
          </m:e>
          <m:sup>
            <m:r>
              <w:rPr>
                <w:rFonts w:ascii="Cambria Math" w:hAnsi="Cambria Math"/>
              </w:rPr>
              <m:t>2</m:t>
            </m:r>
          </m:sup>
        </m:sSup>
        <m:sSup>
          <m:sSupPr>
            <m:ctrlPr>
              <w:rPr>
                <w:rFonts w:ascii="Cambria Math" w:hAnsi="Cambria Math"/>
                <w:i/>
              </w:rPr>
            </m:ctrlPr>
          </m:sSupPr>
          <m:e>
            <m:r>
              <w:rPr>
                <w:rFonts w:ascii="Cambria Math" w:hAnsi="Cambria Math"/>
              </w:rPr>
              <m:t>s</m:t>
            </m:r>
          </m:e>
          <m:sup>
            <m:r>
              <w:rPr>
                <w:rFonts w:ascii="Cambria Math" w:hAnsi="Cambria Math"/>
              </w:rPr>
              <m:t>-2</m:t>
            </m:r>
          </m:sup>
        </m:sSup>
      </m:oMath>
      <w:r w:rsidRPr="004F469F">
        <w:t>). All the tornado intensities in the SVRGIS database are separated into groups based on the SRH3 category. Once a tornado is placed, the SRH3 value for that location is extracted and a tornado intensity is randomly drawn from the relevant group.</w:t>
      </w:r>
    </w:p>
    <w:p w14:paraId="463BC513"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56" w:name="_Toc21861311"/>
      <w:r w:rsidRPr="004F469F">
        <w:rPr>
          <w:rFonts w:ascii="Times New Roman" w:hAnsi="Times New Roman" w:cs="Times New Roman"/>
          <w:i/>
          <w:iCs/>
          <w:color w:val="auto"/>
        </w:rPr>
        <w:t>Path Length and Width</w:t>
      </w:r>
      <w:bookmarkEnd w:id="56"/>
    </w:p>
    <w:p w14:paraId="7E045652" w14:textId="07FB9FCD"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 xml:space="preserve">Brooks </w:t>
      </w:r>
      <w:r w:rsidRPr="004F469F">
        <w:fldChar w:fldCharType="begin" w:fldLock="1"/>
      </w:r>
      <w:r w:rsidR="00C42BC1" w:rsidRPr="004F469F">
        <w:instrText>ADDIN CSL_CITATION {"citationItems":[{"id":"ITEM-1","itemData":{"ISBN":"1520-0434","author":[{"dropping-particle":"","family":"Brooks","given":"Harold E.","non-dropping-particle":"","parse-names":false,"suffix":""}],"container-title":"Weather and Forecasting","id":"ITEM-1","issue":"2","issued":{"date-parts":[["2004"]]},"page":"310-319","title":"On the relationship of tornado path length and width to intensity","type":"article-journal","volume":"19"},"suppress-author":1,"uris":["http://www.mendeley.com/documents/?uuid=6daeec75-3842-49f0-aef9-47e2969531ed"]}],"mendeley":{"formattedCitation":"(2004)","plainTextFormattedCitation":"(2004)","previouslyFormattedCitation":"(2004)"},"properties":{"noteIndex":0},"schema":"https://github.com/citation-style-language/schema/raw/master/csl-citation.json"}</w:instrText>
      </w:r>
      <w:r w:rsidRPr="004F469F">
        <w:fldChar w:fldCharType="separate"/>
      </w:r>
      <w:r w:rsidRPr="004F469F">
        <w:rPr>
          <w:noProof/>
        </w:rPr>
        <w:t>(2004)</w:t>
      </w:r>
      <w:r w:rsidRPr="004F469F">
        <w:fldChar w:fldCharType="end"/>
      </w:r>
      <w:r w:rsidRPr="004F469F">
        <w:t xml:space="preserve"> showed that, when separated by intensity class, both tornado path lengths and widths were well approximated by Weibull distributions due to their non-negative and positively skewed nature. Tornado path lengths and widths are randomly drawn from intensity-specific Weibull distributions fitted to the observed path width and length data. Before fitting the Weibull distributions, both path length and width values in the SVRGIS database were adjusted to account for non-meteorological trends in their values </w:t>
      </w:r>
      <w:r w:rsidRPr="004F469F">
        <w:fldChar w:fldCharType="begin" w:fldLock="1"/>
      </w:r>
      <w:r w:rsidR="00123266">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assessments","type":"article-journal","volume":"22"},"uris":["http://www.mendeley.com/documents/?uuid=e4377686-df2f-4b6e-9560-9cec9e268521"]},{"id":"ITEM-2","itemData":{"DOI":"10.1002/met.1552","abstract":"Determining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Applications","id":"ITEM-2","issue":"2","issued":{"date-parts":[["2016"]]},"page":"269-281","title":"A Monte Carlo model for estimating tornado impacts","type":"article-journal","volume":"23"},"uris":["http://www.mendeley.com/documents/?uuid=35120d27-7369-4b8b-a188-dbf511d1ef98"]}],"mendeley":{"formattedCitation":"(Strader et al., 2015, 2016)","plainTextFormattedCitation":"(Strader et al., 2015, 2016)","previouslyFormattedCitation":"(Strader et al., 2015,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2015, 2016)</w:t>
      </w:r>
      <w:r w:rsidRPr="004F469F">
        <w:fldChar w:fldCharType="end"/>
      </w:r>
      <w:r w:rsidRPr="004F469F">
        <w:t>. Jumps in the mean annual path width were found in 1995 (when path width reporting switched from mean width to maximum width</w:t>
      </w:r>
      <w:r w:rsidR="004018A9">
        <w:t>;</w:t>
      </w:r>
      <w:r w:rsidRPr="004F469F">
        <w:t xml:space="preserve"> </w:t>
      </w:r>
      <w:r w:rsidRPr="004F469F">
        <w:fldChar w:fldCharType="begin" w:fldLock="1"/>
      </w:r>
      <w:r w:rsidR="004018A9">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destruction","type":"article-journal","volume":"53"},"uris":["http://www.mendeley.com/documents/?uuid=881c0ace-6e18-4d86-b1bd-d5c869df82d2"]},{"id":"ITEM-2","itemData":{"author":[{"dropping-particle":"","family":"Ashley","given":"Walker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illinois","type":"article-journal","volume":"6"},"uris":["http://www.mendeley.com/documents/?uuid=0e441156-498a-43d6-9545-e97b6fa0d5df"]}],"mendeley":{"formattedCitation":"(Agee and Childs, 2014; Ashley et al., 2014)","manualFormatting":"Agee and Childs, 2014; Ashley et al., 2014","plainTextFormattedCitation":"(Agee and Childs, 2014; Ashley et al., 2014)","previouslyFormattedCitation":"(Agee and Childs, 2014; Ashley et al., 2014)"},"properties":{"noteIndex":0},"schema":"https://github.com/citation-style-language/schema/raw/master/csl-citation.json"}</w:instrText>
      </w:r>
      <w:r w:rsidRPr="004F469F">
        <w:fldChar w:fldCharType="separate"/>
      </w:r>
      <w:r w:rsidR="0010658B" w:rsidRPr="00123266">
        <w:rPr>
          <w:noProof/>
        </w:rPr>
        <w:t xml:space="preserve">Agee and Childs, 2014; Ashley </w:t>
      </w:r>
      <w:r w:rsidR="0010658B" w:rsidRPr="00453357">
        <w:rPr>
          <w:i/>
          <w:iCs/>
          <w:noProof/>
        </w:rPr>
        <w:t>et al.</w:t>
      </w:r>
      <w:r w:rsidR="0010658B" w:rsidRPr="00123266">
        <w:rPr>
          <w:noProof/>
        </w:rPr>
        <w:t>, 2014</w:t>
      </w:r>
      <w:r w:rsidRPr="004F469F">
        <w:fldChar w:fldCharType="end"/>
      </w:r>
      <w:r w:rsidRPr="004F469F">
        <w:t>) and 2007 (with the switch from the F to EF-scale for measuring tornado intensity</w:t>
      </w:r>
      <w:r w:rsidR="004018A9">
        <w:t>;</w:t>
      </w:r>
      <w:r w:rsidRPr="004F469F">
        <w:t xml:space="preserve"> </w:t>
      </w:r>
      <w:r w:rsidRPr="004F469F">
        <w:fldChar w:fldCharType="begin" w:fldLock="1"/>
      </w:r>
      <w:r w:rsidR="004018A9">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2016)","manualFormatting":"Strader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while a jump in the mean annual path length was only evident in 2007. Following the method of Agee and Childs </w:t>
      </w:r>
      <w:r w:rsidRPr="004F469F">
        <w:fldChar w:fldCharType="begin" w:fldLock="1"/>
      </w:r>
      <w:r w:rsidRPr="004F469F">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suppress-author":1,"uris":["http://www.mendeley.com/documents/?uuid=881c0ace-6e18-4d86-b1bd-d5c869df82d2"]}],"mendeley":{"formattedCitation":"(2014)","plainTextFormattedCitation":"(2014)","previouslyFormattedCitation":"(2014)"},"properties":{"noteIndex":0},"schema":"https://github.com/citation-style-language/schema/raw/master/csl-citation.json"}</w:instrText>
      </w:r>
      <w:r w:rsidRPr="004F469F">
        <w:fldChar w:fldCharType="separate"/>
      </w:r>
      <w:r w:rsidRPr="004F469F">
        <w:rPr>
          <w:noProof/>
        </w:rPr>
        <w:t>(2014)</w:t>
      </w:r>
      <w:r w:rsidRPr="004F469F">
        <w:fldChar w:fldCharType="end"/>
      </w:r>
      <w:r w:rsidRPr="004F469F">
        <w:t xml:space="preserve">, path widths are detrended by determining the difference between the lower threshold of the mean annual path widths during 1979 – 1994 (1995 – 2006) and 2007 – 2016, and adding that difference (61.2 m and 51.5 m, respectively) to the path widths during the </w:t>
      </w:r>
      <w:r w:rsidRPr="004F469F">
        <w:lastRenderedPageBreak/>
        <w:t xml:space="preserve">earlier two periods. Path lengths are similarly detrended by adding the difference between the lower threshold of the mean annual path length during 1979 – 2006 and 2007 – 2016 (1.04 km) to each of the path lengths during the earlier period. The exact reason for the increase in path widths and lengths after 2006 is unknown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However, possible reasons include improvements to damage assessment methods </w:t>
      </w:r>
      <w:r w:rsidRPr="004F469F">
        <w:fldChar w:fldCharType="begin" w:fldLock="1"/>
      </w:r>
      <w:r w:rsidR="0010658B">
        <w:instrText>ADDIN CSL_CITATION {"citationItems":[{"id":"ITEM-1","itemData":{"DOI":"10.1175/JAMC-D-13-0235.1","abstract":"The U.S. tornado record is subject to inhomogeneities that are due to inconsistent practices in counting tornadoes, assessing their damage, and measuring pathlength and path width. Efforts to improve the modern tornado record (1950–2012) have focused on the following: 1) the rationale for removing the years 1950–52, 2) identification of inconsistencies in F0, F1, and F2 counts based on implementation of the Fujita scale (F scale) and Doppler radar, 3) overestimation of backward-extrapolated F-scale intensity, and 4) a change in path-width reporting from mean width (1953–94) to maximum width (1995–2012). Unique adjustments to these inconsistencies are made by analyzing trends in tornado counts, comparing with previous studies, and making an upward adjustment of tornadoes classified by mean width to coincide with those classified by maximum width. Such refinements offer a more homogeneous tornado record and provide the opportunity to better evaluate climatological trends in significant (F/EF2–F/EF5) tornado activity. The median EF-scale (enhanced Fujita scale) wind speeds Vmed have been adopted for all significant tornadoes from 1953 to 2012, including an adjustment for overestimated intensities from 1953 to 1973. These values are used to calculate annual mean kinetic energy, which shows no apparent trend. The annual mean maximum path width from 1953 to 2012 (adjusted upward from 1953 to 1994 to obtain a common lower threshold), however, displays an increasing trend. Also, the EF-scale median wind speeds are highly correlated with . The quantity (Vmed × PWmax)2 is proposed as a tornado destruction index, and, when calculated as an annual cumulative value, the three largest years are 2007, 2008, and 2011.","author":[{"dropping-particle":"","family":"Agee","given":"Ernest","non-dropping-particle":"","parse-names":false,"suffix":""},{"dropping-particle":"","family":"Childs","given":"Samuel","non-dropping-particle":"","parse-names":false,"suffix":""}],"container-title":"Journal of Applied Meteorology and Climatology","id":"ITEM-1","issue":"6","issued":{"date-parts":[["2014"]]},"page":"1494-1505","title":"Adjustments in tornado counts, F-scale intensity, and path width for assessing significant tornado destruction","type":"article-journal","volume":"53"},"uris":["http://www.mendeley.com/documents/?uuid=881c0ace-6e18-4d86-b1bd-d5c869df82d2"]}],"mendeley":{"formattedCitation":"(Agee and Childs, 2014)","plainTextFormattedCitation":"(Agee and Childs, 2014)","previouslyFormattedCitation":"(Agee and Childs, 2014)"},"properties":{"noteIndex":0},"schema":"https://github.com/citation-style-language/schema/raw/master/csl-citation.json"}</w:instrText>
      </w:r>
      <w:r w:rsidRPr="004F469F">
        <w:fldChar w:fldCharType="separate"/>
      </w:r>
      <w:r w:rsidR="0010658B" w:rsidRPr="0010658B">
        <w:rPr>
          <w:noProof/>
        </w:rPr>
        <w:t>(Agee and Childs, 2014)</w:t>
      </w:r>
      <w:r w:rsidRPr="004F469F">
        <w:fldChar w:fldCharType="end"/>
      </w:r>
      <w:r w:rsidRPr="004F469F">
        <w:t xml:space="preserve"> and the addition of non-structural damage indicators to the EF scale that allowed previously undetectable wind damage to be identified </w:t>
      </w:r>
      <w:r w:rsidRPr="004F469F">
        <w:fldChar w:fldCharType="begin" w:fldLock="1"/>
      </w:r>
      <w:r w:rsidR="00F37017">
        <w:instrText>ADDIN CSL_CITATION {"citationItems":[{"id":"ITEM-1","itemData":{"DOI":"10.1175/BAMS-D-11-00006.1","ISBN":"1520-0477","ISSN":"00030007","abstract":"During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Society","id":"ITEM-1","issue":"5","issued":{"date-parts":[["2013"]]},"page":"641-653","publisher":"American Meteorological Society","title":"Tornado intensity estimation: Past, present, and future","type":"article-journal","volume":"94"},"uris":["http://www.mendeley.com/documents/?uuid=1e2ce021-f934-4efa-92c8-266e5f8914c2"]},{"id":"ITEM-2","itemData":{"DOI":"10.1016/j.atmosres.2008.11.003","ISBN":"0169-8095","ISSN":"01698095","abstract":"The history of tornado intensity rating in the United States of America (USA), pioneered by T. Fujita, is reviewed, showing that non-meteorological changes in the climatology of the tornado intensity ratings are likely, raising questions about the temporal (and spatial) consistency of the ratings. Although the Fujita scale (F-scale) originally was formulated as a peak wind speed scale for tornadoes, it necessarily has been implemented using damage to estimate the wind speed. Complexities of the damage-wind speed relationship are discussed. Recently, the Fujita scale has been replaced in the USA as the official system for rating tornado intensity by the so-called Enhanced Fujita scale (EF-scale). Several features of the new rating system are reviewed and discussed in the context of a proposed set of desirable features of a tornado intensity rating system. It is concluded that adoption of the EF-scale in the USA may have been premature, especially if it is to serve as a model for how to rate tornado intensity outside of the USA. This is in large part because its degree of damage measures used for estimating wind speeds are based on USA-specific construction practices. It is also concluded that the USA's tornado intensity rating system has been compromised by secular changes in how the F-scale has been applied, most recently by the adoption of the EF-scale. Several recommendations are offered as possible ways to help develop an improved rating system that will be applicable worldwide. © 2008.","author":[{"dropping-particle":"","family":"Doswell","given":"Charles A. III","non-dropping-particle":"","parse-names":false,"suffix":""},{"dropping-particle":"","family":"Brooks","given":"Harold E.","non-dropping-particle":"","parse-names":false,"suffix":""},{"dropping-particle":"","family":"Dotzek","given":"Nikolai","non-dropping-particle":"","parse-names":false,"suffix":""}],"container-title":"Atmospheric Research","id":"ITEM-2","issue":"1-3","issued":{"date-parts":[["2009"]]},"page":"554-563","publisher":"Elsevier B.V.","title":"On the implementation of the enhanced Fujita scale in the USA","type":"article-journal","volume":"93"},"uris":["http://www.mendeley.com/documents/?uuid=d4e73825-e2d6-46de-9790-d3e00308854f"]},{"id":"ITEM-3","itemData":{"author":[{"dropping-particle":"","family":"Hatzis","given":"Joshua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Society","id":"ITEM-3","issue":"1","issued":{"date-parts":[["2019"]]},"page":"159 - 182","title":"Spatiotemporal Analysis of Near-Miss Violent Tornadoes in the United States","type":"article-journal","volume":"11"},"uris":["http://www.mendeley.com/documents/?uuid=0032bc5e-f0bd-436a-ab51-61b7467838eb"]}],"mendeley":{"formattedCitation":"(Doswell et al., 2009; Edwards et al., 2013; Hatzis et al., 2019)","plainTextFormattedCitation":"(Doswell et al., 2009; Edwards et al., 2013; Hatzis et al., 2019)","previouslyFormattedCitation":"(Doswell et al., 2009; Edwards et al., 2013; Hatzis et al., 2019)"},"properties":{"noteIndex":0},"schema":"https://github.com/citation-style-language/schema/raw/master/csl-citation.json"}</w:instrText>
      </w:r>
      <w:r w:rsidRPr="004F469F">
        <w:fldChar w:fldCharType="separate"/>
      </w:r>
      <w:r w:rsidR="00123266" w:rsidRPr="00123266">
        <w:rPr>
          <w:noProof/>
        </w:rPr>
        <w:t xml:space="preserve">(Doswell </w:t>
      </w:r>
      <w:r w:rsidR="00123266" w:rsidRPr="00453357">
        <w:rPr>
          <w:i/>
          <w:iCs/>
          <w:noProof/>
        </w:rPr>
        <w:t>et al.</w:t>
      </w:r>
      <w:r w:rsidR="00123266" w:rsidRPr="00123266">
        <w:rPr>
          <w:noProof/>
        </w:rPr>
        <w:t xml:space="preserve">, 2009; Edwards </w:t>
      </w:r>
      <w:r w:rsidR="00123266" w:rsidRPr="00453357">
        <w:rPr>
          <w:i/>
          <w:iCs/>
          <w:noProof/>
        </w:rPr>
        <w:t>et al.</w:t>
      </w:r>
      <w:r w:rsidR="00123266" w:rsidRPr="00123266">
        <w:rPr>
          <w:noProof/>
        </w:rPr>
        <w:t xml:space="preserve">, 2013; Hatzis </w:t>
      </w:r>
      <w:r w:rsidR="00123266" w:rsidRPr="00453357">
        <w:rPr>
          <w:i/>
          <w:iCs/>
          <w:noProof/>
        </w:rPr>
        <w:t>et al.</w:t>
      </w:r>
      <w:r w:rsidR="00123266" w:rsidRPr="00123266">
        <w:rPr>
          <w:noProof/>
        </w:rPr>
        <w:t>, 2019)</w:t>
      </w:r>
      <w:r w:rsidRPr="004F469F">
        <w:fldChar w:fldCharType="end"/>
      </w:r>
      <w:r w:rsidRPr="004F469F">
        <w:t>. Due to the improvements in damage assessment introduced in the EF scale, TorDIS considers the 2007 – 2016 length and width data the most accurate. Once a tornado’s intensity is set, path width and length are randomly selected from the appropriate Weibull distribution.  Alternatively, if the user specifies, the path width and length can be randomly selected from the adjusted historical data based on the intensity.</w:t>
      </w:r>
    </w:p>
    <w:p w14:paraId="077081A0"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57" w:name="_Toc21861312"/>
      <w:r w:rsidRPr="004F469F">
        <w:rPr>
          <w:rFonts w:ascii="Times New Roman" w:hAnsi="Times New Roman" w:cs="Times New Roman"/>
          <w:i/>
          <w:iCs/>
          <w:color w:val="auto"/>
        </w:rPr>
        <w:t>Tornado Direction</w:t>
      </w:r>
      <w:bookmarkEnd w:id="57"/>
    </w:p>
    <w:p w14:paraId="02299818" w14:textId="226FCC7B" w:rsidR="00797351" w:rsidRPr="004F469F" w:rsidRDefault="00797351" w:rsidP="0049259D">
      <w:pPr>
        <w:spacing w:after="120" w:line="480" w:lineRule="auto"/>
        <w:ind w:firstLine="720"/>
      </w:pPr>
      <w:r w:rsidRPr="004F469F">
        <w:t xml:space="preserve">Tornado direction is closely linked to the 500 mb wind direction, which acts to steer the storm systems that generate tornadoes </w:t>
      </w:r>
      <w:r w:rsidRPr="004F469F">
        <w:fldChar w:fldCharType="begin" w:fldLock="1"/>
      </w:r>
      <w:r w:rsidR="0010658B">
        <w:instrText>ADDIN CSL_CITATION {"citationItems":[{"id":"ITEM-1","itemData":{"author":[{"dropping-particle":"","family":"Notis","given":"Charles","non-dropping-particle":"","parse-names":false,"suffix":""},{"dropping-particle":"","family":"Stanford","given":"John L","non-dropping-particle":"","parse-names":false,"suffix":""}],"container-title":"Journal of Applied Meteorology","id":"ITEM-1","issue":"7","issued":{"date-parts":[["1973"]]},"page":"1163-1173","title":"The contrasting synoptic and physical character of northeast and southeast advancing tornadoes in Iowa","type":"article-journal","volume":"12"},"uris":["http://www.mendeley.com/documents/?uuid=4bbd90e6-6d24-45d0-94fd-0aadbea798c0"]},{"id":"ITEM-2","itemData":{"DOI":"10.1111/j.1467-9272.2006.00509.x","ISBN":"0033-0124 E- 1467-9272","ISSN":"00330124","abstract":"Common perception is that tornadoes travel in paths from the southwest quadrant of directions toward the northeast. This study examines path directions for 6,194 tornadoes that occurred in the eastern two-thirds of the United States during the twenty-three-year period 1980–2002. At the national scale, nearly 70 percent of tornadoes included in the study propagated from the west, west-southwest, and southwest, with west-southwest being the highest frequency origin direction. Nevertheless, distinct seasonal and regional variations were found. In central and northern areas of the country, a more westerly or northwesterly path origin prevails during late spring and summer. The midtropospheric flow, convective typology, and synoptic patterns of tornado outbreaks are thought to contribute to the distributions observed in the climatology.","author":[{"dropping-particle":"","family":"Suckling","given":"Philip W.","non-dropping-particle":"","parse-names":false,"suffix":""},{"dropping-particle":"","family":"Ashley","given":"Walker S.","non-dropping-particle":"","parse-names":false,"suffix":""}],"container-title":"Professional Geographer","id":"ITEM-2","issue":"1","issued":{"date-parts":[["2006"]]},"page":"20-38","title":"Spatial and temporal characteristics of tornado path direction","type":"article-journal","volume":"58"},"uris":["http://www.mendeley.com/documents/?uuid=b1aa2dab-8f67-4b1a-80b9-0846566c0e41"]}],"mendeley":{"formattedCitation":"(Notis and Stanford, 1973; Suckling and Ashley, 2006)","plainTextFormattedCitation":"(Notis and Stanford, 1973; Suckling and Ashley, 2006)","previouslyFormattedCitation":"(Notis and Stanford, 1973; Suckling and Ashley, 2006)"},"properties":{"noteIndex":0},"schema":"https://github.com/citation-style-language/schema/raw/master/csl-citation.json"}</w:instrText>
      </w:r>
      <w:r w:rsidRPr="004F469F">
        <w:fldChar w:fldCharType="separate"/>
      </w:r>
      <w:r w:rsidR="0010658B" w:rsidRPr="0010658B">
        <w:rPr>
          <w:noProof/>
        </w:rPr>
        <w:t>(Notis and Stanford, 1973; Suckling and Ashley, 2006)</w:t>
      </w:r>
      <w:r w:rsidRPr="004F469F">
        <w:fldChar w:fldCharType="end"/>
      </w:r>
      <w:r w:rsidRPr="004F469F">
        <w:t>. For each tornado touchdown point, the 500 mb wind direction is extracted (as a bearing). This bearing is assigned as the tornado’s direction. After the direction has been assigned, a tornado footprint (area covered by tornadic winds) is created by using the direction and path length and width. The results of the validation of this method can be found in the Predicting Tornado Direction section of Appendix A.</w:t>
      </w:r>
    </w:p>
    <w:p w14:paraId="10BC7057"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58" w:name="_Toc21861313"/>
      <w:r w:rsidRPr="004F469F">
        <w:rPr>
          <w:rFonts w:ascii="Times New Roman" w:hAnsi="Times New Roman" w:cs="Times New Roman"/>
          <w:i/>
          <w:iCs/>
          <w:color w:val="auto"/>
        </w:rPr>
        <w:t>Cost Extraction</w:t>
      </w:r>
      <w:bookmarkEnd w:id="58"/>
    </w:p>
    <w:p w14:paraId="282E861D" w14:textId="2011029D"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Cost extraction</w:t>
      </w:r>
      <w:r w:rsidR="00B87914">
        <w:t xml:space="preserve">, the determination of the impact of a given tornado, </w:t>
      </w:r>
      <w:r w:rsidRPr="004F469F">
        <w:t xml:space="preserve">for TorDIS begins, as with the TorMC model, with the clipping of all tornado footprints to the specified study area. </w:t>
      </w:r>
      <w:r w:rsidRPr="004F469F">
        <w:lastRenderedPageBreak/>
        <w:t xml:space="preserve">Once the clipping is complete an area-weighted sum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Applications","id":"ITEM-2","issue":"2","issued":{"date-parts":[["2016"]]},"page":"269-281","title":"A Monte Carlo model for estimating tornado impacts","type":"article-journal","volume":"23"},"uris":["http://www.mendeley.com/documents/?uuid=35120d27-7369-4b8b-a188-dbf511d1ef98"]}],"mendeley":{"formattedCitation":"(Ashley et al., 2014; Strader et al., 2016)","plainTextFormattedCitation":"(Ashley et al., 2014; Strader et al., 2016)","previouslyFormattedCitation":"(Ashley et al., 2014; Strader et al., 2016)"},"properties":{"noteIndex":0},"schema":"https://github.com/citation-style-language/schema/raw/master/csl-citation.json"}</w:instrText>
      </w:r>
      <w:r w:rsidRPr="004F469F">
        <w:fldChar w:fldCharType="separate"/>
      </w:r>
      <w:r w:rsidR="00123266" w:rsidRPr="00123266">
        <w:rPr>
          <w:noProof/>
        </w:rPr>
        <w:t xml:space="preserve">(Ashley </w:t>
      </w:r>
      <w:r w:rsidR="00123266" w:rsidRPr="00453357">
        <w:rPr>
          <w:i/>
          <w:iCs/>
          <w:noProof/>
        </w:rPr>
        <w:t>et al.</w:t>
      </w:r>
      <w:r w:rsidR="00123266" w:rsidRPr="00123266">
        <w:rPr>
          <w:noProof/>
        </w:rPr>
        <w:t xml:space="preserve">, 2014; Strader </w:t>
      </w:r>
      <w:r w:rsidR="00123266" w:rsidRPr="00453357">
        <w:rPr>
          <w:i/>
          <w:iCs/>
          <w:noProof/>
        </w:rPr>
        <w:t>et al.</w:t>
      </w:r>
      <w:r w:rsidR="00123266" w:rsidRPr="00123266">
        <w:rPr>
          <w:noProof/>
        </w:rPr>
        <w:t>, 2016)</w:t>
      </w:r>
      <w:r w:rsidRPr="004F469F">
        <w:fldChar w:fldCharType="end"/>
      </w:r>
      <w:r w:rsidRPr="004F469F">
        <w:t xml:space="preserve"> is performed on all cost units intersected by the clipped footprints to determine the total cost over each footprint. By default, the cost surface used by TorDIS is the U.S. Population Grids for 2010 (Summary File 1) from the Socioeconomic Data and Applications Center (SEDAC</w:t>
      </w:r>
      <w:r w:rsidR="004018A9">
        <w:t>;</w:t>
      </w:r>
      <w:r w:rsidRPr="004F469F">
        <w:t xml:space="preserve"> </w:t>
      </w:r>
      <w:r w:rsidRPr="004F469F">
        <w:fldChar w:fldCharType="begin" w:fldLock="1"/>
      </w:r>
      <w:r w:rsidRPr="004F469F">
        <w:instrText>ADDIN CSL_CITATION {"citationItems":[{"id":"ITEM-1","itemData":{"author":[{"dropping-particle":"","family":"Center for International Earth Science Information Network - CIESIN - Columbia University","given":"","non-dropping-particle":"","parse-names":false,"suffix":""}],"id":"ITEM-1","issued":{"date-parts":[["2017"]]},"publisher":"NASA Socioeconomic Data and Applications Center (SEDAC)","publisher-place":"Palisades, NY","title":"U.S. Census Grids (Summary File 1), 2010","type":"article"},"uris":["http://www.mendeley.com/documents/?uuid=f1c3dc65-b8a3-4787-8f63-4feabe2fb90a"]}],"mendeley":{"formattedCitation":"(Center for International Earth Science Information Network - CIESIN - Columbia University, 2017)","plainTextFormattedCitation":"(Center for International Earth Science Information Network - CIESIN - Columbia University, 2017)","previouslyFormattedCitation":"(Center for International Earth Science Information Network - CIESIN - Columbia University, 2017)"},"properties":{"noteIndex":0},"schema":"https://github.com/citation-style-language/schema/raw/master/csl-citation.json"}</w:instrText>
      </w:r>
      <w:r w:rsidRPr="004F469F">
        <w:fldChar w:fldCharType="separate"/>
      </w:r>
      <w:r w:rsidRPr="004F469F">
        <w:rPr>
          <w:noProof/>
        </w:rPr>
        <w:t>Center for International Earth Science Information Network - CIESIN - Columbia University, 2017)</w:t>
      </w:r>
      <w:r w:rsidRPr="004F469F">
        <w:fldChar w:fldCharType="end"/>
      </w:r>
      <w:r w:rsidRPr="004F469F">
        <w:t>. However, any raster (</w:t>
      </w:r>
      <w:r w:rsidRPr="004F469F">
        <w:rPr>
          <w:i/>
          <w:iCs/>
        </w:rPr>
        <w:t>e.g.</w:t>
      </w:r>
      <w:r w:rsidRPr="004F469F">
        <w:t>, gridded housing unit data) or polygon-based cost surface (</w:t>
      </w:r>
      <w:r w:rsidRPr="004F469F">
        <w:rPr>
          <w:i/>
          <w:iCs/>
        </w:rPr>
        <w:t>e.g.</w:t>
      </w:r>
      <w:r w:rsidRPr="004F469F">
        <w:t>, percent population in poverty at the census block level in Oklahoma) can be used by the model.</w:t>
      </w:r>
    </w:p>
    <w:p w14:paraId="1BDBBC1D"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59" w:name="_Toc21861314"/>
      <w:r w:rsidRPr="004F469F">
        <w:rPr>
          <w:rFonts w:ascii="Times New Roman" w:hAnsi="Times New Roman" w:cs="Times New Roman"/>
          <w:i/>
          <w:iCs/>
          <w:color w:val="auto"/>
        </w:rPr>
        <w:t>Model Output</w:t>
      </w:r>
      <w:bookmarkEnd w:id="59"/>
    </w:p>
    <w:p w14:paraId="57CC5324" w14:textId="77777777" w:rsidR="00797351" w:rsidRPr="004F469F" w:rsidRDefault="00797351" w:rsidP="00492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ind w:firstLine="720"/>
      </w:pPr>
      <w:r w:rsidRPr="004F469F">
        <w:tab/>
        <w:t>The final output of TorDIS includes shapefiles (containing the simulated tornado footprints with cost data, as well as tracks, and touchdown points) and comma-separated value files containing the attribute data of the simulated tornadoes. The model also produces probability of exceedance curves for the tornado costs.</w:t>
      </w:r>
    </w:p>
    <w:p w14:paraId="549E652B" w14:textId="77777777" w:rsidR="00797351" w:rsidRPr="004F469F" w:rsidRDefault="00797351" w:rsidP="0049259D">
      <w:pPr>
        <w:pStyle w:val="Heading2"/>
        <w:spacing w:before="0" w:after="120" w:line="480" w:lineRule="auto"/>
        <w:rPr>
          <w:rFonts w:ascii="Times New Roman" w:hAnsi="Times New Roman" w:cs="Times New Roman"/>
          <w:b/>
          <w:bCs/>
          <w:color w:val="auto"/>
          <w:sz w:val="28"/>
          <w:szCs w:val="28"/>
        </w:rPr>
      </w:pPr>
      <w:bookmarkStart w:id="60" w:name="_Toc21861315"/>
      <w:r w:rsidRPr="004F469F">
        <w:rPr>
          <w:rFonts w:ascii="Times New Roman" w:hAnsi="Times New Roman" w:cs="Times New Roman"/>
          <w:b/>
          <w:bCs/>
          <w:color w:val="auto"/>
          <w:sz w:val="28"/>
          <w:szCs w:val="28"/>
        </w:rPr>
        <w:t>Model Application</w:t>
      </w:r>
      <w:bookmarkEnd w:id="60"/>
    </w:p>
    <w:p w14:paraId="5B9BFB56"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61" w:name="_Toc21861316"/>
      <w:r w:rsidRPr="004F469F">
        <w:rPr>
          <w:rFonts w:ascii="Times New Roman" w:hAnsi="Times New Roman" w:cs="Times New Roman"/>
          <w:i/>
          <w:iCs/>
          <w:color w:val="auto"/>
        </w:rPr>
        <w:t>Model Performance</w:t>
      </w:r>
      <w:bookmarkEnd w:id="61"/>
    </w:p>
    <w:p w14:paraId="0A05EE7C" w14:textId="629C30D4" w:rsidR="00797351" w:rsidRPr="004F469F" w:rsidRDefault="00797351" w:rsidP="0049259D">
      <w:pPr>
        <w:spacing w:after="120" w:line="480" w:lineRule="auto"/>
        <w:ind w:firstLine="720"/>
      </w:pPr>
      <w:r w:rsidRPr="004F469F">
        <w:t xml:space="preserve">To demonstrate TorDIS’s ability to </w:t>
      </w:r>
      <w:r w:rsidR="00B87914">
        <w:t>estimate probabilitiy distributions for tornado exposures given atmospheric environmental information</w:t>
      </w:r>
      <w:r w:rsidRPr="004F469F">
        <w:t xml:space="preserve">, a simulation of 1,000 years (in annual mode) was run over the maximum study area size assuming a 50 km buffer. The number of simulations was limited to 1,000 compared to the 10,000 recommended by Strader </w:t>
      </w:r>
      <w:r w:rsidRPr="00453357">
        <w:rPr>
          <w:i/>
          <w:iCs/>
        </w:rPr>
        <w:t>et al.</w:t>
      </w:r>
      <w:r w:rsidRPr="004F469F">
        <w:rPr>
          <w:i/>
          <w:iCs/>
        </w:rPr>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due to computational restraints. We then clipped these runs to the Oklahoma City Metropolitan Statistical Area (MSA) in the state of Oklahoma (hereafter Oklahoma City refers to the Oklahoma City MSA and not the city itself). Oklahoma City was chosen as an urban area with a high risk of significant and violent tornadoes </w:t>
      </w:r>
      <w:r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Hazards","id":"ITEM-2","issue":"1","issued":{"date-parts":[["2015"]]},"page":"121-140","publisher":"Springer Netherlands","title":"Spatiotemporal analysis of tornado exposure in five US metropolitan areas","type":"article-journal","volume":"78"},"uris":["http://www.mendeley.com/documents/?uuid=d44d442f-d7b1-46d3-9316-83a25acff696"]},{"id":"ITEM-3","itemData":{"author":[{"dropping-particle":"","family":"Concannon","given":"Peggy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Applications","id":"ITEM-3","issued":{"date-parts":[["2000"]]},"page":"212-219","publisher":"American Meteorological Society","publisher-place":"Long Beach, CA","title":"Climatological risk of strong and violent tornadoes in the United States","type":"paper-conference"},"uris":["http://www.mendeley.com/documents/?uuid=6e052979-6a88-43b7-af1c-e706b78cdfb5"]}],"mendeley":{"formattedCitation":"(Concannon et al., 2000; Ashley, 2007; Rosencrants and Ashley, 2015)","plainTextFormattedCitation":"(Concannon et al., 2000; Ashley, 2007; Rosencrants and Ashley, 2015)","previouslyFormattedCitation":"(Concannon et al., 2000; Ashley, 2007; Rosencrants and Ashley, 2015)"},"properties":{"noteIndex":0},"schema":"https://github.com/citation-style-language/schema/raw/master/csl-citation.json"}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Ashley, 2007; </w:t>
      </w:r>
      <w:r w:rsidR="00123266" w:rsidRPr="00123266">
        <w:rPr>
          <w:noProof/>
        </w:rPr>
        <w:lastRenderedPageBreak/>
        <w:t>Rosencrants and Ashley, 2015)</w:t>
      </w:r>
      <w:r w:rsidRPr="004F469F">
        <w:fldChar w:fldCharType="end"/>
      </w:r>
      <w:r w:rsidRPr="004F469F">
        <w:t xml:space="preserve">. We randomly selected tornado path lengths and widths from Weibull distributions. The environmental data were derived from NARR for 2005 to 2016 while the tornado database used was from SVRGIS for 1979 to 2016 (the period when the NARR was available for proximity soundings). The cost surface used was the default 2010 population counts on a 1 km resolution grid from SEDAC. For comparability, the following section emulates the structure used in Strader </w:t>
      </w:r>
      <w:r w:rsidRPr="00453357">
        <w:rPr>
          <w:i/>
          <w:iCs/>
        </w:rPr>
        <w:t>et al.</w:t>
      </w:r>
      <w:r w:rsidRPr="004F469F">
        <w:rPr>
          <w:i/>
          <w:iCs/>
        </w:rPr>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w:t>
      </w:r>
    </w:p>
    <w:p w14:paraId="209AAF2A" w14:textId="09F21815" w:rsidR="00797351" w:rsidRPr="004F469F" w:rsidRDefault="00797351" w:rsidP="0049259D">
      <w:pPr>
        <w:spacing w:after="120" w:line="480" w:lineRule="auto"/>
        <w:ind w:firstLine="720"/>
      </w:pPr>
      <w:r w:rsidRPr="004F469F">
        <w:t>Over a 1,000-year simulation, TorDIS generated 7,408 tornadoes over Oklahoma City with 44.2% EF0, 35.0% EF1, 13.8% EF2, 5.6% EF3, 1.3% EF4, and 0.1% EF5 (Table 3.2). The model shows a slight bias towards lower intensity tornadoes when compared to the observed record over Oklahoma City for 1979 to 2016 (</w:t>
      </w:r>
      <w:r w:rsidRPr="004F469F">
        <w:rPr>
          <w:i/>
          <w:iCs/>
        </w:rPr>
        <w:t>i.e.</w:t>
      </w:r>
      <w:r w:rsidRPr="004F469F">
        <w:t xml:space="preserve">, 31.4% EF0, 41.9% EF1, 16.9% EF2, 5.1% EF3, 3.4% EF4, and 1.3% EF5). This bias could be due to 0 to 3 km Storm Relative Helicities being higher at the time of tornado formation than at 0000 UTC when the atmospheric environment is valid. Since tornadoes are more likely to have higher intensity in higher helicity environments, lower helicities would explain a bias towards lower intensities </w:t>
      </w:r>
      <w:r w:rsidRPr="004F469F">
        <w:fldChar w:fldCharType="begin" w:fldLock="1"/>
      </w:r>
      <w:r w:rsidR="0010658B">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variables","type":"article-journal","volume":"11"},"uris":["http://www.mendeley.com/documents/?uuid=5b1ef918-c699-4eec-b415-f7400f110109"]}],"mendeley":{"formattedCitation":"(Colquhoun and Riley, 1996)","plainTextFormattedCitation":"(Colquhoun and Riley, 1996)","previouslyFormattedCitation":"(Colquhoun and Riley, 1996)"},"properties":{"noteIndex":0},"schema":"https://github.com/citation-style-language/schema/raw/master/csl-citation.json"}</w:instrText>
      </w:r>
      <w:r w:rsidRPr="004F469F">
        <w:fldChar w:fldCharType="separate"/>
      </w:r>
      <w:r w:rsidR="0010658B" w:rsidRPr="0010658B">
        <w:rPr>
          <w:noProof/>
        </w:rPr>
        <w:t>(Colquhoun and Riley, 1996)</w:t>
      </w:r>
      <w:r w:rsidRPr="004F469F">
        <w:fldChar w:fldCharType="end"/>
      </w:r>
      <w:r w:rsidRPr="004F469F">
        <w:t xml:space="preserve">. </w:t>
      </w:r>
    </w:p>
    <w:p w14:paraId="693EA6DC" w14:textId="77777777" w:rsidR="00797351" w:rsidRPr="004F469F" w:rsidRDefault="00797351" w:rsidP="0049259D">
      <w:pPr>
        <w:spacing w:after="120" w:line="480" w:lineRule="auto"/>
        <w:ind w:firstLine="720"/>
      </w:pPr>
      <w:r w:rsidRPr="004F469F">
        <w:t xml:space="preserve">Overall the model showed a slight bias towards the overproduction of all tornadoes, while simultaneously underproducing significant and violent tornadoes. The mean annual simulated tornado count was 7.4, 1.5, and 0.1 for all tornadoes, significant tornadoes, and violent tornadoes respectively compared to 6.3, 1.7, and 0.3 for the observed tornado counts. The mean annual simulated tornado day count was 3.0 compared to a mean of 2.8 days per year observed over Oklahoma City. The model’s seasonal tornado production mirrors the observed production with a maximum in spring and a minimum in winter. However, tornado production is slightly underestimated in spring and overestimated in all other seasons. The general overproduction of </w:t>
      </w:r>
      <w:r w:rsidRPr="004F469F">
        <w:lastRenderedPageBreak/>
        <w:t>tornadoes is due to the model’s high false alarm rate at predicting tornado days (Table A.1). For further comparison with the observed record over Oklahoma City, a random sample of 38 years was chosen from the 1,000-year simulation to match the 1979 to 2016 observed period. The sample shows a similar distribution across Oklahoma City to what was observed (Figure 3.4), but a greater number of tornadoes (261 versus 236). The random sample also revealed a higher mean (6.9) and median (5) tornado count when compared to the observed record (6.2 and 4, respectively). The breakdown by magnitude for the random sample (46.4% EF0, 34.1% EF1, 14.2% EF2, 3.8% EF3, 1.1% EF4, 0.4% EF5) showed the same slight bias towards lower intensity tornadoes present in the full 1,000-year simulation with the random sample containing no EF5 tornadoes.</w:t>
      </w:r>
    </w:p>
    <w:p w14:paraId="23944680" w14:textId="4B306DB1" w:rsidR="00797351" w:rsidRPr="004F469F" w:rsidRDefault="00797351" w:rsidP="0049259D">
      <w:pPr>
        <w:spacing w:after="120" w:line="480" w:lineRule="auto"/>
        <w:ind w:firstLine="720"/>
      </w:pPr>
      <w:r w:rsidRPr="004F469F">
        <w:t xml:space="preserve">The 1,000-year simulation over Oklahoma City yielded a mean tornado length and width of 9.2 km and 264.3 m, respectively (Table 3.2). The modeled lengths and widths increased as the tornado intensity increased similar to the findings of Strader </w:t>
      </w:r>
      <w:r w:rsidRPr="00453357">
        <w:rPr>
          <w:i/>
          <w:iCs/>
        </w:rPr>
        <w:t>et al.</w:t>
      </w:r>
      <w:r w:rsidRPr="004F469F">
        <w:rPr>
          <w:i/>
          <w:iCs/>
        </w:rPr>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with lengths ranging from 3.1 km (EF0) to 58.6 km (EF5) and widths ranging from 90.8 m (EF0) to 1,459.4 m (EF5). Other than for EF5 tornadoes (which the model underproduces) the mean lengths for each intensity class are within 3 km of the mean for the respective Weibull distribution. For EF5 tornadoes the mean length is </w:t>
      </w:r>
      <w:r w:rsidR="000D619D">
        <w:t xml:space="preserve">overestimated </w:t>
      </w:r>
      <w:r w:rsidRPr="004F469F">
        <w:t xml:space="preserve">by </w:t>
      </w:r>
      <w:r w:rsidR="000D619D">
        <w:t xml:space="preserve">more than </w:t>
      </w:r>
      <w:r w:rsidRPr="004F469F">
        <w:t>14 km, however, with only 4 EF5 tornadoes simulated over Oklahoma City it is likely, this is due to random chance. The mean widths are within 35 m of the respective Weibull distributions, except for EF5 tornadoes which are off by over 105 m. Maximum modeled widths and lengths were mostly overestimated when compared to the observed maxima over Oklahoma City (</w:t>
      </w:r>
      <w:r w:rsidRPr="004F469F">
        <w:rPr>
          <w:i/>
          <w:iCs/>
        </w:rPr>
        <w:t>e.g.</w:t>
      </w:r>
      <w:r w:rsidRPr="004F469F">
        <w:t xml:space="preserve">, maximum width (length) for simulated EF2 tornadoes was 2,748.5 (107.5) compared to an observed maximum of 1,258 m (47.9 km)). This is likely due to the tendency of the Weibull distribution to overestimate or </w:t>
      </w:r>
      <w:r w:rsidRPr="004F469F">
        <w:lastRenderedPageBreak/>
        <w:t xml:space="preserve">underestimate the tail ends of the distribution </w:t>
      </w:r>
      <w:r w:rsidRPr="004F469F">
        <w:fldChar w:fldCharType="begin" w:fldLock="1"/>
      </w:r>
      <w:r w:rsidR="00C42BC1" w:rsidRPr="004F469F">
        <w:instrText>ADDIN CSL_CITATION {"citationItems":[{"id":"ITEM-1","itemData":{"ISBN":"1520-0434","author":[{"dropping-particle":"","family":"Brooks","given":"Harold E.","non-dropping-particle":"","parse-names":false,"suffix":""}],"container-title":"Weather and Forecasting","id":"ITEM-1","issue":"2","issued":{"date-parts":[["2004"]]},"page":"310-319","title":"On the relationship of tornado path length and width to intensity","type":"article-journal","volume":"19"},"uris":["http://www.mendeley.com/documents/?uuid=6daeec75-3842-49f0-aef9-47e2969531ed"]}],"mendeley":{"formattedCitation":"(Brooks, 2004)","plainTextFormattedCitation":"(Brooks, 2004)","previouslyFormattedCitation":"(Brooks, 2004)"},"properties":{"noteIndex":0},"schema":"https://github.com/citation-style-language/schema/raw/master/csl-citation.json"}</w:instrText>
      </w:r>
      <w:r w:rsidRPr="004F469F">
        <w:fldChar w:fldCharType="separate"/>
      </w:r>
      <w:r w:rsidRPr="004F469F">
        <w:rPr>
          <w:noProof/>
        </w:rPr>
        <w:t>(Brooks, 2004)</w:t>
      </w:r>
      <w:r w:rsidRPr="004F469F">
        <w:fldChar w:fldCharType="end"/>
      </w:r>
      <w:r w:rsidRPr="004F469F">
        <w:t xml:space="preserve">. The mean modeled direction for all tornadoes over Oklahoma City was 77.4° (roughly west southwest to east northeast) which matches the findings of Suckling and Ashley </w:t>
      </w:r>
      <w:r w:rsidRPr="004F469F">
        <w:fldChar w:fldCharType="begin" w:fldLock="1"/>
      </w:r>
      <w:r w:rsidRPr="004F469F">
        <w:instrText>ADDIN CSL_CITATION {"citationItems":[{"id":"ITEM-1","itemData":{"DOI":"10.1111/j.1467-9272.2006.00509.x","ISBN":"0033-0124 E- 1467-9272","ISSN":"00330124","abstract":"Common perception is that tornadoes travel in paths from the southwest quadrant of directions toward the northeast. This study examines path directions for 6,194 tornadoes that occurred in the eastern two-thirds of the United States during the twenty-three-year period 1980–2002. At the national scale, nearly 70 percent of tornadoes included in the study propagated from the west, west-southwest, and southwest, with west-southwest being the highest frequency origin direction. Nevertheless, distinct seasonal and regional variations were found. In central and northern areas of the country, a more westerly or northwesterly path origin prevails during late spring and summer. The midtropospheric flow, convective typology, and synoptic patterns of tornado outbreaks are thought to contribute to the distributions observed in the climatology.","author":[{"dropping-particle":"","family":"Suckling","given":"Philip W.","non-dropping-particle":"","parse-names":false,"suffix":""},{"dropping-particle":"","family":"Ashley","given":"Walker S.","non-dropping-particle":"","parse-names":false,"suffix":""}],"container-title":"Professional Geographer","id":"ITEM-1","issue":"1","issued":{"date-parts":[["2006"]]},"page":"20-38","title":"Spatial and temporal characteristics of tornado path direction","type":"article-journal","volume":"58"},"suppress-author":1,"uris":["http://www.mendeley.com/documents/?uuid=b1aa2dab-8f67-4b1a-80b9-0846566c0e41"]}],"mendeley":{"formattedCitation":"(2006)","plainTextFormattedCitation":"(2006)","previouslyFormattedCitation":"(2006)"},"properties":{"noteIndex":0},"schema":"https://github.com/citation-style-language/schema/raw/master/csl-citation.json"}</w:instrText>
      </w:r>
      <w:r w:rsidRPr="004F469F">
        <w:fldChar w:fldCharType="separate"/>
      </w:r>
      <w:r w:rsidRPr="004F469F">
        <w:rPr>
          <w:noProof/>
        </w:rPr>
        <w:t>(2006)</w:t>
      </w:r>
      <w:r w:rsidRPr="004F469F">
        <w:fldChar w:fldCharType="end"/>
      </w:r>
      <w:r w:rsidRPr="004F469F">
        <w:t xml:space="preserve"> for the South Central region.</w:t>
      </w:r>
    </w:p>
    <w:p w14:paraId="0A616AA7" w14:textId="327894C6" w:rsidR="00797351" w:rsidRPr="004F469F" w:rsidRDefault="00797351" w:rsidP="0049259D">
      <w:pPr>
        <w:spacing w:after="120" w:line="480" w:lineRule="auto"/>
        <w:ind w:firstLine="720"/>
      </w:pPr>
      <w:r w:rsidRPr="004F469F">
        <w:t>Based on the 2010 SEDAC population grids, the mean (median) number of persons impacted by a tornado footprint was 212 (3</w:t>
      </w:r>
      <w:r w:rsidR="004018A9">
        <w:t>;</w:t>
      </w:r>
      <w:r w:rsidRPr="004F469F">
        <w:t xml:space="preserve"> Table 3.3). Mean impacts (persons exposed) per footprint increase with increasing tornado magnitude from 15 (EF0) to 2,756 (EF4). While the simulated EF5 tornadoes did not have the maximum mean impacts, they did have the maximum median impacts. Mean annual numbers of persons impacted by tornadoes peaked at the EF2-3 magnitude range due to the small number of higher intensity tornadoes (only 1.5% (Table 3.2) of the simulated tornadoes had magnitudes of EF4+). One interesting finding was that among the top ten most impactful (in terms of persons exposed) simulated tornadoes over Oklahoma City, one was an EF2. Lower intensity tornadoes tend to have smaller footprints and would thus be expected to be less impactful </w:t>
      </w:r>
      <w:r w:rsidRPr="004F469F">
        <w:fldChar w:fldCharType="begin" w:fldLock="1"/>
      </w:r>
      <w:r w:rsidR="00123266">
        <w:instrText>ADDIN CSL_CITATION {"citationItems":[{"id":"ITEM-1","itemData":{"ISBN":"1520-0434","author":[{"dropping-particle":"","family":"Brooks","given":"Harold E.","non-dropping-particle":"","parse-names":false,"suffix":""}],"container-title":"Weather and Forecasting","id":"ITEM-1","issue":"2","issued":{"date-parts":[["2004"]]},"page":"310-319","title":"On the relationship of tornado path length and width to intensity","type":"article-journal","volume":"19"},"uris":["http://www.mendeley.com/documents/?uuid=6daeec75-3842-49f0-aef9-47e2969531ed"]},{"id":"ITEM-2","itemData":{"DOI":"10.1002/met.1482","ISBN":"1350-4827","ISSN":"14698080","abstract":"An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Applications","id":"ITEM-2","issue":"3","issued":{"date-parts":[["2015"]]},"page":"513-524","publisher":"Wiley Online Library","title":"A climatology of tornado intensity assessments","type":"article-journal","volume":"22"},"uris":["http://www.mendeley.com/documents/?uuid=e4377686-df2f-4b6e-9560-9cec9e268521"]}],"mendeley":{"formattedCitation":"(Brooks, 2004; Strader et al., 2015)","plainTextFormattedCitation":"(Brooks, 2004; Strader et al., 2015)","previouslyFormattedCitation":"(Brooks, 2004; Strader et al., 2015)"},"properties":{"noteIndex":0},"schema":"https://github.com/citation-style-language/schema/raw/master/csl-citation.json"}</w:instrText>
      </w:r>
      <w:r w:rsidRPr="004F469F">
        <w:fldChar w:fldCharType="separate"/>
      </w:r>
      <w:r w:rsidR="0010658B" w:rsidRPr="00123266">
        <w:rPr>
          <w:noProof/>
        </w:rPr>
        <w:t xml:space="preserve">(Brooks, 2004; Strader </w:t>
      </w:r>
      <w:r w:rsidR="0010658B" w:rsidRPr="00453357">
        <w:rPr>
          <w:i/>
          <w:iCs/>
          <w:noProof/>
        </w:rPr>
        <w:t>et al.</w:t>
      </w:r>
      <w:r w:rsidR="0010658B" w:rsidRPr="00123266">
        <w:rPr>
          <w:noProof/>
        </w:rPr>
        <w:t>, 2015)</w:t>
      </w:r>
      <w:r w:rsidRPr="004F469F">
        <w:fldChar w:fldCharType="end"/>
      </w:r>
      <w:r w:rsidRPr="004F469F">
        <w:t>. However, the placement of this simulation over a metropolitan area coupled with the tendency for maximum tornado lengths and widths to be overestimated lead to the possibility of a high impact EF2 tornado.</w:t>
      </w:r>
    </w:p>
    <w:p w14:paraId="56454D73" w14:textId="1DACB68F" w:rsidR="00797351" w:rsidRPr="004F469F" w:rsidRDefault="00797351" w:rsidP="0049259D">
      <w:pPr>
        <w:spacing w:after="120" w:line="480" w:lineRule="auto"/>
        <w:ind w:firstLine="720"/>
      </w:pPr>
      <w:r w:rsidRPr="004F469F">
        <w:t xml:space="preserve">A significant difference between the TorMC model and TorDIS is in the ability to assess daily and seasonal differences in tornado impacts. From the 1,000-year simulation over Oklahoma City, the most active months for significant tornadoes were April and May with a secondary peak in October and November (Figure 3.5). This mirrors the observed record, which indicates peak significant tornado activity in spring and a smaller peak in autumn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xml:space="preserve">. Mean annual impacts (persons exposed) for significant tornadoes over each month of the simulation show a pattern that matches that of the significant tornado counts with peaks in April and October (Figure 3.5). The correlation between the mean annual impacts and the tornado </w:t>
      </w:r>
      <w:r w:rsidRPr="004F469F">
        <w:lastRenderedPageBreak/>
        <w:t xml:space="preserve">counts results from the fact that tornado impacts are a function of both tornado footprint area and the environment in which they hit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illinois","type":"article-journal","volume":"6"},"uris":["http://www.mendeley.com/documents/?uuid=0e441156-498a-43d6-9545-e97b6fa0d5df"]},{"id":"ITEM-3","itemData":{"DOI":"10.1016/j.apgeog.2018.03.005","ISSN":"01436228","abstract":"This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Geography","id":"ITEM-3","issue":"March 2017","issued":{"date-parts":[["2018"]]},"page":"18-29","publisher":"Elsevier Ltd","title":"How land use alters the tornado disaster landscape","type":"article-journal","volume":"94"},"uris":["http://www.mendeley.com/documents/?uuid=d9748686-b846-458c-a837-e1e5ffc60746"]}],"mendeley":{"formattedCitation":"(Ashley et al., 2014; Ashley and Strader, 2016; Strader et al., 2018)","plainTextFormattedCitation":"(Ashley et al., 2014; Ashley and Strader, 2016; Strader et al., 2018)","previouslyFormattedCitation":"(Ashley et al., 2014; Ashley and Strader, 2016; Strader et al., 2018)"},"properties":{"noteIndex":0},"schema":"https://github.com/citation-style-language/schema/raw/master/csl-citation.json"}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xml:space="preserve">, 2014; Ashley and Strader, 2016; Strader </w:t>
      </w:r>
      <w:r w:rsidR="0010658B" w:rsidRPr="00453357">
        <w:rPr>
          <w:i/>
          <w:iCs/>
          <w:noProof/>
        </w:rPr>
        <w:t>et al.</w:t>
      </w:r>
      <w:r w:rsidR="0010658B" w:rsidRPr="00123266">
        <w:rPr>
          <w:noProof/>
        </w:rPr>
        <w:t>, 2018)</w:t>
      </w:r>
      <w:r w:rsidRPr="004F469F">
        <w:fldChar w:fldCharType="end"/>
      </w:r>
      <w:r w:rsidRPr="004F469F">
        <w:t>.</w:t>
      </w:r>
    </w:p>
    <w:p w14:paraId="3BB92B3D"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62" w:name="_Toc21861317"/>
      <w:r w:rsidRPr="004F469F">
        <w:rPr>
          <w:rFonts w:ascii="Times New Roman" w:hAnsi="Times New Roman" w:cs="Times New Roman"/>
          <w:i/>
          <w:iCs/>
          <w:color w:val="auto"/>
        </w:rPr>
        <w:t>Comparison of Tornado Risk across Major Metropolitan Statistical Areas</w:t>
      </w:r>
      <w:bookmarkEnd w:id="62"/>
    </w:p>
    <w:p w14:paraId="49BCA3AB" w14:textId="06D66F8E" w:rsidR="00797351" w:rsidRPr="004F469F" w:rsidRDefault="00797351" w:rsidP="0049259D">
      <w:pPr>
        <w:spacing w:after="120" w:line="480" w:lineRule="auto"/>
        <w:ind w:firstLine="720"/>
      </w:pPr>
      <w:r w:rsidRPr="004F469F">
        <w:t>To show how TorDIS can be used to study spatial variations in tornado impacts, the 1,000-year annual simulation was also clipped to five other metropolitan statistical areas: Dallas/Fort Worth (Texas), Chicago (Illinois), Birmingham (Alabama), Omaha (Nebraska), and St. Louis (Missouri), hereafter references to the city name refer to the MSA. These MSAs were chosen for their size (from less than 1 million persons in Omaha to over 9 million persons in Chicago</w:t>
      </w:r>
      <w:r w:rsidR="004018A9">
        <w:t>;</w:t>
      </w:r>
      <w:r w:rsidRPr="004F469F">
        <w:t xml:space="preserve"> </w:t>
      </w:r>
      <w:r w:rsidRPr="004F469F">
        <w:fldChar w:fldCharType="begin" w:fldLock="1"/>
      </w:r>
      <w:r w:rsidR="004018A9">
        <w:instrText>ADDIN CSL_CITATION {"citationItems":[{"id":"ITEM-1","itemData":{"URL":"https://factfinder.census.gov","accessed":{"date-parts":[["2019","7","18"]]},"author":[{"dropping-particle":"","family":"U.S. Census Bureau","given":"","non-dropping-particle":"","parse-names":false,"suffix":""}],"id":"ITEM-1","issued":{"date-parts":[["2010"]]},"title":"American Fact Finder","type":"webpage"},"uris":["http://www.mendeley.com/documents/?uuid=08ccc822-2ea4-4bde-8058-162af5ee6134"]}],"mendeley":{"formattedCitation":"(U.S. Census Bureau, 2010)","manualFormatting":"U.S. Census Bureau, 2010","plainTextFormattedCitation":"(U.S. Census Bureau, 2010)","previouslyFormattedCitation":"(U.S. Census Bureau, 2010)"},"properties":{"noteIndex":0},"schema":"https://github.com/citation-style-language/schema/raw/master/csl-citation.json"}</w:instrText>
      </w:r>
      <w:r w:rsidRPr="004F469F">
        <w:fldChar w:fldCharType="separate"/>
      </w:r>
      <w:r w:rsidR="001F078B" w:rsidRPr="004F469F">
        <w:rPr>
          <w:noProof/>
        </w:rPr>
        <w:t>U.S. Census Bureau, 2010</w:t>
      </w:r>
      <w:r w:rsidRPr="004F469F">
        <w:fldChar w:fldCharType="end"/>
      </w:r>
      <w:r w:rsidRPr="004F469F">
        <w:t>), distribution throughout the model domain, and varying levels of tornado risk (risk is highest in an ‘L’ shaped pattern between Nebraska, Texas, and Alabama and drops off further towards the northeast</w:t>
      </w:r>
      <w:r w:rsidR="003642A7">
        <w:t>;</w:t>
      </w:r>
      <w:r w:rsidRPr="004F469F">
        <w:t xml:space="preserve"> </w:t>
      </w:r>
      <w:r w:rsidRPr="004F469F">
        <w:fldChar w:fldCharType="begin" w:fldLock="1"/>
      </w:r>
      <w:r w:rsidR="003642A7">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Forecasting","id":"ITEM-2","issue":"6","issued":{"date-parts":[["2007"]]},"page":"1214-1228","title":"Spatial and Temporal Analysis of Tornado Fatalities in the United States: 1880–2005","type":"article-journal","volume":"22"},"uris":["http://www.mendeley.com/documents/?uuid=14fd8bf9-6b84-4fc3-bae5-6fa5f66b5ccf"]},{"id":"ITEM-3","itemData":{"author":[{"dropping-particle":"","family":"Hatzis","given":"Joshua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Society","id":"ITEM-3","issue":"1","issued":{"date-parts":[["2019"]]},"page":"159 - 182","title":"Spatiotemporal Analysis of Near-Miss Violent Tornadoes in the United States","type":"article-journal","volume":"11"},"uris":["http://www.mendeley.com/documents/?uuid=0032bc5e-f0bd-436a-ab51-61b7467838eb"]}],"mendeley":{"formattedCitation":"(Concannon et al., 2000; Ashley, 2007; Hatzis et al., 2019)","manualFormatting":"Concannon et al., 2000; Ashley, 2007; Hatzis et al., 2019","plainTextFormattedCitation":"(Concannon et al., 2000; Ashley, 2007; Hatzis et al., 2019)","previouslyFormattedCitation":"(Concannon et al., 2000; Ashley, 2007; Hatzis et al., 2019)"},"properties":{"noteIndex":0},"schema":"https://github.com/citation-style-language/schema/raw/master/csl-citation.json"}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Ashley, 2007; Hatzis </w:t>
      </w:r>
      <w:r w:rsidR="00123266" w:rsidRPr="00453357">
        <w:rPr>
          <w:i/>
          <w:iCs/>
          <w:noProof/>
        </w:rPr>
        <w:t>et al.</w:t>
      </w:r>
      <w:r w:rsidR="00123266" w:rsidRPr="00123266">
        <w:rPr>
          <w:noProof/>
        </w:rPr>
        <w:t>, 2019</w:t>
      </w:r>
      <w:r w:rsidRPr="004F469F">
        <w:fldChar w:fldCharType="end"/>
      </w:r>
      <w:r w:rsidRPr="004F469F">
        <w:t>). All model parameters and decisions were the same as for the 1,000-year simulation over Oklahoma City. The simulation produced tornadoes of all magnitudes, but this analysis focuses on significant tornadoes.</w:t>
      </w:r>
    </w:p>
    <w:p w14:paraId="64DFAF29" w14:textId="00AB31B4" w:rsidR="00797351" w:rsidRPr="004F469F" w:rsidRDefault="00797351" w:rsidP="0049259D">
      <w:pPr>
        <w:spacing w:after="120" w:line="480" w:lineRule="auto"/>
        <w:ind w:firstLine="720"/>
      </w:pPr>
      <w:r w:rsidRPr="004F469F">
        <w:t>The normalized significant tornado count was highest over Omaha and Dallas/Fort Worth (103) and lowest over St. Louis (69</w:t>
      </w:r>
      <w:r w:rsidR="004018A9">
        <w:t xml:space="preserve">; </w:t>
      </w:r>
      <w:r w:rsidRPr="004F469F">
        <w:t>Table 3.4). Despite having one of the lowest normalized significant tornado counts (75), Chicago had the highest mean, median, and maximum annual impact per 1,000 km</w:t>
      </w:r>
      <w:r w:rsidRPr="004F469F">
        <w:rPr>
          <w:vertAlign w:val="superscript"/>
        </w:rPr>
        <w:t>2</w:t>
      </w:r>
      <w:r w:rsidRPr="004F469F">
        <w:t xml:space="preserve"> (381, 49, 11,367 persons exposed respectively). Saint Louis had the lowest mean (107) persons exposed per 1,000 km</w:t>
      </w:r>
      <w:r w:rsidRPr="004F469F">
        <w:rPr>
          <w:vertAlign w:val="superscript"/>
        </w:rPr>
        <w:t>2</w:t>
      </w:r>
      <w:r w:rsidRPr="004F469F">
        <w:t xml:space="preserve"> while Omaha and Oklahoma City tied for the lowest median (8) and Birmingham had the lowest maximum (2,844) annual persons exposed per 1,000 km</w:t>
      </w:r>
      <w:r w:rsidRPr="004F469F">
        <w:rPr>
          <w:vertAlign w:val="superscript"/>
        </w:rPr>
        <w:t>2</w:t>
      </w:r>
      <w:r w:rsidRPr="004F469F">
        <w:t xml:space="preserve"> (Table 3.4). A probability of exceedance curve for annual persons exposed (per 1,000 km</w:t>
      </w:r>
      <w:r w:rsidRPr="004F469F">
        <w:rPr>
          <w:vertAlign w:val="superscript"/>
        </w:rPr>
        <w:t>2</w:t>
      </w:r>
      <w:r w:rsidRPr="004F469F">
        <w:t xml:space="preserve">) to significant (Figure 3.6a) and violent (Figure 3.6b) tornado footprints shows how the combined </w:t>
      </w:r>
      <w:r w:rsidRPr="004F469F">
        <w:lastRenderedPageBreak/>
        <w:t>factors of footprint area and population density affect the annual impact. The greatest impacts are in the MSAs with the greatest population density (Chicago and Dallas/Fort Worth</w:t>
      </w:r>
      <w:r w:rsidR="004018A9">
        <w:t>;</w:t>
      </w:r>
      <w:r w:rsidRPr="004F469F">
        <w:t xml:space="preserve"> </w:t>
      </w:r>
      <w:r w:rsidRPr="004F469F">
        <w:fldChar w:fldCharType="begin" w:fldLock="1"/>
      </w:r>
      <w:r w:rsidR="004018A9">
        <w:instrText>ADDIN CSL_CITATION {"citationItems":[{"id":"ITEM-1","itemData":{"URL":"https://factfinder.census.gov","accessed":{"date-parts":[["2019","7","18"]]},"author":[{"dropping-particle":"","family":"U.S. Census Bureau","given":"","non-dropping-particle":"","parse-names":false,"suffix":""}],"id":"ITEM-1","issued":{"date-parts":[["2010"]]},"title":"American Fact Finder","type":"webpage"},"uris":["http://www.mendeley.com/documents/?uuid=08ccc822-2ea4-4bde-8058-162af5ee6134"]}],"mendeley":{"formattedCitation":"(U.S. Census Bureau, 2010)","manualFormatting":"U.S. Census Bureau, 2010)","plainTextFormattedCitation":"(U.S. Census Bureau, 2010)","previouslyFormattedCitation":"(U.S. Census Bureau, 2010)"},"properties":{"noteIndex":0},"schema":"https://github.com/citation-style-language/schema/raw/master/csl-citation.json"}</w:instrText>
      </w:r>
      <w:r w:rsidRPr="004F469F">
        <w:fldChar w:fldCharType="separate"/>
      </w:r>
      <w:r w:rsidR="001F078B" w:rsidRPr="004F469F">
        <w:rPr>
          <w:noProof/>
        </w:rPr>
        <w:t>U.S. Census Bureau, 2010)</w:t>
      </w:r>
      <w:r w:rsidRPr="004F469F">
        <w:fldChar w:fldCharType="end"/>
      </w:r>
      <w:r w:rsidRPr="004F469F">
        <w:t>.</w:t>
      </w:r>
    </w:p>
    <w:p w14:paraId="744FA224" w14:textId="495ECB2D" w:rsidR="00797351" w:rsidRPr="004F469F" w:rsidRDefault="00797351" w:rsidP="0049259D">
      <w:pPr>
        <w:spacing w:after="120" w:line="480" w:lineRule="auto"/>
        <w:ind w:firstLine="720"/>
      </w:pPr>
      <w:r w:rsidRPr="004F469F">
        <w:t xml:space="preserve">Meanwhile, MSA’s like Oklahoma City and St. Louis tend to experience reduced impacts due to the sprawling nature of their population distributions </w:t>
      </w:r>
      <w:r w:rsidRPr="004F469F">
        <w:fldChar w:fldCharType="begin" w:fldLock="1"/>
      </w:r>
      <w:r w:rsidR="0010658B">
        <w:instrText>ADDIN CSL_CITATION {"citationItems":[{"id":"ITEM-1","itemData":{"DOI":"10.1007/s11069-015-1704-z","ISBN":"1106901517","ISSN":"0921030X","abstract":"Weather-related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Hazards","id":"ITEM-1","issue":"1","issued":{"date-parts":[["2015"]]},"page":"121-140","publisher":"Springer Netherlands","title":"Spatiotemporal analysis of tornado exposure in five US metropolitan areas","type":"article-journal","volume":"78"},"uris":["http://www.mendeley.com/documents/?uuid=d44d442f-d7b1-46d3-9316-83a25acff696"]}],"mendeley":{"formattedCitation":"(Rosencrants and Ashley, 2015)","plainTextFormattedCitation":"(Rosencrants and Ashley, 2015)","previouslyFormattedCitation":"(Rosencrants and Ashley, 2015)"},"properties":{"noteIndex":0},"schema":"https://github.com/citation-style-language/schema/raw/master/csl-citation.json"}</w:instrText>
      </w:r>
      <w:r w:rsidRPr="004F469F">
        <w:fldChar w:fldCharType="separate"/>
      </w:r>
      <w:r w:rsidR="0010658B" w:rsidRPr="0010658B">
        <w:rPr>
          <w:noProof/>
        </w:rPr>
        <w:t>(Rosencrants and Ashley, 2015)</w:t>
      </w:r>
      <w:r w:rsidRPr="004F469F">
        <w:fldChar w:fldCharType="end"/>
      </w:r>
      <w:r w:rsidRPr="004F469F">
        <w:t xml:space="preserve">. The annual impacts are greater in Birmingham at lower thresholds due to the higher rural density </w:t>
      </w:r>
      <w:r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Pr="004F469F">
        <w:fldChar w:fldCharType="separate"/>
      </w:r>
      <w:r w:rsidR="0076275F" w:rsidRPr="004F469F">
        <w:rPr>
          <w:noProof/>
        </w:rPr>
        <w:t>(Ashley, 2007)</w:t>
      </w:r>
      <w:r w:rsidRPr="004F469F">
        <w:fldChar w:fldCharType="end"/>
      </w:r>
      <w:r w:rsidRPr="004F469F">
        <w:t xml:space="preserve"> while the annual impacts are greater in Omaha at slightly higher thresholds because most of the population in Omaha is confined to the center </w:t>
      </w:r>
      <w:r w:rsidRPr="004F469F">
        <w:fldChar w:fldCharType="begin" w:fldLock="1"/>
      </w:r>
      <w:r w:rsidR="00C31A1B" w:rsidRPr="004F469F">
        <w:instrText>ADDIN CSL_CITATION {"citationItems":[{"id":"ITEM-1","itemData":{"URL":"https://factfinder.census.gov","accessed":{"date-parts":[["2019","7","18"]]},"author":[{"dropping-particle":"","family":"U.S. Census Bureau","given":"","non-dropping-particle":"","parse-names":false,"suffix":""}],"id":"ITEM-1","issued":{"date-parts":[["2010"]]},"title":"American Fact Finder","type":"webpage"},"uris":["http://www.mendeley.com/documents/?uuid=08ccc822-2ea4-4bde-8058-162af5ee6134"]}],"mendeley":{"formattedCitation":"(U.S. Census Bureau, 2010)","plainTextFormattedCitation":"(U.S. Census Bureau, 2010)","previouslyFormattedCitation":"(U.S. Census Bureau, 2010)"},"properties":{"noteIndex":0},"schema":"https://github.com/citation-style-language/schema/raw/master/csl-citation.json"}</w:instrText>
      </w:r>
      <w:r w:rsidRPr="004F469F">
        <w:fldChar w:fldCharType="separate"/>
      </w:r>
      <w:r w:rsidR="001F078B" w:rsidRPr="004F469F">
        <w:rPr>
          <w:noProof/>
        </w:rPr>
        <w:t>(U.S. Census Bureau, 2010)</w:t>
      </w:r>
      <w:r w:rsidRPr="004F469F">
        <w:fldChar w:fldCharType="end"/>
      </w:r>
      <w:r w:rsidRPr="004F469F">
        <w:t xml:space="preserve">. This implies that tornadoes are unlikely to impact many people, but when they do, the totals will be higher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States","type":"article-journal","volume":"11"},"uris":["http://www.mendeley.com/documents/?uuid=0032bc5e-f0bd-436a-ab51-61b7467838eb"]}],"mendeley":{"formattedCitation":"(Hatzis et al., 2019)","plainTextFormattedCitation":"(Hatzis et al., 2019)","previouslyFormattedCitation":"(Hatzis et al., 2019)"},"properties":{"noteIndex":0},"schema":"https://github.com/citation-style-language/schema/raw/master/csl-citation.json"}</w:instrText>
      </w:r>
      <w:r w:rsidRPr="004F469F">
        <w:fldChar w:fldCharType="separate"/>
      </w:r>
      <w:r w:rsidR="00123266" w:rsidRPr="00123266">
        <w:rPr>
          <w:noProof/>
        </w:rPr>
        <w:t xml:space="preserve">(Hatzis </w:t>
      </w:r>
      <w:r w:rsidR="00123266" w:rsidRPr="00453357">
        <w:rPr>
          <w:i/>
          <w:iCs/>
          <w:noProof/>
        </w:rPr>
        <w:t>et al.</w:t>
      </w:r>
      <w:r w:rsidR="00123266" w:rsidRPr="00123266">
        <w:rPr>
          <w:noProof/>
        </w:rPr>
        <w:t>, 2019)</w:t>
      </w:r>
      <w:r w:rsidRPr="004F469F">
        <w:fldChar w:fldCharType="end"/>
      </w:r>
      <w:r w:rsidRPr="004F469F">
        <w:t xml:space="preserve">. In fact, despite being the least populous MSA in this study, significant tornadoes impacting Omaha nearly had the same probability of impacting 20,000 persons as in St. Louis which had over twice the population in 2010 (Table 3.4). </w:t>
      </w:r>
    </w:p>
    <w:p w14:paraId="2E0C2EA6" w14:textId="77777777" w:rsidR="00797351" w:rsidRPr="004F469F" w:rsidRDefault="00797351" w:rsidP="0049259D">
      <w:pPr>
        <w:spacing w:after="120" w:line="480" w:lineRule="auto"/>
        <w:ind w:firstLine="720"/>
      </w:pPr>
      <w:r w:rsidRPr="004F469F">
        <w:t xml:space="preserve">The most impactful tornado from any of the simulations was a 2.5 km wide and 102.5 km long EF3 tornado which was simulated to hit Chicago and impact 165,142 persons. For comparison, from 1979 to 2016, the widest tornado, which impacted Chicago was 1.2 km, and the longest tornado was 49.3 km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There were six tornadoes which impacted more than 100,000 persons, all of which impacted either Chicago or Dallas/Fort Worth. Among the 25 most impactful tornadoes all hit either Chicago or Dallas/Fort Worth. More than half (14) were EF4 or EF5 tornadoes with the rest mostly being EF3 and one anomalously wide (1.7 km) EF2 tornado that hit Dallas/Fort Worth.</w:t>
      </w:r>
    </w:p>
    <w:p w14:paraId="24665B9E" w14:textId="77777777" w:rsidR="00797351" w:rsidRPr="004F469F" w:rsidRDefault="00797351" w:rsidP="0049259D">
      <w:pPr>
        <w:pStyle w:val="Heading3"/>
        <w:spacing w:before="0" w:after="120" w:line="480" w:lineRule="auto"/>
        <w:rPr>
          <w:rFonts w:ascii="Times New Roman" w:hAnsi="Times New Roman" w:cs="Times New Roman"/>
          <w:i/>
          <w:iCs/>
          <w:color w:val="auto"/>
        </w:rPr>
      </w:pPr>
      <w:bookmarkStart w:id="63" w:name="_Toc21861318"/>
      <w:r w:rsidRPr="004F469F">
        <w:rPr>
          <w:rFonts w:ascii="Times New Roman" w:hAnsi="Times New Roman" w:cs="Times New Roman"/>
          <w:i/>
          <w:iCs/>
          <w:color w:val="auto"/>
        </w:rPr>
        <w:t>Tornado Impacts on a Daily Time Scale</w:t>
      </w:r>
      <w:bookmarkEnd w:id="63"/>
    </w:p>
    <w:p w14:paraId="05D5708D" w14:textId="25ECEA31" w:rsidR="00797351" w:rsidRPr="004F469F" w:rsidRDefault="00797351" w:rsidP="0049259D">
      <w:pPr>
        <w:spacing w:after="120" w:line="480" w:lineRule="auto"/>
        <w:ind w:firstLine="720"/>
      </w:pPr>
      <w:r w:rsidRPr="004F469F">
        <w:t xml:space="preserve">A unique use of TorDIS’s daily time step is to determine how the impact of an observed tornado footprint compares to the potential impacts that could have occurred under that same </w:t>
      </w:r>
      <w:r w:rsidRPr="004F469F">
        <w:lastRenderedPageBreak/>
        <w:t>atmospheric environment. As an example of this sort of analysis, a 10,000-year simulation was run, in daily mode, for four significant tornado outbreak days: 5 February 2008, 27 April 2011, 22 May 2011, and 20 May 2013. These runs were conducted over the maximum study area size assuming a 50 km buffer (Figure 3.2). All other model settings and data sets were the same as for the annual runs. Additionally, observed tornado footprints (damage path polygons) were collected from the National Weather Service for three high impact violent tornadoes (an EF4 at Tuscaloosa-Birmingham, Alabama (27 April 2011</w:t>
      </w:r>
      <w:r w:rsidR="004018A9">
        <w:t xml:space="preserve">; </w:t>
      </w:r>
      <w:r w:rsidRPr="004F469F">
        <w:fldChar w:fldCharType="begin" w:fldLock="1"/>
      </w:r>
      <w:r w:rsidR="004018A9">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perspective","type":"article-journal","volume":"67"},"uris":["http://www.mendeley.com/documents/?uuid=42235697-4e43-4cf7-9772-fa9a876de81d"]}],"mendeley":{"formattedCitation":"(Doswell et al., 2012)","manualFormatting":"Doswell et al., 2012)","plainTextFormattedCitation":"(Doswell et al., 2012)","previouslyFormattedCitation":"(Doswell et al., 2012)"},"properties":{"noteIndex":0},"schema":"https://github.com/citation-style-language/schema/raw/master/csl-citation.json"}</w:instrText>
      </w:r>
      <w:r w:rsidRPr="004F469F">
        <w:fldChar w:fldCharType="separate"/>
      </w:r>
      <w:r w:rsidR="00123266" w:rsidRPr="00123266">
        <w:rPr>
          <w:noProof/>
        </w:rPr>
        <w:t xml:space="preserve">Doswell </w:t>
      </w:r>
      <w:r w:rsidR="00123266" w:rsidRPr="00453357">
        <w:rPr>
          <w:i/>
          <w:iCs/>
          <w:noProof/>
        </w:rPr>
        <w:t>et al.</w:t>
      </w:r>
      <w:r w:rsidR="00123266" w:rsidRPr="00123266">
        <w:rPr>
          <w:noProof/>
        </w:rPr>
        <w:t>, 2012)</w:t>
      </w:r>
      <w:r w:rsidRPr="004F469F">
        <w:fldChar w:fldCharType="end"/>
      </w:r>
      <w:r w:rsidRPr="004F469F">
        <w:t>, an EF5 at Joplin, Missouri (22 May 2011</w:t>
      </w:r>
      <w:r w:rsidR="004018A9">
        <w:t>;</w:t>
      </w:r>
      <w:r w:rsidRPr="004F469F">
        <w:t xml:space="preserve"> </w:t>
      </w:r>
      <w:r w:rsidRPr="004F469F">
        <w:fldChar w:fldCharType="begin" w:fldLock="1"/>
      </w:r>
      <w:r w:rsidR="004018A9">
        <w:instrText>ADDIN CSL_CITATION {"citationItems":[{"id":"ITEM-1","itemData":{"DOI":"10.1007/s11069-012-0313-3","abstract":"On the evening of 22 May 2011, an EF-5 tornado tore a path six miles long across Joplin, Missouri, USA, killing 162 people as it passed through the heart of the city. This tornado stands as the deadliest single tornado to hit the United States since modern recordkeeping began in 1950, surpassing the tornado of 8 June 1953 that claimed 116 lives in Flint, Michigan. The record number of deaths caused by the single tornado in Joplin was far higher than the average annual number of US tornado deaths over the last three decades. This study explores the reasons for the high number of fatalities caused by the 2011 Joplin tornado. Questionnaire surveys administered among tornado survivors and informal discussions with emergency management personnel and others suggest that five reasons are associated with the high number of tornado fatalities experienced in Joplin: (1) the sheer magnitude of this event; (2) its path through commercial and densely populated residential areas; (3) the relatively large size of damage area; (4) the physical character-istics of affected homes in Joplin; and (5) the fact that some residents ignored tornado warnings. Several recommendations are offered, the implementation of which should reduce future tornado fatalities not only in Joplin, but elsewhere in the United States.","author":[{"dropping-particle":"","family":"Paul","given":"Bimal Kanti","non-dropping-particle":"","parse-names":false,"suffix":""},{"dropping-particle":"","family":"Stimers","given":"Mitchel","non-dropping-particle":"","parse-names":false,"suffix":""}],"container-title":"Natural Hazards","id":"ITEM-1","issue":"2","issued":{"date-parts":[["2012"]]},"page":"1511-1526","title":"Exploring probable reasons for record fatalities: the case of 2011 Joplin, Missouri, tornado","type":"article-journal","volume":"64"},"uris":["http://www.mendeley.com/documents/?uuid=20b4b09b-7791-4d88-b2dd-b2d4d2b6540d"]}],"mendeley":{"formattedCitation":"(Paul and Stimers, 2012)","manualFormatting":"Paul and Stimers, 2012)","plainTextFormattedCitation":"(Paul and Stimers, 2012)","previouslyFormattedCitation":"(Paul and Stimers, 2012)"},"properties":{"noteIndex":0},"schema":"https://github.com/citation-style-language/schema/raw/master/csl-citation.json"}</w:instrText>
      </w:r>
      <w:r w:rsidRPr="004F469F">
        <w:fldChar w:fldCharType="separate"/>
      </w:r>
      <w:r w:rsidR="0010658B" w:rsidRPr="0010658B">
        <w:rPr>
          <w:noProof/>
        </w:rPr>
        <w:t>Paul and Stimers, 2012)</w:t>
      </w:r>
      <w:r w:rsidRPr="004F469F">
        <w:fldChar w:fldCharType="end"/>
      </w:r>
      <w:r w:rsidRPr="004F469F">
        <w:t>, and an EF5 at Moore, Oklahoma (20 May 2013</w:t>
      </w:r>
      <w:r w:rsidR="004018A9">
        <w:t>;</w:t>
      </w:r>
      <w:r w:rsidRPr="004F469F">
        <w:t xml:space="preserve"> </w:t>
      </w:r>
      <w:r w:rsidRPr="004F469F">
        <w:fldChar w:fldCharType="begin" w:fldLock="1"/>
      </w:r>
      <w:r w:rsidR="004018A9">
        <w:instrText>ADDIN CSL_CITATION {"citationItems":[{"id":"ITEM-1","itemData":{"DOI":"10.1175/MWR-D-14-00357.1","ISSN":"0027-0644","abstract":"AbstractOn 20 May 2013, the cities of Newcastle, Oklahoma City, and Moore, Oklahoma were impacted by a long-track violent tornado that was rated as an EF5 on the enhanced Fujita scale by the National Weather Service. Despite a relatively sustained long track, damage surveys revealed a number of small-scale damage indicators that hinted at storm-scale processes that occurred over short time periods. The University of Oklahoma (OU) Advanced Radar Research Center’s PX-1000 transportable, polarimetric, X-band weather radar was operating in a single-elevation PPI scanning strategy at the OU Westheimer airport throughout the duration of the tornado, collecting high spatial and temporal resolution polarimetric data every 20 s at ranges as close as 10 km and heights below 500 m AGL. This dataset contains the only known polarimetric radar observations of the Moore tornado at such high temporal resolution, providing the opportunity to analyze and study fine-scale phenomena occurring on rapid time scales. Analysis i...","author":[{"dropping-particle":"","family":"Kurdzo","given":"James M.","non-dropping-particle":"","parse-names":false,"suffix":""},{"dropping-particle":"","family":"Bodine","given":"David J.","non-dropping-particle":"","parse-names":false,"suffix":""},{"dropping-particle":"","family":"Cheong","given":"Boon Leng","non-dropping-particle":"","parse-names":false,"suffix":""},{"dropping-particle":"","family":"Palmer","given":"Robert D.","non-dropping-particle":"","parse-names":false,"suffix":""}],"container-title":"Monthly Weather Review","id":"ITEM-1","issue":"7","issued":{"date-parts":[["2015"]]},"page":"2711-2735","title":"High-Temporal Resolution Polarimetric X-Band Doppler Radar Observations of the 20 May 2013 Moore, Oklahoma, Tornado","type":"article-journal","volume":"143"},"uris":["http://www.mendeley.com/documents/?uuid=00eaace7-d549-426b-8014-4880be5ac366"]}],"mendeley":{"formattedCitation":"(Kurdzo et al., 2015)","manualFormatting":"Kurdzo et al., 2015)","plainTextFormattedCitation":"(Kurdzo et al., 2015)","previouslyFormattedCitation":"(Kurdzo et al., 2015)"},"properties":{"noteIndex":0},"schema":"https://github.com/citation-style-language/schema/raw/master/csl-citation.json"}</w:instrText>
      </w:r>
      <w:r w:rsidRPr="004F469F">
        <w:fldChar w:fldCharType="separate"/>
      </w:r>
      <w:r w:rsidR="0010658B" w:rsidRPr="00123266">
        <w:rPr>
          <w:noProof/>
        </w:rPr>
        <w:t xml:space="preserve">Kurdzo </w:t>
      </w:r>
      <w:r w:rsidR="0010658B" w:rsidRPr="00453357">
        <w:rPr>
          <w:i/>
          <w:iCs/>
          <w:noProof/>
        </w:rPr>
        <w:t>et al.</w:t>
      </w:r>
      <w:r w:rsidR="0010658B" w:rsidRPr="00123266">
        <w:rPr>
          <w:noProof/>
        </w:rPr>
        <w:t>, 2015)</w:t>
      </w:r>
      <w:r w:rsidRPr="004F469F">
        <w:fldChar w:fldCharType="end"/>
      </w:r>
      <w:r w:rsidRPr="004F469F">
        <w:t xml:space="preserve"> and the total number of persons exposed (using the 2010 SEDAC population grids) to each footprint was calculated.</w:t>
      </w:r>
    </w:p>
    <w:p w14:paraId="684B94E1" w14:textId="604B2C93" w:rsidR="00797351" w:rsidRPr="004F469F" w:rsidRDefault="00797351" w:rsidP="0049259D">
      <w:pPr>
        <w:spacing w:after="120" w:line="480" w:lineRule="auto"/>
        <w:ind w:firstLine="720"/>
      </w:pPr>
      <w:r w:rsidRPr="004F469F">
        <w:t xml:space="preserve">On 5 February 2008, a large weather system moved over the southeastern United States, producing 87 tornadoes and causing 57 fatalities </w:t>
      </w:r>
      <w:r w:rsidRPr="004F469F">
        <w:fldChar w:fldCharType="begin" w:fldLock="1"/>
      </w:r>
      <w:r w:rsidR="0010658B">
        <w:instrText>ADDIN CSL_CITATION {"citationItems":[{"id":"ITEM-1","itemData":{"DOI":"10.1175/2010wcas1042.1","ISBN":"1948-8327\r1948-8335","author":[{"dropping-particle":"","family":"Chaney","given":"Philip L","non-dropping-particle":"","parse-names":false,"suffix":""},{"dropping-particle":"","family":"Weaver","given":"Greg S","non-dropping-particle":"","parse-names":false,"suffix":""}],"container-title":"Weather, Climate, and Society","id":"ITEM-1","issue":"3","issued":{"date-parts":[["2010"]]},"page":"190-199","title":"The Vulnerability of Mobile Home Residents in Tornado Disasters: The 2008 Super Tuesday Tornado in Macon County, Tennessee","type":"article-journal","volume":"2"},"uris":["http://www.mendeley.com/documents/?uuid=3df1f39a-562f-4154-8b5f-14919393f4a8"]}],"mendeley":{"formattedCitation":"(Chaney and Weaver, 2010)","plainTextFormattedCitation":"(Chaney and Weaver, 2010)","previouslyFormattedCitation":"(Chaney and Weaver, 2010)"},"properties":{"noteIndex":0},"schema":"https://github.com/citation-style-language/schema/raw/master/csl-citation.json"}</w:instrText>
      </w:r>
      <w:r w:rsidRPr="004F469F">
        <w:fldChar w:fldCharType="separate"/>
      </w:r>
      <w:r w:rsidR="0010658B" w:rsidRPr="0010658B">
        <w:rPr>
          <w:noProof/>
        </w:rPr>
        <w:t>(Chaney and Weaver, 2010)</w:t>
      </w:r>
      <w:r w:rsidRPr="004F469F">
        <w:fldChar w:fldCharType="end"/>
      </w:r>
      <w:r w:rsidRPr="004F469F">
        <w:t xml:space="preserve">. During this event, one tornadic supercell passed over Nashville, Tennessee producing tornadoes to the southwest and northeast of the city but not downtown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States","type":"article-journal","volume":"11"},"uris":["http://www.mendeley.com/documents/?uuid=0032bc5e-f0bd-436a-ab51-61b7467838eb"]}],"mendeley":{"formattedCitation":"(Hatzis et al., 2019)","plainTextFormattedCitation":"(Hatzis et al., 2019)","previouslyFormattedCitation":"(Hatzis et al., 2019)"},"properties":{"noteIndex":0},"schema":"https://github.com/citation-style-language/schema/raw/master/csl-citation.json"}</w:instrText>
      </w:r>
      <w:r w:rsidRPr="004F469F">
        <w:fldChar w:fldCharType="separate"/>
      </w:r>
      <w:r w:rsidR="00123266" w:rsidRPr="00123266">
        <w:rPr>
          <w:noProof/>
        </w:rPr>
        <w:t xml:space="preserve">(Hatzis </w:t>
      </w:r>
      <w:r w:rsidR="00123266" w:rsidRPr="00453357">
        <w:rPr>
          <w:i/>
          <w:iCs/>
          <w:noProof/>
        </w:rPr>
        <w:t>et al.</w:t>
      </w:r>
      <w:r w:rsidR="00123266" w:rsidRPr="00123266">
        <w:rPr>
          <w:noProof/>
        </w:rPr>
        <w:t>, 2019)</w:t>
      </w:r>
      <w:r w:rsidRPr="004F469F">
        <w:fldChar w:fldCharType="end"/>
      </w:r>
      <w:r w:rsidRPr="004F469F">
        <w:t>. The 10,000-year simulation of this environment yielded a mean of 3 significant tornadoes and a maximum of 27. These significant tornadoes impacted a mean of 1,391 persons per day and a maximum of 222,690 (Table 3.5) with the most impactful footprint exposing 152,967 persons to tornado winds. For comparison, the observed impact over the day was 9,096 persons with the most impactful tornado footprint having an exposure of 2,327 persons. The observed impact was high with only a 2.7% chance that it would have been exceeded on that day.</w:t>
      </w:r>
    </w:p>
    <w:p w14:paraId="060E3CCE" w14:textId="0D3F93AC" w:rsidR="00797351" w:rsidRPr="004F469F" w:rsidRDefault="00797351" w:rsidP="00F26DDF">
      <w:pPr>
        <w:spacing w:after="120" w:line="480" w:lineRule="auto"/>
        <w:ind w:firstLine="720"/>
      </w:pPr>
      <w:r w:rsidRPr="004F469F">
        <w:t xml:space="preserve">The probability that the exposure of a simulated violent tornado would be higher than observed, on the date of the event, was 1.6%, 2.2% and 3.3% for Tuscaloosa-Birmingham, </w:t>
      </w:r>
      <w:r w:rsidRPr="004F469F">
        <w:lastRenderedPageBreak/>
        <w:t xml:space="preserve">Joplin, and Moore respectively. Given that all three tornadoes impacted more than 5,000 persons, it is not surprising that these exposures are not very likely to be exceeded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States","type":"article-journal","volume":"11"},"uris":["http://www.mendeley.com/documents/?uuid=0032bc5e-f0bd-436a-ab51-61b7467838eb"]}],"mendeley":{"formattedCitation":"(Hatzis et al., 2019)","plainTextFormattedCitation":"(Hatzis et al., 2019)","previouslyFormattedCitation":"(Hatzis et al., 2019)"},"properties":{"noteIndex":0},"schema":"https://github.com/citation-style-language/schema/raw/master/csl-citation.json"}</w:instrText>
      </w:r>
      <w:r w:rsidRPr="004F469F">
        <w:fldChar w:fldCharType="separate"/>
      </w:r>
      <w:r w:rsidR="00123266" w:rsidRPr="00123266">
        <w:rPr>
          <w:noProof/>
        </w:rPr>
        <w:t xml:space="preserve">(Hatzis </w:t>
      </w:r>
      <w:r w:rsidR="00123266" w:rsidRPr="00453357">
        <w:rPr>
          <w:i/>
          <w:iCs/>
          <w:noProof/>
        </w:rPr>
        <w:t>et al.</w:t>
      </w:r>
      <w:r w:rsidR="00123266" w:rsidRPr="00123266">
        <w:rPr>
          <w:noProof/>
        </w:rPr>
        <w:t>, 2019)</w:t>
      </w:r>
      <w:r w:rsidRPr="004F469F">
        <w:fldChar w:fldCharType="end"/>
      </w:r>
      <w:r w:rsidRPr="004F469F">
        <w:t>.</w:t>
      </w:r>
    </w:p>
    <w:p w14:paraId="77F56189" w14:textId="442F9E99" w:rsidR="00797351" w:rsidRPr="004F469F" w:rsidRDefault="00797351" w:rsidP="0049259D">
      <w:pPr>
        <w:pStyle w:val="Heading3"/>
        <w:spacing w:before="0" w:after="120" w:line="480" w:lineRule="auto"/>
        <w:rPr>
          <w:rFonts w:ascii="Times New Roman" w:hAnsi="Times New Roman" w:cs="Times New Roman"/>
          <w:i/>
          <w:iCs/>
          <w:color w:val="auto"/>
        </w:rPr>
      </w:pPr>
      <w:bookmarkStart w:id="64" w:name="_Toc21861319"/>
      <w:r w:rsidRPr="004F469F">
        <w:rPr>
          <w:rFonts w:ascii="Times New Roman" w:hAnsi="Times New Roman" w:cs="Times New Roman"/>
          <w:i/>
          <w:iCs/>
          <w:color w:val="auto"/>
        </w:rPr>
        <w:t>Limitations and Future Development of TorDIS</w:t>
      </w:r>
      <w:bookmarkEnd w:id="64"/>
    </w:p>
    <w:p w14:paraId="1BABB697" w14:textId="0CA075F2" w:rsidR="00797351" w:rsidRPr="004F469F" w:rsidRDefault="00797351" w:rsidP="0049259D">
      <w:pPr>
        <w:spacing w:after="120" w:line="480" w:lineRule="auto"/>
        <w:ind w:firstLine="720"/>
      </w:pPr>
      <w:r w:rsidRPr="004F469F">
        <w:t xml:space="preserve">TorDIS performs well at simulating the spatial distribution of tornadoes. However, its performance is weaker at predicting whether or not a day is a tornado day. Storm initiation is often one of the biggest uncertainties for tornado forecasting in environments with sufficient instability and vertical wind shear </w:t>
      </w:r>
      <w:r w:rsidRPr="004F469F">
        <w:fldChar w:fldCharType="begin" w:fldLock="1"/>
      </w:r>
      <w:r w:rsidR="00123266">
        <w:instrText>ADDIN CSL_CITATION {"citationItems":[{"id":"ITEM-1","itemData":{"author":[{"dropping-particle":"","family":"Lock","given":"Noah","non-dropping-particle":"","parse-names":false,"suffix":""}],"id":"ITEM-1","issued":{"date-parts":[["2012"]]},"title":"An Analysis of Deep Convection Initiation Environments","type":"article-journal"},"uris":["http://www.mendeley.com/documents/?uuid=d53a3eff-9cff-4a02-bccb-35dd90c79282"]},{"id":"ITEM-2","itemData":{"DOI":"10.1175/BAMS-D-13-00252.1","ISBN":"1520-0477","abstract":"After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Society","id":"ITEM-2","issue":"11","issued":{"date-parts":[["2014"]]},"page":"1704-1712","title":"Tornadoes in the central United States and the “Clash of Air Masses”","type":"article-journal","volume":"95"},"uris":["http://www.mendeley.com/documents/?uuid=58c1ddd7-3d45-47c3-9b2a-cf4ed234e964"]}],"mendeley":{"formattedCitation":"(Lock, 2012; Schultz et al., 2014)","plainTextFormattedCitation":"(Lock, 2012; Schultz et al., 2014)","previouslyFormattedCitation":"(Lock, 2012; Schultz et al., 2014)"},"properties":{"noteIndex":0},"schema":"https://github.com/citation-style-language/schema/raw/master/csl-citation.json"}</w:instrText>
      </w:r>
      <w:r w:rsidRPr="004F469F">
        <w:fldChar w:fldCharType="separate"/>
      </w:r>
      <w:r w:rsidR="0010658B" w:rsidRPr="00123266">
        <w:rPr>
          <w:noProof/>
        </w:rPr>
        <w:t xml:space="preserve">(Lock, 2012; Schultz </w:t>
      </w:r>
      <w:r w:rsidR="0010658B" w:rsidRPr="00453357">
        <w:rPr>
          <w:i/>
          <w:iCs/>
          <w:noProof/>
        </w:rPr>
        <w:t>et al.</w:t>
      </w:r>
      <w:r w:rsidR="0010658B" w:rsidRPr="00123266">
        <w:rPr>
          <w:noProof/>
        </w:rPr>
        <w:t>, 2014)</w:t>
      </w:r>
      <w:r w:rsidRPr="004F469F">
        <w:fldChar w:fldCharType="end"/>
      </w:r>
      <w:r w:rsidRPr="004F469F">
        <w:t xml:space="preserve">. The current version of the model tends to overpredict storm initiation resulting in nearly double the observed number of tornado days and a resultant bias towards more tornadoes overall. Another model limitation is the bias towards lower intensity tornadoes due to a higher frequency of low helicity environments </w:t>
      </w:r>
      <w:r w:rsidRPr="004F469F">
        <w:fldChar w:fldCharType="begin" w:fldLock="1"/>
      </w:r>
      <w:r w:rsidR="0010658B">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variables","type":"article-journal","volume":"11"},"uris":["http://www.mendeley.com/documents/?uuid=5b1ef918-c699-4eec-b415-f7400f110109"]}],"mendeley":{"formattedCitation":"(Colquhoun and Riley, 1996)","plainTextFormattedCitation":"(Colquhoun and Riley, 1996)","previouslyFormattedCitation":"(Colquhoun and Riley, 1996)"},"properties":{"noteIndex":0},"schema":"https://github.com/citation-style-language/schema/raw/master/csl-citation.json"}</w:instrText>
      </w:r>
      <w:r w:rsidRPr="004F469F">
        <w:fldChar w:fldCharType="separate"/>
      </w:r>
      <w:r w:rsidR="0010658B" w:rsidRPr="0010658B">
        <w:rPr>
          <w:noProof/>
        </w:rPr>
        <w:t>(Colquhoun and Riley, 1996)</w:t>
      </w:r>
      <w:r w:rsidRPr="004F469F">
        <w:fldChar w:fldCharType="end"/>
      </w:r>
      <w:r w:rsidRPr="004F469F">
        <w:t xml:space="preserve">. This could be because of differences in storm relative helicity between 0000 UTC and the actual time of tornado initiation. Future model runs will increase the temporal resolution for the gridded environmental data (beyond one time step per day) to ensure that the environment varies throughout the day to more accurately represent real tornado production. </w:t>
      </w:r>
    </w:p>
    <w:p w14:paraId="7E187E3D" w14:textId="4C5DB3E7" w:rsidR="00797351" w:rsidRPr="004F469F" w:rsidRDefault="00797351" w:rsidP="0049259D">
      <w:pPr>
        <w:spacing w:after="120" w:line="480" w:lineRule="auto"/>
        <w:ind w:firstLine="720"/>
        <w:rPr>
          <w:bCs/>
        </w:rPr>
      </w:pPr>
      <w:r w:rsidRPr="004F469F">
        <w:t xml:space="preserve">The next step in model development is implementing multiple footprints for each tornado to represent the wind field. </w:t>
      </w:r>
      <w:r w:rsidRPr="004F469F">
        <w:rPr>
          <w:bCs/>
        </w:rPr>
        <w:t xml:space="preserve">Tornadoes are given intensity ratings based on the maximum amount of damage over their footprints with much of the footprint area covered by less intense winds </w:t>
      </w:r>
      <w:r w:rsidRPr="004F469F">
        <w:rPr>
          <w:bCs/>
        </w:rPr>
        <w:fldChar w:fldCharType="begin" w:fldLock="1"/>
      </w:r>
      <w:r w:rsidR="00123266">
        <w:rPr>
          <w:bCs/>
        </w:rPr>
        <w:instrText>ADDIN CSL_CITATION {"citationItems":[{"id":"ITEM-1","itemData":{"DOI":"10.1002/met.1482","ISBN":"1350-4827","ISSN":"14698080","abstract":"An increasing number of significant and violent tornado events in the United States have been documented and mapped at extremely high resolution by government, research and private entities using remotely sensed and post-event damage surveys; however, these assessments often generate inconsistent spatial measures of tornado strength, even for the same event. This investigation assembles a portfolio of contemporary tornado events that contain spatially comprehensive damage and/or wind velocity information from a diverse set of sources. Thereafter, the relationship between land-use/cover and tornado intensity is examined in order to quantify spatial measures of damage indicator bias in post-event tornado damage surveys. A climatology of both significant and violent tornado intensity assessments is then created, promoting the generation of synthetic, or model, paths with observationally constrained damage length and width metrics by the Enhanced Fujita scale magnitude. Results from the climatology and collection of synthetic paths are compared to previous observed, empirical and theoretical assessments, revealing differences in the spatial scale of the overall tornado footprint, as well as percentage contribution of swaths by Enhanced Fujita scale magnitude. The range of synthetic paths produced may be used to assess potential tornado damages to the population, the built environment and insurance portfolios.","author":[{"dropping-particle":"","family":"Strader","given":"Stephen M.","non-dropping-particle":"","parse-names":false,"suffix":""},{"dropping-particle":"","family":"Ashley","given":"Walker S.","non-dropping-particle":"","parse-names":false,"suffix":""},{"dropping-particle":"","family":"Irizarry","given":"Ashley","non-dropping-particle":"","parse-names":false,"suffix":""},{"dropping-particle":"","family":"Hall","given":"Sarah","non-dropping-particle":"","parse-names":false,"suffix":""}],"container-title":"Meteorological Applications","id":"ITEM-1","issue":"3","issued":{"date-parts":[["2015"]]},"page":"513-524","publisher":"Wiley Online Library","title":"A climatology of tornado intensity assessments","type":"article-journal","volume":"22"},"uris":["http://www.mendeley.com/documents/?uuid=e4377686-df2f-4b6e-9560-9cec9e268521"]},{"id":"ITEM-2","itemData":{"author":[{"dropping-particle":"","family":"Fricker","given":"Tyler","non-dropping-particle":"","parse-names":false,"suffix":""},{"dropping-particle":"","family":"Elsner","given":"James B","non-dropping-particle":"","parse-names":false,"suffix":""}],"container-title":"PloS one","id":"ITEM-2","issue":"7","issued":{"date-parts":[["2015"]]},"page":"e0131090","publisher":"Public Library of Science","title":"Kinetic energy of tornadoes in the United States","type":"article-journal","volume":"10"},"uris":["http://www.mendeley.com/documents/?uuid=88b8f681-736d-450f-823e-09b794cc67d7"]}],"mendeley":{"formattedCitation":"(Fricker and Elsner, 2015; Strader et al., 2015)","plainTextFormattedCitation":"(Fricker and Elsner, 2015; Strader et al., 2015)","previouslyFormattedCitation":"(Fricker and Elsner, 2015; Strader et al., 2015)"},"properties":{"noteIndex":0},"schema":"https://github.com/citation-style-language/schema/raw/master/csl-citation.json"}</w:instrText>
      </w:r>
      <w:r w:rsidRPr="004F469F">
        <w:rPr>
          <w:bCs/>
        </w:rPr>
        <w:fldChar w:fldCharType="separate"/>
      </w:r>
      <w:r w:rsidR="0010658B" w:rsidRPr="00123266">
        <w:rPr>
          <w:bCs/>
          <w:noProof/>
        </w:rPr>
        <w:t xml:space="preserve">(Fricker and Elsner, 2015; Strader </w:t>
      </w:r>
      <w:r w:rsidR="0010658B" w:rsidRPr="00453357">
        <w:rPr>
          <w:bCs/>
          <w:i/>
          <w:iCs/>
          <w:noProof/>
        </w:rPr>
        <w:t>et al.</w:t>
      </w:r>
      <w:r w:rsidR="0010658B" w:rsidRPr="00123266">
        <w:rPr>
          <w:bCs/>
          <w:noProof/>
        </w:rPr>
        <w:t>, 2015)</w:t>
      </w:r>
      <w:r w:rsidRPr="004F469F">
        <w:rPr>
          <w:bCs/>
        </w:rPr>
        <w:fldChar w:fldCharType="end"/>
      </w:r>
      <w:r w:rsidRPr="004F469F">
        <w:rPr>
          <w:bCs/>
        </w:rPr>
        <w:t>. Currently, TorDIS creates only one footprint for each tornado (representing the EF0 wind field), however, future versions will add footprints for each intensity class so that it is possible to know how many persons or buildings are actually experiencing significant (49.2 m s</w:t>
      </w:r>
      <w:r w:rsidRPr="004F469F">
        <w:rPr>
          <w:bCs/>
          <w:vertAlign w:val="superscript"/>
        </w:rPr>
        <w:t>-1</w:t>
      </w:r>
      <w:r w:rsidRPr="004F469F">
        <w:rPr>
          <w:bCs/>
        </w:rPr>
        <w:t>) or violent (74.2 m s</w:t>
      </w:r>
      <w:r w:rsidRPr="004F469F">
        <w:rPr>
          <w:bCs/>
          <w:vertAlign w:val="superscript"/>
        </w:rPr>
        <w:t>-1</w:t>
      </w:r>
      <w:r w:rsidRPr="004F469F">
        <w:rPr>
          <w:bCs/>
        </w:rPr>
        <w:t xml:space="preserve">) tornado winds </w:t>
      </w:r>
      <w:r w:rsidRPr="004F469F">
        <w:rPr>
          <w:bCs/>
        </w:rPr>
        <w:fldChar w:fldCharType="begin" w:fldLock="1"/>
      </w:r>
      <w:r w:rsidR="0010658B">
        <w:rPr>
          <w:bCs/>
        </w:rPr>
        <w:instrText>ADDIN CSL_CITATION {"citationItems":[{"id":"ITEM-1","itemData":{"abstract":"An Enhanced Fujita Scale (EF Scale) is proposed in this document. The enhanced scale addresses the major limitations of the original Fujita Scale that was first published in 1971. Additional damage indicators (DIs) are proposedalong with degrees of damage (DODs). Through an expert elicitation process, wind speeds corresponding to the described damage for each DOD are estimated. The estimated wind speed then determines the EF-Scale category appropriate for the observed damage. The categories range from EF0 to EF5. The wind speed ranges in each category are related to Fujita Scale ranges by a correlation function (Equation 1). This correlation between Fujita-Scale and EF-Scale wind speeds provides a link between the two scales and thus makes it possible to express a Fujita-Scale rating in terms of an EF-Scale rating. The only difference is the wind speed ranges in each scale. Thus, the historical tornado database is preserved and can be easily convertedto the criteria of the EF Scale. The problem of no DIs in open country remains. Research is currently underway to identify additional damage indicators and to obtain estimates of the wind speeds to cause defined damage. Of particular interest are damage to various crops, farm equipment, silos, grain storage facilities and irrigation equipment. These indicators can be incorporated as DIs in the EF Scale as reliable data become available. The technology of portable Doppler radar should also be a part of the EF Scale process, either as a direct measurement, when available, or as a means of validating the wind speeds estimated by the experts. The authors recommend that the EF Scale be given serious consideration for ultimately replacing the Fujita Scale as a means of rating the intensity of tornadoes. Additional refinements will be possible as experience is gained from use of the EF Scale.","author":[{"dropping-particle":"","family":"McDonald","given":"James R.","non-dropping-particle":"","parse-names":false,"suffix":""},{"dropping-particle":"","family":"Mehta","given":"Kishor C.","non-dropping-particle":"","parse-names":false,"suffix":""}],"id":"ITEM-1","issue":"June","issued":{"date-parts":[["2006"]]},"page":"1-95","title":"A Recommendation for an Enhanced Fujita Scale (EF-Scale)","type":"article-journal"},"uris":["http://www.mendeley.com/documents/?uuid=4b61ec76-c498-4c28-9c29-e256a21c39a6"]}],"mendeley":{"formattedCitation":"(McDonald and Mehta, 2006b)","plainTextFormattedCitation":"(McDonald and Mehta, 2006b)","previouslyFormattedCitation":"(McDonald and Mehta, 2006b)"},"properties":{"noteIndex":0},"schema":"https://github.com/citation-style-language/schema/raw/master/csl-citation.json"}</w:instrText>
      </w:r>
      <w:r w:rsidRPr="004F469F">
        <w:rPr>
          <w:bCs/>
        </w:rPr>
        <w:fldChar w:fldCharType="separate"/>
      </w:r>
      <w:r w:rsidR="0010658B" w:rsidRPr="0010658B">
        <w:rPr>
          <w:bCs/>
          <w:noProof/>
        </w:rPr>
        <w:t>(McDonald and Mehta, 2006b)</w:t>
      </w:r>
      <w:r w:rsidRPr="004F469F">
        <w:rPr>
          <w:bCs/>
        </w:rPr>
        <w:fldChar w:fldCharType="end"/>
      </w:r>
      <w:r w:rsidRPr="004F469F">
        <w:rPr>
          <w:bCs/>
        </w:rPr>
        <w:t xml:space="preserve">. Intersecting these wind fields over building data, it would be possible to know </w:t>
      </w:r>
      <w:r w:rsidRPr="004F469F">
        <w:rPr>
          <w:bCs/>
        </w:rPr>
        <w:lastRenderedPageBreak/>
        <w:t xml:space="preserve">whether a particular type of building in the footprint might be destroyed increasing the likelihood of fatalities for anyone inside </w:t>
      </w:r>
      <w:r w:rsidRPr="004F469F">
        <w:rPr>
          <w:bCs/>
        </w:rPr>
        <w:fldChar w:fldCharType="begin" w:fldLock="1"/>
      </w:r>
      <w:r w:rsidR="00123266">
        <w:rPr>
          <w:bCs/>
        </w:rPr>
        <w:instrText>ADDIN CSL_CITATION {"citationItems":[{"id":"ITEM-1","itemData":{"DOI":"10.1175/BAMS-88-1-31","ISBN":"0003-0007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Society","id":"ITEM-1","issue":"1","issued":{"date-parts":[["2007"]]},"page":"31-46","title":"Low-level winds in tornadoes and potential catastrophic tornado impacts in urban areas","type":"article-journal","volume":"88"},"uris":["http://www.mendeley.com/documents/?uuid=6b61d9bd-055f-4858-8645-03943c0892b6"]},{"id":"ITEM-2","itemData":{"DOI":"10.1175/BAMS-89-1-87","author":[{"dropping-particle":"","family":"Brooks","given":"Harold E.","non-dropping-particle":"","parse-names":false,"suffix":""},{"dropping-particle":"","family":"Doswell","given":"Charles A. III","non-dropping-particle":"","parse-names":false,"suffix":""},{"dropping-particle":"","family":"Sutter","given":"Daniel","non-dropping-particle":"","parse-names":false,"suffix":""}],"container-title":"Bulletin of the American Meteorological Society","id":"ITEM-2","issue":"1","issued":{"date-parts":[["2008"]]},"page":"87-90","title":"Low-level winds in tornadoes and potential catastrophic tornado impacts in urban areas","type":"article-journal","volume":"89"},"uris":["http://www.mendeley.com/documents/?uuid=604e5ef0-847e-4cbf-ba9c-24bf7f03c4ff"]}],"mendeley":{"formattedCitation":"(Wurman et al., 2007; Brooks et al., 2008)","plainTextFormattedCitation":"(Wurman et al., 2007; Brooks et al., 2008)","previouslyFormattedCitation":"(Wurman et al., 2007; Brooks et al., 2008)"},"properties":{"noteIndex":0},"schema":"https://github.com/citation-style-language/schema/raw/master/csl-citation.json"}</w:instrText>
      </w:r>
      <w:r w:rsidRPr="004F469F">
        <w:rPr>
          <w:bCs/>
        </w:rPr>
        <w:fldChar w:fldCharType="separate"/>
      </w:r>
      <w:r w:rsidR="00123266" w:rsidRPr="00123266">
        <w:rPr>
          <w:bCs/>
          <w:noProof/>
        </w:rPr>
        <w:t xml:space="preserve">(Wurman </w:t>
      </w:r>
      <w:r w:rsidR="00123266" w:rsidRPr="00453357">
        <w:rPr>
          <w:bCs/>
          <w:i/>
          <w:iCs/>
          <w:noProof/>
        </w:rPr>
        <w:t>et al.</w:t>
      </w:r>
      <w:r w:rsidR="00123266" w:rsidRPr="00123266">
        <w:rPr>
          <w:bCs/>
          <w:noProof/>
        </w:rPr>
        <w:t xml:space="preserve">, 2007; Brooks </w:t>
      </w:r>
      <w:r w:rsidR="00123266" w:rsidRPr="00453357">
        <w:rPr>
          <w:bCs/>
          <w:i/>
          <w:iCs/>
          <w:noProof/>
        </w:rPr>
        <w:t>et al.</w:t>
      </w:r>
      <w:r w:rsidR="00123266" w:rsidRPr="00123266">
        <w:rPr>
          <w:bCs/>
          <w:noProof/>
        </w:rPr>
        <w:t>, 2008)</w:t>
      </w:r>
      <w:r w:rsidRPr="004F469F">
        <w:rPr>
          <w:bCs/>
        </w:rPr>
        <w:fldChar w:fldCharType="end"/>
      </w:r>
      <w:r w:rsidRPr="004F469F">
        <w:rPr>
          <w:bCs/>
        </w:rPr>
        <w:t>. Future work using TorDIS will also seek to estimate potential fatalities in the path of individual tornadoes using such building-based estimates of fatalities and/or regressions taking into account components of vulnerability such as awareness (</w:t>
      </w:r>
      <w:r w:rsidRPr="004F469F">
        <w:rPr>
          <w:bCs/>
          <w:i/>
          <w:iCs/>
        </w:rPr>
        <w:t>e.g.</w:t>
      </w:r>
      <w:r w:rsidRPr="004F469F">
        <w:rPr>
          <w:bCs/>
        </w:rPr>
        <w:t xml:space="preserve">, off-season or nocturnal tornado), access to shelter, mobility and risk perception </w:t>
      </w:r>
      <w:r w:rsidRPr="004F469F">
        <w:rPr>
          <w:bCs/>
        </w:rPr>
        <w:fldChar w:fldCharType="begin" w:fldLock="1"/>
      </w:r>
      <w:r w:rsidR="00123266">
        <w:rPr>
          <w:bCs/>
        </w:rPr>
        <w:instrText>ADDIN CSL_CITATION {"citationItems":[{"id":"ITEM-1","itemData":{"ISBN":"9781878220998","author":[{"dropping-particle":"","family":"Simmons","given":"Kevin M.","non-dropping-particle":"","parse-names":false,"suffix":""},{"dropping-particle":"","family":"Sutter","given":"Daniel","non-dropping-particle":"","parse-names":false,"suffix":""}],"edition":"1","id":"ITEM-1","issued":{"date-parts":[["2011"]]},"number-of-pages":"282","publisher":"American Meteorological Society","publisher-place":"Boston, MA","title":"Economic and societal impacts of tornadoes","type":"book"},"uris":["http://www.mendeley.com/documents/?uuid=679dd86e-3cb6-4bd9-aa65-841ad4dddd4a"]},{"id":"ITEM-2","itemData":{"DOI":"10.1007/s10708-013-9518-6","author":[{"dropping-particle":"","family":"Klockow","given":"Kimberly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A.","non-dropping-particle":"","parse-names":false,"suffix":""}],"container-title":"GeoJournal","id":"ITEM-2","issue":"6","issued":{"date-parts":[["2014"]]},"page":"791-804","title":"Tornado folk science in Alabama and Mississippi in the 27 April 2011 tornado outbreak","type":"article-journal","volume":"79"},"uris":["http://www.mendeley.com/documents/?uuid=b2de5efd-e72d-4641-8d1d-ff4cb52012e2"]},{"id":"ITEM-3","itemData":{"author":[{"dropping-particle":"","family":"Paul","given":"Bimal Kanti","non-dropping-particle":"","parse-names":false,"suffix":""},{"dropping-particle":"","family":"Stimers","given":"Mitchel","non-dropping-particle":"","parse-names":false,"suffix":""},{"dropping-particle":"","family":"Caldas","given":"Marcellus","non-dropping-particle":"","parse-names":false,"suffix":""}],"container-title":"Disasters","id":"ITEM-3","issue":"1","issued":{"date-parts":[["2015"]]},"page":"108-124","publisher":"Wiley Online Library","title":"Predictors of compliance with tornado warnings issued in Joplin, Missouri, in 2011","type":"article-journal","volume":"39"},"uris":["http://www.mendeley.com/documents/?uuid=31b23d23-fc6f-4125-b13b-fd9bc7d69c26"]}],"mendeley":{"formattedCitation":"(Simmons and Sutter, 2011; Klockow et al., 2014; Paul et al., 2015)","plainTextFormattedCitation":"(Simmons and Sutter, 2011; Klockow et al., 2014; Paul et al., 2015)","previouslyFormattedCitation":"(Simmons and Sutter, 2011; Klockow et al., 2014; Paul et al., 2015)"},"properties":{"noteIndex":0},"schema":"https://github.com/citation-style-language/schema/raw/master/csl-citation.json"}</w:instrText>
      </w:r>
      <w:r w:rsidRPr="004F469F">
        <w:rPr>
          <w:bCs/>
        </w:rPr>
        <w:fldChar w:fldCharType="separate"/>
      </w:r>
      <w:r w:rsidR="00123266" w:rsidRPr="00123266">
        <w:rPr>
          <w:bCs/>
          <w:noProof/>
        </w:rPr>
        <w:t xml:space="preserve">(Simmons and Sutter, 2011; Klockow </w:t>
      </w:r>
      <w:r w:rsidR="00123266" w:rsidRPr="00453357">
        <w:rPr>
          <w:bCs/>
          <w:i/>
          <w:iCs/>
          <w:noProof/>
        </w:rPr>
        <w:t>et al.</w:t>
      </w:r>
      <w:r w:rsidR="00123266" w:rsidRPr="00123266">
        <w:rPr>
          <w:bCs/>
          <w:noProof/>
        </w:rPr>
        <w:t xml:space="preserve">, 2014; Paul </w:t>
      </w:r>
      <w:r w:rsidR="00123266" w:rsidRPr="00453357">
        <w:rPr>
          <w:bCs/>
          <w:i/>
          <w:iCs/>
          <w:noProof/>
        </w:rPr>
        <w:t>et al.</w:t>
      </w:r>
      <w:r w:rsidR="00123266" w:rsidRPr="00123266">
        <w:rPr>
          <w:bCs/>
          <w:noProof/>
        </w:rPr>
        <w:t>, 2015)</w:t>
      </w:r>
      <w:r w:rsidRPr="004F469F">
        <w:rPr>
          <w:bCs/>
        </w:rPr>
        <w:fldChar w:fldCharType="end"/>
      </w:r>
      <w:r w:rsidRPr="004F469F">
        <w:rPr>
          <w:bCs/>
        </w:rPr>
        <w:t>.</w:t>
      </w:r>
    </w:p>
    <w:p w14:paraId="521B166A" w14:textId="43E307F7" w:rsidR="00797351" w:rsidRPr="004F469F" w:rsidRDefault="00797351" w:rsidP="0049259D">
      <w:pPr>
        <w:pStyle w:val="Heading2"/>
        <w:spacing w:before="0" w:after="120" w:line="480" w:lineRule="auto"/>
        <w:rPr>
          <w:rFonts w:ascii="Times New Roman" w:hAnsi="Times New Roman" w:cs="Times New Roman"/>
          <w:b/>
          <w:bCs/>
          <w:color w:val="auto"/>
          <w:sz w:val="28"/>
          <w:szCs w:val="28"/>
        </w:rPr>
      </w:pPr>
      <w:bookmarkStart w:id="65" w:name="_Toc21861320"/>
      <w:r w:rsidRPr="004F469F">
        <w:rPr>
          <w:rFonts w:ascii="Times New Roman" w:hAnsi="Times New Roman" w:cs="Times New Roman"/>
          <w:b/>
          <w:bCs/>
          <w:color w:val="auto"/>
          <w:sz w:val="28"/>
          <w:szCs w:val="28"/>
        </w:rPr>
        <w:t>Conclusion</w:t>
      </w:r>
      <w:bookmarkEnd w:id="65"/>
    </w:p>
    <w:p w14:paraId="7437B4B9" w14:textId="3EA7CB6E" w:rsidR="00797351" w:rsidRPr="004F469F" w:rsidRDefault="00797351" w:rsidP="0049259D">
      <w:pPr>
        <w:spacing w:after="120" w:line="480" w:lineRule="auto"/>
        <w:ind w:firstLine="720"/>
      </w:pPr>
      <w:r w:rsidRPr="004F469F">
        <w:t xml:space="preserve">This study introduces the Tornado Daily Impacts Simulator (TorDIS), a Monte Carlo simulation-based tornado impacts model which distributes tornadoes based on the favorability of the atmospheric environment on a given day. </w:t>
      </w:r>
      <w:r w:rsidR="006B5091">
        <w:t>The daily time step is useful as it allows for the prediction of the potential tornado exposures on any day as well as the analysis of the severity of a historical day’s tornado exposures (</w:t>
      </w:r>
      <w:r w:rsidR="006B5091" w:rsidRPr="002614B3">
        <w:rPr>
          <w:i/>
          <w:iCs/>
        </w:rPr>
        <w:t>i.e.</w:t>
      </w:r>
      <w:r w:rsidR="006B5091">
        <w:t xml:space="preserve">, how many more people might have been impacted by tornadoes on that day). </w:t>
      </w:r>
      <w:r w:rsidRPr="004F469F">
        <w:t xml:space="preserve">TorDIS builds on the work of Strader </w:t>
      </w:r>
      <w:r w:rsidRPr="00453357">
        <w:rPr>
          <w:i/>
          <w:iCs/>
        </w:rPr>
        <w:t>et al.</w:t>
      </w:r>
      <w:r w:rsidRPr="004F469F">
        <w:rPr>
          <w:i/>
          <w:iCs/>
        </w:rPr>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by linking tornado distribution and parameters to the environment in which they form, allowing for daily and annual assessments of tornado impacts. Stochastic models such as TorDIS and TorMC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enable users to understand better the true risk posed by tornadoes through the use of repetition.</w:t>
      </w:r>
    </w:p>
    <w:p w14:paraId="50449588" w14:textId="4D163D9C" w:rsidR="004F469F" w:rsidRDefault="00797351" w:rsidP="00CA0FB7">
      <w:pPr>
        <w:spacing w:after="120" w:line="480" w:lineRule="auto"/>
        <w:ind w:firstLine="720"/>
      </w:pPr>
      <w:r w:rsidRPr="004F469F">
        <w:t xml:space="preserve">To the authors’ knowledge, TorDIS is the first spatial tornado impact model to link tornado distribution and parameters to the atmospheric environment in order to enable daily tornado impact analysis. The authors hope that this study can be used as a first step towards research-to-operations for daily impact analysis. The future addition of a fatality estimation module will also hopefully aid in the Federal Emergency Management Agency’s goal to project casualties on high-risk severe weather days. Knowledge of potential casualty estimates could </w:t>
      </w:r>
      <w:r w:rsidRPr="004F469F">
        <w:lastRenderedPageBreak/>
        <w:t>allow emergency managers to plan ahead for these high-risk days in order to prioritize their resources and save lives.</w:t>
      </w:r>
    </w:p>
    <w:p w14:paraId="6946769E" w14:textId="77777777" w:rsidR="00CA0FB7" w:rsidRPr="00CA0FB7" w:rsidRDefault="00CA0FB7" w:rsidP="00CA0FB7">
      <w:pPr>
        <w:spacing w:after="120" w:line="480" w:lineRule="auto"/>
        <w:ind w:firstLine="720"/>
      </w:pPr>
    </w:p>
    <w:p w14:paraId="70DBC800" w14:textId="77777777" w:rsidR="00797351" w:rsidRPr="004F469F" w:rsidRDefault="00797351" w:rsidP="0049259D">
      <w:pPr>
        <w:spacing w:after="120" w:line="480" w:lineRule="auto"/>
        <w:rPr>
          <w:i/>
          <w:iCs/>
        </w:rPr>
      </w:pPr>
      <w:r w:rsidRPr="004F469F">
        <w:rPr>
          <w:i/>
          <w:iCs/>
        </w:rPr>
        <w:t>Supporting Information</w:t>
      </w:r>
    </w:p>
    <w:p w14:paraId="3A949193" w14:textId="77777777" w:rsidR="00797351" w:rsidRPr="004F469F" w:rsidRDefault="00797351" w:rsidP="0049259D">
      <w:pPr>
        <w:spacing w:after="120" w:line="480" w:lineRule="auto"/>
        <w:ind w:firstLine="720"/>
        <w:rPr>
          <w:bCs/>
        </w:rPr>
      </w:pPr>
      <w:r w:rsidRPr="004F469F">
        <w:rPr>
          <w:bCs/>
        </w:rPr>
        <w:t>A supplement to this article is available containing the validation and sensitivity analysis for the regression model (Appendix A). Appendix A has two sections: Tornado Forecast Model Selection and Validation and Predicting Tornado Direction as well as one table (Table A.1: Verification Metrics) and one figure (Figure A.1: Global Sensitivity Analysis of Regression Equations.)</w:t>
      </w:r>
    </w:p>
    <w:p w14:paraId="4BDECBDD" w14:textId="4719EA05" w:rsidR="00C72B7B" w:rsidRPr="004F469F" w:rsidRDefault="00C72B7B" w:rsidP="00C645E5">
      <w:pPr>
        <w:spacing w:after="120" w:line="480" w:lineRule="auto"/>
      </w:pPr>
    </w:p>
    <w:p w14:paraId="4833A745" w14:textId="00A4D9A9" w:rsidR="005C4E5F" w:rsidRPr="004F469F" w:rsidRDefault="005C4E5F" w:rsidP="00C645E5">
      <w:pPr>
        <w:spacing w:after="120" w:line="480" w:lineRule="auto"/>
      </w:pPr>
    </w:p>
    <w:p w14:paraId="4F3EE8D5" w14:textId="3B771550" w:rsidR="005C4E5F" w:rsidRPr="004F469F" w:rsidRDefault="005C4E5F" w:rsidP="00C645E5">
      <w:pPr>
        <w:spacing w:after="120" w:line="480" w:lineRule="auto"/>
      </w:pPr>
    </w:p>
    <w:p w14:paraId="62796C83" w14:textId="791F2564" w:rsidR="005C4E5F" w:rsidRPr="004F469F" w:rsidRDefault="005C4E5F" w:rsidP="00C645E5">
      <w:pPr>
        <w:spacing w:after="120" w:line="480" w:lineRule="auto"/>
      </w:pPr>
    </w:p>
    <w:p w14:paraId="3AEA7194" w14:textId="4F14052B" w:rsidR="00A4283D" w:rsidRPr="004F469F" w:rsidRDefault="00A4283D" w:rsidP="00C645E5">
      <w:pPr>
        <w:spacing w:after="120" w:line="480" w:lineRule="auto"/>
      </w:pPr>
    </w:p>
    <w:p w14:paraId="4E172A9F" w14:textId="69CAF418" w:rsidR="00A4283D" w:rsidRPr="004F469F" w:rsidRDefault="00A4283D" w:rsidP="00C645E5">
      <w:pPr>
        <w:spacing w:after="120" w:line="480" w:lineRule="auto"/>
      </w:pPr>
    </w:p>
    <w:p w14:paraId="2A0330DC" w14:textId="5776303A" w:rsidR="00A4283D" w:rsidRPr="004F469F" w:rsidRDefault="00A4283D" w:rsidP="00C645E5">
      <w:pPr>
        <w:spacing w:after="120" w:line="480" w:lineRule="auto"/>
      </w:pPr>
    </w:p>
    <w:p w14:paraId="3A007E0E" w14:textId="5B10DC77" w:rsidR="00A4283D" w:rsidRDefault="00A4283D" w:rsidP="00A4283D">
      <w:pPr>
        <w:widowControl w:val="0"/>
        <w:autoSpaceDE w:val="0"/>
        <w:autoSpaceDN w:val="0"/>
        <w:adjustRightInd w:val="0"/>
      </w:pPr>
    </w:p>
    <w:p w14:paraId="30E696CD" w14:textId="5FAC7764" w:rsidR="00F26DDF" w:rsidRDefault="00F26DDF" w:rsidP="00A4283D">
      <w:pPr>
        <w:widowControl w:val="0"/>
        <w:autoSpaceDE w:val="0"/>
        <w:autoSpaceDN w:val="0"/>
        <w:adjustRightInd w:val="0"/>
      </w:pPr>
    </w:p>
    <w:p w14:paraId="766D326F" w14:textId="3E8A0336" w:rsidR="00F26DDF" w:rsidRDefault="00F26DDF" w:rsidP="00A4283D">
      <w:pPr>
        <w:widowControl w:val="0"/>
        <w:autoSpaceDE w:val="0"/>
        <w:autoSpaceDN w:val="0"/>
        <w:adjustRightInd w:val="0"/>
      </w:pPr>
    </w:p>
    <w:p w14:paraId="4FA9FB6B" w14:textId="71AB4A9A" w:rsidR="00F26DDF" w:rsidRDefault="00F26DDF" w:rsidP="00A4283D">
      <w:pPr>
        <w:widowControl w:val="0"/>
        <w:autoSpaceDE w:val="0"/>
        <w:autoSpaceDN w:val="0"/>
        <w:adjustRightInd w:val="0"/>
      </w:pPr>
    </w:p>
    <w:p w14:paraId="5359E703" w14:textId="3C9DDB46" w:rsidR="00F26DDF" w:rsidRDefault="00F26DDF" w:rsidP="00A4283D">
      <w:pPr>
        <w:widowControl w:val="0"/>
        <w:autoSpaceDE w:val="0"/>
        <w:autoSpaceDN w:val="0"/>
        <w:adjustRightInd w:val="0"/>
      </w:pPr>
    </w:p>
    <w:p w14:paraId="0EF1ED64" w14:textId="5CFD6636" w:rsidR="00F26DDF" w:rsidRDefault="00F26DDF" w:rsidP="00A4283D">
      <w:pPr>
        <w:widowControl w:val="0"/>
        <w:autoSpaceDE w:val="0"/>
        <w:autoSpaceDN w:val="0"/>
        <w:adjustRightInd w:val="0"/>
      </w:pPr>
    </w:p>
    <w:p w14:paraId="0046FC17" w14:textId="44289626" w:rsidR="00F26DDF" w:rsidRDefault="00F26DDF" w:rsidP="00A4283D">
      <w:pPr>
        <w:widowControl w:val="0"/>
        <w:autoSpaceDE w:val="0"/>
        <w:autoSpaceDN w:val="0"/>
        <w:adjustRightInd w:val="0"/>
      </w:pPr>
    </w:p>
    <w:p w14:paraId="6414FBDB" w14:textId="0A44AE84" w:rsidR="00F26DDF" w:rsidRDefault="00F26DDF" w:rsidP="00A4283D">
      <w:pPr>
        <w:widowControl w:val="0"/>
        <w:autoSpaceDE w:val="0"/>
        <w:autoSpaceDN w:val="0"/>
        <w:adjustRightInd w:val="0"/>
      </w:pPr>
    </w:p>
    <w:p w14:paraId="07E7C583" w14:textId="77777777" w:rsidR="00F26DDF" w:rsidRPr="004F469F" w:rsidRDefault="00F26DDF" w:rsidP="00A4283D">
      <w:pPr>
        <w:widowControl w:val="0"/>
        <w:autoSpaceDE w:val="0"/>
        <w:autoSpaceDN w:val="0"/>
        <w:adjustRightInd w:val="0"/>
      </w:pPr>
    </w:p>
    <w:p w14:paraId="5124A5D0" w14:textId="283110F0" w:rsidR="00A4283D" w:rsidRPr="004F469F" w:rsidRDefault="00A4283D" w:rsidP="00A4283D">
      <w:pPr>
        <w:pStyle w:val="Caption"/>
        <w:keepNext/>
        <w:rPr>
          <w:rFonts w:ascii="Times New Roman" w:hAnsi="Times New Roman" w:cs="Times New Roman"/>
          <w:i w:val="0"/>
          <w:iCs w:val="0"/>
          <w:color w:val="auto"/>
          <w:sz w:val="24"/>
          <w:szCs w:val="24"/>
        </w:rPr>
      </w:pPr>
      <w:bookmarkStart w:id="66" w:name="_Toc22034996"/>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Parameters and coefficients for logistic regression equations for the tornado probability forecasts. Parameters which were not included in an equation are marked with a dash. Parameters include Convective Available Potential Energy (CAPE), Convective Inhibition (CIN), and Lifted Condensation Level (LCL) for a mixed-layer (lowest 100 mb) parcel; surface height (ELEV); 2 – 4 km lapse rate (LR24); 0 – 1 (VWS1) and 0 – 6 (VWS6) km vertical wind shear; and vertical velocity at 850 mb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ω</m:t>
            </m:r>
          </m:e>
          <m:sub>
            <m:r>
              <w:rPr>
                <w:rFonts w:ascii="Cambria Math" w:hAnsi="Cambria Math" w:cs="Times New Roman"/>
                <w:color w:val="auto"/>
                <w:sz w:val="24"/>
                <w:szCs w:val="24"/>
              </w:rPr>
              <m:t>850</m:t>
            </m:r>
          </m:sub>
        </m:sSub>
      </m:oMath>
      <w:r w:rsidRPr="004F469F">
        <w:rPr>
          <w:rFonts w:ascii="Times New Roman" w:hAnsi="Times New Roman" w:cs="Times New Roman"/>
          <w:i w:val="0"/>
          <w:iCs w:val="0"/>
          <w:color w:val="auto"/>
          <w:sz w:val="24"/>
          <w:szCs w:val="24"/>
        </w:rPr>
        <w:t>) and 500 mb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ω</m:t>
            </m:r>
          </m:e>
          <m:sub>
            <m:r>
              <w:rPr>
                <w:rFonts w:ascii="Cambria Math" w:hAnsi="Cambria Math" w:cs="Times New Roman"/>
                <w:color w:val="auto"/>
                <w:sz w:val="24"/>
                <w:szCs w:val="24"/>
              </w:rPr>
              <m:t>500</m:t>
            </m:r>
          </m:sub>
        </m:sSub>
      </m:oMath>
      <w:r w:rsidRPr="004F469F">
        <w:rPr>
          <w:rFonts w:ascii="Times New Roman" w:hAnsi="Times New Roman" w:cs="Times New Roman"/>
          <w:i w:val="0"/>
          <w:iCs w:val="0"/>
          <w:color w:val="auto"/>
          <w:sz w:val="24"/>
          <w:szCs w:val="24"/>
        </w:rPr>
        <w:t>), and 0 – 3 km Storm Relative Helicity (SRH3). Predictors are the probability of severe weather (svr</w:t>
      </w:r>
      <w:r w:rsidRPr="004F469F">
        <w:rPr>
          <w:rFonts w:ascii="Times New Roman" w:hAnsi="Times New Roman" w:cs="Times New Roman"/>
          <w:i w:val="0"/>
          <w:iCs w:val="0"/>
          <w:color w:val="auto"/>
          <w:sz w:val="24"/>
          <w:szCs w:val="24"/>
          <w:vertAlign w:val="subscript"/>
        </w:rPr>
        <w:t>low</w:t>
      </w:r>
      <w:r w:rsidRPr="004F469F">
        <w:rPr>
          <w:rFonts w:ascii="Times New Roman" w:hAnsi="Times New Roman" w:cs="Times New Roman"/>
          <w:i w:val="0"/>
          <w:iCs w:val="0"/>
          <w:color w:val="auto"/>
          <w:sz w:val="24"/>
          <w:szCs w:val="24"/>
        </w:rPr>
        <w:t>; svr</w:t>
      </w:r>
      <w:r w:rsidRPr="004F469F">
        <w:rPr>
          <w:rFonts w:ascii="Times New Roman" w:hAnsi="Times New Roman" w:cs="Times New Roman"/>
          <w:i w:val="0"/>
          <w:iCs w:val="0"/>
          <w:color w:val="auto"/>
          <w:sz w:val="24"/>
          <w:szCs w:val="24"/>
          <w:vertAlign w:val="subscript"/>
        </w:rPr>
        <w:t>mod</w:t>
      </w:r>
      <w:r w:rsidRPr="004F469F">
        <w:rPr>
          <w:rFonts w:ascii="Times New Roman" w:hAnsi="Times New Roman" w:cs="Times New Roman"/>
          <w:i w:val="0"/>
          <w:iCs w:val="0"/>
          <w:color w:val="auto"/>
          <w:sz w:val="24"/>
          <w:szCs w:val="24"/>
        </w:rPr>
        <w:t>) or tornadoes given severe weather (torn</w:t>
      </w:r>
      <w:r w:rsidRPr="004F469F">
        <w:rPr>
          <w:rFonts w:ascii="Times New Roman" w:hAnsi="Times New Roman" w:cs="Times New Roman"/>
          <w:i w:val="0"/>
          <w:iCs w:val="0"/>
          <w:color w:val="auto"/>
          <w:sz w:val="24"/>
          <w:szCs w:val="24"/>
          <w:vertAlign w:val="subscript"/>
        </w:rPr>
        <w:t>low</w:t>
      </w:r>
      <w:r w:rsidRPr="004F469F">
        <w:rPr>
          <w:rFonts w:ascii="Times New Roman" w:hAnsi="Times New Roman" w:cs="Times New Roman"/>
          <w:i w:val="0"/>
          <w:iCs w:val="0"/>
          <w:color w:val="auto"/>
          <w:sz w:val="24"/>
          <w:szCs w:val="24"/>
        </w:rPr>
        <w:t>; torn</w:t>
      </w:r>
      <w:r w:rsidRPr="004F469F">
        <w:rPr>
          <w:rFonts w:ascii="Times New Roman" w:hAnsi="Times New Roman" w:cs="Times New Roman"/>
          <w:i w:val="0"/>
          <w:iCs w:val="0"/>
          <w:color w:val="auto"/>
          <w:sz w:val="24"/>
          <w:szCs w:val="24"/>
          <w:vertAlign w:val="subscript"/>
        </w:rPr>
        <w:t>mod</w:t>
      </w:r>
      <w:r w:rsidRPr="004F469F">
        <w:rPr>
          <w:rFonts w:ascii="Times New Roman" w:hAnsi="Times New Roman" w:cs="Times New Roman"/>
          <w:i w:val="0"/>
          <w:iCs w:val="0"/>
          <w:color w:val="auto"/>
          <w:sz w:val="24"/>
          <w:szCs w:val="24"/>
        </w:rPr>
        <w:t>) in low or moderate to high CAPE environments. Here, low CAPE refers to values at or below 500 J kg</w:t>
      </w:r>
      <w:r w:rsidRPr="004F469F">
        <w:rPr>
          <w:rFonts w:ascii="Times New Roman" w:hAnsi="Times New Roman" w:cs="Times New Roman"/>
          <w:i w:val="0"/>
          <w:iCs w:val="0"/>
          <w:color w:val="auto"/>
          <w:sz w:val="24"/>
          <w:szCs w:val="24"/>
          <w:vertAlign w:val="superscript"/>
        </w:rPr>
        <w:t>-1</w:t>
      </w:r>
      <w:r w:rsidRPr="004F469F">
        <w:rPr>
          <w:rFonts w:ascii="Times New Roman" w:hAnsi="Times New Roman" w:cs="Times New Roman"/>
          <w:i w:val="0"/>
          <w:iCs w:val="0"/>
          <w:color w:val="auto"/>
          <w:sz w:val="24"/>
          <w:szCs w:val="24"/>
        </w:rPr>
        <w:t xml:space="preserve"> while moderate to high refers to values above 500 J kg</w:t>
      </w:r>
      <w:r w:rsidRPr="004F469F">
        <w:rPr>
          <w:rFonts w:ascii="Times New Roman" w:hAnsi="Times New Roman" w:cs="Times New Roman"/>
          <w:i w:val="0"/>
          <w:iCs w:val="0"/>
          <w:color w:val="auto"/>
          <w:sz w:val="24"/>
          <w:szCs w:val="24"/>
          <w:vertAlign w:val="superscript"/>
        </w:rPr>
        <w:t>-1</w:t>
      </w:r>
      <w:r w:rsidRPr="004F469F">
        <w:rPr>
          <w:rFonts w:ascii="Times New Roman" w:hAnsi="Times New Roman" w:cs="Times New Roman"/>
          <w:i w:val="0"/>
          <w:iCs w:val="0"/>
          <w:color w:val="auto"/>
          <w:sz w:val="24"/>
          <w:szCs w:val="24"/>
        </w:rPr>
        <w:t>.</w:t>
      </w:r>
      <w:bookmarkEnd w:id="66"/>
    </w:p>
    <w:tbl>
      <w:tblPr>
        <w:tblW w:w="0" w:type="auto"/>
        <w:tblCellMar>
          <w:left w:w="58" w:type="dxa"/>
          <w:right w:w="58" w:type="dxa"/>
        </w:tblCellMar>
        <w:tblLook w:val="04A0" w:firstRow="1" w:lastRow="0" w:firstColumn="1" w:lastColumn="0" w:noHBand="0" w:noVBand="1"/>
      </w:tblPr>
      <w:tblGrid>
        <w:gridCol w:w="927"/>
        <w:gridCol w:w="838"/>
        <w:gridCol w:w="666"/>
        <w:gridCol w:w="666"/>
        <w:gridCol w:w="733"/>
        <w:gridCol w:w="666"/>
        <w:gridCol w:w="733"/>
        <w:gridCol w:w="666"/>
        <w:gridCol w:w="666"/>
        <w:gridCol w:w="733"/>
        <w:gridCol w:w="733"/>
        <w:gridCol w:w="733"/>
      </w:tblGrid>
      <w:tr w:rsidR="00494669" w:rsidRPr="004F469F" w14:paraId="4EDF7B82" w14:textId="77777777" w:rsidTr="00A4283D">
        <w:trPr>
          <w:trHeight w:val="3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0A60B" w14:textId="77777777" w:rsidR="00A4283D" w:rsidRPr="004F469F" w:rsidRDefault="00A4283D" w:rsidP="00A4283D">
            <w:pPr>
              <w:rPr>
                <w:sz w:val="20"/>
                <w:szCs w:val="20"/>
              </w:rPr>
            </w:pPr>
            <w:r w:rsidRPr="004F469F">
              <w:rPr>
                <w:sz w:val="20"/>
                <w:szCs w:val="20"/>
              </w:rPr>
              <w:t> </w:t>
            </w:r>
          </w:p>
        </w:tc>
        <w:tc>
          <w:tcPr>
            <w:tcW w:w="0" w:type="auto"/>
            <w:gridSpan w:val="11"/>
            <w:tcBorders>
              <w:top w:val="single" w:sz="4" w:space="0" w:color="auto"/>
              <w:left w:val="nil"/>
              <w:bottom w:val="single" w:sz="4" w:space="0" w:color="auto"/>
              <w:right w:val="single" w:sz="4" w:space="0" w:color="auto"/>
            </w:tcBorders>
            <w:shd w:val="clear" w:color="auto" w:fill="auto"/>
            <w:noWrap/>
            <w:vAlign w:val="bottom"/>
            <w:hideMark/>
          </w:tcPr>
          <w:p w14:paraId="0E1ECE5D" w14:textId="77777777" w:rsidR="00A4283D" w:rsidRPr="004F469F" w:rsidRDefault="00A4283D" w:rsidP="00A4283D">
            <w:pPr>
              <w:jc w:val="center"/>
              <w:rPr>
                <w:b/>
                <w:bCs/>
                <w:sz w:val="20"/>
                <w:szCs w:val="20"/>
              </w:rPr>
            </w:pPr>
            <w:r w:rsidRPr="004F469F">
              <w:rPr>
                <w:b/>
                <w:bCs/>
                <w:sz w:val="20"/>
                <w:szCs w:val="20"/>
              </w:rPr>
              <w:t>Coefficients</w:t>
            </w:r>
          </w:p>
        </w:tc>
      </w:tr>
      <w:tr w:rsidR="00494669" w:rsidRPr="004F469F" w14:paraId="37C9E56C" w14:textId="77777777" w:rsidTr="00A4283D">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920D21" w14:textId="77777777" w:rsidR="00A4283D" w:rsidRPr="004F469F" w:rsidRDefault="00A4283D" w:rsidP="00A4283D">
            <w:pPr>
              <w:rPr>
                <w:b/>
                <w:bCs/>
                <w:sz w:val="20"/>
                <w:szCs w:val="20"/>
              </w:rPr>
            </w:pPr>
            <w:r w:rsidRPr="004F469F">
              <w:rPr>
                <w:b/>
                <w:bCs/>
                <w:sz w:val="20"/>
                <w:szCs w:val="20"/>
              </w:rPr>
              <w:t>Predictor</w:t>
            </w:r>
          </w:p>
        </w:tc>
        <w:tc>
          <w:tcPr>
            <w:tcW w:w="0" w:type="auto"/>
            <w:tcBorders>
              <w:top w:val="nil"/>
              <w:left w:val="nil"/>
              <w:bottom w:val="single" w:sz="4" w:space="0" w:color="auto"/>
              <w:right w:val="single" w:sz="4" w:space="0" w:color="auto"/>
            </w:tcBorders>
            <w:shd w:val="clear" w:color="auto" w:fill="auto"/>
            <w:noWrap/>
            <w:vAlign w:val="center"/>
            <w:hideMark/>
          </w:tcPr>
          <w:p w14:paraId="740EA232" w14:textId="77777777" w:rsidR="00A4283D" w:rsidRPr="004F469F" w:rsidRDefault="00A4283D" w:rsidP="00A4283D">
            <w:pPr>
              <w:jc w:val="center"/>
              <w:rPr>
                <w:i/>
                <w:iCs/>
                <w:sz w:val="20"/>
                <w:szCs w:val="20"/>
              </w:rPr>
            </w:pPr>
            <w:r w:rsidRPr="004F469F">
              <w:rPr>
                <w:i/>
                <w:iCs/>
                <w:sz w:val="20"/>
                <w:szCs w:val="20"/>
              </w:rPr>
              <w:t>Intercept</w:t>
            </w:r>
          </w:p>
        </w:tc>
        <w:tc>
          <w:tcPr>
            <w:tcW w:w="0" w:type="auto"/>
            <w:tcBorders>
              <w:top w:val="nil"/>
              <w:left w:val="nil"/>
              <w:bottom w:val="single" w:sz="4" w:space="0" w:color="auto"/>
              <w:right w:val="single" w:sz="4" w:space="0" w:color="auto"/>
            </w:tcBorders>
            <w:shd w:val="clear" w:color="auto" w:fill="auto"/>
            <w:noWrap/>
            <w:vAlign w:val="center"/>
            <w:hideMark/>
          </w:tcPr>
          <w:p w14:paraId="70715810" w14:textId="77777777" w:rsidR="00A4283D" w:rsidRPr="004F469F" w:rsidRDefault="00A4283D" w:rsidP="00A4283D">
            <w:pPr>
              <w:jc w:val="center"/>
              <w:rPr>
                <w:i/>
                <w:iCs/>
                <w:sz w:val="20"/>
                <w:szCs w:val="20"/>
              </w:rPr>
            </w:pPr>
            <w:r w:rsidRPr="004F469F">
              <w:rPr>
                <w:i/>
                <w:iCs/>
                <w:sz w:val="20"/>
                <w:szCs w:val="20"/>
              </w:rPr>
              <w:t>CAPE</w:t>
            </w:r>
          </w:p>
        </w:tc>
        <w:tc>
          <w:tcPr>
            <w:tcW w:w="0" w:type="auto"/>
            <w:tcBorders>
              <w:top w:val="nil"/>
              <w:left w:val="nil"/>
              <w:bottom w:val="single" w:sz="4" w:space="0" w:color="auto"/>
              <w:right w:val="single" w:sz="4" w:space="0" w:color="auto"/>
            </w:tcBorders>
            <w:shd w:val="clear" w:color="auto" w:fill="auto"/>
            <w:noWrap/>
            <w:vAlign w:val="center"/>
            <w:hideMark/>
          </w:tcPr>
          <w:p w14:paraId="474C606A" w14:textId="77777777" w:rsidR="00A4283D" w:rsidRPr="004F469F" w:rsidRDefault="00A4283D" w:rsidP="00A4283D">
            <w:pPr>
              <w:jc w:val="center"/>
              <w:rPr>
                <w:i/>
                <w:iCs/>
                <w:sz w:val="20"/>
                <w:szCs w:val="20"/>
              </w:rPr>
            </w:pPr>
            <w:r w:rsidRPr="004F469F">
              <w:rPr>
                <w:i/>
                <w:iCs/>
                <w:sz w:val="20"/>
                <w:szCs w:val="20"/>
              </w:rPr>
              <w:t>CIN</w:t>
            </w:r>
          </w:p>
        </w:tc>
        <w:tc>
          <w:tcPr>
            <w:tcW w:w="0" w:type="auto"/>
            <w:tcBorders>
              <w:top w:val="nil"/>
              <w:left w:val="nil"/>
              <w:bottom w:val="single" w:sz="4" w:space="0" w:color="auto"/>
              <w:right w:val="single" w:sz="4" w:space="0" w:color="auto"/>
            </w:tcBorders>
            <w:shd w:val="clear" w:color="auto" w:fill="auto"/>
            <w:noWrap/>
            <w:vAlign w:val="center"/>
            <w:hideMark/>
          </w:tcPr>
          <w:p w14:paraId="581B8D0F" w14:textId="77777777" w:rsidR="00A4283D" w:rsidRPr="004F469F" w:rsidRDefault="00A4283D" w:rsidP="00A4283D">
            <w:pPr>
              <w:jc w:val="center"/>
              <w:rPr>
                <w:i/>
                <w:iCs/>
                <w:sz w:val="20"/>
                <w:szCs w:val="20"/>
              </w:rPr>
            </w:pPr>
            <w:r w:rsidRPr="004F469F">
              <w:rPr>
                <w:i/>
                <w:iCs/>
                <w:sz w:val="20"/>
                <w:szCs w:val="20"/>
              </w:rPr>
              <w:t>LCL</w:t>
            </w:r>
          </w:p>
        </w:tc>
        <w:tc>
          <w:tcPr>
            <w:tcW w:w="0" w:type="auto"/>
            <w:tcBorders>
              <w:top w:val="nil"/>
              <w:left w:val="nil"/>
              <w:bottom w:val="single" w:sz="4" w:space="0" w:color="auto"/>
              <w:right w:val="single" w:sz="4" w:space="0" w:color="auto"/>
            </w:tcBorders>
            <w:shd w:val="clear" w:color="auto" w:fill="auto"/>
            <w:noWrap/>
            <w:vAlign w:val="center"/>
            <w:hideMark/>
          </w:tcPr>
          <w:p w14:paraId="33FF6E63" w14:textId="77777777" w:rsidR="00A4283D" w:rsidRPr="004F469F" w:rsidRDefault="00A4283D" w:rsidP="00A4283D">
            <w:pPr>
              <w:jc w:val="center"/>
              <w:rPr>
                <w:i/>
                <w:iCs/>
                <w:sz w:val="20"/>
                <w:szCs w:val="20"/>
              </w:rPr>
            </w:pPr>
            <w:r w:rsidRPr="004F469F">
              <w:rPr>
                <w:i/>
                <w:iCs/>
                <w:sz w:val="20"/>
                <w:szCs w:val="20"/>
              </w:rPr>
              <w:t>ELEV</w:t>
            </w:r>
          </w:p>
        </w:tc>
        <w:tc>
          <w:tcPr>
            <w:tcW w:w="0" w:type="auto"/>
            <w:tcBorders>
              <w:top w:val="nil"/>
              <w:left w:val="nil"/>
              <w:bottom w:val="single" w:sz="4" w:space="0" w:color="auto"/>
              <w:right w:val="single" w:sz="4" w:space="0" w:color="auto"/>
            </w:tcBorders>
            <w:shd w:val="clear" w:color="auto" w:fill="auto"/>
            <w:noWrap/>
            <w:vAlign w:val="center"/>
            <w:hideMark/>
          </w:tcPr>
          <w:p w14:paraId="693AA20E" w14:textId="77777777" w:rsidR="00A4283D" w:rsidRPr="004F469F" w:rsidRDefault="00A4283D" w:rsidP="00A4283D">
            <w:pPr>
              <w:jc w:val="center"/>
              <w:rPr>
                <w:i/>
                <w:iCs/>
                <w:sz w:val="20"/>
                <w:szCs w:val="20"/>
              </w:rPr>
            </w:pPr>
            <w:r w:rsidRPr="004F469F">
              <w:rPr>
                <w:i/>
                <w:iCs/>
                <w:sz w:val="20"/>
                <w:szCs w:val="20"/>
              </w:rPr>
              <w:t>LR24</w:t>
            </w:r>
          </w:p>
        </w:tc>
        <w:tc>
          <w:tcPr>
            <w:tcW w:w="0" w:type="auto"/>
            <w:tcBorders>
              <w:top w:val="nil"/>
              <w:left w:val="nil"/>
              <w:bottom w:val="single" w:sz="4" w:space="0" w:color="auto"/>
              <w:right w:val="single" w:sz="4" w:space="0" w:color="auto"/>
            </w:tcBorders>
            <w:shd w:val="clear" w:color="auto" w:fill="auto"/>
            <w:noWrap/>
            <w:vAlign w:val="center"/>
            <w:hideMark/>
          </w:tcPr>
          <w:p w14:paraId="0967E7FA" w14:textId="77777777" w:rsidR="00A4283D" w:rsidRPr="004F469F" w:rsidRDefault="00A4283D" w:rsidP="00A4283D">
            <w:pPr>
              <w:jc w:val="center"/>
              <w:rPr>
                <w:i/>
                <w:iCs/>
                <w:sz w:val="20"/>
                <w:szCs w:val="20"/>
              </w:rPr>
            </w:pPr>
            <w:r w:rsidRPr="004F469F">
              <w:rPr>
                <w:i/>
                <w:iCs/>
                <w:sz w:val="20"/>
                <w:szCs w:val="20"/>
              </w:rPr>
              <w:t>VWS6</w:t>
            </w:r>
          </w:p>
        </w:tc>
        <w:tc>
          <w:tcPr>
            <w:tcW w:w="0" w:type="auto"/>
            <w:tcBorders>
              <w:top w:val="nil"/>
              <w:left w:val="nil"/>
              <w:bottom w:val="single" w:sz="4" w:space="0" w:color="auto"/>
              <w:right w:val="single" w:sz="4" w:space="0" w:color="auto"/>
            </w:tcBorders>
            <w:shd w:val="clear" w:color="auto" w:fill="auto"/>
            <w:noWrap/>
            <w:vAlign w:val="center"/>
            <w:hideMark/>
          </w:tcPr>
          <w:p w14:paraId="723B2315" w14:textId="77777777" w:rsidR="00A4283D" w:rsidRPr="004F469F" w:rsidRDefault="00A4283D" w:rsidP="00A4283D">
            <w:pPr>
              <w:jc w:val="center"/>
              <w:rPr>
                <w:i/>
                <w:iCs/>
                <w:sz w:val="20"/>
                <w:szCs w:val="20"/>
              </w:rPr>
            </w:pPr>
            <w:r w:rsidRPr="004F469F">
              <w:rPr>
                <w:i/>
                <w:iCs/>
                <w:sz w:val="20"/>
                <w:szCs w:val="20"/>
              </w:rPr>
              <w:t>VWS1</w:t>
            </w:r>
          </w:p>
        </w:tc>
        <w:tc>
          <w:tcPr>
            <w:tcW w:w="0" w:type="auto"/>
            <w:tcBorders>
              <w:top w:val="nil"/>
              <w:left w:val="nil"/>
              <w:bottom w:val="single" w:sz="4" w:space="0" w:color="auto"/>
              <w:right w:val="single" w:sz="4" w:space="0" w:color="auto"/>
            </w:tcBorders>
            <w:shd w:val="clear" w:color="auto" w:fill="auto"/>
            <w:noWrap/>
            <w:vAlign w:val="center"/>
            <w:hideMark/>
          </w:tcPr>
          <w:p w14:paraId="61BDBE7C" w14:textId="77777777" w:rsidR="00A4283D" w:rsidRPr="004F469F" w:rsidRDefault="00A4283D" w:rsidP="00A4283D">
            <w:pPr>
              <w:jc w:val="center"/>
              <w:rPr>
                <w:i/>
                <w:iCs/>
                <w:sz w:val="20"/>
                <w:szCs w:val="20"/>
              </w:rPr>
            </w:pPr>
            <w:r w:rsidRPr="004F469F">
              <w:rPr>
                <w:rFonts w:ascii="Cambria Math" w:hAnsi="Cambria Math" w:cs="Cambria Math"/>
                <w:i/>
                <w:iCs/>
                <w:sz w:val="20"/>
                <w:szCs w:val="20"/>
              </w:rPr>
              <w:t>𝜔</w:t>
            </w:r>
            <w:r w:rsidRPr="004F469F">
              <w:rPr>
                <w:i/>
                <w:iCs/>
                <w:sz w:val="20"/>
                <w:szCs w:val="20"/>
                <w:vertAlign w:val="subscript"/>
              </w:rPr>
              <w:t>850</w:t>
            </w:r>
          </w:p>
        </w:tc>
        <w:tc>
          <w:tcPr>
            <w:tcW w:w="0" w:type="auto"/>
            <w:tcBorders>
              <w:top w:val="nil"/>
              <w:left w:val="nil"/>
              <w:bottom w:val="single" w:sz="4" w:space="0" w:color="auto"/>
              <w:right w:val="single" w:sz="4" w:space="0" w:color="auto"/>
            </w:tcBorders>
            <w:shd w:val="clear" w:color="auto" w:fill="auto"/>
            <w:noWrap/>
            <w:vAlign w:val="center"/>
            <w:hideMark/>
          </w:tcPr>
          <w:p w14:paraId="47417D94" w14:textId="77777777" w:rsidR="00A4283D" w:rsidRPr="004F469F" w:rsidRDefault="00A4283D" w:rsidP="00A4283D">
            <w:pPr>
              <w:jc w:val="center"/>
              <w:rPr>
                <w:i/>
                <w:iCs/>
                <w:sz w:val="20"/>
                <w:szCs w:val="20"/>
              </w:rPr>
            </w:pPr>
            <w:r w:rsidRPr="004F469F">
              <w:rPr>
                <w:rFonts w:ascii="Cambria Math" w:hAnsi="Cambria Math" w:cs="Cambria Math"/>
                <w:i/>
                <w:iCs/>
                <w:sz w:val="20"/>
                <w:szCs w:val="20"/>
              </w:rPr>
              <w:t>𝜔</w:t>
            </w:r>
            <w:r w:rsidRPr="004F469F">
              <w:rPr>
                <w:i/>
                <w:iCs/>
                <w:sz w:val="20"/>
                <w:szCs w:val="20"/>
                <w:vertAlign w:val="subscript"/>
              </w:rPr>
              <w:t>500</w:t>
            </w:r>
          </w:p>
        </w:tc>
        <w:tc>
          <w:tcPr>
            <w:tcW w:w="0" w:type="auto"/>
            <w:tcBorders>
              <w:top w:val="nil"/>
              <w:left w:val="nil"/>
              <w:bottom w:val="single" w:sz="4" w:space="0" w:color="auto"/>
              <w:right w:val="single" w:sz="4" w:space="0" w:color="auto"/>
            </w:tcBorders>
            <w:shd w:val="clear" w:color="auto" w:fill="auto"/>
            <w:noWrap/>
            <w:vAlign w:val="center"/>
            <w:hideMark/>
          </w:tcPr>
          <w:p w14:paraId="367B6B23" w14:textId="77777777" w:rsidR="00A4283D" w:rsidRPr="004F469F" w:rsidRDefault="00A4283D" w:rsidP="00A4283D">
            <w:pPr>
              <w:jc w:val="center"/>
              <w:rPr>
                <w:i/>
                <w:iCs/>
                <w:sz w:val="20"/>
                <w:szCs w:val="20"/>
              </w:rPr>
            </w:pPr>
            <w:r w:rsidRPr="004F469F">
              <w:rPr>
                <w:i/>
                <w:iCs/>
                <w:sz w:val="20"/>
                <w:szCs w:val="20"/>
              </w:rPr>
              <w:t>SRH3</w:t>
            </w:r>
          </w:p>
        </w:tc>
      </w:tr>
      <w:tr w:rsidR="00494669" w:rsidRPr="004F469F" w14:paraId="12C8EA69" w14:textId="77777777" w:rsidTr="00A4283D">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73338E" w14:textId="77777777" w:rsidR="00A4283D" w:rsidRPr="004F469F" w:rsidRDefault="00A4283D" w:rsidP="00A4283D">
            <w:pPr>
              <w:rPr>
                <w:sz w:val="20"/>
                <w:szCs w:val="20"/>
              </w:rPr>
            </w:pPr>
            <w:r w:rsidRPr="004F469F">
              <w:rPr>
                <w:sz w:val="20"/>
                <w:szCs w:val="20"/>
              </w:rPr>
              <w:t>svr</w:t>
            </w:r>
            <w:r w:rsidRPr="004F469F">
              <w:rPr>
                <w:sz w:val="20"/>
                <w:szCs w:val="20"/>
                <w:vertAlign w:val="subscript"/>
              </w:rPr>
              <w:t>low</w:t>
            </w:r>
          </w:p>
        </w:tc>
        <w:tc>
          <w:tcPr>
            <w:tcW w:w="0" w:type="auto"/>
            <w:tcBorders>
              <w:top w:val="nil"/>
              <w:left w:val="nil"/>
              <w:bottom w:val="single" w:sz="4" w:space="0" w:color="auto"/>
              <w:right w:val="single" w:sz="4" w:space="0" w:color="auto"/>
            </w:tcBorders>
            <w:shd w:val="clear" w:color="auto" w:fill="auto"/>
            <w:noWrap/>
            <w:vAlign w:val="center"/>
            <w:hideMark/>
          </w:tcPr>
          <w:p w14:paraId="798DA7D3" w14:textId="77777777" w:rsidR="00A4283D" w:rsidRPr="004F469F" w:rsidRDefault="00A4283D" w:rsidP="00A4283D">
            <w:pPr>
              <w:jc w:val="center"/>
              <w:rPr>
                <w:sz w:val="20"/>
                <w:szCs w:val="20"/>
              </w:rPr>
            </w:pPr>
            <w:r w:rsidRPr="004F469F">
              <w:rPr>
                <w:sz w:val="20"/>
                <w:szCs w:val="20"/>
              </w:rPr>
              <w:t>-6.7131</w:t>
            </w:r>
          </w:p>
        </w:tc>
        <w:tc>
          <w:tcPr>
            <w:tcW w:w="0" w:type="auto"/>
            <w:tcBorders>
              <w:top w:val="nil"/>
              <w:left w:val="nil"/>
              <w:bottom w:val="single" w:sz="4" w:space="0" w:color="auto"/>
              <w:right w:val="single" w:sz="4" w:space="0" w:color="auto"/>
            </w:tcBorders>
            <w:shd w:val="clear" w:color="auto" w:fill="auto"/>
            <w:noWrap/>
            <w:vAlign w:val="center"/>
            <w:hideMark/>
          </w:tcPr>
          <w:p w14:paraId="4A6C304E" w14:textId="77777777" w:rsidR="00A4283D" w:rsidRPr="004F469F" w:rsidRDefault="00A4283D" w:rsidP="00A4283D">
            <w:pPr>
              <w:jc w:val="center"/>
              <w:rPr>
                <w:sz w:val="20"/>
                <w:szCs w:val="20"/>
              </w:rPr>
            </w:pPr>
            <w:r w:rsidRPr="004F469F">
              <w:rPr>
                <w:sz w:val="20"/>
                <w:szCs w:val="20"/>
              </w:rPr>
              <w:t>0.0051</w:t>
            </w:r>
          </w:p>
        </w:tc>
        <w:tc>
          <w:tcPr>
            <w:tcW w:w="0" w:type="auto"/>
            <w:tcBorders>
              <w:top w:val="nil"/>
              <w:left w:val="nil"/>
              <w:bottom w:val="single" w:sz="4" w:space="0" w:color="auto"/>
              <w:right w:val="single" w:sz="4" w:space="0" w:color="auto"/>
            </w:tcBorders>
            <w:shd w:val="clear" w:color="auto" w:fill="auto"/>
            <w:noWrap/>
            <w:vAlign w:val="center"/>
            <w:hideMark/>
          </w:tcPr>
          <w:p w14:paraId="3385F47B"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3500EBD9"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7F64C383"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57AD7711"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34BDB865"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D57BFC6"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5A64FAE6"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EFA4004" w14:textId="77777777" w:rsidR="00A4283D" w:rsidRPr="004F469F" w:rsidRDefault="00A4283D" w:rsidP="00A4283D">
            <w:pPr>
              <w:jc w:val="center"/>
              <w:rPr>
                <w:sz w:val="20"/>
                <w:szCs w:val="20"/>
              </w:rPr>
            </w:pPr>
            <w:r w:rsidRPr="004F469F">
              <w:rPr>
                <w:sz w:val="20"/>
                <w:szCs w:val="20"/>
              </w:rPr>
              <w:t>-1.1814</w:t>
            </w:r>
          </w:p>
        </w:tc>
        <w:tc>
          <w:tcPr>
            <w:tcW w:w="0" w:type="auto"/>
            <w:tcBorders>
              <w:top w:val="nil"/>
              <w:left w:val="nil"/>
              <w:bottom w:val="single" w:sz="4" w:space="0" w:color="auto"/>
              <w:right w:val="single" w:sz="4" w:space="0" w:color="auto"/>
            </w:tcBorders>
            <w:shd w:val="clear" w:color="auto" w:fill="auto"/>
            <w:noWrap/>
            <w:vAlign w:val="center"/>
            <w:hideMark/>
          </w:tcPr>
          <w:p w14:paraId="1176B9F7" w14:textId="77777777" w:rsidR="00A4283D" w:rsidRPr="004F469F" w:rsidRDefault="00A4283D" w:rsidP="00A4283D">
            <w:pPr>
              <w:jc w:val="center"/>
              <w:rPr>
                <w:sz w:val="20"/>
                <w:szCs w:val="20"/>
              </w:rPr>
            </w:pPr>
            <w:r w:rsidRPr="004F469F">
              <w:rPr>
                <w:sz w:val="20"/>
                <w:szCs w:val="20"/>
              </w:rPr>
              <w:t>-</w:t>
            </w:r>
          </w:p>
        </w:tc>
      </w:tr>
      <w:tr w:rsidR="00494669" w:rsidRPr="004F469F" w14:paraId="06761CE5" w14:textId="77777777" w:rsidTr="00A4283D">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D58208" w14:textId="77777777" w:rsidR="00A4283D" w:rsidRPr="004F469F" w:rsidRDefault="00A4283D" w:rsidP="00A4283D">
            <w:pPr>
              <w:rPr>
                <w:sz w:val="20"/>
                <w:szCs w:val="20"/>
              </w:rPr>
            </w:pPr>
            <w:r w:rsidRPr="004F469F">
              <w:rPr>
                <w:sz w:val="20"/>
                <w:szCs w:val="20"/>
              </w:rPr>
              <w:t>torn</w:t>
            </w:r>
            <w:r w:rsidRPr="004F469F">
              <w:rPr>
                <w:sz w:val="20"/>
                <w:szCs w:val="20"/>
                <w:vertAlign w:val="subscript"/>
              </w:rPr>
              <w:t>low</w:t>
            </w:r>
          </w:p>
        </w:tc>
        <w:tc>
          <w:tcPr>
            <w:tcW w:w="0" w:type="auto"/>
            <w:tcBorders>
              <w:top w:val="nil"/>
              <w:left w:val="nil"/>
              <w:bottom w:val="single" w:sz="4" w:space="0" w:color="auto"/>
              <w:right w:val="single" w:sz="4" w:space="0" w:color="auto"/>
            </w:tcBorders>
            <w:shd w:val="clear" w:color="auto" w:fill="auto"/>
            <w:noWrap/>
            <w:vAlign w:val="center"/>
            <w:hideMark/>
          </w:tcPr>
          <w:p w14:paraId="59EA361C" w14:textId="77777777" w:rsidR="00A4283D" w:rsidRPr="004F469F" w:rsidRDefault="00A4283D" w:rsidP="00A4283D">
            <w:pPr>
              <w:jc w:val="center"/>
              <w:rPr>
                <w:sz w:val="20"/>
                <w:szCs w:val="20"/>
              </w:rPr>
            </w:pPr>
            <w:r w:rsidRPr="004F469F">
              <w:rPr>
                <w:sz w:val="20"/>
                <w:szCs w:val="20"/>
              </w:rPr>
              <w:t>-0.9920</w:t>
            </w:r>
          </w:p>
        </w:tc>
        <w:tc>
          <w:tcPr>
            <w:tcW w:w="0" w:type="auto"/>
            <w:tcBorders>
              <w:top w:val="nil"/>
              <w:left w:val="nil"/>
              <w:bottom w:val="single" w:sz="4" w:space="0" w:color="auto"/>
              <w:right w:val="single" w:sz="4" w:space="0" w:color="auto"/>
            </w:tcBorders>
            <w:shd w:val="clear" w:color="auto" w:fill="auto"/>
            <w:noWrap/>
            <w:vAlign w:val="center"/>
            <w:hideMark/>
          </w:tcPr>
          <w:p w14:paraId="092ABBC6" w14:textId="77777777" w:rsidR="00A4283D" w:rsidRPr="004F469F" w:rsidRDefault="00A4283D" w:rsidP="00A4283D">
            <w:pPr>
              <w:jc w:val="center"/>
              <w:rPr>
                <w:sz w:val="20"/>
                <w:szCs w:val="20"/>
              </w:rPr>
            </w:pPr>
            <w:r w:rsidRPr="004F469F">
              <w:rPr>
                <w:sz w:val="20"/>
                <w:szCs w:val="20"/>
              </w:rPr>
              <w:t>0.0004</w:t>
            </w:r>
          </w:p>
        </w:tc>
        <w:tc>
          <w:tcPr>
            <w:tcW w:w="0" w:type="auto"/>
            <w:tcBorders>
              <w:top w:val="nil"/>
              <w:left w:val="nil"/>
              <w:bottom w:val="single" w:sz="4" w:space="0" w:color="auto"/>
              <w:right w:val="single" w:sz="4" w:space="0" w:color="auto"/>
            </w:tcBorders>
            <w:shd w:val="clear" w:color="auto" w:fill="auto"/>
            <w:noWrap/>
            <w:vAlign w:val="center"/>
            <w:hideMark/>
          </w:tcPr>
          <w:p w14:paraId="4772481C"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06454852" w14:textId="77777777" w:rsidR="00A4283D" w:rsidRPr="004F469F" w:rsidRDefault="00A4283D" w:rsidP="00A4283D">
            <w:pPr>
              <w:jc w:val="center"/>
              <w:rPr>
                <w:sz w:val="20"/>
                <w:szCs w:val="20"/>
              </w:rPr>
            </w:pPr>
            <w:r w:rsidRPr="004F469F">
              <w:rPr>
                <w:sz w:val="20"/>
                <w:szCs w:val="20"/>
              </w:rPr>
              <w:t>-0.0004</w:t>
            </w:r>
          </w:p>
        </w:tc>
        <w:tc>
          <w:tcPr>
            <w:tcW w:w="0" w:type="auto"/>
            <w:tcBorders>
              <w:top w:val="nil"/>
              <w:left w:val="nil"/>
              <w:bottom w:val="single" w:sz="4" w:space="0" w:color="auto"/>
              <w:right w:val="single" w:sz="4" w:space="0" w:color="auto"/>
            </w:tcBorders>
            <w:shd w:val="clear" w:color="auto" w:fill="auto"/>
            <w:noWrap/>
            <w:vAlign w:val="center"/>
            <w:hideMark/>
          </w:tcPr>
          <w:p w14:paraId="2AF425B7"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7357B299" w14:textId="77777777" w:rsidR="00A4283D" w:rsidRPr="004F469F" w:rsidRDefault="00A4283D" w:rsidP="00A4283D">
            <w:pPr>
              <w:jc w:val="center"/>
              <w:rPr>
                <w:sz w:val="20"/>
                <w:szCs w:val="20"/>
              </w:rPr>
            </w:pPr>
            <w:r w:rsidRPr="004F469F">
              <w:rPr>
                <w:sz w:val="20"/>
                <w:szCs w:val="20"/>
              </w:rPr>
              <w:t>-0.1270</w:t>
            </w:r>
          </w:p>
        </w:tc>
        <w:tc>
          <w:tcPr>
            <w:tcW w:w="0" w:type="auto"/>
            <w:tcBorders>
              <w:top w:val="nil"/>
              <w:left w:val="nil"/>
              <w:bottom w:val="single" w:sz="4" w:space="0" w:color="auto"/>
              <w:right w:val="single" w:sz="4" w:space="0" w:color="auto"/>
            </w:tcBorders>
            <w:shd w:val="clear" w:color="auto" w:fill="auto"/>
            <w:noWrap/>
            <w:vAlign w:val="center"/>
            <w:hideMark/>
          </w:tcPr>
          <w:p w14:paraId="066B7E9D"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4E4F738" w14:textId="77777777" w:rsidR="00A4283D" w:rsidRPr="004F469F" w:rsidRDefault="00A4283D" w:rsidP="00A4283D">
            <w:pPr>
              <w:jc w:val="center"/>
              <w:rPr>
                <w:sz w:val="20"/>
                <w:szCs w:val="20"/>
              </w:rPr>
            </w:pPr>
            <w:r w:rsidRPr="004F469F">
              <w:rPr>
                <w:sz w:val="20"/>
                <w:szCs w:val="20"/>
              </w:rPr>
              <w:t>0.0793</w:t>
            </w:r>
          </w:p>
        </w:tc>
        <w:tc>
          <w:tcPr>
            <w:tcW w:w="0" w:type="auto"/>
            <w:tcBorders>
              <w:top w:val="nil"/>
              <w:left w:val="nil"/>
              <w:bottom w:val="single" w:sz="4" w:space="0" w:color="auto"/>
              <w:right w:val="single" w:sz="4" w:space="0" w:color="auto"/>
            </w:tcBorders>
            <w:shd w:val="clear" w:color="auto" w:fill="auto"/>
            <w:noWrap/>
            <w:vAlign w:val="center"/>
            <w:hideMark/>
          </w:tcPr>
          <w:p w14:paraId="3EED034C" w14:textId="77777777" w:rsidR="00A4283D" w:rsidRPr="004F469F" w:rsidRDefault="00A4283D" w:rsidP="00A4283D">
            <w:pPr>
              <w:jc w:val="center"/>
              <w:rPr>
                <w:sz w:val="20"/>
                <w:szCs w:val="20"/>
              </w:rPr>
            </w:pPr>
            <w:r w:rsidRPr="004F469F">
              <w:rPr>
                <w:sz w:val="20"/>
                <w:szCs w:val="20"/>
              </w:rPr>
              <w:t>-0.3829</w:t>
            </w:r>
          </w:p>
        </w:tc>
        <w:tc>
          <w:tcPr>
            <w:tcW w:w="0" w:type="auto"/>
            <w:tcBorders>
              <w:top w:val="nil"/>
              <w:left w:val="nil"/>
              <w:bottom w:val="single" w:sz="4" w:space="0" w:color="auto"/>
              <w:right w:val="single" w:sz="4" w:space="0" w:color="auto"/>
            </w:tcBorders>
            <w:shd w:val="clear" w:color="auto" w:fill="auto"/>
            <w:noWrap/>
            <w:vAlign w:val="center"/>
            <w:hideMark/>
          </w:tcPr>
          <w:p w14:paraId="25A4604A"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2E0EBD04" w14:textId="77777777" w:rsidR="00A4283D" w:rsidRPr="004F469F" w:rsidRDefault="00A4283D" w:rsidP="00A4283D">
            <w:pPr>
              <w:jc w:val="center"/>
              <w:rPr>
                <w:sz w:val="20"/>
                <w:szCs w:val="20"/>
              </w:rPr>
            </w:pPr>
            <w:r w:rsidRPr="004F469F">
              <w:rPr>
                <w:sz w:val="20"/>
                <w:szCs w:val="20"/>
              </w:rPr>
              <w:t>-0.0024</w:t>
            </w:r>
          </w:p>
        </w:tc>
      </w:tr>
      <w:tr w:rsidR="00494669" w:rsidRPr="004F469F" w14:paraId="69423520" w14:textId="77777777" w:rsidTr="00A4283D">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3F39E1" w14:textId="77777777" w:rsidR="00A4283D" w:rsidRPr="004F469F" w:rsidRDefault="00A4283D" w:rsidP="00A4283D">
            <w:pPr>
              <w:rPr>
                <w:sz w:val="20"/>
                <w:szCs w:val="20"/>
              </w:rPr>
            </w:pPr>
            <w:r w:rsidRPr="004F469F">
              <w:rPr>
                <w:sz w:val="20"/>
                <w:szCs w:val="20"/>
              </w:rPr>
              <w:t>svr</w:t>
            </w:r>
            <w:r w:rsidRPr="004F469F">
              <w:rPr>
                <w:sz w:val="20"/>
                <w:szCs w:val="20"/>
                <w:vertAlign w:val="subscript"/>
              </w:rPr>
              <w:t>mod</w:t>
            </w:r>
          </w:p>
        </w:tc>
        <w:tc>
          <w:tcPr>
            <w:tcW w:w="0" w:type="auto"/>
            <w:tcBorders>
              <w:top w:val="nil"/>
              <w:left w:val="nil"/>
              <w:bottom w:val="single" w:sz="4" w:space="0" w:color="auto"/>
              <w:right w:val="single" w:sz="4" w:space="0" w:color="auto"/>
            </w:tcBorders>
            <w:shd w:val="clear" w:color="auto" w:fill="auto"/>
            <w:noWrap/>
            <w:vAlign w:val="center"/>
            <w:hideMark/>
          </w:tcPr>
          <w:p w14:paraId="209C71E3" w14:textId="77777777" w:rsidR="00A4283D" w:rsidRPr="004F469F" w:rsidRDefault="00A4283D" w:rsidP="00A4283D">
            <w:pPr>
              <w:jc w:val="center"/>
              <w:rPr>
                <w:sz w:val="20"/>
                <w:szCs w:val="20"/>
              </w:rPr>
            </w:pPr>
            <w:r w:rsidRPr="004F469F">
              <w:rPr>
                <w:sz w:val="20"/>
                <w:szCs w:val="20"/>
              </w:rPr>
              <w:t>-10.3173</w:t>
            </w:r>
          </w:p>
        </w:tc>
        <w:tc>
          <w:tcPr>
            <w:tcW w:w="0" w:type="auto"/>
            <w:tcBorders>
              <w:top w:val="nil"/>
              <w:left w:val="nil"/>
              <w:bottom w:val="single" w:sz="4" w:space="0" w:color="auto"/>
              <w:right w:val="single" w:sz="4" w:space="0" w:color="auto"/>
            </w:tcBorders>
            <w:shd w:val="clear" w:color="auto" w:fill="auto"/>
            <w:noWrap/>
            <w:vAlign w:val="center"/>
            <w:hideMark/>
          </w:tcPr>
          <w:p w14:paraId="2CC9E2C3" w14:textId="77777777" w:rsidR="00A4283D" w:rsidRPr="004F469F" w:rsidRDefault="00A4283D" w:rsidP="00A4283D">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80D2FC0" w14:textId="77777777" w:rsidR="00A4283D" w:rsidRPr="004F469F" w:rsidRDefault="00A4283D" w:rsidP="00A4283D">
            <w:pPr>
              <w:jc w:val="center"/>
              <w:rPr>
                <w:sz w:val="20"/>
                <w:szCs w:val="20"/>
              </w:rPr>
            </w:pPr>
            <w:r w:rsidRPr="004F469F">
              <w:rPr>
                <w:sz w:val="20"/>
                <w:szCs w:val="20"/>
              </w:rPr>
              <w:t>0.0077</w:t>
            </w:r>
          </w:p>
        </w:tc>
        <w:tc>
          <w:tcPr>
            <w:tcW w:w="0" w:type="auto"/>
            <w:tcBorders>
              <w:top w:val="nil"/>
              <w:left w:val="nil"/>
              <w:bottom w:val="single" w:sz="4" w:space="0" w:color="auto"/>
              <w:right w:val="single" w:sz="4" w:space="0" w:color="auto"/>
            </w:tcBorders>
            <w:shd w:val="clear" w:color="auto" w:fill="auto"/>
            <w:noWrap/>
            <w:vAlign w:val="center"/>
            <w:hideMark/>
          </w:tcPr>
          <w:p w14:paraId="0CEDBB95"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17420D03"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5BF9E350" w14:textId="77777777" w:rsidR="00A4283D" w:rsidRPr="004F469F" w:rsidRDefault="00A4283D" w:rsidP="00A4283D">
            <w:pPr>
              <w:jc w:val="center"/>
              <w:rPr>
                <w:sz w:val="20"/>
                <w:szCs w:val="20"/>
              </w:rPr>
            </w:pPr>
            <w:r w:rsidRPr="004F469F">
              <w:rPr>
                <w:sz w:val="20"/>
                <w:szCs w:val="20"/>
              </w:rPr>
              <w:t>0.7604</w:t>
            </w:r>
          </w:p>
        </w:tc>
        <w:tc>
          <w:tcPr>
            <w:tcW w:w="0" w:type="auto"/>
            <w:tcBorders>
              <w:top w:val="nil"/>
              <w:left w:val="nil"/>
              <w:bottom w:val="single" w:sz="4" w:space="0" w:color="auto"/>
              <w:right w:val="single" w:sz="4" w:space="0" w:color="auto"/>
            </w:tcBorders>
            <w:shd w:val="clear" w:color="auto" w:fill="auto"/>
            <w:noWrap/>
            <w:vAlign w:val="center"/>
            <w:hideMark/>
          </w:tcPr>
          <w:p w14:paraId="1C9248E2" w14:textId="77777777" w:rsidR="00A4283D" w:rsidRPr="004F469F" w:rsidRDefault="00A4283D" w:rsidP="00A4283D">
            <w:pPr>
              <w:jc w:val="center"/>
              <w:rPr>
                <w:sz w:val="20"/>
                <w:szCs w:val="20"/>
              </w:rPr>
            </w:pPr>
            <w:r w:rsidRPr="004F469F">
              <w:rPr>
                <w:sz w:val="20"/>
                <w:szCs w:val="20"/>
              </w:rPr>
              <w:t>0.0996</w:t>
            </w:r>
          </w:p>
        </w:tc>
        <w:tc>
          <w:tcPr>
            <w:tcW w:w="0" w:type="auto"/>
            <w:tcBorders>
              <w:top w:val="nil"/>
              <w:left w:val="nil"/>
              <w:bottom w:val="single" w:sz="4" w:space="0" w:color="auto"/>
              <w:right w:val="single" w:sz="4" w:space="0" w:color="auto"/>
            </w:tcBorders>
            <w:shd w:val="clear" w:color="auto" w:fill="auto"/>
            <w:noWrap/>
            <w:vAlign w:val="center"/>
            <w:hideMark/>
          </w:tcPr>
          <w:p w14:paraId="3302D141"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0E228B93"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5E513B86" w14:textId="77777777" w:rsidR="00A4283D" w:rsidRPr="004F469F" w:rsidRDefault="00A4283D" w:rsidP="00A4283D">
            <w:pPr>
              <w:jc w:val="center"/>
              <w:rPr>
                <w:sz w:val="20"/>
                <w:szCs w:val="20"/>
              </w:rPr>
            </w:pPr>
            <w:r w:rsidRPr="004F469F">
              <w:rPr>
                <w:sz w:val="20"/>
                <w:szCs w:val="20"/>
              </w:rPr>
              <w:t>-0.9747</w:t>
            </w:r>
          </w:p>
        </w:tc>
        <w:tc>
          <w:tcPr>
            <w:tcW w:w="0" w:type="auto"/>
            <w:tcBorders>
              <w:top w:val="nil"/>
              <w:left w:val="nil"/>
              <w:bottom w:val="single" w:sz="4" w:space="0" w:color="auto"/>
              <w:right w:val="single" w:sz="4" w:space="0" w:color="auto"/>
            </w:tcBorders>
            <w:shd w:val="clear" w:color="auto" w:fill="auto"/>
            <w:noWrap/>
            <w:vAlign w:val="center"/>
            <w:hideMark/>
          </w:tcPr>
          <w:p w14:paraId="6D657B90" w14:textId="77777777" w:rsidR="00A4283D" w:rsidRPr="004F469F" w:rsidRDefault="00A4283D" w:rsidP="00A4283D">
            <w:pPr>
              <w:jc w:val="center"/>
              <w:rPr>
                <w:sz w:val="20"/>
                <w:szCs w:val="20"/>
              </w:rPr>
            </w:pPr>
            <w:r w:rsidRPr="004F469F">
              <w:rPr>
                <w:sz w:val="20"/>
                <w:szCs w:val="20"/>
              </w:rPr>
              <w:t>-</w:t>
            </w:r>
          </w:p>
        </w:tc>
      </w:tr>
      <w:tr w:rsidR="00A4283D" w:rsidRPr="004F469F" w14:paraId="404A7F25" w14:textId="77777777" w:rsidTr="00A4283D">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FD0988" w14:textId="77777777" w:rsidR="00A4283D" w:rsidRPr="004F469F" w:rsidRDefault="00A4283D" w:rsidP="00A4283D">
            <w:pPr>
              <w:rPr>
                <w:sz w:val="20"/>
                <w:szCs w:val="20"/>
              </w:rPr>
            </w:pPr>
            <w:r w:rsidRPr="004F469F">
              <w:rPr>
                <w:sz w:val="20"/>
                <w:szCs w:val="20"/>
              </w:rPr>
              <w:t>torn</w:t>
            </w:r>
            <w:r w:rsidRPr="004F469F">
              <w:rPr>
                <w:sz w:val="20"/>
                <w:szCs w:val="20"/>
                <w:vertAlign w:val="subscript"/>
              </w:rPr>
              <w:t>mod</w:t>
            </w:r>
          </w:p>
        </w:tc>
        <w:tc>
          <w:tcPr>
            <w:tcW w:w="0" w:type="auto"/>
            <w:tcBorders>
              <w:top w:val="nil"/>
              <w:left w:val="nil"/>
              <w:bottom w:val="single" w:sz="4" w:space="0" w:color="auto"/>
              <w:right w:val="single" w:sz="4" w:space="0" w:color="auto"/>
            </w:tcBorders>
            <w:shd w:val="clear" w:color="auto" w:fill="auto"/>
            <w:noWrap/>
            <w:vAlign w:val="center"/>
            <w:hideMark/>
          </w:tcPr>
          <w:p w14:paraId="25637861" w14:textId="77777777" w:rsidR="00A4283D" w:rsidRPr="004F469F" w:rsidRDefault="00A4283D" w:rsidP="00A4283D">
            <w:pPr>
              <w:jc w:val="center"/>
              <w:rPr>
                <w:sz w:val="20"/>
                <w:szCs w:val="20"/>
              </w:rPr>
            </w:pPr>
            <w:r w:rsidRPr="004F469F">
              <w:rPr>
                <w:sz w:val="20"/>
                <w:szCs w:val="20"/>
              </w:rPr>
              <w:t>-3.3608</w:t>
            </w:r>
          </w:p>
        </w:tc>
        <w:tc>
          <w:tcPr>
            <w:tcW w:w="0" w:type="auto"/>
            <w:tcBorders>
              <w:top w:val="nil"/>
              <w:left w:val="nil"/>
              <w:bottom w:val="single" w:sz="4" w:space="0" w:color="auto"/>
              <w:right w:val="single" w:sz="4" w:space="0" w:color="auto"/>
            </w:tcBorders>
            <w:shd w:val="clear" w:color="auto" w:fill="auto"/>
            <w:noWrap/>
            <w:vAlign w:val="center"/>
            <w:hideMark/>
          </w:tcPr>
          <w:p w14:paraId="740DF023"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55C252D1" w14:textId="77777777" w:rsidR="00A4283D" w:rsidRPr="004F469F" w:rsidRDefault="00A4283D" w:rsidP="00A4283D">
            <w:pPr>
              <w:jc w:val="center"/>
              <w:rPr>
                <w:sz w:val="20"/>
                <w:szCs w:val="20"/>
              </w:rPr>
            </w:pPr>
            <w:r w:rsidRPr="004F469F">
              <w:rPr>
                <w:sz w:val="20"/>
                <w:szCs w:val="20"/>
              </w:rPr>
              <w:t>0.0020</w:t>
            </w:r>
          </w:p>
        </w:tc>
        <w:tc>
          <w:tcPr>
            <w:tcW w:w="0" w:type="auto"/>
            <w:tcBorders>
              <w:top w:val="nil"/>
              <w:left w:val="nil"/>
              <w:bottom w:val="single" w:sz="4" w:space="0" w:color="auto"/>
              <w:right w:val="single" w:sz="4" w:space="0" w:color="auto"/>
            </w:tcBorders>
            <w:shd w:val="clear" w:color="auto" w:fill="auto"/>
            <w:noWrap/>
            <w:vAlign w:val="center"/>
            <w:hideMark/>
          </w:tcPr>
          <w:p w14:paraId="1AF00F8B" w14:textId="77777777" w:rsidR="00A4283D" w:rsidRPr="004F469F" w:rsidRDefault="00A4283D" w:rsidP="00A4283D">
            <w:pPr>
              <w:jc w:val="center"/>
              <w:rPr>
                <w:sz w:val="20"/>
                <w:szCs w:val="20"/>
              </w:rPr>
            </w:pPr>
            <w:r w:rsidRPr="004F469F">
              <w:rPr>
                <w:sz w:val="20"/>
                <w:szCs w:val="20"/>
              </w:rPr>
              <w:t>-0.0007</w:t>
            </w:r>
          </w:p>
        </w:tc>
        <w:tc>
          <w:tcPr>
            <w:tcW w:w="0" w:type="auto"/>
            <w:tcBorders>
              <w:top w:val="nil"/>
              <w:left w:val="nil"/>
              <w:bottom w:val="single" w:sz="4" w:space="0" w:color="auto"/>
              <w:right w:val="single" w:sz="4" w:space="0" w:color="auto"/>
            </w:tcBorders>
            <w:shd w:val="clear" w:color="auto" w:fill="auto"/>
            <w:noWrap/>
            <w:vAlign w:val="center"/>
            <w:hideMark/>
          </w:tcPr>
          <w:p w14:paraId="06910564" w14:textId="77777777" w:rsidR="00A4283D" w:rsidRPr="004F469F" w:rsidRDefault="00A4283D" w:rsidP="00A4283D">
            <w:pPr>
              <w:jc w:val="center"/>
              <w:rPr>
                <w:sz w:val="20"/>
                <w:szCs w:val="20"/>
              </w:rPr>
            </w:pPr>
            <w:r w:rsidRPr="004F469F">
              <w:rPr>
                <w:sz w:val="20"/>
                <w:szCs w:val="20"/>
              </w:rPr>
              <w:t>0.0016</w:t>
            </w:r>
          </w:p>
        </w:tc>
        <w:tc>
          <w:tcPr>
            <w:tcW w:w="0" w:type="auto"/>
            <w:tcBorders>
              <w:top w:val="nil"/>
              <w:left w:val="nil"/>
              <w:bottom w:val="single" w:sz="4" w:space="0" w:color="auto"/>
              <w:right w:val="single" w:sz="4" w:space="0" w:color="auto"/>
            </w:tcBorders>
            <w:shd w:val="clear" w:color="auto" w:fill="auto"/>
            <w:noWrap/>
            <w:vAlign w:val="center"/>
            <w:hideMark/>
          </w:tcPr>
          <w:p w14:paraId="04888228"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03F5EE2F" w14:textId="77777777" w:rsidR="00A4283D" w:rsidRPr="004F469F" w:rsidRDefault="00A4283D" w:rsidP="00A4283D">
            <w:pPr>
              <w:jc w:val="center"/>
              <w:rPr>
                <w:sz w:val="20"/>
                <w:szCs w:val="20"/>
              </w:rPr>
            </w:pPr>
            <w:r w:rsidRPr="004F469F">
              <w:rPr>
                <w:sz w:val="20"/>
                <w:szCs w:val="20"/>
              </w:rPr>
              <w:t>0.0321</w:t>
            </w:r>
          </w:p>
        </w:tc>
        <w:tc>
          <w:tcPr>
            <w:tcW w:w="0" w:type="auto"/>
            <w:tcBorders>
              <w:top w:val="nil"/>
              <w:left w:val="nil"/>
              <w:bottom w:val="single" w:sz="4" w:space="0" w:color="auto"/>
              <w:right w:val="single" w:sz="4" w:space="0" w:color="auto"/>
            </w:tcBorders>
            <w:shd w:val="clear" w:color="auto" w:fill="auto"/>
            <w:noWrap/>
            <w:vAlign w:val="center"/>
            <w:hideMark/>
          </w:tcPr>
          <w:p w14:paraId="0CBF36A7" w14:textId="77777777" w:rsidR="00A4283D" w:rsidRPr="004F469F" w:rsidRDefault="00A4283D" w:rsidP="00A4283D">
            <w:pPr>
              <w:jc w:val="center"/>
              <w:rPr>
                <w:sz w:val="20"/>
                <w:szCs w:val="20"/>
              </w:rPr>
            </w:pPr>
            <w:r w:rsidRPr="004F469F">
              <w:rPr>
                <w:sz w:val="20"/>
                <w:szCs w:val="20"/>
              </w:rPr>
              <w:t>0.1369</w:t>
            </w:r>
          </w:p>
        </w:tc>
        <w:tc>
          <w:tcPr>
            <w:tcW w:w="0" w:type="auto"/>
            <w:tcBorders>
              <w:top w:val="nil"/>
              <w:left w:val="nil"/>
              <w:bottom w:val="single" w:sz="4" w:space="0" w:color="auto"/>
              <w:right w:val="single" w:sz="4" w:space="0" w:color="auto"/>
            </w:tcBorders>
            <w:shd w:val="clear" w:color="auto" w:fill="auto"/>
            <w:noWrap/>
            <w:vAlign w:val="center"/>
            <w:hideMark/>
          </w:tcPr>
          <w:p w14:paraId="1EA05347" w14:textId="77777777" w:rsidR="00A4283D" w:rsidRPr="004F469F" w:rsidRDefault="00A4283D" w:rsidP="00A4283D">
            <w:pPr>
              <w:jc w:val="center"/>
              <w:rPr>
                <w:sz w:val="20"/>
                <w:szCs w:val="20"/>
              </w:rPr>
            </w:pPr>
            <w:r w:rsidRPr="004F469F">
              <w:rPr>
                <w:sz w:val="20"/>
                <w:szCs w:val="20"/>
              </w:rPr>
              <w:t>-0.5515</w:t>
            </w:r>
          </w:p>
        </w:tc>
        <w:tc>
          <w:tcPr>
            <w:tcW w:w="0" w:type="auto"/>
            <w:tcBorders>
              <w:top w:val="nil"/>
              <w:left w:val="nil"/>
              <w:bottom w:val="single" w:sz="4" w:space="0" w:color="auto"/>
              <w:right w:val="single" w:sz="4" w:space="0" w:color="auto"/>
            </w:tcBorders>
            <w:shd w:val="clear" w:color="auto" w:fill="auto"/>
            <w:noWrap/>
            <w:vAlign w:val="center"/>
            <w:hideMark/>
          </w:tcPr>
          <w:p w14:paraId="07A77D86" w14:textId="77777777" w:rsidR="00A4283D" w:rsidRPr="004F469F" w:rsidRDefault="00A4283D" w:rsidP="00A4283D">
            <w:pPr>
              <w:jc w:val="center"/>
              <w:rPr>
                <w:sz w:val="20"/>
                <w:szCs w:val="20"/>
              </w:rPr>
            </w:pPr>
            <w:r w:rsidRPr="004F469F">
              <w:rPr>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3F873008" w14:textId="77777777" w:rsidR="00A4283D" w:rsidRPr="004F469F" w:rsidRDefault="00A4283D" w:rsidP="00A4283D">
            <w:pPr>
              <w:jc w:val="center"/>
              <w:rPr>
                <w:sz w:val="20"/>
                <w:szCs w:val="20"/>
              </w:rPr>
            </w:pPr>
            <w:r w:rsidRPr="004F469F">
              <w:rPr>
                <w:sz w:val="20"/>
                <w:szCs w:val="20"/>
              </w:rPr>
              <w:t>-</w:t>
            </w:r>
          </w:p>
        </w:tc>
      </w:tr>
    </w:tbl>
    <w:p w14:paraId="04FC78ED" w14:textId="77777777" w:rsidR="00A4283D" w:rsidRPr="004F469F" w:rsidRDefault="00A4283D" w:rsidP="00A4283D">
      <w:pPr>
        <w:widowControl w:val="0"/>
        <w:autoSpaceDE w:val="0"/>
        <w:autoSpaceDN w:val="0"/>
        <w:adjustRightInd w:val="0"/>
        <w:rPr>
          <w:sz w:val="20"/>
          <w:szCs w:val="20"/>
        </w:rPr>
      </w:pPr>
    </w:p>
    <w:p w14:paraId="64B7BE57" w14:textId="77777777" w:rsidR="00A4283D" w:rsidRPr="004F469F" w:rsidRDefault="00A4283D" w:rsidP="00A4283D">
      <w:pPr>
        <w:widowControl w:val="0"/>
        <w:autoSpaceDE w:val="0"/>
        <w:autoSpaceDN w:val="0"/>
        <w:adjustRightInd w:val="0"/>
        <w:ind w:left="475" w:hanging="475"/>
        <w:rPr>
          <w:sz w:val="20"/>
          <w:szCs w:val="20"/>
        </w:rPr>
      </w:pPr>
      <w:r w:rsidRPr="004F469F">
        <w:rPr>
          <w:sz w:val="20"/>
          <w:szCs w:val="20"/>
        </w:rPr>
        <w:t xml:space="preserve"> </w:t>
      </w:r>
    </w:p>
    <w:p w14:paraId="780DE9D1" w14:textId="77777777" w:rsidR="00A4283D" w:rsidRPr="004F469F" w:rsidRDefault="00A4283D" w:rsidP="00A4283D">
      <w:pPr>
        <w:widowControl w:val="0"/>
        <w:autoSpaceDE w:val="0"/>
        <w:autoSpaceDN w:val="0"/>
        <w:adjustRightInd w:val="0"/>
        <w:spacing w:line="480" w:lineRule="auto"/>
        <w:ind w:left="480" w:hanging="480"/>
        <w:rPr>
          <w:sz w:val="20"/>
          <w:szCs w:val="20"/>
        </w:rPr>
      </w:pPr>
    </w:p>
    <w:p w14:paraId="48CFEB70" w14:textId="77777777" w:rsidR="00A4283D" w:rsidRPr="004F469F" w:rsidRDefault="00A4283D" w:rsidP="00A4283D">
      <w:pPr>
        <w:rPr>
          <w:sz w:val="20"/>
          <w:szCs w:val="20"/>
        </w:rPr>
      </w:pPr>
    </w:p>
    <w:p w14:paraId="6B8812E8" w14:textId="77777777" w:rsidR="00A4283D" w:rsidRPr="004F469F" w:rsidRDefault="00A4283D" w:rsidP="00A4283D">
      <w:pPr>
        <w:rPr>
          <w:sz w:val="20"/>
          <w:szCs w:val="20"/>
        </w:rPr>
      </w:pPr>
    </w:p>
    <w:p w14:paraId="5E4A4BB6" w14:textId="77777777" w:rsidR="00A4283D" w:rsidRPr="004F469F" w:rsidRDefault="00A4283D" w:rsidP="00A4283D">
      <w:pPr>
        <w:rPr>
          <w:sz w:val="20"/>
          <w:szCs w:val="20"/>
        </w:rPr>
      </w:pPr>
    </w:p>
    <w:p w14:paraId="634761A7" w14:textId="77777777" w:rsidR="00A4283D" w:rsidRPr="004F469F" w:rsidRDefault="00A4283D" w:rsidP="00A4283D">
      <w:pPr>
        <w:rPr>
          <w:sz w:val="20"/>
          <w:szCs w:val="20"/>
        </w:rPr>
      </w:pPr>
    </w:p>
    <w:p w14:paraId="447A2A05" w14:textId="77777777" w:rsidR="00A4283D" w:rsidRPr="004F469F" w:rsidRDefault="00A4283D" w:rsidP="00A4283D">
      <w:pPr>
        <w:rPr>
          <w:sz w:val="20"/>
          <w:szCs w:val="20"/>
        </w:rPr>
      </w:pPr>
    </w:p>
    <w:p w14:paraId="1DAAE04E" w14:textId="77777777" w:rsidR="00A4283D" w:rsidRPr="004F469F" w:rsidRDefault="00A4283D" w:rsidP="00A4283D">
      <w:pPr>
        <w:rPr>
          <w:sz w:val="20"/>
          <w:szCs w:val="20"/>
        </w:rPr>
      </w:pPr>
    </w:p>
    <w:p w14:paraId="3F6BC5AF" w14:textId="77777777" w:rsidR="00A4283D" w:rsidRPr="004F469F" w:rsidRDefault="00A4283D" w:rsidP="00A4283D">
      <w:pPr>
        <w:rPr>
          <w:sz w:val="20"/>
          <w:szCs w:val="20"/>
        </w:rPr>
      </w:pPr>
    </w:p>
    <w:p w14:paraId="248BB101" w14:textId="77777777" w:rsidR="00A4283D" w:rsidRPr="004F469F" w:rsidRDefault="00A4283D" w:rsidP="00A4283D">
      <w:pPr>
        <w:rPr>
          <w:sz w:val="20"/>
          <w:szCs w:val="20"/>
        </w:rPr>
      </w:pPr>
    </w:p>
    <w:p w14:paraId="1E123275" w14:textId="77777777" w:rsidR="00A4283D" w:rsidRPr="004F469F" w:rsidRDefault="00A4283D" w:rsidP="00A4283D">
      <w:pPr>
        <w:rPr>
          <w:sz w:val="20"/>
          <w:szCs w:val="20"/>
        </w:rPr>
      </w:pPr>
    </w:p>
    <w:p w14:paraId="3B2663BB" w14:textId="77777777" w:rsidR="00A4283D" w:rsidRPr="004F469F" w:rsidRDefault="00A4283D" w:rsidP="00A4283D">
      <w:pPr>
        <w:rPr>
          <w:sz w:val="20"/>
          <w:szCs w:val="20"/>
        </w:rPr>
      </w:pPr>
    </w:p>
    <w:p w14:paraId="4ACCE3BC" w14:textId="77777777" w:rsidR="00A4283D" w:rsidRPr="004F469F" w:rsidRDefault="00A4283D" w:rsidP="00A4283D">
      <w:pPr>
        <w:rPr>
          <w:sz w:val="20"/>
          <w:szCs w:val="20"/>
        </w:rPr>
      </w:pPr>
    </w:p>
    <w:p w14:paraId="3149853B" w14:textId="77777777" w:rsidR="00A4283D" w:rsidRPr="004F469F" w:rsidRDefault="00A4283D" w:rsidP="00A4283D">
      <w:pPr>
        <w:rPr>
          <w:sz w:val="20"/>
          <w:szCs w:val="20"/>
        </w:rPr>
      </w:pPr>
    </w:p>
    <w:p w14:paraId="6C88EB6B" w14:textId="77777777" w:rsidR="00A4283D" w:rsidRPr="004F469F" w:rsidRDefault="00A4283D" w:rsidP="00A4283D">
      <w:pPr>
        <w:rPr>
          <w:sz w:val="20"/>
          <w:szCs w:val="20"/>
        </w:rPr>
      </w:pPr>
    </w:p>
    <w:p w14:paraId="5BBC508B" w14:textId="77777777" w:rsidR="00A4283D" w:rsidRPr="004F469F" w:rsidRDefault="00A4283D" w:rsidP="00A4283D">
      <w:pPr>
        <w:rPr>
          <w:sz w:val="20"/>
          <w:szCs w:val="20"/>
        </w:rPr>
      </w:pPr>
    </w:p>
    <w:p w14:paraId="626ADB41" w14:textId="77777777" w:rsidR="00A4283D" w:rsidRPr="004F469F" w:rsidRDefault="00A4283D" w:rsidP="00A4283D">
      <w:pPr>
        <w:rPr>
          <w:sz w:val="20"/>
          <w:szCs w:val="20"/>
        </w:rPr>
      </w:pPr>
    </w:p>
    <w:p w14:paraId="386A48FF" w14:textId="77777777" w:rsidR="00A4283D" w:rsidRPr="004F469F" w:rsidRDefault="00A4283D" w:rsidP="00A4283D">
      <w:pPr>
        <w:rPr>
          <w:sz w:val="20"/>
          <w:szCs w:val="20"/>
        </w:rPr>
      </w:pPr>
    </w:p>
    <w:p w14:paraId="607F2631" w14:textId="77777777" w:rsidR="00A4283D" w:rsidRPr="004F469F" w:rsidRDefault="00A4283D" w:rsidP="00A4283D">
      <w:pPr>
        <w:rPr>
          <w:sz w:val="20"/>
          <w:szCs w:val="20"/>
        </w:rPr>
      </w:pPr>
    </w:p>
    <w:p w14:paraId="08E9118D" w14:textId="77777777" w:rsidR="00A4283D" w:rsidRPr="004F469F" w:rsidRDefault="00A4283D" w:rsidP="00A4283D">
      <w:pPr>
        <w:rPr>
          <w:sz w:val="20"/>
          <w:szCs w:val="20"/>
        </w:rPr>
      </w:pPr>
    </w:p>
    <w:p w14:paraId="70530957" w14:textId="77777777" w:rsidR="00A4283D" w:rsidRPr="004F469F" w:rsidRDefault="00A4283D" w:rsidP="00A4283D">
      <w:pPr>
        <w:rPr>
          <w:sz w:val="20"/>
          <w:szCs w:val="20"/>
        </w:rPr>
      </w:pPr>
    </w:p>
    <w:p w14:paraId="3C9A3482" w14:textId="77777777" w:rsidR="00A4283D" w:rsidRPr="004F469F" w:rsidRDefault="00A4283D" w:rsidP="00A4283D">
      <w:pPr>
        <w:rPr>
          <w:sz w:val="20"/>
          <w:szCs w:val="20"/>
        </w:rPr>
      </w:pPr>
    </w:p>
    <w:p w14:paraId="02DD3A45" w14:textId="77777777" w:rsidR="00A4283D" w:rsidRPr="004F469F" w:rsidRDefault="00A4283D" w:rsidP="00A4283D">
      <w:pPr>
        <w:rPr>
          <w:sz w:val="20"/>
          <w:szCs w:val="20"/>
        </w:rPr>
      </w:pPr>
    </w:p>
    <w:p w14:paraId="7C1110C6" w14:textId="77777777" w:rsidR="00A4283D" w:rsidRPr="004F469F" w:rsidRDefault="00A4283D" w:rsidP="00A4283D">
      <w:pPr>
        <w:rPr>
          <w:sz w:val="20"/>
          <w:szCs w:val="20"/>
        </w:rPr>
      </w:pPr>
    </w:p>
    <w:p w14:paraId="35BD867A" w14:textId="77777777" w:rsidR="00A4283D" w:rsidRPr="004F469F" w:rsidRDefault="00A4283D" w:rsidP="00A4283D">
      <w:pPr>
        <w:rPr>
          <w:sz w:val="20"/>
          <w:szCs w:val="20"/>
        </w:rPr>
      </w:pPr>
    </w:p>
    <w:p w14:paraId="4DB6DCD5" w14:textId="77777777" w:rsidR="00A4283D" w:rsidRPr="004F469F" w:rsidRDefault="00A4283D" w:rsidP="00A4283D">
      <w:pPr>
        <w:widowControl w:val="0"/>
        <w:autoSpaceDE w:val="0"/>
        <w:autoSpaceDN w:val="0"/>
        <w:adjustRightInd w:val="0"/>
        <w:rPr>
          <w:sz w:val="20"/>
          <w:szCs w:val="20"/>
        </w:rPr>
      </w:pPr>
    </w:p>
    <w:p w14:paraId="4989D806" w14:textId="77777777" w:rsidR="00A4283D" w:rsidRPr="004F469F" w:rsidRDefault="00A4283D" w:rsidP="00A4283D">
      <w:pPr>
        <w:widowControl w:val="0"/>
        <w:autoSpaceDE w:val="0"/>
        <w:autoSpaceDN w:val="0"/>
        <w:adjustRightInd w:val="0"/>
        <w:rPr>
          <w:sz w:val="20"/>
          <w:szCs w:val="20"/>
        </w:rPr>
      </w:pPr>
    </w:p>
    <w:p w14:paraId="2905AAC8" w14:textId="1BA00109" w:rsidR="00A4283D" w:rsidRPr="004F469F" w:rsidRDefault="00A4283D" w:rsidP="00A4283D">
      <w:pPr>
        <w:widowControl w:val="0"/>
        <w:autoSpaceDE w:val="0"/>
        <w:autoSpaceDN w:val="0"/>
        <w:adjustRightInd w:val="0"/>
        <w:rPr>
          <w:sz w:val="20"/>
          <w:szCs w:val="20"/>
        </w:rPr>
      </w:pPr>
    </w:p>
    <w:p w14:paraId="6454834B" w14:textId="193DC9F6" w:rsidR="00A4283D" w:rsidRPr="004F469F" w:rsidRDefault="00A4283D" w:rsidP="00A4283D">
      <w:pPr>
        <w:widowControl w:val="0"/>
        <w:autoSpaceDE w:val="0"/>
        <w:autoSpaceDN w:val="0"/>
        <w:adjustRightInd w:val="0"/>
        <w:rPr>
          <w:sz w:val="20"/>
          <w:szCs w:val="20"/>
        </w:rPr>
      </w:pPr>
    </w:p>
    <w:p w14:paraId="7279A38D" w14:textId="3F845979" w:rsidR="00A4283D" w:rsidRPr="004F469F" w:rsidRDefault="00A4283D" w:rsidP="00A4283D">
      <w:pPr>
        <w:widowControl w:val="0"/>
        <w:autoSpaceDE w:val="0"/>
        <w:autoSpaceDN w:val="0"/>
        <w:adjustRightInd w:val="0"/>
        <w:rPr>
          <w:sz w:val="20"/>
          <w:szCs w:val="20"/>
        </w:rPr>
      </w:pPr>
    </w:p>
    <w:p w14:paraId="53695D88" w14:textId="77777777" w:rsidR="00A4283D" w:rsidRPr="004F469F" w:rsidRDefault="00A4283D" w:rsidP="00A4283D">
      <w:pPr>
        <w:widowControl w:val="0"/>
        <w:autoSpaceDE w:val="0"/>
        <w:autoSpaceDN w:val="0"/>
        <w:adjustRightInd w:val="0"/>
        <w:rPr>
          <w:sz w:val="20"/>
          <w:szCs w:val="20"/>
        </w:rPr>
      </w:pPr>
    </w:p>
    <w:p w14:paraId="7BF07B35" w14:textId="5739EE4E" w:rsidR="00A4283D" w:rsidRPr="004F469F" w:rsidRDefault="00A4283D" w:rsidP="00A4283D">
      <w:pPr>
        <w:pStyle w:val="Caption"/>
        <w:keepNext/>
        <w:rPr>
          <w:rFonts w:ascii="Times New Roman" w:hAnsi="Times New Roman" w:cs="Times New Roman"/>
          <w:i w:val="0"/>
          <w:iCs w:val="0"/>
          <w:color w:val="auto"/>
          <w:sz w:val="24"/>
          <w:szCs w:val="24"/>
        </w:rPr>
      </w:pPr>
      <w:bookmarkStart w:id="67" w:name="_Toc22034997"/>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Tornado attributes from a 1,000-year TorDIS simulation over the Oklahoma City Metropolitan Statistical Area. Attributes presented include tornado magnitude (EF scale), count, mean length, mean width, and mean direction.</w:t>
      </w:r>
      <w:bookmarkEnd w:id="67"/>
    </w:p>
    <w:tbl>
      <w:tblPr>
        <w:tblW w:w="0" w:type="auto"/>
        <w:tblLook w:val="04A0" w:firstRow="1" w:lastRow="0" w:firstColumn="1" w:lastColumn="0" w:noHBand="0" w:noVBand="1"/>
      </w:tblPr>
      <w:tblGrid>
        <w:gridCol w:w="1724"/>
        <w:gridCol w:w="750"/>
        <w:gridCol w:w="1828"/>
        <w:gridCol w:w="1650"/>
        <w:gridCol w:w="1827"/>
      </w:tblGrid>
      <w:tr w:rsidR="00494669" w:rsidRPr="004F469F" w14:paraId="06A4C54E" w14:textId="77777777" w:rsidTr="00A4283D">
        <w:trPr>
          <w:trHeight w:val="33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7570AE" w14:textId="77777777" w:rsidR="00A4283D" w:rsidRPr="004F469F" w:rsidRDefault="00A4283D" w:rsidP="00A4283D">
            <w:pPr>
              <w:rPr>
                <w:b/>
                <w:bCs/>
                <w:sz w:val="20"/>
                <w:szCs w:val="20"/>
              </w:rPr>
            </w:pPr>
            <w:r w:rsidRPr="004F469F">
              <w:rPr>
                <w:b/>
                <w:bCs/>
                <w:sz w:val="20"/>
                <w:szCs w:val="20"/>
              </w:rPr>
              <w:t>Magnitude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709BA1" w14:textId="77777777" w:rsidR="00A4283D" w:rsidRPr="004F469F" w:rsidRDefault="00A4283D" w:rsidP="00A4283D">
            <w:pPr>
              <w:jc w:val="center"/>
              <w:rPr>
                <w:b/>
                <w:bCs/>
                <w:sz w:val="20"/>
                <w:szCs w:val="20"/>
              </w:rPr>
            </w:pPr>
            <w:r w:rsidRPr="004F469F">
              <w:rPr>
                <w:b/>
                <w:bCs/>
                <w:sz w:val="20"/>
                <w:szCs w:val="20"/>
              </w:rPr>
              <w:t>Count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0F2FDA" w14:textId="77777777" w:rsidR="00A4283D" w:rsidRPr="004F469F" w:rsidRDefault="00A4283D" w:rsidP="00A4283D">
            <w:pPr>
              <w:jc w:val="center"/>
              <w:rPr>
                <w:b/>
                <w:bCs/>
                <w:sz w:val="20"/>
                <w:szCs w:val="20"/>
              </w:rPr>
            </w:pPr>
            <w:r w:rsidRPr="004F469F">
              <w:rPr>
                <w:b/>
                <w:bCs/>
                <w:sz w:val="20"/>
                <w:szCs w:val="20"/>
              </w:rPr>
              <w:t>Mean Length (km)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AB9929" w14:textId="77777777" w:rsidR="00A4283D" w:rsidRPr="004F469F" w:rsidRDefault="00A4283D" w:rsidP="00A4283D">
            <w:pPr>
              <w:jc w:val="center"/>
              <w:rPr>
                <w:b/>
                <w:bCs/>
                <w:sz w:val="20"/>
                <w:szCs w:val="20"/>
              </w:rPr>
            </w:pPr>
            <w:r w:rsidRPr="004F469F">
              <w:rPr>
                <w:b/>
                <w:bCs/>
                <w:sz w:val="20"/>
                <w:szCs w:val="20"/>
              </w:rPr>
              <w:t>Mean Width (m)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1F8100" w14:textId="77777777" w:rsidR="00A4283D" w:rsidRPr="004F469F" w:rsidRDefault="00A4283D" w:rsidP="00A4283D">
            <w:pPr>
              <w:jc w:val="center"/>
              <w:rPr>
                <w:b/>
                <w:bCs/>
                <w:sz w:val="20"/>
                <w:szCs w:val="20"/>
              </w:rPr>
            </w:pPr>
            <w:r w:rsidRPr="004F469F">
              <w:rPr>
                <w:b/>
                <w:bCs/>
                <w:sz w:val="20"/>
                <w:szCs w:val="20"/>
              </w:rPr>
              <w:t>Mean Direction (</w:t>
            </w:r>
            <w:r w:rsidRPr="004F469F">
              <w:rPr>
                <w:rFonts w:ascii="Cambria Math" w:hAnsi="Cambria Math" w:cs="Cambria Math"/>
                <w:b/>
                <w:bCs/>
                <w:sz w:val="20"/>
                <w:szCs w:val="20"/>
              </w:rPr>
              <w:t>∘</w:t>
            </w:r>
            <w:r w:rsidRPr="004F469F">
              <w:rPr>
                <w:b/>
                <w:bCs/>
                <w:sz w:val="20"/>
                <w:szCs w:val="20"/>
              </w:rPr>
              <w:t>)</w:t>
            </w:r>
          </w:p>
        </w:tc>
      </w:tr>
      <w:tr w:rsidR="00020311" w:rsidRPr="004F469F" w14:paraId="49681175"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31EED0" w14:textId="77777777" w:rsidR="00020311" w:rsidRPr="004F469F" w:rsidRDefault="00020311" w:rsidP="00020311">
            <w:pPr>
              <w:rPr>
                <w:sz w:val="20"/>
                <w:szCs w:val="20"/>
              </w:rPr>
            </w:pPr>
            <w:r w:rsidRPr="004F469F">
              <w:rPr>
                <w:sz w:val="20"/>
                <w:szCs w:val="20"/>
              </w:rPr>
              <w:t>EF0</w:t>
            </w:r>
          </w:p>
        </w:tc>
        <w:tc>
          <w:tcPr>
            <w:tcW w:w="0" w:type="auto"/>
            <w:tcBorders>
              <w:top w:val="nil"/>
              <w:left w:val="nil"/>
              <w:bottom w:val="single" w:sz="4" w:space="0" w:color="auto"/>
              <w:right w:val="single" w:sz="4" w:space="0" w:color="auto"/>
            </w:tcBorders>
            <w:shd w:val="clear" w:color="auto" w:fill="auto"/>
            <w:noWrap/>
            <w:vAlign w:val="center"/>
            <w:hideMark/>
          </w:tcPr>
          <w:p w14:paraId="68A3AB94" w14:textId="10B33D82" w:rsidR="00020311" w:rsidRPr="004F469F" w:rsidRDefault="00020311" w:rsidP="00020311">
            <w:pPr>
              <w:jc w:val="center"/>
              <w:rPr>
                <w:sz w:val="20"/>
                <w:szCs w:val="20"/>
              </w:rPr>
            </w:pPr>
            <w:r w:rsidRPr="004F469F">
              <w:rPr>
                <w:sz w:val="20"/>
                <w:szCs w:val="20"/>
              </w:rPr>
              <w:t>3,279</w:t>
            </w:r>
          </w:p>
        </w:tc>
        <w:tc>
          <w:tcPr>
            <w:tcW w:w="0" w:type="auto"/>
            <w:tcBorders>
              <w:top w:val="nil"/>
              <w:left w:val="nil"/>
              <w:bottom w:val="single" w:sz="4" w:space="0" w:color="auto"/>
              <w:right w:val="single" w:sz="4" w:space="0" w:color="auto"/>
            </w:tcBorders>
            <w:shd w:val="clear" w:color="auto" w:fill="auto"/>
            <w:noWrap/>
            <w:vAlign w:val="center"/>
            <w:hideMark/>
          </w:tcPr>
          <w:p w14:paraId="69FA3D15" w14:textId="2F5C727B" w:rsidR="00020311" w:rsidRPr="004F469F" w:rsidRDefault="00020311" w:rsidP="00020311">
            <w:pPr>
              <w:jc w:val="center"/>
              <w:rPr>
                <w:sz w:val="20"/>
                <w:szCs w:val="20"/>
              </w:rPr>
            </w:pPr>
            <w:r w:rsidRPr="004F469F">
              <w:rPr>
                <w:sz w:val="20"/>
                <w:szCs w:val="20"/>
              </w:rPr>
              <w:t>3.1</w:t>
            </w:r>
          </w:p>
        </w:tc>
        <w:tc>
          <w:tcPr>
            <w:tcW w:w="0" w:type="auto"/>
            <w:tcBorders>
              <w:top w:val="nil"/>
              <w:left w:val="nil"/>
              <w:bottom w:val="single" w:sz="4" w:space="0" w:color="auto"/>
              <w:right w:val="single" w:sz="4" w:space="0" w:color="auto"/>
            </w:tcBorders>
            <w:shd w:val="clear" w:color="auto" w:fill="auto"/>
            <w:noWrap/>
            <w:vAlign w:val="center"/>
            <w:hideMark/>
          </w:tcPr>
          <w:p w14:paraId="4006332F" w14:textId="13E87EA7" w:rsidR="00020311" w:rsidRPr="004F469F" w:rsidRDefault="00020311" w:rsidP="00020311">
            <w:pPr>
              <w:jc w:val="center"/>
              <w:rPr>
                <w:sz w:val="20"/>
                <w:szCs w:val="20"/>
              </w:rPr>
            </w:pPr>
            <w:r w:rsidRPr="004F469F">
              <w:rPr>
                <w:sz w:val="20"/>
                <w:szCs w:val="20"/>
              </w:rPr>
              <w:t>90.8</w:t>
            </w:r>
          </w:p>
        </w:tc>
        <w:tc>
          <w:tcPr>
            <w:tcW w:w="0" w:type="auto"/>
            <w:tcBorders>
              <w:top w:val="nil"/>
              <w:left w:val="nil"/>
              <w:bottom w:val="single" w:sz="4" w:space="0" w:color="auto"/>
              <w:right w:val="single" w:sz="4" w:space="0" w:color="auto"/>
            </w:tcBorders>
            <w:shd w:val="clear" w:color="auto" w:fill="auto"/>
            <w:noWrap/>
            <w:vAlign w:val="center"/>
            <w:hideMark/>
          </w:tcPr>
          <w:p w14:paraId="48E662C6" w14:textId="5C833FA0" w:rsidR="00020311" w:rsidRPr="004F469F" w:rsidRDefault="00020311" w:rsidP="00020311">
            <w:pPr>
              <w:jc w:val="center"/>
              <w:rPr>
                <w:sz w:val="20"/>
                <w:szCs w:val="20"/>
              </w:rPr>
            </w:pPr>
            <w:r w:rsidRPr="004F469F">
              <w:rPr>
                <w:sz w:val="20"/>
                <w:szCs w:val="20"/>
              </w:rPr>
              <w:t>78.0</w:t>
            </w:r>
          </w:p>
        </w:tc>
      </w:tr>
      <w:tr w:rsidR="00020311" w:rsidRPr="004F469F" w14:paraId="19ABD4FC"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7292F1" w14:textId="77777777" w:rsidR="00020311" w:rsidRPr="004F469F" w:rsidRDefault="00020311" w:rsidP="00020311">
            <w:pPr>
              <w:rPr>
                <w:sz w:val="20"/>
                <w:szCs w:val="20"/>
              </w:rPr>
            </w:pPr>
            <w:r w:rsidRPr="004F469F">
              <w:rPr>
                <w:sz w:val="20"/>
                <w:szCs w:val="20"/>
              </w:rPr>
              <w:t>EF1</w:t>
            </w:r>
          </w:p>
        </w:tc>
        <w:tc>
          <w:tcPr>
            <w:tcW w:w="0" w:type="auto"/>
            <w:tcBorders>
              <w:top w:val="nil"/>
              <w:left w:val="nil"/>
              <w:bottom w:val="single" w:sz="4" w:space="0" w:color="auto"/>
              <w:right w:val="single" w:sz="4" w:space="0" w:color="auto"/>
            </w:tcBorders>
            <w:shd w:val="clear" w:color="auto" w:fill="auto"/>
            <w:noWrap/>
            <w:vAlign w:val="center"/>
            <w:hideMark/>
          </w:tcPr>
          <w:p w14:paraId="1E7BEE6F" w14:textId="7B4E128D" w:rsidR="00020311" w:rsidRPr="004F469F" w:rsidRDefault="00020311" w:rsidP="00020311">
            <w:pPr>
              <w:jc w:val="center"/>
              <w:rPr>
                <w:sz w:val="20"/>
                <w:szCs w:val="20"/>
              </w:rPr>
            </w:pPr>
            <w:r w:rsidRPr="004F469F">
              <w:rPr>
                <w:sz w:val="20"/>
                <w:szCs w:val="20"/>
              </w:rPr>
              <w:t>2,594</w:t>
            </w:r>
          </w:p>
        </w:tc>
        <w:tc>
          <w:tcPr>
            <w:tcW w:w="0" w:type="auto"/>
            <w:tcBorders>
              <w:top w:val="nil"/>
              <w:left w:val="nil"/>
              <w:bottom w:val="single" w:sz="4" w:space="0" w:color="auto"/>
              <w:right w:val="single" w:sz="4" w:space="0" w:color="auto"/>
            </w:tcBorders>
            <w:shd w:val="clear" w:color="auto" w:fill="auto"/>
            <w:noWrap/>
            <w:vAlign w:val="center"/>
            <w:hideMark/>
          </w:tcPr>
          <w:p w14:paraId="1376EBB9" w14:textId="674A5A00" w:rsidR="00020311" w:rsidRPr="004F469F" w:rsidRDefault="00020311" w:rsidP="00020311">
            <w:pPr>
              <w:jc w:val="center"/>
              <w:rPr>
                <w:sz w:val="20"/>
                <w:szCs w:val="20"/>
              </w:rPr>
            </w:pPr>
            <w:r w:rsidRPr="004F469F">
              <w:rPr>
                <w:sz w:val="20"/>
                <w:szCs w:val="20"/>
              </w:rPr>
              <w:t>8.5</w:t>
            </w:r>
          </w:p>
        </w:tc>
        <w:tc>
          <w:tcPr>
            <w:tcW w:w="0" w:type="auto"/>
            <w:tcBorders>
              <w:top w:val="nil"/>
              <w:left w:val="nil"/>
              <w:bottom w:val="single" w:sz="4" w:space="0" w:color="auto"/>
              <w:right w:val="single" w:sz="4" w:space="0" w:color="auto"/>
            </w:tcBorders>
            <w:shd w:val="clear" w:color="auto" w:fill="auto"/>
            <w:noWrap/>
            <w:vAlign w:val="center"/>
            <w:hideMark/>
          </w:tcPr>
          <w:p w14:paraId="543DD20D" w14:textId="7DC067AB" w:rsidR="00020311" w:rsidRPr="004F469F" w:rsidRDefault="00020311" w:rsidP="00020311">
            <w:pPr>
              <w:jc w:val="center"/>
              <w:rPr>
                <w:sz w:val="20"/>
                <w:szCs w:val="20"/>
              </w:rPr>
            </w:pPr>
            <w:r w:rsidRPr="004F469F">
              <w:rPr>
                <w:sz w:val="20"/>
                <w:szCs w:val="20"/>
              </w:rPr>
              <w:t>240.5</w:t>
            </w:r>
          </w:p>
        </w:tc>
        <w:tc>
          <w:tcPr>
            <w:tcW w:w="0" w:type="auto"/>
            <w:tcBorders>
              <w:top w:val="nil"/>
              <w:left w:val="nil"/>
              <w:bottom w:val="single" w:sz="4" w:space="0" w:color="auto"/>
              <w:right w:val="single" w:sz="4" w:space="0" w:color="auto"/>
            </w:tcBorders>
            <w:shd w:val="clear" w:color="auto" w:fill="auto"/>
            <w:noWrap/>
            <w:vAlign w:val="center"/>
            <w:hideMark/>
          </w:tcPr>
          <w:p w14:paraId="62B01F40" w14:textId="520C22C8" w:rsidR="00020311" w:rsidRPr="004F469F" w:rsidRDefault="00020311" w:rsidP="00020311">
            <w:pPr>
              <w:jc w:val="center"/>
              <w:rPr>
                <w:sz w:val="20"/>
                <w:szCs w:val="20"/>
              </w:rPr>
            </w:pPr>
            <w:r w:rsidRPr="004F469F">
              <w:rPr>
                <w:sz w:val="20"/>
                <w:szCs w:val="20"/>
              </w:rPr>
              <w:t>77.6</w:t>
            </w:r>
          </w:p>
        </w:tc>
      </w:tr>
      <w:tr w:rsidR="00020311" w:rsidRPr="004F469F" w14:paraId="2472D24D"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168F40" w14:textId="77777777" w:rsidR="00020311" w:rsidRPr="004F469F" w:rsidRDefault="00020311" w:rsidP="00020311">
            <w:pPr>
              <w:rPr>
                <w:sz w:val="20"/>
                <w:szCs w:val="20"/>
              </w:rPr>
            </w:pPr>
            <w:r w:rsidRPr="004F469F">
              <w:rPr>
                <w:sz w:val="20"/>
                <w:szCs w:val="20"/>
              </w:rPr>
              <w:t>EF2</w:t>
            </w:r>
          </w:p>
        </w:tc>
        <w:tc>
          <w:tcPr>
            <w:tcW w:w="0" w:type="auto"/>
            <w:tcBorders>
              <w:top w:val="nil"/>
              <w:left w:val="nil"/>
              <w:bottom w:val="single" w:sz="4" w:space="0" w:color="auto"/>
              <w:right w:val="single" w:sz="4" w:space="0" w:color="auto"/>
            </w:tcBorders>
            <w:shd w:val="clear" w:color="auto" w:fill="auto"/>
            <w:noWrap/>
            <w:vAlign w:val="center"/>
            <w:hideMark/>
          </w:tcPr>
          <w:p w14:paraId="2C8283EF" w14:textId="1549A0FD" w:rsidR="00020311" w:rsidRPr="004F469F" w:rsidRDefault="00020311" w:rsidP="00020311">
            <w:pPr>
              <w:jc w:val="center"/>
              <w:rPr>
                <w:sz w:val="20"/>
                <w:szCs w:val="20"/>
              </w:rPr>
            </w:pPr>
            <w:r w:rsidRPr="004F469F">
              <w:rPr>
                <w:sz w:val="20"/>
                <w:szCs w:val="20"/>
              </w:rPr>
              <w:t>1,021</w:t>
            </w:r>
          </w:p>
        </w:tc>
        <w:tc>
          <w:tcPr>
            <w:tcW w:w="0" w:type="auto"/>
            <w:tcBorders>
              <w:top w:val="nil"/>
              <w:left w:val="nil"/>
              <w:bottom w:val="single" w:sz="4" w:space="0" w:color="auto"/>
              <w:right w:val="single" w:sz="4" w:space="0" w:color="auto"/>
            </w:tcBorders>
            <w:shd w:val="clear" w:color="auto" w:fill="auto"/>
            <w:noWrap/>
            <w:vAlign w:val="center"/>
            <w:hideMark/>
          </w:tcPr>
          <w:p w14:paraId="260C4111" w14:textId="75B7C2B9" w:rsidR="00020311" w:rsidRPr="004F469F" w:rsidRDefault="00020311" w:rsidP="00020311">
            <w:pPr>
              <w:jc w:val="center"/>
              <w:rPr>
                <w:sz w:val="20"/>
                <w:szCs w:val="20"/>
              </w:rPr>
            </w:pPr>
            <w:r w:rsidRPr="004F469F">
              <w:rPr>
                <w:sz w:val="20"/>
                <w:szCs w:val="20"/>
              </w:rPr>
              <w:t>17.5</w:t>
            </w:r>
          </w:p>
        </w:tc>
        <w:tc>
          <w:tcPr>
            <w:tcW w:w="0" w:type="auto"/>
            <w:tcBorders>
              <w:top w:val="nil"/>
              <w:left w:val="nil"/>
              <w:bottom w:val="single" w:sz="4" w:space="0" w:color="auto"/>
              <w:right w:val="single" w:sz="4" w:space="0" w:color="auto"/>
            </w:tcBorders>
            <w:shd w:val="clear" w:color="auto" w:fill="auto"/>
            <w:noWrap/>
            <w:vAlign w:val="center"/>
            <w:hideMark/>
          </w:tcPr>
          <w:p w14:paraId="3F28E977" w14:textId="59077E84" w:rsidR="00020311" w:rsidRPr="004F469F" w:rsidRDefault="00020311" w:rsidP="00020311">
            <w:pPr>
              <w:jc w:val="center"/>
              <w:rPr>
                <w:sz w:val="20"/>
                <w:szCs w:val="20"/>
              </w:rPr>
            </w:pPr>
            <w:r w:rsidRPr="004F469F">
              <w:rPr>
                <w:sz w:val="20"/>
                <w:szCs w:val="20"/>
              </w:rPr>
              <w:t>483.3</w:t>
            </w:r>
          </w:p>
        </w:tc>
        <w:tc>
          <w:tcPr>
            <w:tcW w:w="0" w:type="auto"/>
            <w:tcBorders>
              <w:top w:val="nil"/>
              <w:left w:val="nil"/>
              <w:bottom w:val="single" w:sz="4" w:space="0" w:color="auto"/>
              <w:right w:val="single" w:sz="4" w:space="0" w:color="auto"/>
            </w:tcBorders>
            <w:shd w:val="clear" w:color="auto" w:fill="auto"/>
            <w:noWrap/>
            <w:vAlign w:val="center"/>
            <w:hideMark/>
          </w:tcPr>
          <w:p w14:paraId="1F914E3A" w14:textId="3F15C572" w:rsidR="00020311" w:rsidRPr="004F469F" w:rsidRDefault="00020311" w:rsidP="00020311">
            <w:pPr>
              <w:jc w:val="center"/>
              <w:rPr>
                <w:sz w:val="20"/>
                <w:szCs w:val="20"/>
              </w:rPr>
            </w:pPr>
            <w:r w:rsidRPr="004F469F">
              <w:rPr>
                <w:sz w:val="20"/>
                <w:szCs w:val="20"/>
              </w:rPr>
              <w:t>75.4</w:t>
            </w:r>
          </w:p>
        </w:tc>
      </w:tr>
      <w:tr w:rsidR="00020311" w:rsidRPr="004F469F" w14:paraId="5606F0F4"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FA9588" w14:textId="77777777" w:rsidR="00020311" w:rsidRPr="004F469F" w:rsidRDefault="00020311" w:rsidP="00020311">
            <w:pPr>
              <w:rPr>
                <w:sz w:val="20"/>
                <w:szCs w:val="20"/>
              </w:rPr>
            </w:pPr>
            <w:r w:rsidRPr="004F469F">
              <w:rPr>
                <w:sz w:val="20"/>
                <w:szCs w:val="20"/>
              </w:rPr>
              <w:t>EF3</w:t>
            </w:r>
          </w:p>
        </w:tc>
        <w:tc>
          <w:tcPr>
            <w:tcW w:w="0" w:type="auto"/>
            <w:tcBorders>
              <w:top w:val="nil"/>
              <w:left w:val="nil"/>
              <w:bottom w:val="single" w:sz="4" w:space="0" w:color="auto"/>
              <w:right w:val="single" w:sz="4" w:space="0" w:color="auto"/>
            </w:tcBorders>
            <w:shd w:val="clear" w:color="auto" w:fill="auto"/>
            <w:noWrap/>
            <w:vAlign w:val="center"/>
            <w:hideMark/>
          </w:tcPr>
          <w:p w14:paraId="1F478023" w14:textId="79330F3A" w:rsidR="00020311" w:rsidRPr="004F469F" w:rsidRDefault="00020311" w:rsidP="00020311">
            <w:pPr>
              <w:jc w:val="center"/>
              <w:rPr>
                <w:sz w:val="20"/>
                <w:szCs w:val="20"/>
              </w:rPr>
            </w:pPr>
            <w:r w:rsidRPr="004F469F">
              <w:rPr>
                <w:sz w:val="20"/>
                <w:szCs w:val="20"/>
              </w:rPr>
              <w:t>414</w:t>
            </w:r>
          </w:p>
        </w:tc>
        <w:tc>
          <w:tcPr>
            <w:tcW w:w="0" w:type="auto"/>
            <w:tcBorders>
              <w:top w:val="nil"/>
              <w:left w:val="nil"/>
              <w:bottom w:val="single" w:sz="4" w:space="0" w:color="auto"/>
              <w:right w:val="single" w:sz="4" w:space="0" w:color="auto"/>
            </w:tcBorders>
            <w:shd w:val="clear" w:color="auto" w:fill="auto"/>
            <w:noWrap/>
            <w:vAlign w:val="center"/>
            <w:hideMark/>
          </w:tcPr>
          <w:p w14:paraId="150B909D" w14:textId="33A822F0" w:rsidR="00020311" w:rsidRPr="004F469F" w:rsidRDefault="00020311" w:rsidP="00020311">
            <w:pPr>
              <w:jc w:val="center"/>
              <w:rPr>
                <w:sz w:val="20"/>
                <w:szCs w:val="20"/>
              </w:rPr>
            </w:pPr>
            <w:r w:rsidRPr="004F469F">
              <w:rPr>
                <w:sz w:val="20"/>
                <w:szCs w:val="20"/>
              </w:rPr>
              <w:t>34.4</w:t>
            </w:r>
          </w:p>
        </w:tc>
        <w:tc>
          <w:tcPr>
            <w:tcW w:w="0" w:type="auto"/>
            <w:tcBorders>
              <w:top w:val="nil"/>
              <w:left w:val="nil"/>
              <w:bottom w:val="single" w:sz="4" w:space="0" w:color="auto"/>
              <w:right w:val="single" w:sz="4" w:space="0" w:color="auto"/>
            </w:tcBorders>
            <w:shd w:val="clear" w:color="auto" w:fill="auto"/>
            <w:noWrap/>
            <w:vAlign w:val="center"/>
            <w:hideMark/>
          </w:tcPr>
          <w:p w14:paraId="77B79EF7" w14:textId="4706B312" w:rsidR="00020311" w:rsidRPr="004F469F" w:rsidRDefault="00020311" w:rsidP="00020311">
            <w:pPr>
              <w:jc w:val="center"/>
              <w:rPr>
                <w:sz w:val="20"/>
                <w:szCs w:val="20"/>
              </w:rPr>
            </w:pPr>
            <w:r w:rsidRPr="004F469F">
              <w:rPr>
                <w:sz w:val="20"/>
                <w:szCs w:val="20"/>
              </w:rPr>
              <w:t>993.3</w:t>
            </w:r>
          </w:p>
        </w:tc>
        <w:tc>
          <w:tcPr>
            <w:tcW w:w="0" w:type="auto"/>
            <w:tcBorders>
              <w:top w:val="nil"/>
              <w:left w:val="nil"/>
              <w:bottom w:val="single" w:sz="4" w:space="0" w:color="auto"/>
              <w:right w:val="single" w:sz="4" w:space="0" w:color="auto"/>
            </w:tcBorders>
            <w:shd w:val="clear" w:color="auto" w:fill="auto"/>
            <w:noWrap/>
            <w:vAlign w:val="center"/>
            <w:hideMark/>
          </w:tcPr>
          <w:p w14:paraId="5A5A51F4" w14:textId="02C49879" w:rsidR="00020311" w:rsidRPr="004F469F" w:rsidRDefault="00020311" w:rsidP="00020311">
            <w:pPr>
              <w:jc w:val="center"/>
              <w:rPr>
                <w:sz w:val="20"/>
                <w:szCs w:val="20"/>
              </w:rPr>
            </w:pPr>
            <w:r w:rsidRPr="004F469F">
              <w:rPr>
                <w:sz w:val="20"/>
                <w:szCs w:val="20"/>
              </w:rPr>
              <w:t>77.7</w:t>
            </w:r>
          </w:p>
        </w:tc>
      </w:tr>
      <w:tr w:rsidR="00020311" w:rsidRPr="004F469F" w14:paraId="100837C7"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6AF62" w14:textId="77777777" w:rsidR="00020311" w:rsidRPr="004F469F" w:rsidRDefault="00020311" w:rsidP="00020311">
            <w:pPr>
              <w:rPr>
                <w:sz w:val="20"/>
                <w:szCs w:val="20"/>
              </w:rPr>
            </w:pPr>
            <w:r w:rsidRPr="004F469F">
              <w:rPr>
                <w:sz w:val="20"/>
                <w:szCs w:val="20"/>
              </w:rPr>
              <w:t>EF4</w:t>
            </w:r>
          </w:p>
        </w:tc>
        <w:tc>
          <w:tcPr>
            <w:tcW w:w="0" w:type="auto"/>
            <w:tcBorders>
              <w:top w:val="nil"/>
              <w:left w:val="nil"/>
              <w:bottom w:val="single" w:sz="4" w:space="0" w:color="auto"/>
              <w:right w:val="single" w:sz="4" w:space="0" w:color="auto"/>
            </w:tcBorders>
            <w:shd w:val="clear" w:color="auto" w:fill="auto"/>
            <w:noWrap/>
            <w:vAlign w:val="center"/>
            <w:hideMark/>
          </w:tcPr>
          <w:p w14:paraId="0F932E47" w14:textId="4259C34D" w:rsidR="00020311" w:rsidRPr="004F469F" w:rsidRDefault="00020311" w:rsidP="00020311">
            <w:pPr>
              <w:jc w:val="center"/>
              <w:rPr>
                <w:sz w:val="20"/>
                <w:szCs w:val="20"/>
              </w:rPr>
            </w:pPr>
            <w:r w:rsidRPr="004F469F">
              <w:rPr>
                <w:sz w:val="20"/>
                <w:szCs w:val="20"/>
              </w:rPr>
              <w:t>96</w:t>
            </w:r>
          </w:p>
        </w:tc>
        <w:tc>
          <w:tcPr>
            <w:tcW w:w="0" w:type="auto"/>
            <w:tcBorders>
              <w:top w:val="nil"/>
              <w:left w:val="nil"/>
              <w:bottom w:val="single" w:sz="4" w:space="0" w:color="auto"/>
              <w:right w:val="single" w:sz="4" w:space="0" w:color="auto"/>
            </w:tcBorders>
            <w:shd w:val="clear" w:color="auto" w:fill="auto"/>
            <w:noWrap/>
            <w:vAlign w:val="center"/>
            <w:hideMark/>
          </w:tcPr>
          <w:p w14:paraId="1C630DF2" w14:textId="69792E45" w:rsidR="00020311" w:rsidRPr="004F469F" w:rsidRDefault="00020311" w:rsidP="00020311">
            <w:pPr>
              <w:jc w:val="center"/>
              <w:rPr>
                <w:sz w:val="20"/>
                <w:szCs w:val="20"/>
              </w:rPr>
            </w:pPr>
            <w:r w:rsidRPr="004F469F">
              <w:rPr>
                <w:sz w:val="20"/>
                <w:szCs w:val="20"/>
              </w:rPr>
              <w:t>41.6</w:t>
            </w:r>
          </w:p>
        </w:tc>
        <w:tc>
          <w:tcPr>
            <w:tcW w:w="0" w:type="auto"/>
            <w:tcBorders>
              <w:top w:val="nil"/>
              <w:left w:val="nil"/>
              <w:bottom w:val="single" w:sz="4" w:space="0" w:color="auto"/>
              <w:right w:val="single" w:sz="4" w:space="0" w:color="auto"/>
            </w:tcBorders>
            <w:shd w:val="clear" w:color="auto" w:fill="auto"/>
            <w:noWrap/>
            <w:vAlign w:val="center"/>
            <w:hideMark/>
          </w:tcPr>
          <w:p w14:paraId="1F1AC094" w14:textId="0143B101" w:rsidR="00020311" w:rsidRPr="004F469F" w:rsidRDefault="00020311" w:rsidP="00020311">
            <w:pPr>
              <w:jc w:val="center"/>
              <w:rPr>
                <w:sz w:val="20"/>
                <w:szCs w:val="20"/>
              </w:rPr>
            </w:pPr>
            <w:r w:rsidRPr="004F469F">
              <w:rPr>
                <w:sz w:val="20"/>
                <w:szCs w:val="20"/>
              </w:rPr>
              <w:t>1,312.1</w:t>
            </w:r>
          </w:p>
        </w:tc>
        <w:tc>
          <w:tcPr>
            <w:tcW w:w="0" w:type="auto"/>
            <w:tcBorders>
              <w:top w:val="nil"/>
              <w:left w:val="nil"/>
              <w:bottom w:val="single" w:sz="4" w:space="0" w:color="auto"/>
              <w:right w:val="single" w:sz="4" w:space="0" w:color="auto"/>
            </w:tcBorders>
            <w:shd w:val="clear" w:color="auto" w:fill="auto"/>
            <w:noWrap/>
            <w:vAlign w:val="center"/>
            <w:hideMark/>
          </w:tcPr>
          <w:p w14:paraId="605AA210" w14:textId="5BF26E05" w:rsidR="00020311" w:rsidRPr="004F469F" w:rsidRDefault="00020311" w:rsidP="00020311">
            <w:pPr>
              <w:jc w:val="center"/>
              <w:rPr>
                <w:sz w:val="20"/>
                <w:szCs w:val="20"/>
              </w:rPr>
            </w:pPr>
            <w:r w:rsidRPr="004F469F">
              <w:rPr>
                <w:sz w:val="20"/>
                <w:szCs w:val="20"/>
              </w:rPr>
              <w:t>75.2</w:t>
            </w:r>
          </w:p>
        </w:tc>
      </w:tr>
      <w:tr w:rsidR="00020311" w:rsidRPr="004F469F" w14:paraId="5C5ACB6D"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0795A" w14:textId="77777777" w:rsidR="00020311" w:rsidRPr="004F469F" w:rsidRDefault="00020311" w:rsidP="00020311">
            <w:pPr>
              <w:rPr>
                <w:sz w:val="20"/>
                <w:szCs w:val="20"/>
              </w:rPr>
            </w:pPr>
            <w:r w:rsidRPr="004F469F">
              <w:rPr>
                <w:sz w:val="20"/>
                <w:szCs w:val="20"/>
              </w:rPr>
              <w:t>EF5</w:t>
            </w:r>
          </w:p>
        </w:tc>
        <w:tc>
          <w:tcPr>
            <w:tcW w:w="0" w:type="auto"/>
            <w:tcBorders>
              <w:top w:val="nil"/>
              <w:left w:val="nil"/>
              <w:bottom w:val="single" w:sz="4" w:space="0" w:color="auto"/>
              <w:right w:val="single" w:sz="4" w:space="0" w:color="auto"/>
            </w:tcBorders>
            <w:shd w:val="clear" w:color="auto" w:fill="auto"/>
            <w:noWrap/>
            <w:vAlign w:val="center"/>
            <w:hideMark/>
          </w:tcPr>
          <w:p w14:paraId="784C440A" w14:textId="36C04F1C" w:rsidR="00020311" w:rsidRPr="004F469F" w:rsidRDefault="00020311" w:rsidP="0002031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0DB2560" w14:textId="607A2635" w:rsidR="00020311" w:rsidRPr="004F469F" w:rsidRDefault="00020311" w:rsidP="00020311">
            <w:pPr>
              <w:jc w:val="center"/>
              <w:rPr>
                <w:sz w:val="20"/>
                <w:szCs w:val="20"/>
              </w:rPr>
            </w:pPr>
            <w:r w:rsidRPr="004F469F">
              <w:rPr>
                <w:sz w:val="20"/>
                <w:szCs w:val="20"/>
              </w:rPr>
              <w:t>58.6</w:t>
            </w:r>
          </w:p>
        </w:tc>
        <w:tc>
          <w:tcPr>
            <w:tcW w:w="0" w:type="auto"/>
            <w:tcBorders>
              <w:top w:val="nil"/>
              <w:left w:val="nil"/>
              <w:bottom w:val="single" w:sz="4" w:space="0" w:color="auto"/>
              <w:right w:val="single" w:sz="4" w:space="0" w:color="auto"/>
            </w:tcBorders>
            <w:shd w:val="clear" w:color="auto" w:fill="auto"/>
            <w:noWrap/>
            <w:vAlign w:val="center"/>
            <w:hideMark/>
          </w:tcPr>
          <w:p w14:paraId="1235A387" w14:textId="53BB1117" w:rsidR="00020311" w:rsidRPr="004F469F" w:rsidRDefault="00020311" w:rsidP="00020311">
            <w:pPr>
              <w:jc w:val="center"/>
              <w:rPr>
                <w:sz w:val="20"/>
                <w:szCs w:val="20"/>
              </w:rPr>
            </w:pPr>
            <w:r w:rsidRPr="004F469F">
              <w:rPr>
                <w:sz w:val="20"/>
                <w:szCs w:val="20"/>
              </w:rPr>
              <w:t>1,459.4</w:t>
            </w:r>
          </w:p>
        </w:tc>
        <w:tc>
          <w:tcPr>
            <w:tcW w:w="0" w:type="auto"/>
            <w:tcBorders>
              <w:top w:val="nil"/>
              <w:left w:val="nil"/>
              <w:bottom w:val="single" w:sz="4" w:space="0" w:color="auto"/>
              <w:right w:val="single" w:sz="4" w:space="0" w:color="auto"/>
            </w:tcBorders>
            <w:shd w:val="clear" w:color="auto" w:fill="auto"/>
            <w:noWrap/>
            <w:vAlign w:val="center"/>
            <w:hideMark/>
          </w:tcPr>
          <w:p w14:paraId="2ECF28BE" w14:textId="66C321A8" w:rsidR="00020311" w:rsidRPr="004F469F" w:rsidRDefault="00020311" w:rsidP="00020311">
            <w:pPr>
              <w:jc w:val="center"/>
              <w:rPr>
                <w:sz w:val="20"/>
                <w:szCs w:val="20"/>
              </w:rPr>
            </w:pPr>
            <w:r w:rsidRPr="004F469F">
              <w:rPr>
                <w:sz w:val="20"/>
                <w:szCs w:val="20"/>
              </w:rPr>
              <w:t>101.8</w:t>
            </w:r>
          </w:p>
        </w:tc>
      </w:tr>
      <w:tr w:rsidR="00020311" w:rsidRPr="004F469F" w14:paraId="48A45802"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3AFC9A" w14:textId="77777777" w:rsidR="00020311" w:rsidRPr="004F469F" w:rsidRDefault="00020311" w:rsidP="00020311">
            <w:pPr>
              <w:rPr>
                <w:sz w:val="20"/>
                <w:szCs w:val="20"/>
              </w:rPr>
            </w:pPr>
            <w:r w:rsidRPr="004F469F">
              <w:rPr>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4BF957EB" w14:textId="7EE0E0BA" w:rsidR="00020311" w:rsidRPr="004F469F" w:rsidRDefault="00020311" w:rsidP="00020311">
            <w:pPr>
              <w:jc w:val="center"/>
              <w:rPr>
                <w:sz w:val="20"/>
                <w:szCs w:val="20"/>
              </w:rPr>
            </w:pPr>
            <w:r w:rsidRPr="004F469F">
              <w:rPr>
                <w:sz w:val="20"/>
                <w:szCs w:val="20"/>
              </w:rPr>
              <w:t>7,408</w:t>
            </w:r>
          </w:p>
        </w:tc>
        <w:tc>
          <w:tcPr>
            <w:tcW w:w="0" w:type="auto"/>
            <w:tcBorders>
              <w:top w:val="nil"/>
              <w:left w:val="nil"/>
              <w:bottom w:val="single" w:sz="4" w:space="0" w:color="auto"/>
              <w:right w:val="single" w:sz="4" w:space="0" w:color="auto"/>
            </w:tcBorders>
            <w:shd w:val="clear" w:color="auto" w:fill="auto"/>
            <w:noWrap/>
            <w:vAlign w:val="center"/>
            <w:hideMark/>
          </w:tcPr>
          <w:p w14:paraId="37AEA026" w14:textId="4C1EF6EC" w:rsidR="00020311" w:rsidRPr="004F469F" w:rsidRDefault="00020311" w:rsidP="00020311">
            <w:pPr>
              <w:jc w:val="center"/>
              <w:rPr>
                <w:sz w:val="20"/>
                <w:szCs w:val="20"/>
              </w:rPr>
            </w:pPr>
            <w:r w:rsidRPr="004F469F">
              <w:rPr>
                <w:sz w:val="20"/>
                <w:szCs w:val="20"/>
              </w:rPr>
              <w:t>9.2</w:t>
            </w:r>
          </w:p>
        </w:tc>
        <w:tc>
          <w:tcPr>
            <w:tcW w:w="0" w:type="auto"/>
            <w:tcBorders>
              <w:top w:val="nil"/>
              <w:left w:val="nil"/>
              <w:bottom w:val="single" w:sz="4" w:space="0" w:color="auto"/>
              <w:right w:val="single" w:sz="4" w:space="0" w:color="auto"/>
            </w:tcBorders>
            <w:shd w:val="clear" w:color="auto" w:fill="auto"/>
            <w:noWrap/>
            <w:vAlign w:val="center"/>
            <w:hideMark/>
          </w:tcPr>
          <w:p w14:paraId="41429A1C" w14:textId="4BB5B17B" w:rsidR="00020311" w:rsidRPr="004F469F" w:rsidRDefault="00020311" w:rsidP="00020311">
            <w:pPr>
              <w:jc w:val="center"/>
              <w:rPr>
                <w:sz w:val="20"/>
                <w:szCs w:val="20"/>
              </w:rPr>
            </w:pPr>
            <w:r w:rsidRPr="004F469F">
              <w:rPr>
                <w:sz w:val="20"/>
                <w:szCs w:val="20"/>
              </w:rPr>
              <w:t>264.3</w:t>
            </w:r>
          </w:p>
        </w:tc>
        <w:tc>
          <w:tcPr>
            <w:tcW w:w="0" w:type="auto"/>
            <w:tcBorders>
              <w:top w:val="nil"/>
              <w:left w:val="nil"/>
              <w:bottom w:val="single" w:sz="4" w:space="0" w:color="auto"/>
              <w:right w:val="single" w:sz="4" w:space="0" w:color="auto"/>
            </w:tcBorders>
            <w:shd w:val="clear" w:color="auto" w:fill="auto"/>
            <w:noWrap/>
            <w:vAlign w:val="center"/>
            <w:hideMark/>
          </w:tcPr>
          <w:p w14:paraId="331F08E0" w14:textId="40FE4AC5" w:rsidR="00020311" w:rsidRPr="004F469F" w:rsidRDefault="00020311" w:rsidP="00020311">
            <w:pPr>
              <w:jc w:val="center"/>
              <w:rPr>
                <w:sz w:val="20"/>
                <w:szCs w:val="20"/>
              </w:rPr>
            </w:pPr>
            <w:r w:rsidRPr="004F469F">
              <w:rPr>
                <w:sz w:val="20"/>
                <w:szCs w:val="20"/>
              </w:rPr>
              <w:t>77.4</w:t>
            </w:r>
          </w:p>
        </w:tc>
      </w:tr>
      <w:tr w:rsidR="00020311" w:rsidRPr="004F469F" w14:paraId="1C3EE281"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D12E60" w14:textId="77777777" w:rsidR="00020311" w:rsidRPr="004F469F" w:rsidRDefault="00020311" w:rsidP="00020311">
            <w:pPr>
              <w:rPr>
                <w:sz w:val="20"/>
                <w:szCs w:val="20"/>
              </w:rPr>
            </w:pPr>
            <w:r w:rsidRPr="004F469F">
              <w:rPr>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6AECF70F" w14:textId="3F521407" w:rsidR="00020311" w:rsidRPr="004F469F" w:rsidRDefault="00020311" w:rsidP="00020311">
            <w:pPr>
              <w:jc w:val="center"/>
              <w:rPr>
                <w:sz w:val="20"/>
                <w:szCs w:val="20"/>
              </w:rPr>
            </w:pPr>
            <w:r w:rsidRPr="004F469F">
              <w:rPr>
                <w:sz w:val="20"/>
                <w:szCs w:val="20"/>
              </w:rPr>
              <w:t>1,535</w:t>
            </w:r>
          </w:p>
        </w:tc>
        <w:tc>
          <w:tcPr>
            <w:tcW w:w="0" w:type="auto"/>
            <w:tcBorders>
              <w:top w:val="nil"/>
              <w:left w:val="nil"/>
              <w:bottom w:val="single" w:sz="4" w:space="0" w:color="auto"/>
              <w:right w:val="single" w:sz="4" w:space="0" w:color="auto"/>
            </w:tcBorders>
            <w:shd w:val="clear" w:color="auto" w:fill="auto"/>
            <w:noWrap/>
            <w:vAlign w:val="center"/>
            <w:hideMark/>
          </w:tcPr>
          <w:p w14:paraId="1FCEE0A7" w14:textId="3D816C41" w:rsidR="00020311" w:rsidRPr="004F469F" w:rsidRDefault="00020311" w:rsidP="00020311">
            <w:pPr>
              <w:jc w:val="center"/>
              <w:rPr>
                <w:sz w:val="20"/>
                <w:szCs w:val="20"/>
              </w:rPr>
            </w:pPr>
            <w:r w:rsidRPr="004F469F">
              <w:rPr>
                <w:sz w:val="20"/>
                <w:szCs w:val="20"/>
              </w:rPr>
              <w:t>23.7</w:t>
            </w:r>
          </w:p>
        </w:tc>
        <w:tc>
          <w:tcPr>
            <w:tcW w:w="0" w:type="auto"/>
            <w:tcBorders>
              <w:top w:val="nil"/>
              <w:left w:val="nil"/>
              <w:bottom w:val="single" w:sz="4" w:space="0" w:color="auto"/>
              <w:right w:val="single" w:sz="4" w:space="0" w:color="auto"/>
            </w:tcBorders>
            <w:shd w:val="clear" w:color="auto" w:fill="auto"/>
            <w:noWrap/>
            <w:vAlign w:val="center"/>
            <w:hideMark/>
          </w:tcPr>
          <w:p w14:paraId="5E8D3737" w14:textId="3753639C" w:rsidR="00020311" w:rsidRPr="004F469F" w:rsidRDefault="00020311" w:rsidP="00020311">
            <w:pPr>
              <w:jc w:val="center"/>
              <w:rPr>
                <w:sz w:val="20"/>
                <w:szCs w:val="20"/>
              </w:rPr>
            </w:pPr>
            <w:r w:rsidRPr="004F469F">
              <w:rPr>
                <w:sz w:val="20"/>
                <w:szCs w:val="20"/>
              </w:rPr>
              <w:t>675.2</w:t>
            </w:r>
          </w:p>
        </w:tc>
        <w:tc>
          <w:tcPr>
            <w:tcW w:w="0" w:type="auto"/>
            <w:tcBorders>
              <w:top w:val="nil"/>
              <w:left w:val="nil"/>
              <w:bottom w:val="single" w:sz="4" w:space="0" w:color="auto"/>
              <w:right w:val="single" w:sz="4" w:space="0" w:color="auto"/>
            </w:tcBorders>
            <w:shd w:val="clear" w:color="auto" w:fill="auto"/>
            <w:noWrap/>
            <w:vAlign w:val="center"/>
            <w:hideMark/>
          </w:tcPr>
          <w:p w14:paraId="6A8C1CEF" w14:textId="3164AF14" w:rsidR="00020311" w:rsidRPr="004F469F" w:rsidRDefault="00020311" w:rsidP="00020311">
            <w:pPr>
              <w:jc w:val="center"/>
              <w:rPr>
                <w:sz w:val="20"/>
                <w:szCs w:val="20"/>
              </w:rPr>
            </w:pPr>
            <w:r w:rsidRPr="004F469F">
              <w:rPr>
                <w:sz w:val="20"/>
                <w:szCs w:val="20"/>
              </w:rPr>
              <w:t>76.1</w:t>
            </w:r>
          </w:p>
        </w:tc>
      </w:tr>
      <w:tr w:rsidR="00020311" w:rsidRPr="004F469F" w14:paraId="4E0D8B08" w14:textId="77777777" w:rsidTr="00020311">
        <w:trPr>
          <w:trHeight w:val="33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8434FF" w14:textId="77777777" w:rsidR="00020311" w:rsidRPr="004F469F" w:rsidRDefault="00020311" w:rsidP="00020311">
            <w:pPr>
              <w:rPr>
                <w:sz w:val="20"/>
                <w:szCs w:val="20"/>
              </w:rPr>
            </w:pPr>
            <w:r w:rsidRPr="004F469F">
              <w:rPr>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71F1F513" w14:textId="779121C1" w:rsidR="00020311" w:rsidRPr="004F469F" w:rsidRDefault="00020311" w:rsidP="00020311">
            <w:pPr>
              <w:jc w:val="center"/>
              <w:rPr>
                <w:sz w:val="20"/>
                <w:szCs w:val="20"/>
              </w:rPr>
            </w:pPr>
            <w:r w:rsidRPr="004F469F">
              <w:rPr>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6A53BCF5" w14:textId="56E822F7" w:rsidR="00020311" w:rsidRPr="004F469F" w:rsidRDefault="00020311" w:rsidP="00020311">
            <w:pPr>
              <w:jc w:val="center"/>
              <w:rPr>
                <w:sz w:val="20"/>
                <w:szCs w:val="20"/>
              </w:rPr>
            </w:pPr>
            <w:r w:rsidRPr="004F469F">
              <w:rPr>
                <w:sz w:val="20"/>
                <w:szCs w:val="20"/>
              </w:rPr>
              <w:t>42.3</w:t>
            </w:r>
          </w:p>
        </w:tc>
        <w:tc>
          <w:tcPr>
            <w:tcW w:w="0" w:type="auto"/>
            <w:tcBorders>
              <w:top w:val="nil"/>
              <w:left w:val="nil"/>
              <w:bottom w:val="single" w:sz="4" w:space="0" w:color="auto"/>
              <w:right w:val="single" w:sz="4" w:space="0" w:color="auto"/>
            </w:tcBorders>
            <w:shd w:val="clear" w:color="auto" w:fill="auto"/>
            <w:noWrap/>
            <w:vAlign w:val="center"/>
            <w:hideMark/>
          </w:tcPr>
          <w:p w14:paraId="2984E1F1" w14:textId="61252E48" w:rsidR="00020311" w:rsidRPr="004F469F" w:rsidRDefault="00020311" w:rsidP="00020311">
            <w:pPr>
              <w:jc w:val="center"/>
              <w:rPr>
                <w:sz w:val="20"/>
                <w:szCs w:val="20"/>
              </w:rPr>
            </w:pPr>
            <w:r w:rsidRPr="004F469F">
              <w:rPr>
                <w:sz w:val="20"/>
                <w:szCs w:val="20"/>
              </w:rPr>
              <w:t>1,318.0</w:t>
            </w:r>
          </w:p>
        </w:tc>
        <w:tc>
          <w:tcPr>
            <w:tcW w:w="0" w:type="auto"/>
            <w:tcBorders>
              <w:top w:val="nil"/>
              <w:left w:val="nil"/>
              <w:bottom w:val="single" w:sz="4" w:space="0" w:color="auto"/>
              <w:right w:val="single" w:sz="4" w:space="0" w:color="auto"/>
            </w:tcBorders>
            <w:shd w:val="clear" w:color="auto" w:fill="auto"/>
            <w:noWrap/>
            <w:vAlign w:val="center"/>
            <w:hideMark/>
          </w:tcPr>
          <w:p w14:paraId="69DC9358" w14:textId="053882BA" w:rsidR="00020311" w:rsidRPr="004F469F" w:rsidRDefault="00020311" w:rsidP="00020311">
            <w:pPr>
              <w:jc w:val="center"/>
              <w:rPr>
                <w:sz w:val="20"/>
                <w:szCs w:val="20"/>
              </w:rPr>
            </w:pPr>
            <w:r w:rsidRPr="004F469F">
              <w:rPr>
                <w:sz w:val="20"/>
                <w:szCs w:val="20"/>
              </w:rPr>
              <w:t>76.2</w:t>
            </w:r>
          </w:p>
        </w:tc>
      </w:tr>
    </w:tbl>
    <w:p w14:paraId="789B999B" w14:textId="1DEEE760" w:rsidR="00A4283D" w:rsidRPr="004F469F" w:rsidRDefault="00A4283D" w:rsidP="00A4283D">
      <w:pPr>
        <w:widowControl w:val="0"/>
        <w:autoSpaceDE w:val="0"/>
        <w:autoSpaceDN w:val="0"/>
        <w:adjustRightInd w:val="0"/>
        <w:spacing w:line="480" w:lineRule="auto"/>
        <w:rPr>
          <w:sz w:val="20"/>
          <w:szCs w:val="20"/>
        </w:rPr>
      </w:pPr>
    </w:p>
    <w:p w14:paraId="712F06BE" w14:textId="3422A20F" w:rsidR="00A4283D" w:rsidRPr="004F469F" w:rsidRDefault="00A4283D" w:rsidP="00A4283D">
      <w:pPr>
        <w:widowControl w:val="0"/>
        <w:autoSpaceDE w:val="0"/>
        <w:autoSpaceDN w:val="0"/>
        <w:adjustRightInd w:val="0"/>
        <w:spacing w:line="480" w:lineRule="auto"/>
        <w:rPr>
          <w:sz w:val="20"/>
          <w:szCs w:val="20"/>
        </w:rPr>
      </w:pPr>
    </w:p>
    <w:p w14:paraId="2FAFD6D1" w14:textId="07D0E0B4" w:rsidR="00A4283D" w:rsidRPr="004F469F" w:rsidRDefault="00A4283D" w:rsidP="00A4283D">
      <w:pPr>
        <w:widowControl w:val="0"/>
        <w:autoSpaceDE w:val="0"/>
        <w:autoSpaceDN w:val="0"/>
        <w:adjustRightInd w:val="0"/>
        <w:spacing w:line="480" w:lineRule="auto"/>
        <w:rPr>
          <w:sz w:val="20"/>
          <w:szCs w:val="20"/>
        </w:rPr>
      </w:pPr>
    </w:p>
    <w:p w14:paraId="73490585" w14:textId="5365BEFE" w:rsidR="00A4283D" w:rsidRPr="004F469F" w:rsidRDefault="00A4283D" w:rsidP="00A4283D">
      <w:pPr>
        <w:widowControl w:val="0"/>
        <w:autoSpaceDE w:val="0"/>
        <w:autoSpaceDN w:val="0"/>
        <w:adjustRightInd w:val="0"/>
        <w:spacing w:line="480" w:lineRule="auto"/>
        <w:rPr>
          <w:sz w:val="20"/>
          <w:szCs w:val="20"/>
        </w:rPr>
      </w:pPr>
    </w:p>
    <w:p w14:paraId="015D03E6" w14:textId="686B3810" w:rsidR="00A4283D" w:rsidRPr="004F469F" w:rsidRDefault="00A4283D" w:rsidP="00A4283D">
      <w:pPr>
        <w:widowControl w:val="0"/>
        <w:autoSpaceDE w:val="0"/>
        <w:autoSpaceDN w:val="0"/>
        <w:adjustRightInd w:val="0"/>
        <w:spacing w:line="480" w:lineRule="auto"/>
        <w:rPr>
          <w:sz w:val="20"/>
          <w:szCs w:val="20"/>
        </w:rPr>
      </w:pPr>
    </w:p>
    <w:p w14:paraId="7452AFC7" w14:textId="232E552A" w:rsidR="00A4283D" w:rsidRPr="004F469F" w:rsidRDefault="00A4283D" w:rsidP="00A4283D">
      <w:pPr>
        <w:widowControl w:val="0"/>
        <w:autoSpaceDE w:val="0"/>
        <w:autoSpaceDN w:val="0"/>
        <w:adjustRightInd w:val="0"/>
        <w:spacing w:line="480" w:lineRule="auto"/>
        <w:rPr>
          <w:sz w:val="20"/>
          <w:szCs w:val="20"/>
        </w:rPr>
      </w:pPr>
    </w:p>
    <w:p w14:paraId="4385E714" w14:textId="02FEB44D" w:rsidR="00A4283D" w:rsidRPr="004F469F" w:rsidRDefault="00A4283D" w:rsidP="00A4283D">
      <w:pPr>
        <w:widowControl w:val="0"/>
        <w:autoSpaceDE w:val="0"/>
        <w:autoSpaceDN w:val="0"/>
        <w:adjustRightInd w:val="0"/>
        <w:spacing w:line="480" w:lineRule="auto"/>
        <w:rPr>
          <w:sz w:val="20"/>
          <w:szCs w:val="20"/>
        </w:rPr>
      </w:pPr>
    </w:p>
    <w:p w14:paraId="00578CC6" w14:textId="39C02E25" w:rsidR="00A4283D" w:rsidRPr="004F469F" w:rsidRDefault="00A4283D" w:rsidP="00A4283D">
      <w:pPr>
        <w:widowControl w:val="0"/>
        <w:autoSpaceDE w:val="0"/>
        <w:autoSpaceDN w:val="0"/>
        <w:adjustRightInd w:val="0"/>
        <w:spacing w:line="480" w:lineRule="auto"/>
        <w:rPr>
          <w:sz w:val="20"/>
          <w:szCs w:val="20"/>
        </w:rPr>
      </w:pPr>
    </w:p>
    <w:p w14:paraId="1CB72458" w14:textId="38FA048F" w:rsidR="00A4283D" w:rsidRPr="004F469F" w:rsidRDefault="00A4283D" w:rsidP="00A4283D">
      <w:pPr>
        <w:widowControl w:val="0"/>
        <w:autoSpaceDE w:val="0"/>
        <w:autoSpaceDN w:val="0"/>
        <w:adjustRightInd w:val="0"/>
        <w:spacing w:line="480" w:lineRule="auto"/>
        <w:rPr>
          <w:sz w:val="20"/>
          <w:szCs w:val="20"/>
        </w:rPr>
      </w:pPr>
    </w:p>
    <w:p w14:paraId="6A8DAB74" w14:textId="57F7623F" w:rsidR="00A4283D" w:rsidRPr="004F469F" w:rsidRDefault="00A4283D" w:rsidP="00A4283D">
      <w:pPr>
        <w:widowControl w:val="0"/>
        <w:autoSpaceDE w:val="0"/>
        <w:autoSpaceDN w:val="0"/>
        <w:adjustRightInd w:val="0"/>
        <w:spacing w:line="480" w:lineRule="auto"/>
        <w:rPr>
          <w:sz w:val="20"/>
          <w:szCs w:val="20"/>
        </w:rPr>
      </w:pPr>
    </w:p>
    <w:p w14:paraId="4880F450" w14:textId="16296A58" w:rsidR="00A4283D" w:rsidRPr="004F469F" w:rsidRDefault="00A4283D" w:rsidP="00A4283D">
      <w:pPr>
        <w:widowControl w:val="0"/>
        <w:autoSpaceDE w:val="0"/>
        <w:autoSpaceDN w:val="0"/>
        <w:adjustRightInd w:val="0"/>
        <w:spacing w:line="480" w:lineRule="auto"/>
        <w:rPr>
          <w:sz w:val="20"/>
          <w:szCs w:val="20"/>
        </w:rPr>
      </w:pPr>
    </w:p>
    <w:p w14:paraId="4DE17E2C" w14:textId="5EB22D68" w:rsidR="00A4283D" w:rsidRPr="004F469F" w:rsidRDefault="00A4283D" w:rsidP="00A4283D">
      <w:pPr>
        <w:widowControl w:val="0"/>
        <w:autoSpaceDE w:val="0"/>
        <w:autoSpaceDN w:val="0"/>
        <w:adjustRightInd w:val="0"/>
        <w:spacing w:line="480" w:lineRule="auto"/>
        <w:rPr>
          <w:sz w:val="20"/>
          <w:szCs w:val="20"/>
        </w:rPr>
      </w:pPr>
    </w:p>
    <w:p w14:paraId="7484DD4C" w14:textId="282AA9BE" w:rsidR="00A4283D" w:rsidRPr="004F469F" w:rsidRDefault="00A4283D" w:rsidP="00A4283D">
      <w:pPr>
        <w:widowControl w:val="0"/>
        <w:autoSpaceDE w:val="0"/>
        <w:autoSpaceDN w:val="0"/>
        <w:adjustRightInd w:val="0"/>
        <w:spacing w:line="480" w:lineRule="auto"/>
        <w:rPr>
          <w:sz w:val="20"/>
          <w:szCs w:val="20"/>
        </w:rPr>
      </w:pPr>
    </w:p>
    <w:p w14:paraId="07BE9EB1" w14:textId="0C361DCD" w:rsidR="00A4283D" w:rsidRPr="004F469F" w:rsidRDefault="00A4283D" w:rsidP="00A4283D">
      <w:pPr>
        <w:widowControl w:val="0"/>
        <w:autoSpaceDE w:val="0"/>
        <w:autoSpaceDN w:val="0"/>
        <w:adjustRightInd w:val="0"/>
        <w:spacing w:line="480" w:lineRule="auto"/>
        <w:rPr>
          <w:sz w:val="20"/>
          <w:szCs w:val="20"/>
        </w:rPr>
      </w:pPr>
    </w:p>
    <w:p w14:paraId="1321EA76" w14:textId="172C720F" w:rsidR="00A4283D" w:rsidRPr="004F469F" w:rsidRDefault="00A4283D" w:rsidP="00A4283D">
      <w:pPr>
        <w:widowControl w:val="0"/>
        <w:autoSpaceDE w:val="0"/>
        <w:autoSpaceDN w:val="0"/>
        <w:adjustRightInd w:val="0"/>
        <w:spacing w:line="480" w:lineRule="auto"/>
        <w:rPr>
          <w:sz w:val="20"/>
          <w:szCs w:val="20"/>
        </w:rPr>
      </w:pPr>
    </w:p>
    <w:p w14:paraId="1F205DFA" w14:textId="37C1FFF6" w:rsidR="00A4283D" w:rsidRPr="004F469F" w:rsidRDefault="00A4283D" w:rsidP="00A4283D">
      <w:pPr>
        <w:widowControl w:val="0"/>
        <w:autoSpaceDE w:val="0"/>
        <w:autoSpaceDN w:val="0"/>
        <w:adjustRightInd w:val="0"/>
        <w:spacing w:line="480" w:lineRule="auto"/>
        <w:rPr>
          <w:sz w:val="20"/>
          <w:szCs w:val="20"/>
        </w:rPr>
      </w:pPr>
    </w:p>
    <w:p w14:paraId="2885466D" w14:textId="77777777" w:rsidR="00A4283D" w:rsidRPr="004F469F" w:rsidRDefault="00A4283D" w:rsidP="00A4283D">
      <w:pPr>
        <w:widowControl w:val="0"/>
        <w:autoSpaceDE w:val="0"/>
        <w:autoSpaceDN w:val="0"/>
        <w:adjustRightInd w:val="0"/>
        <w:spacing w:line="480" w:lineRule="auto"/>
        <w:rPr>
          <w:sz w:val="20"/>
          <w:szCs w:val="20"/>
        </w:rPr>
      </w:pPr>
    </w:p>
    <w:p w14:paraId="0D84CEB1" w14:textId="77777777" w:rsidR="00A4283D" w:rsidRPr="004F469F" w:rsidRDefault="00A4283D" w:rsidP="00A4283D">
      <w:pPr>
        <w:widowControl w:val="0"/>
        <w:autoSpaceDE w:val="0"/>
        <w:autoSpaceDN w:val="0"/>
        <w:adjustRightInd w:val="0"/>
        <w:rPr>
          <w:sz w:val="20"/>
          <w:szCs w:val="20"/>
        </w:rPr>
      </w:pPr>
    </w:p>
    <w:p w14:paraId="26F0A80A" w14:textId="06234C40" w:rsidR="00A4283D" w:rsidRPr="004F469F" w:rsidRDefault="00A4283D" w:rsidP="00A4283D">
      <w:pPr>
        <w:pStyle w:val="Caption"/>
        <w:keepNext/>
        <w:rPr>
          <w:rFonts w:ascii="Times New Roman" w:hAnsi="Times New Roman" w:cs="Times New Roman"/>
          <w:i w:val="0"/>
          <w:iCs w:val="0"/>
          <w:color w:val="auto"/>
          <w:sz w:val="24"/>
          <w:szCs w:val="24"/>
        </w:rPr>
      </w:pPr>
      <w:bookmarkStart w:id="68" w:name="_Toc22034998"/>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Impact analysis from a 1,000-year TorDIS simulation over the Oklahoma City Metropolitan Statistical Area. Results are organised by tornado magnitude and include annual occurrence probability, return period, mean number of persons impacted by an individual tornado, and the mean number of persons impacted per year.</w:t>
      </w:r>
      <w:bookmarkEnd w:id="68"/>
    </w:p>
    <w:tbl>
      <w:tblPr>
        <w:tblW w:w="0" w:type="auto"/>
        <w:tblLook w:val="04A0" w:firstRow="1" w:lastRow="0" w:firstColumn="1" w:lastColumn="0" w:noHBand="0" w:noVBand="1"/>
      </w:tblPr>
      <w:tblGrid>
        <w:gridCol w:w="1724"/>
        <w:gridCol w:w="2094"/>
        <w:gridCol w:w="1495"/>
        <w:gridCol w:w="2047"/>
        <w:gridCol w:w="1990"/>
      </w:tblGrid>
      <w:tr w:rsidR="00494669" w:rsidRPr="004F469F" w14:paraId="5264A04C" w14:textId="77777777" w:rsidTr="00A4283D">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FA03B7" w14:textId="77777777" w:rsidR="00A4283D" w:rsidRPr="004F469F" w:rsidRDefault="00A4283D" w:rsidP="00A4283D">
            <w:pPr>
              <w:rPr>
                <w:b/>
                <w:bCs/>
                <w:sz w:val="20"/>
                <w:szCs w:val="20"/>
              </w:rPr>
            </w:pPr>
            <w:r w:rsidRPr="004F469F">
              <w:rPr>
                <w:b/>
                <w:bCs/>
                <w:sz w:val="20"/>
                <w:szCs w:val="20"/>
              </w:rPr>
              <w:t>Magnitude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6D4BCA" w14:textId="77777777" w:rsidR="00A4283D" w:rsidRPr="004F469F" w:rsidRDefault="00A4283D" w:rsidP="00A4283D">
            <w:pPr>
              <w:jc w:val="center"/>
              <w:rPr>
                <w:b/>
                <w:bCs/>
                <w:sz w:val="20"/>
                <w:szCs w:val="20"/>
              </w:rPr>
            </w:pPr>
            <w:r w:rsidRPr="004F469F">
              <w:rPr>
                <w:b/>
                <w:bCs/>
                <w:sz w:val="20"/>
                <w:szCs w:val="20"/>
              </w:rPr>
              <w:t>Annual Occurrence Probability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0142BA" w14:textId="77777777" w:rsidR="00A4283D" w:rsidRPr="004F469F" w:rsidRDefault="00A4283D" w:rsidP="00A4283D">
            <w:pPr>
              <w:jc w:val="center"/>
              <w:rPr>
                <w:b/>
                <w:bCs/>
                <w:sz w:val="20"/>
                <w:szCs w:val="20"/>
              </w:rPr>
            </w:pPr>
            <w:r w:rsidRPr="004F469F">
              <w:rPr>
                <w:b/>
                <w:bCs/>
                <w:sz w:val="20"/>
                <w:szCs w:val="20"/>
              </w:rPr>
              <w:t>Return Period (years)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6991D8" w14:textId="77777777" w:rsidR="00A4283D" w:rsidRPr="004F469F" w:rsidRDefault="00A4283D" w:rsidP="00A4283D">
            <w:pPr>
              <w:jc w:val="center"/>
              <w:rPr>
                <w:b/>
                <w:bCs/>
                <w:sz w:val="20"/>
                <w:szCs w:val="20"/>
              </w:rPr>
            </w:pPr>
            <w:r w:rsidRPr="004F469F">
              <w:rPr>
                <w:b/>
                <w:bCs/>
                <w:sz w:val="20"/>
                <w:szCs w:val="20"/>
              </w:rPr>
              <w:t>Mean Tornado Impact (Persons)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CCEC1" w14:textId="77777777" w:rsidR="00A4283D" w:rsidRPr="004F469F" w:rsidRDefault="00A4283D" w:rsidP="00A4283D">
            <w:pPr>
              <w:jc w:val="center"/>
              <w:rPr>
                <w:b/>
                <w:bCs/>
                <w:sz w:val="20"/>
                <w:szCs w:val="20"/>
              </w:rPr>
            </w:pPr>
            <w:r w:rsidRPr="004F469F">
              <w:rPr>
                <w:b/>
                <w:bCs/>
                <w:sz w:val="20"/>
                <w:szCs w:val="20"/>
              </w:rPr>
              <w:t>Mean Annual Impact (Persons)</w:t>
            </w:r>
          </w:p>
        </w:tc>
      </w:tr>
      <w:tr w:rsidR="00020311" w:rsidRPr="004F469F" w14:paraId="52205C3C"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6669CF" w14:textId="77777777" w:rsidR="00020311" w:rsidRPr="004F469F" w:rsidRDefault="00020311" w:rsidP="00020311">
            <w:pPr>
              <w:rPr>
                <w:sz w:val="20"/>
                <w:szCs w:val="20"/>
              </w:rPr>
            </w:pPr>
            <w:r w:rsidRPr="004F469F">
              <w:rPr>
                <w:sz w:val="20"/>
                <w:szCs w:val="20"/>
              </w:rPr>
              <w:t>EF0</w:t>
            </w:r>
          </w:p>
        </w:tc>
        <w:tc>
          <w:tcPr>
            <w:tcW w:w="0" w:type="auto"/>
            <w:tcBorders>
              <w:top w:val="nil"/>
              <w:left w:val="nil"/>
              <w:bottom w:val="single" w:sz="4" w:space="0" w:color="auto"/>
              <w:right w:val="single" w:sz="4" w:space="0" w:color="auto"/>
            </w:tcBorders>
            <w:shd w:val="clear" w:color="auto" w:fill="auto"/>
            <w:noWrap/>
            <w:vAlign w:val="center"/>
            <w:hideMark/>
          </w:tcPr>
          <w:p w14:paraId="68F6211C" w14:textId="79A2F21F" w:rsidR="00020311" w:rsidRPr="004F469F" w:rsidRDefault="00020311" w:rsidP="00020311">
            <w:pPr>
              <w:jc w:val="center"/>
              <w:rPr>
                <w:sz w:val="20"/>
                <w:szCs w:val="20"/>
              </w:rPr>
            </w:pPr>
            <w:r w:rsidRPr="004F469F">
              <w:rPr>
                <w:sz w:val="20"/>
                <w:szCs w:val="20"/>
              </w:rPr>
              <w:t>3.279</w:t>
            </w:r>
          </w:p>
        </w:tc>
        <w:tc>
          <w:tcPr>
            <w:tcW w:w="0" w:type="auto"/>
            <w:tcBorders>
              <w:top w:val="nil"/>
              <w:left w:val="nil"/>
              <w:bottom w:val="single" w:sz="4" w:space="0" w:color="auto"/>
              <w:right w:val="single" w:sz="4" w:space="0" w:color="auto"/>
            </w:tcBorders>
            <w:shd w:val="clear" w:color="auto" w:fill="auto"/>
            <w:noWrap/>
            <w:vAlign w:val="center"/>
            <w:hideMark/>
          </w:tcPr>
          <w:p w14:paraId="45611333" w14:textId="6940E9C1" w:rsidR="00020311" w:rsidRPr="004F469F" w:rsidRDefault="00020311" w:rsidP="00020311">
            <w:pPr>
              <w:jc w:val="center"/>
              <w:rPr>
                <w:sz w:val="20"/>
                <w:szCs w:val="20"/>
              </w:rPr>
            </w:pPr>
            <w:r w:rsidRPr="004F469F">
              <w:rPr>
                <w:sz w:val="20"/>
                <w:szCs w:val="20"/>
              </w:rPr>
              <w:t>0.305</w:t>
            </w:r>
          </w:p>
        </w:tc>
        <w:tc>
          <w:tcPr>
            <w:tcW w:w="0" w:type="auto"/>
            <w:tcBorders>
              <w:top w:val="nil"/>
              <w:left w:val="nil"/>
              <w:bottom w:val="single" w:sz="4" w:space="0" w:color="auto"/>
              <w:right w:val="single" w:sz="4" w:space="0" w:color="auto"/>
            </w:tcBorders>
            <w:shd w:val="clear" w:color="auto" w:fill="auto"/>
            <w:noWrap/>
            <w:vAlign w:val="center"/>
            <w:hideMark/>
          </w:tcPr>
          <w:p w14:paraId="382A782D" w14:textId="7CC79D0B" w:rsidR="00020311" w:rsidRPr="004F469F" w:rsidRDefault="00020311" w:rsidP="00020311">
            <w:pPr>
              <w:jc w:val="center"/>
              <w:rPr>
                <w:sz w:val="20"/>
                <w:szCs w:val="20"/>
              </w:rPr>
            </w:pPr>
            <w:r w:rsidRPr="004F469F">
              <w:rPr>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5051185C" w14:textId="1574CE60" w:rsidR="00020311" w:rsidRPr="004F469F" w:rsidRDefault="00020311" w:rsidP="00020311">
            <w:pPr>
              <w:jc w:val="center"/>
              <w:rPr>
                <w:sz w:val="20"/>
                <w:szCs w:val="20"/>
              </w:rPr>
            </w:pPr>
            <w:r w:rsidRPr="004F469F">
              <w:rPr>
                <w:sz w:val="20"/>
                <w:szCs w:val="20"/>
              </w:rPr>
              <w:t>48</w:t>
            </w:r>
          </w:p>
        </w:tc>
      </w:tr>
      <w:tr w:rsidR="00020311" w:rsidRPr="004F469F" w14:paraId="08FF23CD"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7F4955" w14:textId="77777777" w:rsidR="00020311" w:rsidRPr="004F469F" w:rsidRDefault="00020311" w:rsidP="00020311">
            <w:pPr>
              <w:rPr>
                <w:sz w:val="20"/>
                <w:szCs w:val="20"/>
              </w:rPr>
            </w:pPr>
            <w:r w:rsidRPr="004F469F">
              <w:rPr>
                <w:sz w:val="20"/>
                <w:szCs w:val="20"/>
              </w:rPr>
              <w:t>EF1</w:t>
            </w:r>
          </w:p>
        </w:tc>
        <w:tc>
          <w:tcPr>
            <w:tcW w:w="0" w:type="auto"/>
            <w:tcBorders>
              <w:top w:val="nil"/>
              <w:left w:val="nil"/>
              <w:bottom w:val="single" w:sz="4" w:space="0" w:color="auto"/>
              <w:right w:val="single" w:sz="4" w:space="0" w:color="auto"/>
            </w:tcBorders>
            <w:shd w:val="clear" w:color="auto" w:fill="auto"/>
            <w:noWrap/>
            <w:vAlign w:val="center"/>
            <w:hideMark/>
          </w:tcPr>
          <w:p w14:paraId="342D0C0F" w14:textId="6AA50559" w:rsidR="00020311" w:rsidRPr="004F469F" w:rsidRDefault="00020311" w:rsidP="00020311">
            <w:pPr>
              <w:jc w:val="center"/>
              <w:rPr>
                <w:sz w:val="20"/>
                <w:szCs w:val="20"/>
              </w:rPr>
            </w:pPr>
            <w:r w:rsidRPr="004F469F">
              <w:rPr>
                <w:sz w:val="20"/>
                <w:szCs w:val="20"/>
              </w:rPr>
              <w:t>2.594</w:t>
            </w:r>
          </w:p>
        </w:tc>
        <w:tc>
          <w:tcPr>
            <w:tcW w:w="0" w:type="auto"/>
            <w:tcBorders>
              <w:top w:val="nil"/>
              <w:left w:val="nil"/>
              <w:bottom w:val="single" w:sz="4" w:space="0" w:color="auto"/>
              <w:right w:val="single" w:sz="4" w:space="0" w:color="auto"/>
            </w:tcBorders>
            <w:shd w:val="clear" w:color="auto" w:fill="auto"/>
            <w:noWrap/>
            <w:vAlign w:val="center"/>
            <w:hideMark/>
          </w:tcPr>
          <w:p w14:paraId="3F346E8C" w14:textId="2728CAE9" w:rsidR="00020311" w:rsidRPr="004F469F" w:rsidRDefault="00020311" w:rsidP="00020311">
            <w:pPr>
              <w:jc w:val="center"/>
              <w:rPr>
                <w:sz w:val="20"/>
                <w:szCs w:val="20"/>
              </w:rPr>
            </w:pPr>
            <w:r w:rsidRPr="004F469F">
              <w:rPr>
                <w:sz w:val="20"/>
                <w:szCs w:val="20"/>
              </w:rPr>
              <w:t>0.386</w:t>
            </w:r>
          </w:p>
        </w:tc>
        <w:tc>
          <w:tcPr>
            <w:tcW w:w="0" w:type="auto"/>
            <w:tcBorders>
              <w:top w:val="nil"/>
              <w:left w:val="nil"/>
              <w:bottom w:val="single" w:sz="4" w:space="0" w:color="auto"/>
              <w:right w:val="single" w:sz="4" w:space="0" w:color="auto"/>
            </w:tcBorders>
            <w:shd w:val="clear" w:color="auto" w:fill="auto"/>
            <w:noWrap/>
            <w:vAlign w:val="center"/>
            <w:hideMark/>
          </w:tcPr>
          <w:p w14:paraId="5981B531" w14:textId="43B2BFD2" w:rsidR="00020311" w:rsidRPr="004F469F" w:rsidRDefault="00020311" w:rsidP="00020311">
            <w:pPr>
              <w:jc w:val="center"/>
              <w:rPr>
                <w:sz w:val="20"/>
                <w:szCs w:val="20"/>
              </w:rPr>
            </w:pPr>
            <w:r w:rsidRPr="004F469F">
              <w:rPr>
                <w:sz w:val="20"/>
                <w:szCs w:val="20"/>
              </w:rPr>
              <w:t>113</w:t>
            </w:r>
          </w:p>
        </w:tc>
        <w:tc>
          <w:tcPr>
            <w:tcW w:w="0" w:type="auto"/>
            <w:tcBorders>
              <w:top w:val="nil"/>
              <w:left w:val="nil"/>
              <w:bottom w:val="single" w:sz="4" w:space="0" w:color="auto"/>
              <w:right w:val="single" w:sz="4" w:space="0" w:color="auto"/>
            </w:tcBorders>
            <w:shd w:val="clear" w:color="auto" w:fill="auto"/>
            <w:noWrap/>
            <w:vAlign w:val="center"/>
            <w:hideMark/>
          </w:tcPr>
          <w:p w14:paraId="60110BD0" w14:textId="2BAA3C12" w:rsidR="00020311" w:rsidRPr="004F469F" w:rsidRDefault="00020311" w:rsidP="00020311">
            <w:pPr>
              <w:jc w:val="center"/>
              <w:rPr>
                <w:sz w:val="20"/>
                <w:szCs w:val="20"/>
              </w:rPr>
            </w:pPr>
            <w:r w:rsidRPr="004F469F">
              <w:rPr>
                <w:sz w:val="20"/>
                <w:szCs w:val="20"/>
              </w:rPr>
              <w:t>294</w:t>
            </w:r>
          </w:p>
        </w:tc>
      </w:tr>
      <w:tr w:rsidR="00020311" w:rsidRPr="004F469F" w14:paraId="7F0E10E9"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D1EE7" w14:textId="77777777" w:rsidR="00020311" w:rsidRPr="004F469F" w:rsidRDefault="00020311" w:rsidP="00020311">
            <w:pPr>
              <w:rPr>
                <w:sz w:val="20"/>
                <w:szCs w:val="20"/>
              </w:rPr>
            </w:pPr>
            <w:r w:rsidRPr="004F469F">
              <w:rPr>
                <w:sz w:val="20"/>
                <w:szCs w:val="20"/>
              </w:rPr>
              <w:t>EF2</w:t>
            </w:r>
          </w:p>
        </w:tc>
        <w:tc>
          <w:tcPr>
            <w:tcW w:w="0" w:type="auto"/>
            <w:tcBorders>
              <w:top w:val="nil"/>
              <w:left w:val="nil"/>
              <w:bottom w:val="single" w:sz="4" w:space="0" w:color="auto"/>
              <w:right w:val="single" w:sz="4" w:space="0" w:color="auto"/>
            </w:tcBorders>
            <w:shd w:val="clear" w:color="auto" w:fill="auto"/>
            <w:noWrap/>
            <w:vAlign w:val="center"/>
            <w:hideMark/>
          </w:tcPr>
          <w:p w14:paraId="75675CEE" w14:textId="4B3DEC7D" w:rsidR="00020311" w:rsidRPr="004F469F" w:rsidRDefault="00020311" w:rsidP="00020311">
            <w:pPr>
              <w:jc w:val="center"/>
              <w:rPr>
                <w:sz w:val="20"/>
                <w:szCs w:val="20"/>
              </w:rPr>
            </w:pPr>
            <w:r w:rsidRPr="004F469F">
              <w:rPr>
                <w:sz w:val="20"/>
                <w:szCs w:val="20"/>
              </w:rPr>
              <w:t>1.021</w:t>
            </w:r>
          </w:p>
        </w:tc>
        <w:tc>
          <w:tcPr>
            <w:tcW w:w="0" w:type="auto"/>
            <w:tcBorders>
              <w:top w:val="nil"/>
              <w:left w:val="nil"/>
              <w:bottom w:val="single" w:sz="4" w:space="0" w:color="auto"/>
              <w:right w:val="single" w:sz="4" w:space="0" w:color="auto"/>
            </w:tcBorders>
            <w:shd w:val="clear" w:color="auto" w:fill="auto"/>
            <w:noWrap/>
            <w:vAlign w:val="center"/>
            <w:hideMark/>
          </w:tcPr>
          <w:p w14:paraId="19650E93" w14:textId="0584CA8C" w:rsidR="00020311" w:rsidRPr="004F469F" w:rsidRDefault="00020311" w:rsidP="00020311">
            <w:pPr>
              <w:jc w:val="center"/>
              <w:rPr>
                <w:sz w:val="20"/>
                <w:szCs w:val="20"/>
              </w:rPr>
            </w:pPr>
            <w:r w:rsidRPr="004F469F">
              <w:rPr>
                <w:sz w:val="20"/>
                <w:szCs w:val="20"/>
              </w:rPr>
              <w:t>0.979</w:t>
            </w:r>
          </w:p>
        </w:tc>
        <w:tc>
          <w:tcPr>
            <w:tcW w:w="0" w:type="auto"/>
            <w:tcBorders>
              <w:top w:val="nil"/>
              <w:left w:val="nil"/>
              <w:bottom w:val="single" w:sz="4" w:space="0" w:color="auto"/>
              <w:right w:val="single" w:sz="4" w:space="0" w:color="auto"/>
            </w:tcBorders>
            <w:shd w:val="clear" w:color="auto" w:fill="auto"/>
            <w:noWrap/>
            <w:vAlign w:val="center"/>
            <w:hideMark/>
          </w:tcPr>
          <w:p w14:paraId="54ECD779" w14:textId="7639D88A" w:rsidR="00020311" w:rsidRPr="004F469F" w:rsidRDefault="00020311" w:rsidP="00020311">
            <w:pPr>
              <w:jc w:val="center"/>
              <w:rPr>
                <w:sz w:val="20"/>
                <w:szCs w:val="20"/>
              </w:rPr>
            </w:pPr>
            <w:r w:rsidRPr="004F469F">
              <w:rPr>
                <w:sz w:val="20"/>
                <w:szCs w:val="20"/>
              </w:rPr>
              <w:t>410</w:t>
            </w:r>
          </w:p>
        </w:tc>
        <w:tc>
          <w:tcPr>
            <w:tcW w:w="0" w:type="auto"/>
            <w:tcBorders>
              <w:top w:val="nil"/>
              <w:left w:val="nil"/>
              <w:bottom w:val="single" w:sz="4" w:space="0" w:color="auto"/>
              <w:right w:val="single" w:sz="4" w:space="0" w:color="auto"/>
            </w:tcBorders>
            <w:shd w:val="clear" w:color="auto" w:fill="auto"/>
            <w:noWrap/>
            <w:vAlign w:val="center"/>
            <w:hideMark/>
          </w:tcPr>
          <w:p w14:paraId="1D130E08" w14:textId="277992A4" w:rsidR="00020311" w:rsidRPr="004F469F" w:rsidRDefault="00020311" w:rsidP="00020311">
            <w:pPr>
              <w:jc w:val="center"/>
              <w:rPr>
                <w:sz w:val="20"/>
                <w:szCs w:val="20"/>
              </w:rPr>
            </w:pPr>
            <w:r w:rsidRPr="004F469F">
              <w:rPr>
                <w:sz w:val="20"/>
                <w:szCs w:val="20"/>
              </w:rPr>
              <w:t>419</w:t>
            </w:r>
          </w:p>
        </w:tc>
      </w:tr>
      <w:tr w:rsidR="00020311" w:rsidRPr="004F469F" w14:paraId="645FF823"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ABA9D6" w14:textId="77777777" w:rsidR="00020311" w:rsidRPr="004F469F" w:rsidRDefault="00020311" w:rsidP="00020311">
            <w:pPr>
              <w:rPr>
                <w:sz w:val="20"/>
                <w:szCs w:val="20"/>
              </w:rPr>
            </w:pPr>
            <w:r w:rsidRPr="004F469F">
              <w:rPr>
                <w:sz w:val="20"/>
                <w:szCs w:val="20"/>
              </w:rPr>
              <w:t>EF3</w:t>
            </w:r>
          </w:p>
        </w:tc>
        <w:tc>
          <w:tcPr>
            <w:tcW w:w="0" w:type="auto"/>
            <w:tcBorders>
              <w:top w:val="nil"/>
              <w:left w:val="nil"/>
              <w:bottom w:val="single" w:sz="4" w:space="0" w:color="auto"/>
              <w:right w:val="single" w:sz="4" w:space="0" w:color="auto"/>
            </w:tcBorders>
            <w:shd w:val="clear" w:color="auto" w:fill="auto"/>
            <w:noWrap/>
            <w:vAlign w:val="center"/>
            <w:hideMark/>
          </w:tcPr>
          <w:p w14:paraId="299F65DD" w14:textId="1D0B08E4" w:rsidR="00020311" w:rsidRPr="004F469F" w:rsidRDefault="00020311" w:rsidP="00020311">
            <w:pPr>
              <w:jc w:val="center"/>
              <w:rPr>
                <w:sz w:val="20"/>
                <w:szCs w:val="20"/>
              </w:rPr>
            </w:pPr>
            <w:r w:rsidRPr="004F469F">
              <w:rPr>
                <w:sz w:val="20"/>
                <w:szCs w:val="20"/>
              </w:rPr>
              <w:t>0.414</w:t>
            </w:r>
          </w:p>
        </w:tc>
        <w:tc>
          <w:tcPr>
            <w:tcW w:w="0" w:type="auto"/>
            <w:tcBorders>
              <w:top w:val="nil"/>
              <w:left w:val="nil"/>
              <w:bottom w:val="single" w:sz="4" w:space="0" w:color="auto"/>
              <w:right w:val="single" w:sz="4" w:space="0" w:color="auto"/>
            </w:tcBorders>
            <w:shd w:val="clear" w:color="auto" w:fill="auto"/>
            <w:noWrap/>
            <w:vAlign w:val="center"/>
            <w:hideMark/>
          </w:tcPr>
          <w:p w14:paraId="63139112" w14:textId="5DE04AC3" w:rsidR="00020311" w:rsidRPr="004F469F" w:rsidRDefault="00020311" w:rsidP="00020311">
            <w:pPr>
              <w:jc w:val="center"/>
              <w:rPr>
                <w:sz w:val="20"/>
                <w:szCs w:val="20"/>
              </w:rPr>
            </w:pPr>
            <w:r w:rsidRPr="004F469F">
              <w:rPr>
                <w:sz w:val="20"/>
                <w:szCs w:val="20"/>
              </w:rPr>
              <w:t>2.415</w:t>
            </w:r>
          </w:p>
        </w:tc>
        <w:tc>
          <w:tcPr>
            <w:tcW w:w="0" w:type="auto"/>
            <w:tcBorders>
              <w:top w:val="nil"/>
              <w:left w:val="nil"/>
              <w:bottom w:val="single" w:sz="4" w:space="0" w:color="auto"/>
              <w:right w:val="single" w:sz="4" w:space="0" w:color="auto"/>
            </w:tcBorders>
            <w:shd w:val="clear" w:color="auto" w:fill="auto"/>
            <w:noWrap/>
            <w:vAlign w:val="center"/>
            <w:hideMark/>
          </w:tcPr>
          <w:p w14:paraId="00B14BD1" w14:textId="3174C8D0" w:rsidR="00020311" w:rsidRPr="004F469F" w:rsidRDefault="00020311" w:rsidP="00020311">
            <w:pPr>
              <w:jc w:val="center"/>
              <w:rPr>
                <w:sz w:val="20"/>
                <w:szCs w:val="20"/>
              </w:rPr>
            </w:pPr>
            <w:r w:rsidRPr="004F469F">
              <w:rPr>
                <w:sz w:val="20"/>
                <w:szCs w:val="20"/>
              </w:rPr>
              <w:t>1,312</w:t>
            </w:r>
          </w:p>
        </w:tc>
        <w:tc>
          <w:tcPr>
            <w:tcW w:w="0" w:type="auto"/>
            <w:tcBorders>
              <w:top w:val="nil"/>
              <w:left w:val="nil"/>
              <w:bottom w:val="single" w:sz="4" w:space="0" w:color="auto"/>
              <w:right w:val="single" w:sz="4" w:space="0" w:color="auto"/>
            </w:tcBorders>
            <w:shd w:val="clear" w:color="auto" w:fill="auto"/>
            <w:noWrap/>
            <w:vAlign w:val="center"/>
            <w:hideMark/>
          </w:tcPr>
          <w:p w14:paraId="2CB63019" w14:textId="472B5A59" w:rsidR="00020311" w:rsidRPr="004F469F" w:rsidRDefault="00020311" w:rsidP="00020311">
            <w:pPr>
              <w:jc w:val="center"/>
              <w:rPr>
                <w:sz w:val="20"/>
                <w:szCs w:val="20"/>
              </w:rPr>
            </w:pPr>
            <w:r w:rsidRPr="004F469F">
              <w:rPr>
                <w:sz w:val="20"/>
                <w:szCs w:val="20"/>
              </w:rPr>
              <w:t>543</w:t>
            </w:r>
          </w:p>
        </w:tc>
      </w:tr>
      <w:tr w:rsidR="00020311" w:rsidRPr="004F469F" w14:paraId="66EDF6E3"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BF3FE0" w14:textId="77777777" w:rsidR="00020311" w:rsidRPr="004F469F" w:rsidRDefault="00020311" w:rsidP="00020311">
            <w:pPr>
              <w:rPr>
                <w:sz w:val="20"/>
                <w:szCs w:val="20"/>
              </w:rPr>
            </w:pPr>
            <w:r w:rsidRPr="004F469F">
              <w:rPr>
                <w:sz w:val="20"/>
                <w:szCs w:val="20"/>
              </w:rPr>
              <w:t>EF4</w:t>
            </w:r>
          </w:p>
        </w:tc>
        <w:tc>
          <w:tcPr>
            <w:tcW w:w="0" w:type="auto"/>
            <w:tcBorders>
              <w:top w:val="nil"/>
              <w:left w:val="nil"/>
              <w:bottom w:val="single" w:sz="4" w:space="0" w:color="auto"/>
              <w:right w:val="single" w:sz="4" w:space="0" w:color="auto"/>
            </w:tcBorders>
            <w:shd w:val="clear" w:color="auto" w:fill="auto"/>
            <w:noWrap/>
            <w:vAlign w:val="center"/>
            <w:hideMark/>
          </w:tcPr>
          <w:p w14:paraId="54025EC6" w14:textId="64CA56ED" w:rsidR="00020311" w:rsidRPr="004F469F" w:rsidRDefault="00020311" w:rsidP="00020311">
            <w:pPr>
              <w:jc w:val="center"/>
              <w:rPr>
                <w:sz w:val="20"/>
                <w:szCs w:val="20"/>
              </w:rPr>
            </w:pPr>
            <w:r w:rsidRPr="004F469F">
              <w:rPr>
                <w:sz w:val="20"/>
                <w:szCs w:val="20"/>
              </w:rPr>
              <w:t>0.096</w:t>
            </w:r>
          </w:p>
        </w:tc>
        <w:tc>
          <w:tcPr>
            <w:tcW w:w="0" w:type="auto"/>
            <w:tcBorders>
              <w:top w:val="nil"/>
              <w:left w:val="nil"/>
              <w:bottom w:val="single" w:sz="4" w:space="0" w:color="auto"/>
              <w:right w:val="single" w:sz="4" w:space="0" w:color="auto"/>
            </w:tcBorders>
            <w:shd w:val="clear" w:color="auto" w:fill="auto"/>
            <w:noWrap/>
            <w:vAlign w:val="center"/>
            <w:hideMark/>
          </w:tcPr>
          <w:p w14:paraId="79FAA911" w14:textId="5D5E3923" w:rsidR="00020311" w:rsidRPr="004F469F" w:rsidRDefault="00020311" w:rsidP="00020311">
            <w:pPr>
              <w:jc w:val="center"/>
              <w:rPr>
                <w:sz w:val="20"/>
                <w:szCs w:val="20"/>
              </w:rPr>
            </w:pPr>
            <w:r w:rsidRPr="004F469F">
              <w:rPr>
                <w:sz w:val="20"/>
                <w:szCs w:val="20"/>
              </w:rPr>
              <w:t>10.417</w:t>
            </w:r>
          </w:p>
        </w:tc>
        <w:tc>
          <w:tcPr>
            <w:tcW w:w="0" w:type="auto"/>
            <w:tcBorders>
              <w:top w:val="nil"/>
              <w:left w:val="nil"/>
              <w:bottom w:val="single" w:sz="4" w:space="0" w:color="auto"/>
              <w:right w:val="single" w:sz="4" w:space="0" w:color="auto"/>
            </w:tcBorders>
            <w:shd w:val="clear" w:color="auto" w:fill="auto"/>
            <w:noWrap/>
            <w:vAlign w:val="center"/>
            <w:hideMark/>
          </w:tcPr>
          <w:p w14:paraId="2034FAE5" w14:textId="605D7634" w:rsidR="00020311" w:rsidRPr="004F469F" w:rsidRDefault="00020311" w:rsidP="00020311">
            <w:pPr>
              <w:jc w:val="center"/>
              <w:rPr>
                <w:sz w:val="20"/>
                <w:szCs w:val="20"/>
              </w:rPr>
            </w:pPr>
            <w:r w:rsidRPr="004F469F">
              <w:rPr>
                <w:sz w:val="20"/>
                <w:szCs w:val="20"/>
              </w:rPr>
              <w:t>2,756</w:t>
            </w:r>
          </w:p>
        </w:tc>
        <w:tc>
          <w:tcPr>
            <w:tcW w:w="0" w:type="auto"/>
            <w:tcBorders>
              <w:top w:val="nil"/>
              <w:left w:val="nil"/>
              <w:bottom w:val="single" w:sz="4" w:space="0" w:color="auto"/>
              <w:right w:val="single" w:sz="4" w:space="0" w:color="auto"/>
            </w:tcBorders>
            <w:shd w:val="clear" w:color="auto" w:fill="auto"/>
            <w:noWrap/>
            <w:vAlign w:val="center"/>
            <w:hideMark/>
          </w:tcPr>
          <w:p w14:paraId="2B89F7A3" w14:textId="3A319B8C" w:rsidR="00020311" w:rsidRPr="004F469F" w:rsidRDefault="00020311" w:rsidP="00020311">
            <w:pPr>
              <w:jc w:val="center"/>
              <w:rPr>
                <w:sz w:val="20"/>
                <w:szCs w:val="20"/>
              </w:rPr>
            </w:pPr>
            <w:r w:rsidRPr="004F469F">
              <w:rPr>
                <w:sz w:val="20"/>
                <w:szCs w:val="20"/>
              </w:rPr>
              <w:t>265</w:t>
            </w:r>
          </w:p>
        </w:tc>
      </w:tr>
      <w:tr w:rsidR="00020311" w:rsidRPr="004F469F" w14:paraId="1F352E7E"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255807" w14:textId="77777777" w:rsidR="00020311" w:rsidRPr="004F469F" w:rsidRDefault="00020311" w:rsidP="00020311">
            <w:pPr>
              <w:rPr>
                <w:sz w:val="20"/>
                <w:szCs w:val="20"/>
              </w:rPr>
            </w:pPr>
            <w:r w:rsidRPr="004F469F">
              <w:rPr>
                <w:sz w:val="20"/>
                <w:szCs w:val="20"/>
              </w:rPr>
              <w:t>EF5</w:t>
            </w:r>
          </w:p>
        </w:tc>
        <w:tc>
          <w:tcPr>
            <w:tcW w:w="0" w:type="auto"/>
            <w:tcBorders>
              <w:top w:val="nil"/>
              <w:left w:val="nil"/>
              <w:bottom w:val="single" w:sz="4" w:space="0" w:color="auto"/>
              <w:right w:val="single" w:sz="4" w:space="0" w:color="auto"/>
            </w:tcBorders>
            <w:shd w:val="clear" w:color="auto" w:fill="auto"/>
            <w:noWrap/>
            <w:vAlign w:val="center"/>
            <w:hideMark/>
          </w:tcPr>
          <w:p w14:paraId="7DAEDE27" w14:textId="510EBF1E" w:rsidR="00020311" w:rsidRPr="004F469F" w:rsidRDefault="00020311" w:rsidP="00020311">
            <w:pPr>
              <w:jc w:val="center"/>
              <w:rPr>
                <w:sz w:val="20"/>
                <w:szCs w:val="20"/>
              </w:rPr>
            </w:pPr>
            <w:r w:rsidRPr="004F469F">
              <w:rPr>
                <w:sz w:val="20"/>
                <w:szCs w:val="20"/>
              </w:rPr>
              <w:t>0.004</w:t>
            </w:r>
          </w:p>
        </w:tc>
        <w:tc>
          <w:tcPr>
            <w:tcW w:w="0" w:type="auto"/>
            <w:tcBorders>
              <w:top w:val="nil"/>
              <w:left w:val="nil"/>
              <w:bottom w:val="single" w:sz="4" w:space="0" w:color="auto"/>
              <w:right w:val="single" w:sz="4" w:space="0" w:color="auto"/>
            </w:tcBorders>
            <w:shd w:val="clear" w:color="auto" w:fill="auto"/>
            <w:noWrap/>
            <w:vAlign w:val="center"/>
            <w:hideMark/>
          </w:tcPr>
          <w:p w14:paraId="388D87AA" w14:textId="0EF4529E" w:rsidR="00020311" w:rsidRPr="004F469F" w:rsidRDefault="00020311" w:rsidP="00020311">
            <w:pPr>
              <w:jc w:val="center"/>
              <w:rPr>
                <w:sz w:val="20"/>
                <w:szCs w:val="20"/>
              </w:rPr>
            </w:pPr>
            <w:r w:rsidRPr="004F469F">
              <w:rPr>
                <w:sz w:val="20"/>
                <w:szCs w:val="20"/>
              </w:rPr>
              <w:t>250.000</w:t>
            </w:r>
          </w:p>
        </w:tc>
        <w:tc>
          <w:tcPr>
            <w:tcW w:w="0" w:type="auto"/>
            <w:tcBorders>
              <w:top w:val="nil"/>
              <w:left w:val="nil"/>
              <w:bottom w:val="single" w:sz="4" w:space="0" w:color="auto"/>
              <w:right w:val="single" w:sz="4" w:space="0" w:color="auto"/>
            </w:tcBorders>
            <w:shd w:val="clear" w:color="auto" w:fill="auto"/>
            <w:noWrap/>
            <w:vAlign w:val="center"/>
            <w:hideMark/>
          </w:tcPr>
          <w:p w14:paraId="289A4439" w14:textId="71C9D602" w:rsidR="00020311" w:rsidRPr="004F469F" w:rsidRDefault="00020311" w:rsidP="00020311">
            <w:pPr>
              <w:jc w:val="center"/>
              <w:rPr>
                <w:sz w:val="20"/>
                <w:szCs w:val="20"/>
              </w:rPr>
            </w:pPr>
            <w:r w:rsidRPr="004F469F">
              <w:rPr>
                <w:sz w:val="20"/>
                <w:szCs w:val="20"/>
              </w:rPr>
              <w:t>1,375</w:t>
            </w:r>
          </w:p>
        </w:tc>
        <w:tc>
          <w:tcPr>
            <w:tcW w:w="0" w:type="auto"/>
            <w:tcBorders>
              <w:top w:val="nil"/>
              <w:left w:val="nil"/>
              <w:bottom w:val="single" w:sz="4" w:space="0" w:color="auto"/>
              <w:right w:val="single" w:sz="4" w:space="0" w:color="auto"/>
            </w:tcBorders>
            <w:shd w:val="clear" w:color="auto" w:fill="auto"/>
            <w:noWrap/>
            <w:vAlign w:val="center"/>
            <w:hideMark/>
          </w:tcPr>
          <w:p w14:paraId="413812C7" w14:textId="68858F17" w:rsidR="00020311" w:rsidRPr="004F469F" w:rsidRDefault="00020311" w:rsidP="00020311">
            <w:pPr>
              <w:jc w:val="center"/>
              <w:rPr>
                <w:sz w:val="20"/>
                <w:szCs w:val="20"/>
              </w:rPr>
            </w:pPr>
            <w:r w:rsidRPr="004F469F">
              <w:rPr>
                <w:sz w:val="20"/>
                <w:szCs w:val="20"/>
              </w:rPr>
              <w:t>6</w:t>
            </w:r>
          </w:p>
        </w:tc>
      </w:tr>
      <w:tr w:rsidR="00020311" w:rsidRPr="004F469F" w14:paraId="216661D0"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455537" w14:textId="77777777" w:rsidR="00020311" w:rsidRPr="004F469F" w:rsidRDefault="00020311" w:rsidP="00020311">
            <w:pPr>
              <w:rPr>
                <w:sz w:val="20"/>
                <w:szCs w:val="20"/>
              </w:rPr>
            </w:pPr>
            <w:r w:rsidRPr="004F469F">
              <w:rPr>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3CE2F6B9" w14:textId="112ACC75" w:rsidR="00020311" w:rsidRPr="004F469F" w:rsidRDefault="00020311" w:rsidP="00020311">
            <w:pPr>
              <w:jc w:val="center"/>
              <w:rPr>
                <w:sz w:val="20"/>
                <w:szCs w:val="20"/>
              </w:rPr>
            </w:pPr>
            <w:r w:rsidRPr="004F469F">
              <w:rPr>
                <w:sz w:val="20"/>
                <w:szCs w:val="20"/>
              </w:rPr>
              <w:t>7.408</w:t>
            </w:r>
          </w:p>
        </w:tc>
        <w:tc>
          <w:tcPr>
            <w:tcW w:w="0" w:type="auto"/>
            <w:tcBorders>
              <w:top w:val="nil"/>
              <w:left w:val="nil"/>
              <w:bottom w:val="single" w:sz="4" w:space="0" w:color="auto"/>
              <w:right w:val="single" w:sz="4" w:space="0" w:color="auto"/>
            </w:tcBorders>
            <w:shd w:val="clear" w:color="auto" w:fill="auto"/>
            <w:noWrap/>
            <w:vAlign w:val="center"/>
            <w:hideMark/>
          </w:tcPr>
          <w:p w14:paraId="6A1FE594" w14:textId="3BBB2C1C" w:rsidR="00020311" w:rsidRPr="004F469F" w:rsidRDefault="00020311" w:rsidP="00020311">
            <w:pPr>
              <w:jc w:val="center"/>
              <w:rPr>
                <w:sz w:val="20"/>
                <w:szCs w:val="20"/>
              </w:rPr>
            </w:pPr>
            <w:r w:rsidRPr="004F469F">
              <w:rPr>
                <w:sz w:val="20"/>
                <w:szCs w:val="20"/>
              </w:rPr>
              <w:t>0.135</w:t>
            </w:r>
          </w:p>
        </w:tc>
        <w:tc>
          <w:tcPr>
            <w:tcW w:w="0" w:type="auto"/>
            <w:tcBorders>
              <w:top w:val="nil"/>
              <w:left w:val="nil"/>
              <w:bottom w:val="single" w:sz="4" w:space="0" w:color="auto"/>
              <w:right w:val="single" w:sz="4" w:space="0" w:color="auto"/>
            </w:tcBorders>
            <w:shd w:val="clear" w:color="auto" w:fill="auto"/>
            <w:noWrap/>
            <w:vAlign w:val="center"/>
            <w:hideMark/>
          </w:tcPr>
          <w:p w14:paraId="64B75ED1" w14:textId="3C2D5F7E" w:rsidR="00020311" w:rsidRPr="004F469F" w:rsidRDefault="00020311" w:rsidP="00020311">
            <w:pPr>
              <w:jc w:val="center"/>
              <w:rPr>
                <w:sz w:val="20"/>
                <w:szCs w:val="20"/>
              </w:rPr>
            </w:pPr>
            <w:r w:rsidRPr="004F469F">
              <w:rPr>
                <w:sz w:val="20"/>
                <w:szCs w:val="20"/>
              </w:rPr>
              <w:t>212</w:t>
            </w:r>
          </w:p>
        </w:tc>
        <w:tc>
          <w:tcPr>
            <w:tcW w:w="0" w:type="auto"/>
            <w:tcBorders>
              <w:top w:val="nil"/>
              <w:left w:val="nil"/>
              <w:bottom w:val="single" w:sz="4" w:space="0" w:color="auto"/>
              <w:right w:val="single" w:sz="4" w:space="0" w:color="auto"/>
            </w:tcBorders>
            <w:shd w:val="clear" w:color="auto" w:fill="auto"/>
            <w:noWrap/>
            <w:vAlign w:val="center"/>
            <w:hideMark/>
          </w:tcPr>
          <w:p w14:paraId="69BD6206" w14:textId="4D26E813" w:rsidR="00020311" w:rsidRPr="004F469F" w:rsidRDefault="00020311" w:rsidP="00020311">
            <w:pPr>
              <w:jc w:val="center"/>
              <w:rPr>
                <w:sz w:val="20"/>
                <w:szCs w:val="20"/>
              </w:rPr>
            </w:pPr>
            <w:r w:rsidRPr="004F469F">
              <w:rPr>
                <w:sz w:val="20"/>
                <w:szCs w:val="20"/>
              </w:rPr>
              <w:t>1,574</w:t>
            </w:r>
          </w:p>
        </w:tc>
      </w:tr>
      <w:tr w:rsidR="00020311" w:rsidRPr="004F469F" w14:paraId="5C494313"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C33609" w14:textId="77777777" w:rsidR="00020311" w:rsidRPr="004F469F" w:rsidRDefault="00020311" w:rsidP="00020311">
            <w:pPr>
              <w:rPr>
                <w:sz w:val="20"/>
                <w:szCs w:val="20"/>
              </w:rPr>
            </w:pPr>
            <w:r w:rsidRPr="004F469F">
              <w:rPr>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2EFCF06E" w14:textId="5C8D364F" w:rsidR="00020311" w:rsidRPr="004F469F" w:rsidRDefault="00020311" w:rsidP="00020311">
            <w:pPr>
              <w:jc w:val="center"/>
              <w:rPr>
                <w:sz w:val="20"/>
                <w:szCs w:val="20"/>
              </w:rPr>
            </w:pPr>
            <w:r w:rsidRPr="004F469F">
              <w:rPr>
                <w:sz w:val="20"/>
                <w:szCs w:val="20"/>
              </w:rPr>
              <w:t>1.535</w:t>
            </w:r>
          </w:p>
        </w:tc>
        <w:tc>
          <w:tcPr>
            <w:tcW w:w="0" w:type="auto"/>
            <w:tcBorders>
              <w:top w:val="nil"/>
              <w:left w:val="nil"/>
              <w:bottom w:val="single" w:sz="4" w:space="0" w:color="auto"/>
              <w:right w:val="single" w:sz="4" w:space="0" w:color="auto"/>
            </w:tcBorders>
            <w:shd w:val="clear" w:color="auto" w:fill="auto"/>
            <w:noWrap/>
            <w:vAlign w:val="center"/>
            <w:hideMark/>
          </w:tcPr>
          <w:p w14:paraId="38A07ADC" w14:textId="54330794" w:rsidR="00020311" w:rsidRPr="004F469F" w:rsidRDefault="00020311" w:rsidP="00020311">
            <w:pPr>
              <w:jc w:val="center"/>
              <w:rPr>
                <w:sz w:val="20"/>
                <w:szCs w:val="20"/>
              </w:rPr>
            </w:pPr>
            <w:r w:rsidRPr="004F469F">
              <w:rPr>
                <w:sz w:val="20"/>
                <w:szCs w:val="20"/>
              </w:rPr>
              <w:t>0.651</w:t>
            </w:r>
          </w:p>
        </w:tc>
        <w:tc>
          <w:tcPr>
            <w:tcW w:w="0" w:type="auto"/>
            <w:tcBorders>
              <w:top w:val="nil"/>
              <w:left w:val="nil"/>
              <w:bottom w:val="single" w:sz="4" w:space="0" w:color="auto"/>
              <w:right w:val="single" w:sz="4" w:space="0" w:color="auto"/>
            </w:tcBorders>
            <w:shd w:val="clear" w:color="auto" w:fill="auto"/>
            <w:noWrap/>
            <w:vAlign w:val="center"/>
            <w:hideMark/>
          </w:tcPr>
          <w:p w14:paraId="7F962E06" w14:textId="2A33F027" w:rsidR="00020311" w:rsidRPr="004F469F" w:rsidRDefault="00020311" w:rsidP="00020311">
            <w:pPr>
              <w:jc w:val="center"/>
              <w:rPr>
                <w:sz w:val="20"/>
                <w:szCs w:val="20"/>
              </w:rPr>
            </w:pPr>
            <w:r w:rsidRPr="004F469F">
              <w:rPr>
                <w:sz w:val="20"/>
                <w:szCs w:val="20"/>
              </w:rPr>
              <w:t>802</w:t>
            </w:r>
          </w:p>
        </w:tc>
        <w:tc>
          <w:tcPr>
            <w:tcW w:w="0" w:type="auto"/>
            <w:tcBorders>
              <w:top w:val="nil"/>
              <w:left w:val="nil"/>
              <w:bottom w:val="single" w:sz="4" w:space="0" w:color="auto"/>
              <w:right w:val="single" w:sz="4" w:space="0" w:color="auto"/>
            </w:tcBorders>
            <w:shd w:val="clear" w:color="auto" w:fill="auto"/>
            <w:noWrap/>
            <w:vAlign w:val="center"/>
            <w:hideMark/>
          </w:tcPr>
          <w:p w14:paraId="3F708FCB" w14:textId="3FBFF4FB" w:rsidR="00020311" w:rsidRPr="004F469F" w:rsidRDefault="00020311" w:rsidP="00020311">
            <w:pPr>
              <w:jc w:val="center"/>
              <w:rPr>
                <w:sz w:val="20"/>
                <w:szCs w:val="20"/>
              </w:rPr>
            </w:pPr>
            <w:r w:rsidRPr="004F469F">
              <w:rPr>
                <w:sz w:val="20"/>
                <w:szCs w:val="20"/>
              </w:rPr>
              <w:t>1,232</w:t>
            </w:r>
          </w:p>
        </w:tc>
      </w:tr>
      <w:tr w:rsidR="00020311" w:rsidRPr="004F469F" w14:paraId="524FCDDD" w14:textId="77777777" w:rsidTr="00020311">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9F1210" w14:textId="77777777" w:rsidR="00020311" w:rsidRPr="004F469F" w:rsidRDefault="00020311" w:rsidP="00020311">
            <w:pPr>
              <w:rPr>
                <w:sz w:val="20"/>
                <w:szCs w:val="20"/>
              </w:rPr>
            </w:pPr>
            <w:r w:rsidRPr="004F469F">
              <w:rPr>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4E84A157" w14:textId="718C8244" w:rsidR="00020311" w:rsidRPr="004F469F" w:rsidRDefault="00020311" w:rsidP="00020311">
            <w:pPr>
              <w:jc w:val="center"/>
              <w:rPr>
                <w:sz w:val="20"/>
                <w:szCs w:val="20"/>
              </w:rPr>
            </w:pPr>
            <w:r w:rsidRPr="004F469F">
              <w:rPr>
                <w:sz w:val="20"/>
                <w:szCs w:val="20"/>
              </w:rPr>
              <w:t>0.100</w:t>
            </w:r>
          </w:p>
        </w:tc>
        <w:tc>
          <w:tcPr>
            <w:tcW w:w="0" w:type="auto"/>
            <w:tcBorders>
              <w:top w:val="nil"/>
              <w:left w:val="nil"/>
              <w:bottom w:val="single" w:sz="4" w:space="0" w:color="auto"/>
              <w:right w:val="single" w:sz="4" w:space="0" w:color="auto"/>
            </w:tcBorders>
            <w:shd w:val="clear" w:color="auto" w:fill="auto"/>
            <w:noWrap/>
            <w:vAlign w:val="center"/>
            <w:hideMark/>
          </w:tcPr>
          <w:p w14:paraId="512E62EB" w14:textId="420B7A6E" w:rsidR="00020311" w:rsidRPr="004F469F" w:rsidRDefault="00020311" w:rsidP="00020311">
            <w:pPr>
              <w:jc w:val="center"/>
              <w:rPr>
                <w:sz w:val="20"/>
                <w:szCs w:val="20"/>
              </w:rPr>
            </w:pPr>
            <w:r w:rsidRPr="004F469F">
              <w:rPr>
                <w:sz w:val="20"/>
                <w:szCs w:val="20"/>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7B95AE47" w14:textId="4957F8D4" w:rsidR="00020311" w:rsidRPr="004F469F" w:rsidRDefault="00020311" w:rsidP="00020311">
            <w:pPr>
              <w:jc w:val="center"/>
              <w:rPr>
                <w:sz w:val="20"/>
                <w:szCs w:val="20"/>
              </w:rPr>
            </w:pPr>
            <w:r w:rsidRPr="004F469F">
              <w:rPr>
                <w:sz w:val="20"/>
                <w:szCs w:val="20"/>
              </w:rPr>
              <w:t>2,701</w:t>
            </w:r>
          </w:p>
        </w:tc>
        <w:tc>
          <w:tcPr>
            <w:tcW w:w="0" w:type="auto"/>
            <w:tcBorders>
              <w:top w:val="nil"/>
              <w:left w:val="nil"/>
              <w:bottom w:val="single" w:sz="4" w:space="0" w:color="auto"/>
              <w:right w:val="single" w:sz="4" w:space="0" w:color="auto"/>
            </w:tcBorders>
            <w:shd w:val="clear" w:color="auto" w:fill="auto"/>
            <w:noWrap/>
            <w:vAlign w:val="center"/>
            <w:hideMark/>
          </w:tcPr>
          <w:p w14:paraId="384BE2FD" w14:textId="298AE689" w:rsidR="00020311" w:rsidRPr="004F469F" w:rsidRDefault="00020311" w:rsidP="00020311">
            <w:pPr>
              <w:jc w:val="center"/>
              <w:rPr>
                <w:sz w:val="20"/>
                <w:szCs w:val="20"/>
              </w:rPr>
            </w:pPr>
            <w:r w:rsidRPr="004F469F">
              <w:rPr>
                <w:sz w:val="20"/>
                <w:szCs w:val="20"/>
              </w:rPr>
              <w:t>270</w:t>
            </w:r>
          </w:p>
        </w:tc>
      </w:tr>
    </w:tbl>
    <w:p w14:paraId="5A997BD6" w14:textId="77777777" w:rsidR="00A4283D" w:rsidRPr="004F469F" w:rsidRDefault="00A4283D" w:rsidP="00A4283D">
      <w:pPr>
        <w:widowControl w:val="0"/>
        <w:autoSpaceDE w:val="0"/>
        <w:autoSpaceDN w:val="0"/>
        <w:adjustRightInd w:val="0"/>
        <w:spacing w:line="480" w:lineRule="auto"/>
        <w:ind w:left="480" w:hanging="480"/>
        <w:rPr>
          <w:sz w:val="20"/>
          <w:szCs w:val="20"/>
        </w:rPr>
      </w:pPr>
    </w:p>
    <w:p w14:paraId="4D30B7CE" w14:textId="77777777" w:rsidR="00A4283D" w:rsidRPr="004F469F" w:rsidRDefault="00A4283D" w:rsidP="00A4283D">
      <w:pPr>
        <w:widowControl w:val="0"/>
        <w:autoSpaceDE w:val="0"/>
        <w:autoSpaceDN w:val="0"/>
        <w:adjustRightInd w:val="0"/>
        <w:rPr>
          <w:sz w:val="20"/>
          <w:szCs w:val="20"/>
        </w:rPr>
      </w:pPr>
    </w:p>
    <w:p w14:paraId="6108255D" w14:textId="77777777" w:rsidR="00A4283D" w:rsidRPr="004F469F" w:rsidRDefault="00A4283D" w:rsidP="00A4283D">
      <w:pPr>
        <w:widowControl w:val="0"/>
        <w:autoSpaceDE w:val="0"/>
        <w:autoSpaceDN w:val="0"/>
        <w:adjustRightInd w:val="0"/>
        <w:rPr>
          <w:sz w:val="20"/>
          <w:szCs w:val="20"/>
        </w:rPr>
      </w:pPr>
    </w:p>
    <w:p w14:paraId="108E3E39" w14:textId="77777777" w:rsidR="00A4283D" w:rsidRPr="004F469F" w:rsidRDefault="00A4283D" w:rsidP="00A4283D">
      <w:pPr>
        <w:widowControl w:val="0"/>
        <w:autoSpaceDE w:val="0"/>
        <w:autoSpaceDN w:val="0"/>
        <w:adjustRightInd w:val="0"/>
        <w:rPr>
          <w:sz w:val="20"/>
          <w:szCs w:val="20"/>
        </w:rPr>
      </w:pPr>
    </w:p>
    <w:p w14:paraId="3BF5D797" w14:textId="77777777" w:rsidR="00A4283D" w:rsidRPr="004F469F" w:rsidRDefault="00A4283D" w:rsidP="00A4283D">
      <w:pPr>
        <w:widowControl w:val="0"/>
        <w:autoSpaceDE w:val="0"/>
        <w:autoSpaceDN w:val="0"/>
        <w:adjustRightInd w:val="0"/>
        <w:rPr>
          <w:sz w:val="20"/>
          <w:szCs w:val="20"/>
        </w:rPr>
      </w:pPr>
    </w:p>
    <w:p w14:paraId="615C8F40" w14:textId="77777777" w:rsidR="00A4283D" w:rsidRPr="004F469F" w:rsidRDefault="00A4283D" w:rsidP="00A4283D">
      <w:pPr>
        <w:widowControl w:val="0"/>
        <w:autoSpaceDE w:val="0"/>
        <w:autoSpaceDN w:val="0"/>
        <w:adjustRightInd w:val="0"/>
        <w:rPr>
          <w:sz w:val="20"/>
          <w:szCs w:val="20"/>
        </w:rPr>
      </w:pPr>
    </w:p>
    <w:p w14:paraId="36F06A75" w14:textId="77777777" w:rsidR="00A4283D" w:rsidRPr="004F469F" w:rsidRDefault="00A4283D" w:rsidP="00A4283D">
      <w:pPr>
        <w:widowControl w:val="0"/>
        <w:autoSpaceDE w:val="0"/>
        <w:autoSpaceDN w:val="0"/>
        <w:adjustRightInd w:val="0"/>
        <w:rPr>
          <w:sz w:val="20"/>
          <w:szCs w:val="20"/>
        </w:rPr>
      </w:pPr>
    </w:p>
    <w:p w14:paraId="4030ED09" w14:textId="77777777" w:rsidR="00A4283D" w:rsidRPr="004F469F" w:rsidRDefault="00A4283D" w:rsidP="00A4283D">
      <w:pPr>
        <w:widowControl w:val="0"/>
        <w:autoSpaceDE w:val="0"/>
        <w:autoSpaceDN w:val="0"/>
        <w:adjustRightInd w:val="0"/>
        <w:rPr>
          <w:sz w:val="20"/>
          <w:szCs w:val="20"/>
        </w:rPr>
      </w:pPr>
    </w:p>
    <w:p w14:paraId="300246A4" w14:textId="77777777" w:rsidR="00A4283D" w:rsidRPr="004F469F" w:rsidRDefault="00A4283D" w:rsidP="00A4283D">
      <w:pPr>
        <w:widowControl w:val="0"/>
        <w:autoSpaceDE w:val="0"/>
        <w:autoSpaceDN w:val="0"/>
        <w:adjustRightInd w:val="0"/>
        <w:rPr>
          <w:sz w:val="20"/>
          <w:szCs w:val="20"/>
        </w:rPr>
      </w:pPr>
    </w:p>
    <w:p w14:paraId="625CC948" w14:textId="5334593B" w:rsidR="00A4283D" w:rsidRPr="004F469F" w:rsidRDefault="00A4283D" w:rsidP="00A4283D">
      <w:pPr>
        <w:widowControl w:val="0"/>
        <w:autoSpaceDE w:val="0"/>
        <w:autoSpaceDN w:val="0"/>
        <w:adjustRightInd w:val="0"/>
        <w:rPr>
          <w:sz w:val="20"/>
          <w:szCs w:val="20"/>
        </w:rPr>
      </w:pPr>
    </w:p>
    <w:p w14:paraId="1A50084C" w14:textId="0B5B199D" w:rsidR="00A4283D" w:rsidRPr="004F469F" w:rsidRDefault="00A4283D" w:rsidP="00A4283D">
      <w:pPr>
        <w:widowControl w:val="0"/>
        <w:autoSpaceDE w:val="0"/>
        <w:autoSpaceDN w:val="0"/>
        <w:adjustRightInd w:val="0"/>
        <w:rPr>
          <w:sz w:val="20"/>
          <w:szCs w:val="20"/>
        </w:rPr>
      </w:pPr>
    </w:p>
    <w:p w14:paraId="40F252E2" w14:textId="2B628072" w:rsidR="00A4283D" w:rsidRPr="004F469F" w:rsidRDefault="00A4283D" w:rsidP="00A4283D">
      <w:pPr>
        <w:widowControl w:val="0"/>
        <w:autoSpaceDE w:val="0"/>
        <w:autoSpaceDN w:val="0"/>
        <w:adjustRightInd w:val="0"/>
        <w:rPr>
          <w:sz w:val="20"/>
          <w:szCs w:val="20"/>
        </w:rPr>
      </w:pPr>
    </w:p>
    <w:p w14:paraId="7CE64ECE" w14:textId="2A6A3A49" w:rsidR="00A4283D" w:rsidRPr="004F469F" w:rsidRDefault="00A4283D" w:rsidP="00A4283D">
      <w:pPr>
        <w:widowControl w:val="0"/>
        <w:autoSpaceDE w:val="0"/>
        <w:autoSpaceDN w:val="0"/>
        <w:adjustRightInd w:val="0"/>
        <w:rPr>
          <w:sz w:val="20"/>
          <w:szCs w:val="20"/>
        </w:rPr>
      </w:pPr>
    </w:p>
    <w:p w14:paraId="484AC954" w14:textId="781A67F0" w:rsidR="00A4283D" w:rsidRPr="004F469F" w:rsidRDefault="00A4283D" w:rsidP="00A4283D">
      <w:pPr>
        <w:widowControl w:val="0"/>
        <w:autoSpaceDE w:val="0"/>
        <w:autoSpaceDN w:val="0"/>
        <w:adjustRightInd w:val="0"/>
        <w:rPr>
          <w:sz w:val="20"/>
          <w:szCs w:val="20"/>
        </w:rPr>
      </w:pPr>
    </w:p>
    <w:p w14:paraId="28126CE2" w14:textId="65E7D5F8" w:rsidR="00A4283D" w:rsidRPr="004F469F" w:rsidRDefault="00A4283D" w:rsidP="00A4283D">
      <w:pPr>
        <w:widowControl w:val="0"/>
        <w:autoSpaceDE w:val="0"/>
        <w:autoSpaceDN w:val="0"/>
        <w:adjustRightInd w:val="0"/>
        <w:rPr>
          <w:sz w:val="20"/>
          <w:szCs w:val="20"/>
        </w:rPr>
      </w:pPr>
    </w:p>
    <w:p w14:paraId="0A0869F5" w14:textId="7FD58DD4" w:rsidR="00A4283D" w:rsidRPr="004F469F" w:rsidRDefault="00A4283D" w:rsidP="00A4283D">
      <w:pPr>
        <w:widowControl w:val="0"/>
        <w:autoSpaceDE w:val="0"/>
        <w:autoSpaceDN w:val="0"/>
        <w:adjustRightInd w:val="0"/>
        <w:rPr>
          <w:sz w:val="20"/>
          <w:szCs w:val="20"/>
        </w:rPr>
      </w:pPr>
    </w:p>
    <w:p w14:paraId="3EAEF633" w14:textId="5927E9DA" w:rsidR="00A4283D" w:rsidRPr="004F469F" w:rsidRDefault="00A4283D" w:rsidP="00A4283D">
      <w:pPr>
        <w:widowControl w:val="0"/>
        <w:autoSpaceDE w:val="0"/>
        <w:autoSpaceDN w:val="0"/>
        <w:adjustRightInd w:val="0"/>
        <w:rPr>
          <w:sz w:val="20"/>
          <w:szCs w:val="20"/>
        </w:rPr>
      </w:pPr>
    </w:p>
    <w:p w14:paraId="6B433C8A" w14:textId="0D766D00" w:rsidR="00A4283D" w:rsidRPr="004F469F" w:rsidRDefault="00A4283D" w:rsidP="00A4283D">
      <w:pPr>
        <w:widowControl w:val="0"/>
        <w:autoSpaceDE w:val="0"/>
        <w:autoSpaceDN w:val="0"/>
        <w:adjustRightInd w:val="0"/>
        <w:rPr>
          <w:sz w:val="20"/>
          <w:szCs w:val="20"/>
        </w:rPr>
      </w:pPr>
    </w:p>
    <w:p w14:paraId="13405E03" w14:textId="276357BB" w:rsidR="00A4283D" w:rsidRPr="004F469F" w:rsidRDefault="00A4283D" w:rsidP="00A4283D">
      <w:pPr>
        <w:widowControl w:val="0"/>
        <w:autoSpaceDE w:val="0"/>
        <w:autoSpaceDN w:val="0"/>
        <w:adjustRightInd w:val="0"/>
        <w:rPr>
          <w:sz w:val="20"/>
          <w:szCs w:val="20"/>
        </w:rPr>
      </w:pPr>
    </w:p>
    <w:p w14:paraId="29297514" w14:textId="367D596E" w:rsidR="00A4283D" w:rsidRPr="004F469F" w:rsidRDefault="00A4283D" w:rsidP="00A4283D">
      <w:pPr>
        <w:widowControl w:val="0"/>
        <w:autoSpaceDE w:val="0"/>
        <w:autoSpaceDN w:val="0"/>
        <w:adjustRightInd w:val="0"/>
        <w:rPr>
          <w:sz w:val="20"/>
          <w:szCs w:val="20"/>
        </w:rPr>
      </w:pPr>
    </w:p>
    <w:p w14:paraId="01DCB0A6" w14:textId="0A718210" w:rsidR="00A4283D" w:rsidRPr="004F469F" w:rsidRDefault="00A4283D" w:rsidP="00A4283D">
      <w:pPr>
        <w:widowControl w:val="0"/>
        <w:autoSpaceDE w:val="0"/>
        <w:autoSpaceDN w:val="0"/>
        <w:adjustRightInd w:val="0"/>
        <w:rPr>
          <w:sz w:val="20"/>
          <w:szCs w:val="20"/>
        </w:rPr>
      </w:pPr>
    </w:p>
    <w:p w14:paraId="3F97444E" w14:textId="2924406A" w:rsidR="00A4283D" w:rsidRPr="004F469F" w:rsidRDefault="00A4283D" w:rsidP="00A4283D">
      <w:pPr>
        <w:widowControl w:val="0"/>
        <w:autoSpaceDE w:val="0"/>
        <w:autoSpaceDN w:val="0"/>
        <w:adjustRightInd w:val="0"/>
        <w:rPr>
          <w:sz w:val="20"/>
          <w:szCs w:val="20"/>
        </w:rPr>
      </w:pPr>
    </w:p>
    <w:p w14:paraId="6EC7F620" w14:textId="083A1EBE" w:rsidR="00A4283D" w:rsidRPr="004F469F" w:rsidRDefault="00A4283D" w:rsidP="00A4283D">
      <w:pPr>
        <w:widowControl w:val="0"/>
        <w:autoSpaceDE w:val="0"/>
        <w:autoSpaceDN w:val="0"/>
        <w:adjustRightInd w:val="0"/>
        <w:rPr>
          <w:sz w:val="20"/>
          <w:szCs w:val="20"/>
        </w:rPr>
      </w:pPr>
    </w:p>
    <w:p w14:paraId="38BA0EE7" w14:textId="54DA9061" w:rsidR="00A4283D" w:rsidRPr="004F469F" w:rsidRDefault="00A4283D" w:rsidP="00A4283D">
      <w:pPr>
        <w:widowControl w:val="0"/>
        <w:autoSpaceDE w:val="0"/>
        <w:autoSpaceDN w:val="0"/>
        <w:adjustRightInd w:val="0"/>
        <w:rPr>
          <w:sz w:val="20"/>
          <w:szCs w:val="20"/>
        </w:rPr>
      </w:pPr>
    </w:p>
    <w:p w14:paraId="5FE1B89F" w14:textId="71748E5D" w:rsidR="00A4283D" w:rsidRPr="004F469F" w:rsidRDefault="00A4283D" w:rsidP="00A4283D">
      <w:pPr>
        <w:widowControl w:val="0"/>
        <w:autoSpaceDE w:val="0"/>
        <w:autoSpaceDN w:val="0"/>
        <w:adjustRightInd w:val="0"/>
        <w:rPr>
          <w:sz w:val="20"/>
          <w:szCs w:val="20"/>
        </w:rPr>
      </w:pPr>
    </w:p>
    <w:p w14:paraId="1F86877D" w14:textId="07088A13" w:rsidR="00A4283D" w:rsidRPr="004F469F" w:rsidRDefault="00A4283D" w:rsidP="00A4283D">
      <w:pPr>
        <w:widowControl w:val="0"/>
        <w:autoSpaceDE w:val="0"/>
        <w:autoSpaceDN w:val="0"/>
        <w:adjustRightInd w:val="0"/>
        <w:rPr>
          <w:sz w:val="20"/>
          <w:szCs w:val="20"/>
        </w:rPr>
      </w:pPr>
    </w:p>
    <w:p w14:paraId="6DA5AF33" w14:textId="083F2F7E" w:rsidR="00A4283D" w:rsidRPr="004F469F" w:rsidRDefault="00A4283D" w:rsidP="00A4283D">
      <w:pPr>
        <w:widowControl w:val="0"/>
        <w:autoSpaceDE w:val="0"/>
        <w:autoSpaceDN w:val="0"/>
        <w:adjustRightInd w:val="0"/>
        <w:rPr>
          <w:sz w:val="20"/>
          <w:szCs w:val="20"/>
        </w:rPr>
      </w:pPr>
    </w:p>
    <w:p w14:paraId="2BFFB959" w14:textId="1BEB9712" w:rsidR="00A4283D" w:rsidRPr="004F469F" w:rsidRDefault="00A4283D" w:rsidP="00A4283D">
      <w:pPr>
        <w:widowControl w:val="0"/>
        <w:autoSpaceDE w:val="0"/>
        <w:autoSpaceDN w:val="0"/>
        <w:adjustRightInd w:val="0"/>
        <w:rPr>
          <w:sz w:val="20"/>
          <w:szCs w:val="20"/>
        </w:rPr>
      </w:pPr>
    </w:p>
    <w:p w14:paraId="380F4E5A" w14:textId="3E3DB11B" w:rsidR="00A4283D" w:rsidRPr="004F469F" w:rsidRDefault="00A4283D" w:rsidP="00A4283D">
      <w:pPr>
        <w:widowControl w:val="0"/>
        <w:autoSpaceDE w:val="0"/>
        <w:autoSpaceDN w:val="0"/>
        <w:adjustRightInd w:val="0"/>
        <w:rPr>
          <w:sz w:val="20"/>
          <w:szCs w:val="20"/>
        </w:rPr>
      </w:pPr>
    </w:p>
    <w:p w14:paraId="5FC02D8D" w14:textId="6AA064C5" w:rsidR="00A4283D" w:rsidRPr="004F469F" w:rsidRDefault="00A4283D" w:rsidP="00A4283D">
      <w:pPr>
        <w:widowControl w:val="0"/>
        <w:autoSpaceDE w:val="0"/>
        <w:autoSpaceDN w:val="0"/>
        <w:adjustRightInd w:val="0"/>
        <w:rPr>
          <w:sz w:val="20"/>
          <w:szCs w:val="20"/>
        </w:rPr>
      </w:pPr>
    </w:p>
    <w:p w14:paraId="2646BEA6" w14:textId="030C9B0F" w:rsidR="00A4283D" w:rsidRPr="004F469F" w:rsidRDefault="00A4283D" w:rsidP="00A4283D">
      <w:pPr>
        <w:widowControl w:val="0"/>
        <w:autoSpaceDE w:val="0"/>
        <w:autoSpaceDN w:val="0"/>
        <w:adjustRightInd w:val="0"/>
        <w:rPr>
          <w:sz w:val="20"/>
          <w:szCs w:val="20"/>
        </w:rPr>
      </w:pPr>
    </w:p>
    <w:p w14:paraId="15A53D22" w14:textId="7F26FB0C" w:rsidR="00A4283D" w:rsidRPr="004F469F" w:rsidRDefault="00A4283D" w:rsidP="00A4283D">
      <w:pPr>
        <w:widowControl w:val="0"/>
        <w:autoSpaceDE w:val="0"/>
        <w:autoSpaceDN w:val="0"/>
        <w:adjustRightInd w:val="0"/>
        <w:rPr>
          <w:sz w:val="20"/>
          <w:szCs w:val="20"/>
        </w:rPr>
      </w:pPr>
    </w:p>
    <w:p w14:paraId="1579E6F6" w14:textId="009E188E" w:rsidR="00A4283D" w:rsidRPr="004F469F" w:rsidRDefault="00A4283D" w:rsidP="00A4283D">
      <w:pPr>
        <w:widowControl w:val="0"/>
        <w:autoSpaceDE w:val="0"/>
        <w:autoSpaceDN w:val="0"/>
        <w:adjustRightInd w:val="0"/>
        <w:rPr>
          <w:sz w:val="20"/>
          <w:szCs w:val="20"/>
        </w:rPr>
      </w:pPr>
    </w:p>
    <w:p w14:paraId="585A5040" w14:textId="77777777" w:rsidR="00A4283D" w:rsidRPr="004F469F" w:rsidRDefault="00A4283D" w:rsidP="00A4283D">
      <w:pPr>
        <w:widowControl w:val="0"/>
        <w:autoSpaceDE w:val="0"/>
        <w:autoSpaceDN w:val="0"/>
        <w:adjustRightInd w:val="0"/>
        <w:rPr>
          <w:sz w:val="20"/>
          <w:szCs w:val="20"/>
        </w:rPr>
      </w:pPr>
    </w:p>
    <w:p w14:paraId="526CD0FA" w14:textId="5E0AFD6C" w:rsidR="00A4283D" w:rsidRPr="004F469F" w:rsidRDefault="00A4283D" w:rsidP="00A4283D">
      <w:pPr>
        <w:pStyle w:val="Caption"/>
        <w:keepNext/>
        <w:rPr>
          <w:rFonts w:ascii="Times New Roman" w:hAnsi="Times New Roman" w:cs="Times New Roman"/>
          <w:i w:val="0"/>
          <w:iCs w:val="0"/>
          <w:color w:val="auto"/>
          <w:sz w:val="24"/>
          <w:szCs w:val="24"/>
        </w:rPr>
      </w:pPr>
      <w:bookmarkStart w:id="69" w:name="_Toc22034999"/>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The annual number of persons impacted by significant tornado winds per 1000 km</w:t>
      </w:r>
      <w:r w:rsidRPr="004F469F">
        <w:rPr>
          <w:rFonts w:ascii="Times New Roman" w:hAnsi="Times New Roman" w:cs="Times New Roman"/>
          <w:i w:val="0"/>
          <w:iCs w:val="0"/>
          <w:color w:val="auto"/>
          <w:sz w:val="24"/>
          <w:szCs w:val="24"/>
          <w:vertAlign w:val="superscript"/>
        </w:rPr>
        <w:t>2</w:t>
      </w:r>
      <w:r w:rsidRPr="004F469F">
        <w:rPr>
          <w:rFonts w:ascii="Times New Roman" w:hAnsi="Times New Roman" w:cs="Times New Roman"/>
          <w:i w:val="0"/>
          <w:iCs w:val="0"/>
          <w:color w:val="auto"/>
          <w:sz w:val="24"/>
          <w:szCs w:val="24"/>
        </w:rPr>
        <w:t xml:space="preserve"> over select metropolitan statistical areas during a 1000 year TorDIS simulation using the 2010 SEDAC gridded population counts. Summary statistics include the normalised count of significant tornadoes, mean, median, maximum, and standard deviation of annual persons impacted, and the probability that a tornado hitting each metro area would impact more than 5000 (EP</w:t>
      </w:r>
      <w:r w:rsidRPr="004F469F">
        <w:rPr>
          <w:rFonts w:ascii="Times New Roman" w:hAnsi="Times New Roman" w:cs="Times New Roman"/>
          <w:i w:val="0"/>
          <w:iCs w:val="0"/>
          <w:color w:val="auto"/>
          <w:sz w:val="24"/>
          <w:szCs w:val="24"/>
          <w:vertAlign w:val="subscript"/>
        </w:rPr>
        <w:t>5000</w:t>
      </w:r>
      <w:r w:rsidRPr="004F469F">
        <w:rPr>
          <w:rFonts w:ascii="Times New Roman" w:hAnsi="Times New Roman" w:cs="Times New Roman"/>
          <w:i w:val="0"/>
          <w:iCs w:val="0"/>
          <w:color w:val="auto"/>
          <w:sz w:val="24"/>
          <w:szCs w:val="24"/>
        </w:rPr>
        <w:t>) or 20000 persons (EP</w:t>
      </w:r>
      <w:r w:rsidRPr="004F469F">
        <w:rPr>
          <w:rFonts w:ascii="Times New Roman" w:hAnsi="Times New Roman" w:cs="Times New Roman"/>
          <w:i w:val="0"/>
          <w:iCs w:val="0"/>
          <w:color w:val="auto"/>
          <w:sz w:val="24"/>
          <w:szCs w:val="24"/>
          <w:vertAlign w:val="subscript"/>
        </w:rPr>
        <w:t>20000</w:t>
      </w:r>
      <w:r w:rsidRPr="004F469F">
        <w:rPr>
          <w:rFonts w:ascii="Times New Roman" w:hAnsi="Times New Roman" w:cs="Times New Roman"/>
          <w:i w:val="0"/>
          <w:iCs w:val="0"/>
          <w:color w:val="auto"/>
          <w:sz w:val="24"/>
          <w:szCs w:val="24"/>
        </w:rPr>
        <w:t>).</w:t>
      </w:r>
      <w:bookmarkEnd w:id="69"/>
    </w:p>
    <w:tbl>
      <w:tblPr>
        <w:tblW w:w="0" w:type="auto"/>
        <w:tblLook w:val="04A0" w:firstRow="1" w:lastRow="0" w:firstColumn="1" w:lastColumn="0" w:noHBand="0" w:noVBand="1"/>
      </w:tblPr>
      <w:tblGrid>
        <w:gridCol w:w="2065"/>
        <w:gridCol w:w="1260"/>
        <w:gridCol w:w="720"/>
        <w:gridCol w:w="900"/>
        <w:gridCol w:w="1105"/>
        <w:gridCol w:w="1039"/>
      </w:tblGrid>
      <w:tr w:rsidR="00494669" w:rsidRPr="004F469F" w14:paraId="31151EEA" w14:textId="77777777" w:rsidTr="00D90A51">
        <w:trPr>
          <w:trHeight w:val="680"/>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64BA0" w14:textId="77777777" w:rsidR="00A4283D" w:rsidRPr="004F469F" w:rsidRDefault="00A4283D" w:rsidP="00A4283D">
            <w:pPr>
              <w:jc w:val="center"/>
              <w:rPr>
                <w:b/>
                <w:bCs/>
                <w:sz w:val="20"/>
                <w:szCs w:val="20"/>
              </w:rPr>
            </w:pPr>
            <w:r w:rsidRPr="004F469F">
              <w:rPr>
                <w:b/>
                <w:bCs/>
                <w:sz w:val="20"/>
                <w:szCs w:val="20"/>
              </w:rPr>
              <w:t>Metropolitan Statistical Area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13FE6C2" w14:textId="77777777" w:rsidR="00A4283D" w:rsidRPr="004F469F" w:rsidRDefault="00A4283D" w:rsidP="00A4283D">
            <w:pPr>
              <w:jc w:val="center"/>
              <w:rPr>
                <w:b/>
                <w:bCs/>
                <w:sz w:val="20"/>
                <w:szCs w:val="20"/>
              </w:rPr>
            </w:pPr>
            <w:r w:rsidRPr="004F469F">
              <w:rPr>
                <w:b/>
                <w:bCs/>
                <w:sz w:val="20"/>
                <w:szCs w:val="20"/>
              </w:rPr>
              <w:t>Normalized Count</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B846BB4" w14:textId="77777777" w:rsidR="00A4283D" w:rsidRPr="004F469F" w:rsidRDefault="00A4283D" w:rsidP="00A4283D">
            <w:pPr>
              <w:jc w:val="center"/>
              <w:rPr>
                <w:b/>
                <w:bCs/>
                <w:sz w:val="20"/>
                <w:szCs w:val="20"/>
              </w:rPr>
            </w:pPr>
            <w:r w:rsidRPr="004F469F">
              <w:rPr>
                <w:b/>
                <w:bCs/>
                <w:sz w:val="20"/>
                <w:szCs w:val="20"/>
              </w:rPr>
              <w:t>Mean</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224C051" w14:textId="77777777" w:rsidR="00A4283D" w:rsidRPr="004F469F" w:rsidRDefault="00A4283D" w:rsidP="00A4283D">
            <w:pPr>
              <w:jc w:val="center"/>
              <w:rPr>
                <w:b/>
                <w:bCs/>
                <w:sz w:val="20"/>
                <w:szCs w:val="20"/>
              </w:rPr>
            </w:pPr>
            <w:r w:rsidRPr="004F469F">
              <w:rPr>
                <w:b/>
                <w:bCs/>
                <w:sz w:val="20"/>
                <w:szCs w:val="20"/>
              </w:rPr>
              <w:t>Median</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14:paraId="76F2BADD" w14:textId="77777777" w:rsidR="00A4283D" w:rsidRPr="004F469F" w:rsidRDefault="00A4283D" w:rsidP="00A4283D">
            <w:pPr>
              <w:jc w:val="center"/>
              <w:rPr>
                <w:b/>
                <w:bCs/>
                <w:sz w:val="20"/>
                <w:szCs w:val="20"/>
              </w:rPr>
            </w:pPr>
            <w:r w:rsidRPr="004F469F">
              <w:rPr>
                <w:b/>
                <w:bCs/>
                <w:sz w:val="20"/>
                <w:szCs w:val="20"/>
              </w:rPr>
              <w:t>Maximum</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58F7AF83" w14:textId="77777777" w:rsidR="00A4283D" w:rsidRPr="004F469F" w:rsidRDefault="00A4283D" w:rsidP="00A4283D">
            <w:pPr>
              <w:jc w:val="center"/>
              <w:rPr>
                <w:b/>
                <w:bCs/>
                <w:sz w:val="20"/>
                <w:szCs w:val="20"/>
              </w:rPr>
            </w:pPr>
            <w:r w:rsidRPr="004F469F">
              <w:rPr>
                <w:b/>
                <w:bCs/>
                <w:sz w:val="20"/>
                <w:szCs w:val="20"/>
              </w:rPr>
              <w:t>Standard Deviation</w:t>
            </w:r>
          </w:p>
        </w:tc>
      </w:tr>
      <w:tr w:rsidR="00D90A51" w:rsidRPr="004F469F" w14:paraId="3696E983"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124FC72F" w14:textId="77777777" w:rsidR="00D90A51" w:rsidRPr="004F469F" w:rsidRDefault="00D90A51" w:rsidP="00D90A51">
            <w:pPr>
              <w:jc w:val="center"/>
              <w:rPr>
                <w:sz w:val="20"/>
                <w:szCs w:val="20"/>
              </w:rPr>
            </w:pPr>
            <w:r w:rsidRPr="004F469F">
              <w:rPr>
                <w:sz w:val="20"/>
                <w:szCs w:val="20"/>
              </w:rPr>
              <w:t>Oklahoma City, OK</w:t>
            </w:r>
          </w:p>
        </w:tc>
        <w:tc>
          <w:tcPr>
            <w:tcW w:w="1260" w:type="dxa"/>
            <w:tcBorders>
              <w:top w:val="nil"/>
              <w:left w:val="nil"/>
              <w:bottom w:val="single" w:sz="4" w:space="0" w:color="auto"/>
              <w:right w:val="single" w:sz="4" w:space="0" w:color="auto"/>
            </w:tcBorders>
            <w:shd w:val="clear" w:color="auto" w:fill="auto"/>
            <w:noWrap/>
            <w:vAlign w:val="center"/>
            <w:hideMark/>
          </w:tcPr>
          <w:p w14:paraId="19991731" w14:textId="441A3DCD" w:rsidR="00D90A51" w:rsidRPr="004F469F" w:rsidRDefault="00D90A51" w:rsidP="00D90A51">
            <w:pPr>
              <w:jc w:val="center"/>
              <w:rPr>
                <w:sz w:val="20"/>
                <w:szCs w:val="20"/>
              </w:rPr>
            </w:pPr>
            <w:r w:rsidRPr="004F469F">
              <w:rPr>
                <w:sz w:val="20"/>
                <w:szCs w:val="20"/>
              </w:rPr>
              <w:t>102</w:t>
            </w:r>
          </w:p>
        </w:tc>
        <w:tc>
          <w:tcPr>
            <w:tcW w:w="720" w:type="dxa"/>
            <w:tcBorders>
              <w:top w:val="nil"/>
              <w:left w:val="nil"/>
              <w:bottom w:val="single" w:sz="4" w:space="0" w:color="auto"/>
              <w:right w:val="single" w:sz="4" w:space="0" w:color="auto"/>
            </w:tcBorders>
            <w:shd w:val="clear" w:color="auto" w:fill="auto"/>
            <w:noWrap/>
            <w:vAlign w:val="center"/>
            <w:hideMark/>
          </w:tcPr>
          <w:p w14:paraId="211B605C" w14:textId="4DDC8AFB" w:rsidR="00D90A51" w:rsidRPr="004F469F" w:rsidRDefault="00D90A51" w:rsidP="00D90A51">
            <w:pPr>
              <w:jc w:val="center"/>
              <w:rPr>
                <w:sz w:val="20"/>
                <w:szCs w:val="20"/>
              </w:rPr>
            </w:pPr>
            <w:r w:rsidRPr="004F469F">
              <w:rPr>
                <w:sz w:val="20"/>
                <w:szCs w:val="20"/>
              </w:rPr>
              <w:t>127</w:t>
            </w:r>
          </w:p>
        </w:tc>
        <w:tc>
          <w:tcPr>
            <w:tcW w:w="900" w:type="dxa"/>
            <w:tcBorders>
              <w:top w:val="nil"/>
              <w:left w:val="nil"/>
              <w:bottom w:val="single" w:sz="4" w:space="0" w:color="auto"/>
              <w:right w:val="single" w:sz="4" w:space="0" w:color="auto"/>
            </w:tcBorders>
            <w:shd w:val="clear" w:color="auto" w:fill="auto"/>
            <w:noWrap/>
            <w:vAlign w:val="center"/>
            <w:hideMark/>
          </w:tcPr>
          <w:p w14:paraId="324C6DAF" w14:textId="6675D190" w:rsidR="00D90A51" w:rsidRPr="004F469F" w:rsidRDefault="00D90A51" w:rsidP="00D90A51">
            <w:pPr>
              <w:jc w:val="center"/>
              <w:rPr>
                <w:sz w:val="20"/>
                <w:szCs w:val="20"/>
              </w:rPr>
            </w:pPr>
            <w:r w:rsidRPr="004F469F">
              <w:rPr>
                <w:sz w:val="20"/>
                <w:szCs w:val="20"/>
              </w:rPr>
              <w:t>8</w:t>
            </w:r>
          </w:p>
        </w:tc>
        <w:tc>
          <w:tcPr>
            <w:tcW w:w="1105" w:type="dxa"/>
            <w:tcBorders>
              <w:top w:val="nil"/>
              <w:left w:val="nil"/>
              <w:bottom w:val="single" w:sz="4" w:space="0" w:color="auto"/>
              <w:right w:val="single" w:sz="4" w:space="0" w:color="auto"/>
            </w:tcBorders>
            <w:shd w:val="clear" w:color="auto" w:fill="auto"/>
            <w:noWrap/>
            <w:vAlign w:val="center"/>
            <w:hideMark/>
          </w:tcPr>
          <w:p w14:paraId="39189842" w14:textId="71910380" w:rsidR="00D90A51" w:rsidRPr="004F469F" w:rsidRDefault="00D90A51" w:rsidP="00D90A51">
            <w:pPr>
              <w:jc w:val="center"/>
              <w:rPr>
                <w:sz w:val="20"/>
                <w:szCs w:val="20"/>
              </w:rPr>
            </w:pPr>
            <w:r w:rsidRPr="004F469F">
              <w:rPr>
                <w:sz w:val="20"/>
                <w:szCs w:val="20"/>
              </w:rPr>
              <w:t>3,125</w:t>
            </w:r>
          </w:p>
        </w:tc>
        <w:tc>
          <w:tcPr>
            <w:tcW w:w="1039" w:type="dxa"/>
            <w:tcBorders>
              <w:top w:val="nil"/>
              <w:left w:val="nil"/>
              <w:bottom w:val="single" w:sz="4" w:space="0" w:color="auto"/>
              <w:right w:val="single" w:sz="4" w:space="0" w:color="auto"/>
            </w:tcBorders>
            <w:shd w:val="clear" w:color="auto" w:fill="auto"/>
            <w:noWrap/>
            <w:vAlign w:val="center"/>
            <w:hideMark/>
          </w:tcPr>
          <w:p w14:paraId="7F95F2F7" w14:textId="2F832CF8" w:rsidR="00D90A51" w:rsidRPr="004F469F" w:rsidRDefault="00D90A51" w:rsidP="00D90A51">
            <w:pPr>
              <w:jc w:val="center"/>
              <w:rPr>
                <w:sz w:val="20"/>
                <w:szCs w:val="20"/>
              </w:rPr>
            </w:pPr>
            <w:r w:rsidRPr="004F469F">
              <w:rPr>
                <w:sz w:val="20"/>
                <w:szCs w:val="20"/>
              </w:rPr>
              <w:t>348</w:t>
            </w:r>
          </w:p>
        </w:tc>
      </w:tr>
      <w:tr w:rsidR="00D90A51" w:rsidRPr="004F469F" w14:paraId="59A1A416"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56892320" w14:textId="77777777" w:rsidR="00D90A51" w:rsidRPr="004F469F" w:rsidRDefault="00D90A51" w:rsidP="00D90A51">
            <w:pPr>
              <w:jc w:val="center"/>
              <w:rPr>
                <w:sz w:val="20"/>
                <w:szCs w:val="20"/>
              </w:rPr>
            </w:pPr>
            <w:r w:rsidRPr="004F469F">
              <w:rPr>
                <w:sz w:val="20"/>
                <w:szCs w:val="20"/>
              </w:rPr>
              <w:t>Dallas/Fort Worth, TX</w:t>
            </w:r>
          </w:p>
        </w:tc>
        <w:tc>
          <w:tcPr>
            <w:tcW w:w="1260" w:type="dxa"/>
            <w:tcBorders>
              <w:top w:val="nil"/>
              <w:left w:val="nil"/>
              <w:bottom w:val="single" w:sz="4" w:space="0" w:color="auto"/>
              <w:right w:val="single" w:sz="4" w:space="0" w:color="auto"/>
            </w:tcBorders>
            <w:shd w:val="clear" w:color="auto" w:fill="auto"/>
            <w:noWrap/>
            <w:vAlign w:val="center"/>
            <w:hideMark/>
          </w:tcPr>
          <w:p w14:paraId="661568FA" w14:textId="6169EF74" w:rsidR="00D90A51" w:rsidRPr="004F469F" w:rsidRDefault="00D90A51" w:rsidP="00D90A51">
            <w:pPr>
              <w:jc w:val="center"/>
              <w:rPr>
                <w:sz w:val="20"/>
                <w:szCs w:val="20"/>
              </w:rPr>
            </w:pPr>
            <w:r w:rsidRPr="004F469F">
              <w:rPr>
                <w:sz w:val="20"/>
                <w:szCs w:val="20"/>
              </w:rPr>
              <w:t>103</w:t>
            </w:r>
          </w:p>
        </w:tc>
        <w:tc>
          <w:tcPr>
            <w:tcW w:w="720" w:type="dxa"/>
            <w:tcBorders>
              <w:top w:val="nil"/>
              <w:left w:val="nil"/>
              <w:bottom w:val="single" w:sz="4" w:space="0" w:color="auto"/>
              <w:right w:val="single" w:sz="4" w:space="0" w:color="auto"/>
            </w:tcBorders>
            <w:shd w:val="clear" w:color="auto" w:fill="auto"/>
            <w:noWrap/>
            <w:vAlign w:val="center"/>
            <w:hideMark/>
          </w:tcPr>
          <w:p w14:paraId="5E691D4E" w14:textId="760DD3A7" w:rsidR="00D90A51" w:rsidRPr="004F469F" w:rsidRDefault="00D90A51" w:rsidP="00D90A51">
            <w:pPr>
              <w:jc w:val="center"/>
              <w:rPr>
                <w:sz w:val="20"/>
                <w:szCs w:val="20"/>
              </w:rPr>
            </w:pPr>
            <w:r w:rsidRPr="004F469F">
              <w:rPr>
                <w:sz w:val="20"/>
                <w:szCs w:val="20"/>
              </w:rPr>
              <w:t>331</w:t>
            </w:r>
          </w:p>
        </w:tc>
        <w:tc>
          <w:tcPr>
            <w:tcW w:w="900" w:type="dxa"/>
            <w:tcBorders>
              <w:top w:val="nil"/>
              <w:left w:val="nil"/>
              <w:bottom w:val="single" w:sz="4" w:space="0" w:color="auto"/>
              <w:right w:val="single" w:sz="4" w:space="0" w:color="auto"/>
            </w:tcBorders>
            <w:shd w:val="clear" w:color="auto" w:fill="auto"/>
            <w:noWrap/>
            <w:vAlign w:val="center"/>
            <w:hideMark/>
          </w:tcPr>
          <w:p w14:paraId="0196150D" w14:textId="6DCC499E" w:rsidR="00D90A51" w:rsidRPr="004F469F" w:rsidRDefault="00D90A51" w:rsidP="00D90A51">
            <w:pPr>
              <w:jc w:val="center"/>
              <w:rPr>
                <w:sz w:val="20"/>
                <w:szCs w:val="20"/>
              </w:rPr>
            </w:pPr>
            <w:r w:rsidRPr="004F469F">
              <w:rPr>
                <w:sz w:val="20"/>
                <w:szCs w:val="20"/>
              </w:rPr>
              <w:t>45</w:t>
            </w:r>
          </w:p>
        </w:tc>
        <w:tc>
          <w:tcPr>
            <w:tcW w:w="1105" w:type="dxa"/>
            <w:tcBorders>
              <w:top w:val="nil"/>
              <w:left w:val="nil"/>
              <w:bottom w:val="single" w:sz="4" w:space="0" w:color="auto"/>
              <w:right w:val="single" w:sz="4" w:space="0" w:color="auto"/>
            </w:tcBorders>
            <w:shd w:val="clear" w:color="auto" w:fill="auto"/>
            <w:noWrap/>
            <w:vAlign w:val="center"/>
            <w:hideMark/>
          </w:tcPr>
          <w:p w14:paraId="75B253C9" w14:textId="6635BDDD" w:rsidR="00D90A51" w:rsidRPr="004F469F" w:rsidRDefault="00D90A51" w:rsidP="00D90A51">
            <w:pPr>
              <w:jc w:val="center"/>
              <w:rPr>
                <w:sz w:val="20"/>
                <w:szCs w:val="20"/>
              </w:rPr>
            </w:pPr>
            <w:r w:rsidRPr="004F469F">
              <w:rPr>
                <w:sz w:val="20"/>
                <w:szCs w:val="20"/>
              </w:rPr>
              <w:t>6,467</w:t>
            </w:r>
          </w:p>
        </w:tc>
        <w:tc>
          <w:tcPr>
            <w:tcW w:w="1039" w:type="dxa"/>
            <w:tcBorders>
              <w:top w:val="nil"/>
              <w:left w:val="nil"/>
              <w:bottom w:val="single" w:sz="4" w:space="0" w:color="auto"/>
              <w:right w:val="single" w:sz="4" w:space="0" w:color="auto"/>
            </w:tcBorders>
            <w:shd w:val="clear" w:color="auto" w:fill="auto"/>
            <w:noWrap/>
            <w:vAlign w:val="center"/>
            <w:hideMark/>
          </w:tcPr>
          <w:p w14:paraId="55452B79" w14:textId="3DA8364A" w:rsidR="00D90A51" w:rsidRPr="004F469F" w:rsidRDefault="00D90A51" w:rsidP="00D90A51">
            <w:pPr>
              <w:jc w:val="center"/>
              <w:rPr>
                <w:sz w:val="20"/>
                <w:szCs w:val="20"/>
              </w:rPr>
            </w:pPr>
            <w:r w:rsidRPr="004F469F">
              <w:rPr>
                <w:sz w:val="20"/>
                <w:szCs w:val="20"/>
              </w:rPr>
              <w:t>736</w:t>
            </w:r>
          </w:p>
        </w:tc>
      </w:tr>
      <w:tr w:rsidR="00D90A51" w:rsidRPr="004F469F" w14:paraId="008E969C"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2920C5BF" w14:textId="77777777" w:rsidR="00D90A51" w:rsidRPr="004F469F" w:rsidRDefault="00D90A51" w:rsidP="00D90A51">
            <w:pPr>
              <w:jc w:val="center"/>
              <w:rPr>
                <w:sz w:val="20"/>
                <w:szCs w:val="20"/>
              </w:rPr>
            </w:pPr>
            <w:r w:rsidRPr="004F469F">
              <w:rPr>
                <w:sz w:val="20"/>
                <w:szCs w:val="20"/>
              </w:rPr>
              <w:t>Chicago, IL</w:t>
            </w:r>
          </w:p>
        </w:tc>
        <w:tc>
          <w:tcPr>
            <w:tcW w:w="1260" w:type="dxa"/>
            <w:tcBorders>
              <w:top w:val="nil"/>
              <w:left w:val="nil"/>
              <w:bottom w:val="single" w:sz="4" w:space="0" w:color="auto"/>
              <w:right w:val="single" w:sz="4" w:space="0" w:color="auto"/>
            </w:tcBorders>
            <w:shd w:val="clear" w:color="auto" w:fill="auto"/>
            <w:noWrap/>
            <w:vAlign w:val="center"/>
            <w:hideMark/>
          </w:tcPr>
          <w:p w14:paraId="694EFD7C" w14:textId="61741782" w:rsidR="00D90A51" w:rsidRPr="004F469F" w:rsidRDefault="00D90A51" w:rsidP="00D90A51">
            <w:pPr>
              <w:jc w:val="center"/>
              <w:rPr>
                <w:sz w:val="20"/>
                <w:szCs w:val="20"/>
              </w:rPr>
            </w:pPr>
            <w:r w:rsidRPr="004F469F">
              <w:rPr>
                <w:sz w:val="20"/>
                <w:szCs w:val="20"/>
              </w:rPr>
              <w:t>75</w:t>
            </w:r>
          </w:p>
        </w:tc>
        <w:tc>
          <w:tcPr>
            <w:tcW w:w="720" w:type="dxa"/>
            <w:tcBorders>
              <w:top w:val="nil"/>
              <w:left w:val="nil"/>
              <w:bottom w:val="single" w:sz="4" w:space="0" w:color="auto"/>
              <w:right w:val="single" w:sz="4" w:space="0" w:color="auto"/>
            </w:tcBorders>
            <w:shd w:val="clear" w:color="auto" w:fill="auto"/>
            <w:noWrap/>
            <w:vAlign w:val="center"/>
            <w:hideMark/>
          </w:tcPr>
          <w:p w14:paraId="165F7ABB" w14:textId="2916999A" w:rsidR="00D90A51" w:rsidRPr="004F469F" w:rsidRDefault="00D90A51" w:rsidP="00D90A51">
            <w:pPr>
              <w:jc w:val="center"/>
              <w:rPr>
                <w:sz w:val="20"/>
                <w:szCs w:val="20"/>
              </w:rPr>
            </w:pPr>
            <w:r w:rsidRPr="004F469F">
              <w:rPr>
                <w:sz w:val="20"/>
                <w:szCs w:val="20"/>
              </w:rPr>
              <w:t>381</w:t>
            </w:r>
          </w:p>
        </w:tc>
        <w:tc>
          <w:tcPr>
            <w:tcW w:w="900" w:type="dxa"/>
            <w:tcBorders>
              <w:top w:val="nil"/>
              <w:left w:val="nil"/>
              <w:bottom w:val="single" w:sz="4" w:space="0" w:color="auto"/>
              <w:right w:val="single" w:sz="4" w:space="0" w:color="auto"/>
            </w:tcBorders>
            <w:shd w:val="clear" w:color="auto" w:fill="auto"/>
            <w:noWrap/>
            <w:vAlign w:val="center"/>
            <w:hideMark/>
          </w:tcPr>
          <w:p w14:paraId="67F414FF" w14:textId="62BD85D9" w:rsidR="00D90A51" w:rsidRPr="004F469F" w:rsidRDefault="00D90A51" w:rsidP="00D90A51">
            <w:pPr>
              <w:jc w:val="center"/>
              <w:rPr>
                <w:sz w:val="20"/>
                <w:szCs w:val="20"/>
              </w:rPr>
            </w:pPr>
            <w:r w:rsidRPr="004F469F">
              <w:rPr>
                <w:sz w:val="20"/>
                <w:szCs w:val="20"/>
              </w:rPr>
              <w:t>49</w:t>
            </w:r>
          </w:p>
        </w:tc>
        <w:tc>
          <w:tcPr>
            <w:tcW w:w="1105" w:type="dxa"/>
            <w:tcBorders>
              <w:top w:val="nil"/>
              <w:left w:val="nil"/>
              <w:bottom w:val="single" w:sz="4" w:space="0" w:color="auto"/>
              <w:right w:val="single" w:sz="4" w:space="0" w:color="auto"/>
            </w:tcBorders>
            <w:shd w:val="clear" w:color="auto" w:fill="auto"/>
            <w:noWrap/>
            <w:vAlign w:val="center"/>
            <w:hideMark/>
          </w:tcPr>
          <w:p w14:paraId="19D67C44" w14:textId="66B906F1" w:rsidR="00D90A51" w:rsidRPr="004F469F" w:rsidRDefault="00D90A51" w:rsidP="00D90A51">
            <w:pPr>
              <w:jc w:val="center"/>
              <w:rPr>
                <w:sz w:val="20"/>
                <w:szCs w:val="20"/>
              </w:rPr>
            </w:pPr>
            <w:r w:rsidRPr="004F469F">
              <w:rPr>
                <w:sz w:val="20"/>
                <w:szCs w:val="20"/>
              </w:rPr>
              <w:t>11,367</w:t>
            </w:r>
          </w:p>
        </w:tc>
        <w:tc>
          <w:tcPr>
            <w:tcW w:w="1039" w:type="dxa"/>
            <w:tcBorders>
              <w:top w:val="nil"/>
              <w:left w:val="nil"/>
              <w:bottom w:val="single" w:sz="4" w:space="0" w:color="auto"/>
              <w:right w:val="single" w:sz="4" w:space="0" w:color="auto"/>
            </w:tcBorders>
            <w:shd w:val="clear" w:color="auto" w:fill="auto"/>
            <w:noWrap/>
            <w:vAlign w:val="center"/>
            <w:hideMark/>
          </w:tcPr>
          <w:p w14:paraId="5469F952" w14:textId="007EC2BD" w:rsidR="00D90A51" w:rsidRPr="004F469F" w:rsidRDefault="00D90A51" w:rsidP="00D90A51">
            <w:pPr>
              <w:jc w:val="center"/>
              <w:rPr>
                <w:sz w:val="20"/>
                <w:szCs w:val="20"/>
              </w:rPr>
            </w:pPr>
            <w:r w:rsidRPr="004F469F">
              <w:rPr>
                <w:sz w:val="20"/>
                <w:szCs w:val="20"/>
              </w:rPr>
              <w:t>959</w:t>
            </w:r>
          </w:p>
        </w:tc>
      </w:tr>
      <w:tr w:rsidR="00D90A51" w:rsidRPr="004F469F" w14:paraId="15A303CC"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79348DA6" w14:textId="77777777" w:rsidR="00D90A51" w:rsidRPr="004F469F" w:rsidRDefault="00D90A51" w:rsidP="00D90A51">
            <w:pPr>
              <w:jc w:val="center"/>
              <w:rPr>
                <w:sz w:val="20"/>
                <w:szCs w:val="20"/>
              </w:rPr>
            </w:pPr>
            <w:r w:rsidRPr="004F469F">
              <w:rPr>
                <w:sz w:val="20"/>
                <w:szCs w:val="20"/>
              </w:rPr>
              <w:t>Birmingham, AL</w:t>
            </w:r>
          </w:p>
        </w:tc>
        <w:tc>
          <w:tcPr>
            <w:tcW w:w="1260" w:type="dxa"/>
            <w:tcBorders>
              <w:top w:val="nil"/>
              <w:left w:val="nil"/>
              <w:bottom w:val="single" w:sz="4" w:space="0" w:color="auto"/>
              <w:right w:val="single" w:sz="4" w:space="0" w:color="auto"/>
            </w:tcBorders>
            <w:shd w:val="clear" w:color="auto" w:fill="auto"/>
            <w:noWrap/>
            <w:vAlign w:val="center"/>
            <w:hideMark/>
          </w:tcPr>
          <w:p w14:paraId="702B153C" w14:textId="4636150B" w:rsidR="00D90A51" w:rsidRPr="004F469F" w:rsidRDefault="00D90A51" w:rsidP="00D90A51">
            <w:pPr>
              <w:jc w:val="center"/>
              <w:rPr>
                <w:sz w:val="20"/>
                <w:szCs w:val="20"/>
              </w:rPr>
            </w:pPr>
            <w:r w:rsidRPr="004F469F">
              <w:rPr>
                <w:sz w:val="20"/>
                <w:szCs w:val="20"/>
              </w:rPr>
              <w:t>92</w:t>
            </w:r>
          </w:p>
        </w:tc>
        <w:tc>
          <w:tcPr>
            <w:tcW w:w="720" w:type="dxa"/>
            <w:tcBorders>
              <w:top w:val="nil"/>
              <w:left w:val="nil"/>
              <w:bottom w:val="single" w:sz="4" w:space="0" w:color="auto"/>
              <w:right w:val="single" w:sz="4" w:space="0" w:color="auto"/>
            </w:tcBorders>
            <w:shd w:val="clear" w:color="auto" w:fill="auto"/>
            <w:noWrap/>
            <w:vAlign w:val="center"/>
            <w:hideMark/>
          </w:tcPr>
          <w:p w14:paraId="3FDA94CF" w14:textId="5027092B" w:rsidR="00D90A51" w:rsidRPr="004F469F" w:rsidRDefault="00D90A51" w:rsidP="00D90A51">
            <w:pPr>
              <w:jc w:val="center"/>
              <w:rPr>
                <w:sz w:val="20"/>
                <w:szCs w:val="20"/>
              </w:rPr>
            </w:pPr>
            <w:r w:rsidRPr="004F469F">
              <w:rPr>
                <w:sz w:val="20"/>
                <w:szCs w:val="20"/>
              </w:rPr>
              <w:t>115</w:t>
            </w:r>
          </w:p>
        </w:tc>
        <w:tc>
          <w:tcPr>
            <w:tcW w:w="900" w:type="dxa"/>
            <w:tcBorders>
              <w:top w:val="nil"/>
              <w:left w:val="nil"/>
              <w:bottom w:val="single" w:sz="4" w:space="0" w:color="auto"/>
              <w:right w:val="single" w:sz="4" w:space="0" w:color="auto"/>
            </w:tcBorders>
            <w:shd w:val="clear" w:color="auto" w:fill="auto"/>
            <w:noWrap/>
            <w:vAlign w:val="center"/>
            <w:hideMark/>
          </w:tcPr>
          <w:p w14:paraId="3F8BA656" w14:textId="48A72CD8" w:rsidR="00D90A51" w:rsidRPr="004F469F" w:rsidRDefault="00D90A51" w:rsidP="00D90A51">
            <w:pPr>
              <w:jc w:val="center"/>
              <w:rPr>
                <w:sz w:val="20"/>
                <w:szCs w:val="20"/>
              </w:rPr>
            </w:pPr>
            <w:r w:rsidRPr="004F469F">
              <w:rPr>
                <w:sz w:val="20"/>
                <w:szCs w:val="20"/>
              </w:rPr>
              <w:t>24</w:t>
            </w:r>
          </w:p>
        </w:tc>
        <w:tc>
          <w:tcPr>
            <w:tcW w:w="1105" w:type="dxa"/>
            <w:tcBorders>
              <w:top w:val="nil"/>
              <w:left w:val="nil"/>
              <w:bottom w:val="single" w:sz="4" w:space="0" w:color="auto"/>
              <w:right w:val="single" w:sz="4" w:space="0" w:color="auto"/>
            </w:tcBorders>
            <w:shd w:val="clear" w:color="auto" w:fill="auto"/>
            <w:noWrap/>
            <w:vAlign w:val="center"/>
            <w:hideMark/>
          </w:tcPr>
          <w:p w14:paraId="6B79029D" w14:textId="7D87B5DD" w:rsidR="00D90A51" w:rsidRPr="004F469F" w:rsidRDefault="00D90A51" w:rsidP="00D90A51">
            <w:pPr>
              <w:jc w:val="center"/>
              <w:rPr>
                <w:sz w:val="20"/>
                <w:szCs w:val="20"/>
              </w:rPr>
            </w:pPr>
            <w:r w:rsidRPr="004F469F">
              <w:rPr>
                <w:sz w:val="20"/>
                <w:szCs w:val="20"/>
              </w:rPr>
              <w:t>2,844</w:t>
            </w:r>
          </w:p>
        </w:tc>
        <w:tc>
          <w:tcPr>
            <w:tcW w:w="1039" w:type="dxa"/>
            <w:tcBorders>
              <w:top w:val="nil"/>
              <w:left w:val="nil"/>
              <w:bottom w:val="single" w:sz="4" w:space="0" w:color="auto"/>
              <w:right w:val="single" w:sz="4" w:space="0" w:color="auto"/>
            </w:tcBorders>
            <w:shd w:val="clear" w:color="auto" w:fill="auto"/>
            <w:noWrap/>
            <w:vAlign w:val="center"/>
            <w:hideMark/>
          </w:tcPr>
          <w:p w14:paraId="1C6624EB" w14:textId="20377C80" w:rsidR="00D90A51" w:rsidRPr="004F469F" w:rsidRDefault="00D90A51" w:rsidP="00D90A51">
            <w:pPr>
              <w:jc w:val="center"/>
              <w:rPr>
                <w:sz w:val="20"/>
                <w:szCs w:val="20"/>
              </w:rPr>
            </w:pPr>
            <w:r w:rsidRPr="004F469F">
              <w:rPr>
                <w:sz w:val="20"/>
                <w:szCs w:val="20"/>
              </w:rPr>
              <w:t>272</w:t>
            </w:r>
          </w:p>
        </w:tc>
      </w:tr>
      <w:tr w:rsidR="00D90A51" w:rsidRPr="004F469F" w14:paraId="7B174189"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29D553F8" w14:textId="77777777" w:rsidR="00D90A51" w:rsidRPr="004F469F" w:rsidRDefault="00D90A51" w:rsidP="00D90A51">
            <w:pPr>
              <w:jc w:val="center"/>
              <w:rPr>
                <w:sz w:val="20"/>
                <w:szCs w:val="20"/>
              </w:rPr>
            </w:pPr>
            <w:r w:rsidRPr="004F469F">
              <w:rPr>
                <w:sz w:val="20"/>
                <w:szCs w:val="20"/>
              </w:rPr>
              <w:t>Omaha, NE</w:t>
            </w:r>
          </w:p>
        </w:tc>
        <w:tc>
          <w:tcPr>
            <w:tcW w:w="1260" w:type="dxa"/>
            <w:tcBorders>
              <w:top w:val="nil"/>
              <w:left w:val="nil"/>
              <w:bottom w:val="single" w:sz="4" w:space="0" w:color="auto"/>
              <w:right w:val="single" w:sz="4" w:space="0" w:color="auto"/>
            </w:tcBorders>
            <w:shd w:val="clear" w:color="auto" w:fill="auto"/>
            <w:noWrap/>
            <w:vAlign w:val="center"/>
            <w:hideMark/>
          </w:tcPr>
          <w:p w14:paraId="78032709" w14:textId="7C2049C0" w:rsidR="00D90A51" w:rsidRPr="004F469F" w:rsidRDefault="00D90A51" w:rsidP="00D90A51">
            <w:pPr>
              <w:jc w:val="center"/>
              <w:rPr>
                <w:sz w:val="20"/>
                <w:szCs w:val="20"/>
              </w:rPr>
            </w:pPr>
            <w:r w:rsidRPr="004F469F">
              <w:rPr>
                <w:sz w:val="20"/>
                <w:szCs w:val="20"/>
              </w:rPr>
              <w:t>103</w:t>
            </w:r>
          </w:p>
        </w:tc>
        <w:tc>
          <w:tcPr>
            <w:tcW w:w="720" w:type="dxa"/>
            <w:tcBorders>
              <w:top w:val="nil"/>
              <w:left w:val="nil"/>
              <w:bottom w:val="single" w:sz="4" w:space="0" w:color="auto"/>
              <w:right w:val="single" w:sz="4" w:space="0" w:color="auto"/>
            </w:tcBorders>
            <w:shd w:val="clear" w:color="auto" w:fill="auto"/>
            <w:noWrap/>
            <w:vAlign w:val="center"/>
            <w:hideMark/>
          </w:tcPr>
          <w:p w14:paraId="2BFD6B39" w14:textId="6D1138DF" w:rsidR="00D90A51" w:rsidRPr="004F469F" w:rsidRDefault="00D90A51" w:rsidP="00D90A51">
            <w:pPr>
              <w:jc w:val="center"/>
              <w:rPr>
                <w:sz w:val="20"/>
                <w:szCs w:val="20"/>
              </w:rPr>
            </w:pPr>
            <w:r w:rsidRPr="004F469F">
              <w:rPr>
                <w:sz w:val="20"/>
                <w:szCs w:val="20"/>
              </w:rPr>
              <w:t>109</w:t>
            </w:r>
          </w:p>
        </w:tc>
        <w:tc>
          <w:tcPr>
            <w:tcW w:w="900" w:type="dxa"/>
            <w:tcBorders>
              <w:top w:val="nil"/>
              <w:left w:val="nil"/>
              <w:bottom w:val="single" w:sz="4" w:space="0" w:color="auto"/>
              <w:right w:val="single" w:sz="4" w:space="0" w:color="auto"/>
            </w:tcBorders>
            <w:shd w:val="clear" w:color="auto" w:fill="auto"/>
            <w:noWrap/>
            <w:vAlign w:val="center"/>
            <w:hideMark/>
          </w:tcPr>
          <w:p w14:paraId="3407335D" w14:textId="00186213" w:rsidR="00D90A51" w:rsidRPr="004F469F" w:rsidRDefault="00D90A51" w:rsidP="00D90A51">
            <w:pPr>
              <w:jc w:val="center"/>
              <w:rPr>
                <w:sz w:val="20"/>
                <w:szCs w:val="20"/>
              </w:rPr>
            </w:pPr>
            <w:r w:rsidRPr="004F469F">
              <w:rPr>
                <w:sz w:val="20"/>
                <w:szCs w:val="20"/>
              </w:rPr>
              <w:t>8</w:t>
            </w:r>
          </w:p>
        </w:tc>
        <w:tc>
          <w:tcPr>
            <w:tcW w:w="1105" w:type="dxa"/>
            <w:tcBorders>
              <w:top w:val="nil"/>
              <w:left w:val="nil"/>
              <w:bottom w:val="single" w:sz="4" w:space="0" w:color="auto"/>
              <w:right w:val="single" w:sz="4" w:space="0" w:color="auto"/>
            </w:tcBorders>
            <w:shd w:val="clear" w:color="auto" w:fill="auto"/>
            <w:noWrap/>
            <w:vAlign w:val="center"/>
            <w:hideMark/>
          </w:tcPr>
          <w:p w14:paraId="134A3F78" w14:textId="71C5B4DD" w:rsidR="00D90A51" w:rsidRPr="004F469F" w:rsidRDefault="00D90A51" w:rsidP="00D90A51">
            <w:pPr>
              <w:jc w:val="center"/>
              <w:rPr>
                <w:sz w:val="20"/>
                <w:szCs w:val="20"/>
              </w:rPr>
            </w:pPr>
            <w:r w:rsidRPr="004F469F">
              <w:rPr>
                <w:sz w:val="20"/>
                <w:szCs w:val="20"/>
              </w:rPr>
              <w:t>5,030</w:t>
            </w:r>
          </w:p>
        </w:tc>
        <w:tc>
          <w:tcPr>
            <w:tcW w:w="1039" w:type="dxa"/>
            <w:tcBorders>
              <w:top w:val="nil"/>
              <w:left w:val="nil"/>
              <w:bottom w:val="single" w:sz="4" w:space="0" w:color="auto"/>
              <w:right w:val="single" w:sz="4" w:space="0" w:color="auto"/>
            </w:tcBorders>
            <w:shd w:val="clear" w:color="auto" w:fill="auto"/>
            <w:noWrap/>
            <w:vAlign w:val="center"/>
            <w:hideMark/>
          </w:tcPr>
          <w:p w14:paraId="2271996A" w14:textId="67AF7B89" w:rsidR="00D90A51" w:rsidRPr="004F469F" w:rsidRDefault="00D90A51" w:rsidP="00D90A51">
            <w:pPr>
              <w:jc w:val="center"/>
              <w:rPr>
                <w:sz w:val="20"/>
                <w:szCs w:val="20"/>
              </w:rPr>
            </w:pPr>
            <w:r w:rsidRPr="004F469F">
              <w:rPr>
                <w:sz w:val="20"/>
                <w:szCs w:val="20"/>
              </w:rPr>
              <w:t>381</w:t>
            </w:r>
          </w:p>
        </w:tc>
      </w:tr>
      <w:tr w:rsidR="00D90A51" w:rsidRPr="004F469F" w14:paraId="6B3576BA" w14:textId="77777777" w:rsidTr="00D90A51">
        <w:trPr>
          <w:trHeight w:val="320"/>
        </w:trPr>
        <w:tc>
          <w:tcPr>
            <w:tcW w:w="2065" w:type="dxa"/>
            <w:tcBorders>
              <w:top w:val="nil"/>
              <w:left w:val="single" w:sz="4" w:space="0" w:color="auto"/>
              <w:bottom w:val="single" w:sz="4" w:space="0" w:color="auto"/>
              <w:right w:val="single" w:sz="4" w:space="0" w:color="auto"/>
            </w:tcBorders>
            <w:shd w:val="clear" w:color="auto" w:fill="auto"/>
            <w:noWrap/>
            <w:vAlign w:val="center"/>
            <w:hideMark/>
          </w:tcPr>
          <w:p w14:paraId="463A104B" w14:textId="77777777" w:rsidR="00D90A51" w:rsidRPr="004F469F" w:rsidRDefault="00D90A51" w:rsidP="00D90A51">
            <w:pPr>
              <w:jc w:val="center"/>
              <w:rPr>
                <w:sz w:val="20"/>
                <w:szCs w:val="20"/>
              </w:rPr>
            </w:pPr>
            <w:r w:rsidRPr="004F469F">
              <w:rPr>
                <w:sz w:val="20"/>
                <w:szCs w:val="20"/>
              </w:rPr>
              <w:t>St. Louis, MO</w:t>
            </w:r>
          </w:p>
        </w:tc>
        <w:tc>
          <w:tcPr>
            <w:tcW w:w="1260" w:type="dxa"/>
            <w:tcBorders>
              <w:top w:val="nil"/>
              <w:left w:val="nil"/>
              <w:bottom w:val="single" w:sz="4" w:space="0" w:color="auto"/>
              <w:right w:val="single" w:sz="4" w:space="0" w:color="auto"/>
            </w:tcBorders>
            <w:shd w:val="clear" w:color="auto" w:fill="auto"/>
            <w:noWrap/>
            <w:vAlign w:val="center"/>
            <w:hideMark/>
          </w:tcPr>
          <w:p w14:paraId="3C8FD9E6" w14:textId="278013FE" w:rsidR="00D90A51" w:rsidRPr="004F469F" w:rsidRDefault="00D90A51" w:rsidP="00D90A51">
            <w:pPr>
              <w:jc w:val="center"/>
              <w:rPr>
                <w:sz w:val="20"/>
                <w:szCs w:val="20"/>
              </w:rPr>
            </w:pPr>
            <w:r w:rsidRPr="004F469F">
              <w:rPr>
                <w:sz w:val="20"/>
                <w:szCs w:val="20"/>
              </w:rPr>
              <w:t>69</w:t>
            </w:r>
          </w:p>
        </w:tc>
        <w:tc>
          <w:tcPr>
            <w:tcW w:w="720" w:type="dxa"/>
            <w:tcBorders>
              <w:top w:val="nil"/>
              <w:left w:val="nil"/>
              <w:bottom w:val="single" w:sz="4" w:space="0" w:color="auto"/>
              <w:right w:val="single" w:sz="4" w:space="0" w:color="auto"/>
            </w:tcBorders>
            <w:shd w:val="clear" w:color="auto" w:fill="auto"/>
            <w:noWrap/>
            <w:vAlign w:val="center"/>
            <w:hideMark/>
          </w:tcPr>
          <w:p w14:paraId="75A71F6C" w14:textId="44813527" w:rsidR="00D90A51" w:rsidRPr="004F469F" w:rsidRDefault="00D90A51" w:rsidP="00D90A51">
            <w:pPr>
              <w:jc w:val="center"/>
              <w:rPr>
                <w:sz w:val="20"/>
                <w:szCs w:val="20"/>
              </w:rPr>
            </w:pPr>
            <w:r w:rsidRPr="004F469F">
              <w:rPr>
                <w:sz w:val="20"/>
                <w:szCs w:val="20"/>
              </w:rPr>
              <w:t>107</w:t>
            </w:r>
          </w:p>
        </w:tc>
        <w:tc>
          <w:tcPr>
            <w:tcW w:w="900" w:type="dxa"/>
            <w:tcBorders>
              <w:top w:val="nil"/>
              <w:left w:val="nil"/>
              <w:bottom w:val="single" w:sz="4" w:space="0" w:color="auto"/>
              <w:right w:val="single" w:sz="4" w:space="0" w:color="auto"/>
            </w:tcBorders>
            <w:shd w:val="clear" w:color="auto" w:fill="auto"/>
            <w:noWrap/>
            <w:vAlign w:val="center"/>
            <w:hideMark/>
          </w:tcPr>
          <w:p w14:paraId="276D6E64" w14:textId="7266C7E9" w:rsidR="00D90A51" w:rsidRPr="004F469F" w:rsidRDefault="00D90A51" w:rsidP="00D90A51">
            <w:pPr>
              <w:jc w:val="center"/>
              <w:rPr>
                <w:sz w:val="20"/>
                <w:szCs w:val="20"/>
              </w:rPr>
            </w:pPr>
            <w:r w:rsidRPr="004F469F">
              <w:rPr>
                <w:sz w:val="20"/>
                <w:szCs w:val="20"/>
              </w:rPr>
              <w:t>12</w:t>
            </w:r>
          </w:p>
        </w:tc>
        <w:tc>
          <w:tcPr>
            <w:tcW w:w="1105" w:type="dxa"/>
            <w:tcBorders>
              <w:top w:val="nil"/>
              <w:left w:val="nil"/>
              <w:bottom w:val="single" w:sz="4" w:space="0" w:color="auto"/>
              <w:right w:val="single" w:sz="4" w:space="0" w:color="auto"/>
            </w:tcBorders>
            <w:shd w:val="clear" w:color="auto" w:fill="auto"/>
            <w:noWrap/>
            <w:vAlign w:val="center"/>
            <w:hideMark/>
          </w:tcPr>
          <w:p w14:paraId="2C30CB6B" w14:textId="4208F8F2" w:rsidR="00D90A51" w:rsidRPr="004F469F" w:rsidRDefault="00D90A51" w:rsidP="00D90A51">
            <w:pPr>
              <w:jc w:val="center"/>
              <w:rPr>
                <w:sz w:val="20"/>
                <w:szCs w:val="20"/>
              </w:rPr>
            </w:pPr>
            <w:r w:rsidRPr="004F469F">
              <w:rPr>
                <w:sz w:val="20"/>
                <w:szCs w:val="20"/>
              </w:rPr>
              <w:t>3,190</w:t>
            </w:r>
          </w:p>
        </w:tc>
        <w:tc>
          <w:tcPr>
            <w:tcW w:w="1039" w:type="dxa"/>
            <w:tcBorders>
              <w:top w:val="nil"/>
              <w:left w:val="nil"/>
              <w:bottom w:val="single" w:sz="4" w:space="0" w:color="auto"/>
              <w:right w:val="single" w:sz="4" w:space="0" w:color="auto"/>
            </w:tcBorders>
            <w:shd w:val="clear" w:color="auto" w:fill="auto"/>
            <w:noWrap/>
            <w:vAlign w:val="center"/>
            <w:hideMark/>
          </w:tcPr>
          <w:p w14:paraId="66F8A096" w14:textId="45CB4649" w:rsidR="00D90A51" w:rsidRPr="004F469F" w:rsidRDefault="00D90A51" w:rsidP="00D90A51">
            <w:pPr>
              <w:jc w:val="center"/>
              <w:rPr>
                <w:sz w:val="20"/>
                <w:szCs w:val="20"/>
              </w:rPr>
            </w:pPr>
            <w:r w:rsidRPr="004F469F">
              <w:rPr>
                <w:sz w:val="20"/>
                <w:szCs w:val="20"/>
              </w:rPr>
              <w:t>277</w:t>
            </w:r>
          </w:p>
        </w:tc>
      </w:tr>
    </w:tbl>
    <w:p w14:paraId="7D18AE69" w14:textId="77777777" w:rsidR="00A4283D" w:rsidRPr="004F469F" w:rsidRDefault="00A4283D" w:rsidP="00A4283D">
      <w:pPr>
        <w:widowControl w:val="0"/>
        <w:autoSpaceDE w:val="0"/>
        <w:autoSpaceDN w:val="0"/>
        <w:adjustRightInd w:val="0"/>
        <w:rPr>
          <w:sz w:val="20"/>
          <w:szCs w:val="20"/>
        </w:rPr>
      </w:pPr>
    </w:p>
    <w:p w14:paraId="36E7E144" w14:textId="77777777" w:rsidR="00A4283D" w:rsidRPr="004F469F" w:rsidRDefault="00A4283D" w:rsidP="00A4283D">
      <w:pPr>
        <w:widowControl w:val="0"/>
        <w:autoSpaceDE w:val="0"/>
        <w:autoSpaceDN w:val="0"/>
        <w:adjustRightInd w:val="0"/>
        <w:rPr>
          <w:sz w:val="20"/>
          <w:szCs w:val="20"/>
        </w:rPr>
      </w:pPr>
    </w:p>
    <w:p w14:paraId="78B9AF90" w14:textId="77777777" w:rsidR="00A4283D" w:rsidRPr="004F469F" w:rsidRDefault="00A4283D" w:rsidP="00A4283D">
      <w:pPr>
        <w:widowControl w:val="0"/>
        <w:autoSpaceDE w:val="0"/>
        <w:autoSpaceDN w:val="0"/>
        <w:adjustRightInd w:val="0"/>
        <w:rPr>
          <w:sz w:val="20"/>
          <w:szCs w:val="20"/>
        </w:rPr>
      </w:pPr>
    </w:p>
    <w:p w14:paraId="52B8B494" w14:textId="77777777" w:rsidR="00A4283D" w:rsidRPr="004F469F" w:rsidRDefault="00A4283D" w:rsidP="00A4283D">
      <w:pPr>
        <w:widowControl w:val="0"/>
        <w:autoSpaceDE w:val="0"/>
        <w:autoSpaceDN w:val="0"/>
        <w:adjustRightInd w:val="0"/>
        <w:rPr>
          <w:sz w:val="20"/>
          <w:szCs w:val="20"/>
        </w:rPr>
      </w:pPr>
    </w:p>
    <w:p w14:paraId="492C6450" w14:textId="77777777" w:rsidR="00A4283D" w:rsidRPr="004F469F" w:rsidRDefault="00A4283D" w:rsidP="00A4283D">
      <w:pPr>
        <w:widowControl w:val="0"/>
        <w:autoSpaceDE w:val="0"/>
        <w:autoSpaceDN w:val="0"/>
        <w:adjustRightInd w:val="0"/>
        <w:rPr>
          <w:sz w:val="20"/>
          <w:szCs w:val="20"/>
        </w:rPr>
      </w:pPr>
    </w:p>
    <w:p w14:paraId="77E71A40" w14:textId="77777777" w:rsidR="00A4283D" w:rsidRPr="004F469F" w:rsidRDefault="00A4283D" w:rsidP="00A4283D">
      <w:pPr>
        <w:widowControl w:val="0"/>
        <w:autoSpaceDE w:val="0"/>
        <w:autoSpaceDN w:val="0"/>
        <w:adjustRightInd w:val="0"/>
        <w:rPr>
          <w:sz w:val="20"/>
          <w:szCs w:val="20"/>
        </w:rPr>
      </w:pPr>
    </w:p>
    <w:p w14:paraId="76738CAC" w14:textId="77777777" w:rsidR="00A4283D" w:rsidRPr="004F469F" w:rsidRDefault="00A4283D" w:rsidP="00A4283D">
      <w:pPr>
        <w:widowControl w:val="0"/>
        <w:autoSpaceDE w:val="0"/>
        <w:autoSpaceDN w:val="0"/>
        <w:adjustRightInd w:val="0"/>
        <w:rPr>
          <w:sz w:val="20"/>
          <w:szCs w:val="20"/>
        </w:rPr>
      </w:pPr>
    </w:p>
    <w:p w14:paraId="7D9081DA" w14:textId="77777777" w:rsidR="00A4283D" w:rsidRPr="004F469F" w:rsidRDefault="00A4283D" w:rsidP="00A4283D">
      <w:pPr>
        <w:widowControl w:val="0"/>
        <w:autoSpaceDE w:val="0"/>
        <w:autoSpaceDN w:val="0"/>
        <w:adjustRightInd w:val="0"/>
        <w:rPr>
          <w:sz w:val="20"/>
          <w:szCs w:val="20"/>
        </w:rPr>
      </w:pPr>
    </w:p>
    <w:p w14:paraId="46D0227D" w14:textId="77777777" w:rsidR="00A4283D" w:rsidRPr="004F469F" w:rsidRDefault="00A4283D" w:rsidP="00A4283D">
      <w:pPr>
        <w:widowControl w:val="0"/>
        <w:autoSpaceDE w:val="0"/>
        <w:autoSpaceDN w:val="0"/>
        <w:adjustRightInd w:val="0"/>
        <w:rPr>
          <w:sz w:val="20"/>
          <w:szCs w:val="20"/>
        </w:rPr>
      </w:pPr>
    </w:p>
    <w:p w14:paraId="465D59FB" w14:textId="77777777" w:rsidR="00A4283D" w:rsidRPr="004F469F" w:rsidRDefault="00A4283D" w:rsidP="00A4283D">
      <w:pPr>
        <w:widowControl w:val="0"/>
        <w:autoSpaceDE w:val="0"/>
        <w:autoSpaceDN w:val="0"/>
        <w:adjustRightInd w:val="0"/>
        <w:rPr>
          <w:sz w:val="20"/>
          <w:szCs w:val="20"/>
        </w:rPr>
      </w:pPr>
    </w:p>
    <w:p w14:paraId="0D379AE5" w14:textId="77777777" w:rsidR="00A4283D" w:rsidRPr="004F469F" w:rsidRDefault="00A4283D" w:rsidP="00A4283D">
      <w:pPr>
        <w:widowControl w:val="0"/>
        <w:autoSpaceDE w:val="0"/>
        <w:autoSpaceDN w:val="0"/>
        <w:adjustRightInd w:val="0"/>
        <w:rPr>
          <w:sz w:val="20"/>
          <w:szCs w:val="20"/>
        </w:rPr>
      </w:pPr>
    </w:p>
    <w:p w14:paraId="4AA55EDA" w14:textId="77777777" w:rsidR="00A4283D" w:rsidRPr="004F469F" w:rsidRDefault="00A4283D" w:rsidP="00A4283D">
      <w:pPr>
        <w:widowControl w:val="0"/>
        <w:autoSpaceDE w:val="0"/>
        <w:autoSpaceDN w:val="0"/>
        <w:adjustRightInd w:val="0"/>
        <w:rPr>
          <w:sz w:val="20"/>
          <w:szCs w:val="20"/>
        </w:rPr>
      </w:pPr>
    </w:p>
    <w:p w14:paraId="1016AF81" w14:textId="77777777" w:rsidR="00A4283D" w:rsidRPr="004F469F" w:rsidRDefault="00A4283D" w:rsidP="00A4283D">
      <w:pPr>
        <w:widowControl w:val="0"/>
        <w:autoSpaceDE w:val="0"/>
        <w:autoSpaceDN w:val="0"/>
        <w:adjustRightInd w:val="0"/>
        <w:rPr>
          <w:sz w:val="20"/>
          <w:szCs w:val="20"/>
        </w:rPr>
      </w:pPr>
    </w:p>
    <w:p w14:paraId="2C6D220F" w14:textId="77777777" w:rsidR="00A4283D" w:rsidRPr="004F469F" w:rsidRDefault="00A4283D" w:rsidP="00A4283D">
      <w:pPr>
        <w:widowControl w:val="0"/>
        <w:autoSpaceDE w:val="0"/>
        <w:autoSpaceDN w:val="0"/>
        <w:adjustRightInd w:val="0"/>
        <w:rPr>
          <w:sz w:val="20"/>
          <w:szCs w:val="20"/>
        </w:rPr>
      </w:pPr>
    </w:p>
    <w:p w14:paraId="7CA9AB5B" w14:textId="77777777" w:rsidR="00A4283D" w:rsidRPr="004F469F" w:rsidRDefault="00A4283D" w:rsidP="00A4283D">
      <w:pPr>
        <w:widowControl w:val="0"/>
        <w:autoSpaceDE w:val="0"/>
        <w:autoSpaceDN w:val="0"/>
        <w:adjustRightInd w:val="0"/>
        <w:rPr>
          <w:sz w:val="20"/>
          <w:szCs w:val="20"/>
        </w:rPr>
      </w:pPr>
    </w:p>
    <w:p w14:paraId="21EAD066" w14:textId="77777777" w:rsidR="00A4283D" w:rsidRPr="004F469F" w:rsidRDefault="00A4283D" w:rsidP="00A4283D">
      <w:pPr>
        <w:widowControl w:val="0"/>
        <w:autoSpaceDE w:val="0"/>
        <w:autoSpaceDN w:val="0"/>
        <w:adjustRightInd w:val="0"/>
        <w:rPr>
          <w:sz w:val="20"/>
          <w:szCs w:val="20"/>
        </w:rPr>
      </w:pPr>
    </w:p>
    <w:p w14:paraId="4B2D91B9" w14:textId="77777777" w:rsidR="00A4283D" w:rsidRPr="004F469F" w:rsidRDefault="00A4283D" w:rsidP="00A4283D">
      <w:pPr>
        <w:widowControl w:val="0"/>
        <w:autoSpaceDE w:val="0"/>
        <w:autoSpaceDN w:val="0"/>
        <w:adjustRightInd w:val="0"/>
        <w:rPr>
          <w:sz w:val="20"/>
          <w:szCs w:val="20"/>
        </w:rPr>
      </w:pPr>
    </w:p>
    <w:p w14:paraId="562A5849" w14:textId="77777777" w:rsidR="00A4283D" w:rsidRPr="004F469F" w:rsidRDefault="00A4283D" w:rsidP="00A4283D">
      <w:pPr>
        <w:widowControl w:val="0"/>
        <w:autoSpaceDE w:val="0"/>
        <w:autoSpaceDN w:val="0"/>
        <w:adjustRightInd w:val="0"/>
        <w:rPr>
          <w:sz w:val="20"/>
          <w:szCs w:val="20"/>
        </w:rPr>
      </w:pPr>
    </w:p>
    <w:p w14:paraId="0BC442AD" w14:textId="77777777" w:rsidR="00A4283D" w:rsidRPr="004F469F" w:rsidRDefault="00A4283D" w:rsidP="00A4283D">
      <w:pPr>
        <w:widowControl w:val="0"/>
        <w:autoSpaceDE w:val="0"/>
        <w:autoSpaceDN w:val="0"/>
        <w:adjustRightInd w:val="0"/>
        <w:rPr>
          <w:sz w:val="20"/>
          <w:szCs w:val="20"/>
        </w:rPr>
      </w:pPr>
    </w:p>
    <w:p w14:paraId="153D021C" w14:textId="77777777" w:rsidR="00A4283D" w:rsidRPr="004F469F" w:rsidRDefault="00A4283D" w:rsidP="00A4283D">
      <w:pPr>
        <w:widowControl w:val="0"/>
        <w:autoSpaceDE w:val="0"/>
        <w:autoSpaceDN w:val="0"/>
        <w:adjustRightInd w:val="0"/>
        <w:rPr>
          <w:sz w:val="20"/>
          <w:szCs w:val="20"/>
        </w:rPr>
      </w:pPr>
    </w:p>
    <w:p w14:paraId="29371A01" w14:textId="77777777" w:rsidR="00A4283D" w:rsidRPr="004F469F" w:rsidRDefault="00A4283D" w:rsidP="00A4283D">
      <w:pPr>
        <w:widowControl w:val="0"/>
        <w:autoSpaceDE w:val="0"/>
        <w:autoSpaceDN w:val="0"/>
        <w:adjustRightInd w:val="0"/>
        <w:rPr>
          <w:sz w:val="20"/>
          <w:szCs w:val="20"/>
        </w:rPr>
      </w:pPr>
    </w:p>
    <w:p w14:paraId="4C3A9276" w14:textId="77777777" w:rsidR="00A4283D" w:rsidRPr="004F469F" w:rsidRDefault="00A4283D" w:rsidP="00A4283D">
      <w:pPr>
        <w:widowControl w:val="0"/>
        <w:autoSpaceDE w:val="0"/>
        <w:autoSpaceDN w:val="0"/>
        <w:adjustRightInd w:val="0"/>
        <w:rPr>
          <w:sz w:val="20"/>
          <w:szCs w:val="20"/>
        </w:rPr>
      </w:pPr>
    </w:p>
    <w:p w14:paraId="027843F7" w14:textId="77777777" w:rsidR="00A4283D" w:rsidRPr="004F469F" w:rsidRDefault="00A4283D" w:rsidP="00A4283D">
      <w:pPr>
        <w:widowControl w:val="0"/>
        <w:autoSpaceDE w:val="0"/>
        <w:autoSpaceDN w:val="0"/>
        <w:adjustRightInd w:val="0"/>
        <w:rPr>
          <w:sz w:val="20"/>
          <w:szCs w:val="20"/>
        </w:rPr>
      </w:pPr>
    </w:p>
    <w:p w14:paraId="14A4D3C2" w14:textId="77777777" w:rsidR="00A4283D" w:rsidRPr="004F469F" w:rsidRDefault="00A4283D" w:rsidP="00A4283D">
      <w:pPr>
        <w:widowControl w:val="0"/>
        <w:autoSpaceDE w:val="0"/>
        <w:autoSpaceDN w:val="0"/>
        <w:adjustRightInd w:val="0"/>
        <w:rPr>
          <w:sz w:val="20"/>
          <w:szCs w:val="20"/>
        </w:rPr>
      </w:pPr>
    </w:p>
    <w:p w14:paraId="0078EB0C" w14:textId="77777777" w:rsidR="00A4283D" w:rsidRPr="004F469F" w:rsidRDefault="00A4283D" w:rsidP="00A4283D">
      <w:pPr>
        <w:widowControl w:val="0"/>
        <w:autoSpaceDE w:val="0"/>
        <w:autoSpaceDN w:val="0"/>
        <w:adjustRightInd w:val="0"/>
        <w:rPr>
          <w:sz w:val="20"/>
          <w:szCs w:val="20"/>
        </w:rPr>
      </w:pPr>
    </w:p>
    <w:p w14:paraId="0FA0AA95" w14:textId="77777777" w:rsidR="00A4283D" w:rsidRPr="004F469F" w:rsidRDefault="00A4283D" w:rsidP="00A4283D">
      <w:pPr>
        <w:widowControl w:val="0"/>
        <w:autoSpaceDE w:val="0"/>
        <w:autoSpaceDN w:val="0"/>
        <w:adjustRightInd w:val="0"/>
        <w:rPr>
          <w:sz w:val="20"/>
          <w:szCs w:val="20"/>
        </w:rPr>
      </w:pPr>
    </w:p>
    <w:p w14:paraId="6404C02B" w14:textId="77777777" w:rsidR="00A4283D" w:rsidRPr="004F469F" w:rsidRDefault="00A4283D" w:rsidP="00A4283D">
      <w:pPr>
        <w:widowControl w:val="0"/>
        <w:autoSpaceDE w:val="0"/>
        <w:autoSpaceDN w:val="0"/>
        <w:adjustRightInd w:val="0"/>
        <w:rPr>
          <w:sz w:val="20"/>
          <w:szCs w:val="20"/>
        </w:rPr>
      </w:pPr>
    </w:p>
    <w:p w14:paraId="17DFFDFD" w14:textId="77777777" w:rsidR="00A4283D" w:rsidRPr="004F469F" w:rsidRDefault="00A4283D" w:rsidP="00A4283D">
      <w:pPr>
        <w:widowControl w:val="0"/>
        <w:autoSpaceDE w:val="0"/>
        <w:autoSpaceDN w:val="0"/>
        <w:adjustRightInd w:val="0"/>
        <w:rPr>
          <w:sz w:val="20"/>
          <w:szCs w:val="20"/>
        </w:rPr>
      </w:pPr>
    </w:p>
    <w:p w14:paraId="63786756" w14:textId="77777777" w:rsidR="00A4283D" w:rsidRPr="004F469F" w:rsidRDefault="00A4283D" w:rsidP="00A4283D">
      <w:pPr>
        <w:widowControl w:val="0"/>
        <w:autoSpaceDE w:val="0"/>
        <w:autoSpaceDN w:val="0"/>
        <w:adjustRightInd w:val="0"/>
        <w:rPr>
          <w:sz w:val="20"/>
          <w:szCs w:val="20"/>
        </w:rPr>
      </w:pPr>
    </w:p>
    <w:p w14:paraId="07B47B27" w14:textId="5E1044EB" w:rsidR="00A4283D" w:rsidRPr="004F469F" w:rsidRDefault="00A4283D" w:rsidP="00A4283D">
      <w:pPr>
        <w:widowControl w:val="0"/>
        <w:autoSpaceDE w:val="0"/>
        <w:autoSpaceDN w:val="0"/>
        <w:adjustRightInd w:val="0"/>
        <w:rPr>
          <w:sz w:val="20"/>
          <w:szCs w:val="20"/>
        </w:rPr>
      </w:pPr>
    </w:p>
    <w:p w14:paraId="0CFFC931" w14:textId="4BD6234F" w:rsidR="00A4283D" w:rsidRPr="004F469F" w:rsidRDefault="00A4283D" w:rsidP="00A4283D">
      <w:pPr>
        <w:pStyle w:val="Caption"/>
        <w:keepNext/>
        <w:rPr>
          <w:rFonts w:ascii="Times New Roman" w:hAnsi="Times New Roman" w:cs="Times New Roman"/>
          <w:color w:val="auto"/>
          <w:sz w:val="20"/>
          <w:szCs w:val="20"/>
        </w:rPr>
      </w:pPr>
    </w:p>
    <w:p w14:paraId="7115649D" w14:textId="5CC1CFD9" w:rsidR="00A4283D" w:rsidRPr="004F469F" w:rsidRDefault="00A4283D" w:rsidP="00A4283D"/>
    <w:p w14:paraId="124F9891" w14:textId="77777777" w:rsidR="00A4283D" w:rsidRPr="004F469F" w:rsidRDefault="00A4283D" w:rsidP="00A4283D"/>
    <w:p w14:paraId="4F8B4F35" w14:textId="790467C3" w:rsidR="00A4283D" w:rsidRPr="004F469F" w:rsidRDefault="00A4283D" w:rsidP="00A4283D">
      <w:pPr>
        <w:pStyle w:val="Caption"/>
        <w:keepNext/>
        <w:rPr>
          <w:rFonts w:ascii="Times New Roman" w:hAnsi="Times New Roman" w:cs="Times New Roman"/>
          <w:i w:val="0"/>
          <w:iCs w:val="0"/>
          <w:color w:val="auto"/>
          <w:sz w:val="24"/>
          <w:szCs w:val="24"/>
        </w:rPr>
      </w:pPr>
      <w:bookmarkStart w:id="70" w:name="_Toc22035000"/>
      <w:r w:rsidRPr="004F469F">
        <w:rPr>
          <w:rFonts w:ascii="Times New Roman" w:hAnsi="Times New Roman" w:cs="Times New Roman"/>
          <w:i w:val="0"/>
          <w:iCs w:val="0"/>
          <w:color w:val="auto"/>
          <w:sz w:val="24"/>
          <w:szCs w:val="24"/>
        </w:rPr>
        <w:lastRenderedPageBreak/>
        <w:t xml:space="preserve">Table </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STYLEREF 1 \s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783C30">
        <w:rPr>
          <w:rFonts w:ascii="Times New Roman" w:hAnsi="Times New Roman" w:cs="Times New Roman"/>
          <w:i w:val="0"/>
          <w:iCs w:val="0"/>
          <w:color w:val="auto"/>
          <w:sz w:val="24"/>
          <w:szCs w:val="24"/>
        </w:rPr>
        <w:fldChar w:fldCharType="end"/>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TorDIS model results from a 10,000-year simulation of all tornadoes over the domain on the specified days. Summary statistics include the mean, median and maximum values for both tornado count (by magnitude) and persons exposed per tornado.</w:t>
      </w:r>
      <w:bookmarkEnd w:id="70"/>
    </w:p>
    <w:tbl>
      <w:tblPr>
        <w:tblW w:w="0" w:type="auto"/>
        <w:tblLook w:val="04A0" w:firstRow="1" w:lastRow="0" w:firstColumn="1" w:lastColumn="0" w:noHBand="0" w:noVBand="1"/>
      </w:tblPr>
      <w:tblGrid>
        <w:gridCol w:w="1538"/>
        <w:gridCol w:w="1746"/>
        <w:gridCol w:w="872"/>
        <w:gridCol w:w="705"/>
        <w:gridCol w:w="1105"/>
        <w:gridCol w:w="872"/>
        <w:gridCol w:w="705"/>
        <w:gridCol w:w="1105"/>
      </w:tblGrid>
      <w:tr w:rsidR="00494669" w:rsidRPr="004F469F" w14:paraId="5B75CF3B" w14:textId="77777777" w:rsidTr="00D90A51">
        <w:trPr>
          <w:trHeight w:val="320"/>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1E5382C" w14:textId="3130DBFD" w:rsidR="00A4283D" w:rsidRPr="004F469F" w:rsidRDefault="00A4283D" w:rsidP="00D90A51">
            <w:pPr>
              <w:jc w:val="center"/>
              <w:rPr>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A8C1E2" w14:textId="3A7452FA" w:rsidR="00A4283D" w:rsidRPr="004F469F" w:rsidRDefault="00A4283D" w:rsidP="00D90A51">
            <w:pPr>
              <w:jc w:val="center"/>
              <w:rPr>
                <w:sz w:val="20"/>
                <w:szCs w:val="20"/>
              </w:rPr>
            </w:pP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222C309" w14:textId="77777777" w:rsidR="00A4283D" w:rsidRPr="004F469F" w:rsidRDefault="00A4283D" w:rsidP="00D90A51">
            <w:pPr>
              <w:jc w:val="center"/>
              <w:rPr>
                <w:b/>
                <w:bCs/>
                <w:sz w:val="20"/>
                <w:szCs w:val="20"/>
              </w:rPr>
            </w:pPr>
            <w:r w:rsidRPr="004F469F">
              <w:rPr>
                <w:b/>
                <w:bCs/>
                <w:sz w:val="20"/>
                <w:szCs w:val="20"/>
              </w:rPr>
              <w:t>Tornado Count</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AA0F223" w14:textId="77777777" w:rsidR="00A4283D" w:rsidRPr="004F469F" w:rsidRDefault="00A4283D" w:rsidP="00D90A51">
            <w:pPr>
              <w:jc w:val="center"/>
              <w:rPr>
                <w:b/>
                <w:bCs/>
                <w:sz w:val="20"/>
                <w:szCs w:val="20"/>
              </w:rPr>
            </w:pPr>
            <w:r w:rsidRPr="004F469F">
              <w:rPr>
                <w:b/>
                <w:bCs/>
                <w:sz w:val="20"/>
                <w:szCs w:val="20"/>
              </w:rPr>
              <w:t>Persons Exposed</w:t>
            </w:r>
          </w:p>
        </w:tc>
      </w:tr>
      <w:tr w:rsidR="00D90A51" w:rsidRPr="004F469F" w14:paraId="4BDD004A" w14:textId="77777777" w:rsidTr="00D90A51">
        <w:trPr>
          <w:trHeight w:val="6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9BE2D7" w14:textId="77777777" w:rsidR="00A4283D" w:rsidRPr="004F469F" w:rsidRDefault="00A4283D" w:rsidP="00D90A51">
            <w:pPr>
              <w:jc w:val="center"/>
              <w:rPr>
                <w:b/>
                <w:bCs/>
                <w:sz w:val="20"/>
                <w:szCs w:val="20"/>
              </w:rPr>
            </w:pPr>
            <w:r w:rsidRPr="004F469F">
              <w:rPr>
                <w:b/>
                <w:bCs/>
                <w:sz w:val="20"/>
                <w:szCs w:val="20"/>
              </w:rPr>
              <w:t>Date</w:t>
            </w:r>
          </w:p>
        </w:tc>
        <w:tc>
          <w:tcPr>
            <w:tcW w:w="0" w:type="auto"/>
            <w:tcBorders>
              <w:top w:val="nil"/>
              <w:left w:val="nil"/>
              <w:bottom w:val="single" w:sz="4" w:space="0" w:color="auto"/>
              <w:right w:val="single" w:sz="4" w:space="0" w:color="auto"/>
            </w:tcBorders>
            <w:shd w:val="clear" w:color="auto" w:fill="auto"/>
            <w:vAlign w:val="center"/>
            <w:hideMark/>
          </w:tcPr>
          <w:p w14:paraId="645A298B" w14:textId="77777777" w:rsidR="00A4283D" w:rsidRPr="004F469F" w:rsidRDefault="00A4283D" w:rsidP="00D90A51">
            <w:pPr>
              <w:jc w:val="center"/>
              <w:rPr>
                <w:b/>
                <w:bCs/>
                <w:sz w:val="20"/>
                <w:szCs w:val="20"/>
              </w:rPr>
            </w:pPr>
            <w:r w:rsidRPr="004F469F">
              <w:rPr>
                <w:b/>
                <w:bCs/>
                <w:sz w:val="20"/>
                <w:szCs w:val="20"/>
              </w:rPr>
              <w:t>Magnitude</w:t>
            </w:r>
          </w:p>
        </w:tc>
        <w:tc>
          <w:tcPr>
            <w:tcW w:w="0" w:type="auto"/>
            <w:tcBorders>
              <w:top w:val="nil"/>
              <w:left w:val="nil"/>
              <w:bottom w:val="single" w:sz="4" w:space="0" w:color="auto"/>
              <w:right w:val="single" w:sz="4" w:space="0" w:color="auto"/>
            </w:tcBorders>
            <w:shd w:val="clear" w:color="auto" w:fill="auto"/>
            <w:vAlign w:val="center"/>
            <w:hideMark/>
          </w:tcPr>
          <w:p w14:paraId="71F8B8B9" w14:textId="77777777" w:rsidR="00A4283D" w:rsidRPr="004F469F" w:rsidRDefault="00A4283D" w:rsidP="00D90A51">
            <w:pPr>
              <w:jc w:val="center"/>
              <w:rPr>
                <w:b/>
                <w:bCs/>
                <w:sz w:val="20"/>
                <w:szCs w:val="20"/>
              </w:rPr>
            </w:pPr>
            <w:r w:rsidRPr="004F469F">
              <w:rPr>
                <w:b/>
                <w:bCs/>
                <w:sz w:val="20"/>
                <w:szCs w:val="20"/>
              </w:rPr>
              <w:t>Median</w:t>
            </w:r>
          </w:p>
        </w:tc>
        <w:tc>
          <w:tcPr>
            <w:tcW w:w="0" w:type="auto"/>
            <w:tcBorders>
              <w:top w:val="nil"/>
              <w:left w:val="nil"/>
              <w:bottom w:val="single" w:sz="4" w:space="0" w:color="auto"/>
              <w:right w:val="single" w:sz="4" w:space="0" w:color="auto"/>
            </w:tcBorders>
            <w:shd w:val="clear" w:color="auto" w:fill="auto"/>
            <w:vAlign w:val="center"/>
            <w:hideMark/>
          </w:tcPr>
          <w:p w14:paraId="6DD37B61" w14:textId="77777777" w:rsidR="00A4283D" w:rsidRPr="004F469F" w:rsidRDefault="00A4283D" w:rsidP="00D90A51">
            <w:pPr>
              <w:jc w:val="center"/>
              <w:rPr>
                <w:b/>
                <w:bCs/>
                <w:sz w:val="20"/>
                <w:szCs w:val="20"/>
              </w:rPr>
            </w:pPr>
            <w:r w:rsidRPr="004F469F">
              <w:rPr>
                <w:b/>
                <w:bCs/>
                <w:sz w:val="20"/>
                <w:szCs w:val="20"/>
              </w:rPr>
              <w:t>Mean</w:t>
            </w:r>
          </w:p>
        </w:tc>
        <w:tc>
          <w:tcPr>
            <w:tcW w:w="0" w:type="auto"/>
            <w:tcBorders>
              <w:top w:val="nil"/>
              <w:left w:val="nil"/>
              <w:bottom w:val="single" w:sz="4" w:space="0" w:color="auto"/>
              <w:right w:val="single" w:sz="4" w:space="0" w:color="auto"/>
            </w:tcBorders>
            <w:shd w:val="clear" w:color="auto" w:fill="auto"/>
            <w:vAlign w:val="center"/>
            <w:hideMark/>
          </w:tcPr>
          <w:p w14:paraId="653120E9" w14:textId="622DB864" w:rsidR="00A4283D" w:rsidRPr="004F469F" w:rsidRDefault="00A4283D" w:rsidP="00D90A51">
            <w:pPr>
              <w:jc w:val="center"/>
              <w:rPr>
                <w:b/>
                <w:bCs/>
                <w:sz w:val="20"/>
                <w:szCs w:val="20"/>
              </w:rPr>
            </w:pPr>
            <w:r w:rsidRPr="004F469F">
              <w:rPr>
                <w:b/>
                <w:bCs/>
                <w:sz w:val="20"/>
                <w:szCs w:val="20"/>
              </w:rPr>
              <w:t>Max</w:t>
            </w:r>
            <w:r w:rsidR="00D90A51" w:rsidRPr="004F469F">
              <w:rPr>
                <w:b/>
                <w:bCs/>
                <w:sz w:val="20"/>
                <w:szCs w:val="20"/>
              </w:rPr>
              <w:t>imum</w:t>
            </w:r>
          </w:p>
        </w:tc>
        <w:tc>
          <w:tcPr>
            <w:tcW w:w="0" w:type="auto"/>
            <w:tcBorders>
              <w:top w:val="nil"/>
              <w:left w:val="nil"/>
              <w:bottom w:val="single" w:sz="4" w:space="0" w:color="auto"/>
              <w:right w:val="single" w:sz="4" w:space="0" w:color="auto"/>
            </w:tcBorders>
            <w:shd w:val="clear" w:color="auto" w:fill="auto"/>
            <w:noWrap/>
            <w:vAlign w:val="center"/>
            <w:hideMark/>
          </w:tcPr>
          <w:p w14:paraId="28C88168" w14:textId="77777777" w:rsidR="00A4283D" w:rsidRPr="004F469F" w:rsidRDefault="00A4283D" w:rsidP="00D90A51">
            <w:pPr>
              <w:jc w:val="center"/>
              <w:rPr>
                <w:b/>
                <w:bCs/>
                <w:sz w:val="20"/>
                <w:szCs w:val="20"/>
              </w:rPr>
            </w:pPr>
            <w:r w:rsidRPr="004F469F">
              <w:rPr>
                <w:b/>
                <w:bCs/>
                <w:sz w:val="20"/>
                <w:szCs w:val="20"/>
              </w:rPr>
              <w:t>Median</w:t>
            </w:r>
          </w:p>
        </w:tc>
        <w:tc>
          <w:tcPr>
            <w:tcW w:w="0" w:type="auto"/>
            <w:tcBorders>
              <w:top w:val="nil"/>
              <w:left w:val="nil"/>
              <w:bottom w:val="single" w:sz="4" w:space="0" w:color="auto"/>
              <w:right w:val="single" w:sz="4" w:space="0" w:color="auto"/>
            </w:tcBorders>
            <w:shd w:val="clear" w:color="auto" w:fill="auto"/>
            <w:vAlign w:val="center"/>
            <w:hideMark/>
          </w:tcPr>
          <w:p w14:paraId="2F1948CD" w14:textId="77777777" w:rsidR="00A4283D" w:rsidRPr="004F469F" w:rsidRDefault="00A4283D" w:rsidP="00D90A51">
            <w:pPr>
              <w:jc w:val="center"/>
              <w:rPr>
                <w:b/>
                <w:bCs/>
                <w:sz w:val="20"/>
                <w:szCs w:val="20"/>
              </w:rPr>
            </w:pPr>
            <w:r w:rsidRPr="004F469F">
              <w:rPr>
                <w:b/>
                <w:bCs/>
                <w:sz w:val="20"/>
                <w:szCs w:val="20"/>
              </w:rPr>
              <w:t>Mean</w:t>
            </w:r>
          </w:p>
        </w:tc>
        <w:tc>
          <w:tcPr>
            <w:tcW w:w="0" w:type="auto"/>
            <w:tcBorders>
              <w:top w:val="nil"/>
              <w:left w:val="nil"/>
              <w:bottom w:val="single" w:sz="4" w:space="0" w:color="auto"/>
              <w:right w:val="single" w:sz="4" w:space="0" w:color="auto"/>
            </w:tcBorders>
            <w:shd w:val="clear" w:color="auto" w:fill="auto"/>
            <w:vAlign w:val="center"/>
            <w:hideMark/>
          </w:tcPr>
          <w:p w14:paraId="780AA807" w14:textId="523A7B53" w:rsidR="00A4283D" w:rsidRPr="004F469F" w:rsidRDefault="00A4283D" w:rsidP="00D90A51">
            <w:pPr>
              <w:jc w:val="center"/>
              <w:rPr>
                <w:b/>
                <w:bCs/>
                <w:sz w:val="20"/>
                <w:szCs w:val="20"/>
              </w:rPr>
            </w:pPr>
            <w:r w:rsidRPr="004F469F">
              <w:rPr>
                <w:b/>
                <w:bCs/>
                <w:sz w:val="20"/>
                <w:szCs w:val="20"/>
              </w:rPr>
              <w:t>Max</w:t>
            </w:r>
            <w:r w:rsidR="00D90A51" w:rsidRPr="004F469F">
              <w:rPr>
                <w:b/>
                <w:bCs/>
                <w:sz w:val="20"/>
                <w:szCs w:val="20"/>
              </w:rPr>
              <w:t>imum</w:t>
            </w:r>
          </w:p>
        </w:tc>
      </w:tr>
      <w:tr w:rsidR="00D90A51" w:rsidRPr="004F469F" w14:paraId="6E97CACA" w14:textId="77777777" w:rsidTr="00D90A51">
        <w:trPr>
          <w:trHeight w:val="32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860F883" w14:textId="77777777" w:rsidR="00D90A51" w:rsidRPr="004F469F" w:rsidRDefault="00D90A51" w:rsidP="00D90A51">
            <w:pPr>
              <w:jc w:val="center"/>
              <w:rPr>
                <w:sz w:val="20"/>
                <w:szCs w:val="20"/>
              </w:rPr>
            </w:pPr>
            <w:r w:rsidRPr="004F469F">
              <w:rPr>
                <w:sz w:val="20"/>
                <w:szCs w:val="20"/>
              </w:rPr>
              <w:t>5 February 2008</w:t>
            </w:r>
          </w:p>
        </w:tc>
        <w:tc>
          <w:tcPr>
            <w:tcW w:w="0" w:type="auto"/>
            <w:tcBorders>
              <w:top w:val="nil"/>
              <w:left w:val="nil"/>
              <w:bottom w:val="single" w:sz="4" w:space="0" w:color="auto"/>
              <w:right w:val="single" w:sz="4" w:space="0" w:color="auto"/>
            </w:tcBorders>
            <w:shd w:val="clear" w:color="auto" w:fill="auto"/>
            <w:noWrap/>
            <w:vAlign w:val="center"/>
            <w:hideMark/>
          </w:tcPr>
          <w:p w14:paraId="3B2AAD6E" w14:textId="77777777" w:rsidR="00D90A51" w:rsidRPr="004F469F" w:rsidRDefault="00D90A51" w:rsidP="00D90A51">
            <w:pPr>
              <w:jc w:val="center"/>
              <w:rPr>
                <w:i/>
                <w:iCs/>
                <w:sz w:val="20"/>
                <w:szCs w:val="20"/>
              </w:rPr>
            </w:pPr>
            <w:r w:rsidRPr="004F469F">
              <w:rPr>
                <w:i/>
                <w:iCs/>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6F4C27E7" w14:textId="63A611D7" w:rsidR="00D90A51" w:rsidRPr="004F469F" w:rsidRDefault="00D90A51" w:rsidP="00D90A5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7A3CC0B" w14:textId="360E8D29" w:rsidR="00D90A51" w:rsidRPr="004F469F" w:rsidRDefault="00D90A51" w:rsidP="00D90A51">
            <w:pPr>
              <w:jc w:val="center"/>
              <w:rPr>
                <w:sz w:val="20"/>
                <w:szCs w:val="20"/>
              </w:rPr>
            </w:pPr>
            <w:r w:rsidRPr="004F469F">
              <w:rPr>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41D7970A" w14:textId="21FBDEFE" w:rsidR="00D90A51" w:rsidRPr="004F469F" w:rsidRDefault="00D90A51" w:rsidP="00D90A51">
            <w:pPr>
              <w:jc w:val="center"/>
              <w:rPr>
                <w:sz w:val="20"/>
                <w:szCs w:val="20"/>
              </w:rPr>
            </w:pPr>
            <w:r w:rsidRPr="004F469F">
              <w:rPr>
                <w:sz w:val="20"/>
                <w:szCs w:val="20"/>
              </w:rPr>
              <w:t>72</w:t>
            </w:r>
          </w:p>
        </w:tc>
        <w:tc>
          <w:tcPr>
            <w:tcW w:w="0" w:type="auto"/>
            <w:tcBorders>
              <w:top w:val="nil"/>
              <w:left w:val="nil"/>
              <w:bottom w:val="single" w:sz="4" w:space="0" w:color="auto"/>
              <w:right w:val="single" w:sz="4" w:space="0" w:color="auto"/>
            </w:tcBorders>
            <w:shd w:val="clear" w:color="auto" w:fill="auto"/>
            <w:noWrap/>
            <w:vAlign w:val="center"/>
            <w:hideMark/>
          </w:tcPr>
          <w:p w14:paraId="06CA3AB2" w14:textId="28B7189D" w:rsidR="00D90A51" w:rsidRPr="004F469F" w:rsidRDefault="00D90A51" w:rsidP="00D90A51">
            <w:pPr>
              <w:jc w:val="center"/>
              <w:rPr>
                <w:sz w:val="20"/>
                <w:szCs w:val="20"/>
              </w:rPr>
            </w:pPr>
            <w:r w:rsidRPr="004F469F">
              <w:rPr>
                <w:sz w:val="20"/>
                <w:szCs w:val="20"/>
              </w:rPr>
              <w:t>46</w:t>
            </w:r>
          </w:p>
        </w:tc>
        <w:tc>
          <w:tcPr>
            <w:tcW w:w="0" w:type="auto"/>
            <w:tcBorders>
              <w:top w:val="nil"/>
              <w:left w:val="nil"/>
              <w:bottom w:val="single" w:sz="4" w:space="0" w:color="auto"/>
              <w:right w:val="single" w:sz="4" w:space="0" w:color="auto"/>
            </w:tcBorders>
            <w:shd w:val="clear" w:color="auto" w:fill="auto"/>
            <w:noWrap/>
            <w:vAlign w:val="center"/>
            <w:hideMark/>
          </w:tcPr>
          <w:p w14:paraId="173A6CE6" w14:textId="657350D8" w:rsidR="00D90A51" w:rsidRPr="004F469F" w:rsidRDefault="00D90A51" w:rsidP="00D90A51">
            <w:pPr>
              <w:jc w:val="center"/>
              <w:rPr>
                <w:sz w:val="20"/>
                <w:szCs w:val="20"/>
              </w:rPr>
            </w:pPr>
            <w:r w:rsidRPr="004F469F">
              <w:rPr>
                <w:sz w:val="20"/>
                <w:szCs w:val="20"/>
              </w:rPr>
              <w:t>1,020</w:t>
            </w:r>
          </w:p>
        </w:tc>
        <w:tc>
          <w:tcPr>
            <w:tcW w:w="0" w:type="auto"/>
            <w:tcBorders>
              <w:top w:val="nil"/>
              <w:left w:val="nil"/>
              <w:bottom w:val="single" w:sz="4" w:space="0" w:color="auto"/>
              <w:right w:val="single" w:sz="4" w:space="0" w:color="auto"/>
            </w:tcBorders>
            <w:shd w:val="clear" w:color="auto" w:fill="auto"/>
            <w:noWrap/>
            <w:vAlign w:val="center"/>
            <w:hideMark/>
          </w:tcPr>
          <w:p w14:paraId="377069CE" w14:textId="2E5263A0" w:rsidR="00D90A51" w:rsidRPr="004F469F" w:rsidRDefault="00D90A51" w:rsidP="00D90A51">
            <w:pPr>
              <w:jc w:val="center"/>
              <w:rPr>
                <w:sz w:val="20"/>
                <w:szCs w:val="20"/>
              </w:rPr>
            </w:pPr>
            <w:r w:rsidRPr="004F469F">
              <w:rPr>
                <w:sz w:val="20"/>
                <w:szCs w:val="20"/>
              </w:rPr>
              <w:t>244,878</w:t>
            </w:r>
          </w:p>
        </w:tc>
      </w:tr>
      <w:tr w:rsidR="00D90A51" w:rsidRPr="004F469F" w14:paraId="66F613A5"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504BA81C"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17D166A" w14:textId="77777777" w:rsidR="00D90A51" w:rsidRPr="004F469F" w:rsidRDefault="00D90A51" w:rsidP="00D90A51">
            <w:pPr>
              <w:jc w:val="center"/>
              <w:rPr>
                <w:i/>
                <w:iCs/>
                <w:sz w:val="20"/>
                <w:szCs w:val="20"/>
              </w:rPr>
            </w:pPr>
            <w:r w:rsidRPr="004F469F">
              <w:rPr>
                <w:i/>
                <w:iCs/>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36D184A0" w14:textId="7C63A176" w:rsidR="00D90A51" w:rsidRPr="004F469F" w:rsidRDefault="00D90A51" w:rsidP="00D90A51">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1ED9B6BC" w14:textId="5A34410F" w:rsidR="00D90A51" w:rsidRPr="004F469F" w:rsidRDefault="00D90A51" w:rsidP="00D90A51">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2144099D" w14:textId="17FCB0A1" w:rsidR="00D90A51" w:rsidRPr="004F469F" w:rsidRDefault="00D90A51" w:rsidP="00D90A51">
            <w:pPr>
              <w:jc w:val="center"/>
              <w:rPr>
                <w:sz w:val="20"/>
                <w:szCs w:val="20"/>
              </w:rPr>
            </w:pPr>
            <w:r w:rsidRPr="004F469F">
              <w:rPr>
                <w:sz w:val="20"/>
                <w:szCs w:val="20"/>
              </w:rPr>
              <w:t>27</w:t>
            </w:r>
          </w:p>
        </w:tc>
        <w:tc>
          <w:tcPr>
            <w:tcW w:w="0" w:type="auto"/>
            <w:tcBorders>
              <w:top w:val="nil"/>
              <w:left w:val="nil"/>
              <w:bottom w:val="single" w:sz="4" w:space="0" w:color="auto"/>
              <w:right w:val="single" w:sz="4" w:space="0" w:color="auto"/>
            </w:tcBorders>
            <w:shd w:val="clear" w:color="auto" w:fill="auto"/>
            <w:noWrap/>
            <w:vAlign w:val="center"/>
            <w:hideMark/>
          </w:tcPr>
          <w:p w14:paraId="4A31922B" w14:textId="7CA2C34C" w:rsidR="00D90A51" w:rsidRPr="004F469F" w:rsidRDefault="00D90A51" w:rsidP="00D90A51">
            <w:pPr>
              <w:jc w:val="center"/>
              <w:rPr>
                <w:sz w:val="20"/>
                <w:szCs w:val="20"/>
              </w:rPr>
            </w:pPr>
            <w:r w:rsidRPr="004F469F">
              <w:rPr>
                <w:sz w:val="20"/>
                <w:szCs w:val="20"/>
              </w:rPr>
              <w:t>151</w:t>
            </w:r>
          </w:p>
        </w:tc>
        <w:tc>
          <w:tcPr>
            <w:tcW w:w="0" w:type="auto"/>
            <w:tcBorders>
              <w:top w:val="nil"/>
              <w:left w:val="nil"/>
              <w:bottom w:val="single" w:sz="4" w:space="0" w:color="auto"/>
              <w:right w:val="single" w:sz="4" w:space="0" w:color="auto"/>
            </w:tcBorders>
            <w:shd w:val="clear" w:color="auto" w:fill="auto"/>
            <w:noWrap/>
            <w:vAlign w:val="center"/>
            <w:hideMark/>
          </w:tcPr>
          <w:p w14:paraId="6AC1560F" w14:textId="13BE57D9" w:rsidR="00D90A51" w:rsidRPr="004F469F" w:rsidRDefault="00D90A51" w:rsidP="00D90A51">
            <w:pPr>
              <w:jc w:val="center"/>
              <w:rPr>
                <w:sz w:val="20"/>
                <w:szCs w:val="20"/>
              </w:rPr>
            </w:pPr>
            <w:r w:rsidRPr="004F469F">
              <w:rPr>
                <w:sz w:val="20"/>
                <w:szCs w:val="20"/>
              </w:rPr>
              <w:t>1,391</w:t>
            </w:r>
          </w:p>
        </w:tc>
        <w:tc>
          <w:tcPr>
            <w:tcW w:w="0" w:type="auto"/>
            <w:tcBorders>
              <w:top w:val="nil"/>
              <w:left w:val="nil"/>
              <w:bottom w:val="single" w:sz="4" w:space="0" w:color="auto"/>
              <w:right w:val="single" w:sz="4" w:space="0" w:color="auto"/>
            </w:tcBorders>
            <w:shd w:val="clear" w:color="auto" w:fill="auto"/>
            <w:noWrap/>
            <w:vAlign w:val="center"/>
            <w:hideMark/>
          </w:tcPr>
          <w:p w14:paraId="160F6082" w14:textId="22019E2C" w:rsidR="00D90A51" w:rsidRPr="004F469F" w:rsidRDefault="00D90A51" w:rsidP="00D90A51">
            <w:pPr>
              <w:jc w:val="center"/>
              <w:rPr>
                <w:sz w:val="20"/>
                <w:szCs w:val="20"/>
              </w:rPr>
            </w:pPr>
            <w:r w:rsidRPr="004F469F">
              <w:rPr>
                <w:sz w:val="20"/>
                <w:szCs w:val="20"/>
              </w:rPr>
              <w:t>222,690</w:t>
            </w:r>
          </w:p>
        </w:tc>
      </w:tr>
      <w:tr w:rsidR="00D90A51" w:rsidRPr="004F469F" w14:paraId="12524185"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095C9888"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405448FC" w14:textId="77777777" w:rsidR="00D90A51" w:rsidRPr="004F469F" w:rsidRDefault="00D90A51" w:rsidP="00D90A51">
            <w:pPr>
              <w:jc w:val="center"/>
              <w:rPr>
                <w:i/>
                <w:iCs/>
                <w:sz w:val="20"/>
                <w:szCs w:val="20"/>
              </w:rPr>
            </w:pPr>
            <w:r w:rsidRPr="004F469F">
              <w:rPr>
                <w:i/>
                <w:iCs/>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7C80D27F" w14:textId="59E62CD6"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75184200" w14:textId="7DC76E15"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3EA9018C" w14:textId="63CC9DB6" w:rsidR="00D90A51" w:rsidRPr="004F469F" w:rsidRDefault="00D90A51" w:rsidP="00D90A51">
            <w:pPr>
              <w:jc w:val="center"/>
              <w:rPr>
                <w:sz w:val="20"/>
                <w:szCs w:val="20"/>
              </w:rPr>
            </w:pPr>
            <w:r w:rsidRPr="004F469F">
              <w:rPr>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74AD21F6" w14:textId="1935BF1D" w:rsidR="00D90A51" w:rsidRPr="004F469F" w:rsidRDefault="00D90A51" w:rsidP="00D90A51">
            <w:pPr>
              <w:jc w:val="center"/>
              <w:rPr>
                <w:sz w:val="20"/>
                <w:szCs w:val="20"/>
              </w:rPr>
            </w:pPr>
            <w:r w:rsidRPr="004F469F">
              <w:rPr>
                <w:sz w:val="20"/>
                <w:szCs w:val="20"/>
              </w:rPr>
              <w:t>321</w:t>
            </w:r>
          </w:p>
        </w:tc>
        <w:tc>
          <w:tcPr>
            <w:tcW w:w="0" w:type="auto"/>
            <w:tcBorders>
              <w:top w:val="nil"/>
              <w:left w:val="nil"/>
              <w:bottom w:val="single" w:sz="4" w:space="0" w:color="auto"/>
              <w:right w:val="single" w:sz="4" w:space="0" w:color="auto"/>
            </w:tcBorders>
            <w:shd w:val="clear" w:color="auto" w:fill="auto"/>
            <w:noWrap/>
            <w:vAlign w:val="center"/>
            <w:hideMark/>
          </w:tcPr>
          <w:p w14:paraId="30FCCCDC" w14:textId="74AC5BB2" w:rsidR="00D90A51" w:rsidRPr="004F469F" w:rsidRDefault="00D90A51" w:rsidP="00D90A51">
            <w:pPr>
              <w:jc w:val="center"/>
              <w:rPr>
                <w:sz w:val="20"/>
                <w:szCs w:val="20"/>
              </w:rPr>
            </w:pPr>
            <w:r w:rsidRPr="004F469F">
              <w:rPr>
                <w:sz w:val="20"/>
                <w:szCs w:val="20"/>
              </w:rPr>
              <w:t>1,738</w:t>
            </w:r>
          </w:p>
        </w:tc>
        <w:tc>
          <w:tcPr>
            <w:tcW w:w="0" w:type="auto"/>
            <w:tcBorders>
              <w:top w:val="nil"/>
              <w:left w:val="nil"/>
              <w:bottom w:val="single" w:sz="4" w:space="0" w:color="auto"/>
              <w:right w:val="single" w:sz="4" w:space="0" w:color="auto"/>
            </w:tcBorders>
            <w:shd w:val="clear" w:color="auto" w:fill="auto"/>
            <w:noWrap/>
            <w:vAlign w:val="center"/>
            <w:hideMark/>
          </w:tcPr>
          <w:p w14:paraId="6D4BDC60" w14:textId="19C7BAD0" w:rsidR="00D90A51" w:rsidRPr="004F469F" w:rsidRDefault="00D90A51" w:rsidP="00D90A51">
            <w:pPr>
              <w:jc w:val="center"/>
              <w:rPr>
                <w:sz w:val="20"/>
                <w:szCs w:val="20"/>
              </w:rPr>
            </w:pPr>
            <w:r w:rsidRPr="004F469F">
              <w:rPr>
                <w:sz w:val="20"/>
                <w:szCs w:val="20"/>
              </w:rPr>
              <w:t>93,619</w:t>
            </w:r>
          </w:p>
        </w:tc>
      </w:tr>
      <w:tr w:rsidR="00D90A51" w:rsidRPr="004F469F" w14:paraId="749D6B3D" w14:textId="77777777" w:rsidTr="00D90A51">
        <w:trPr>
          <w:trHeight w:val="32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8A83B7E" w14:textId="77777777" w:rsidR="00D90A51" w:rsidRPr="004F469F" w:rsidRDefault="00D90A51" w:rsidP="00D90A51">
            <w:pPr>
              <w:jc w:val="center"/>
              <w:rPr>
                <w:sz w:val="20"/>
                <w:szCs w:val="20"/>
              </w:rPr>
            </w:pPr>
            <w:r w:rsidRPr="004F469F">
              <w:rPr>
                <w:sz w:val="20"/>
                <w:szCs w:val="20"/>
              </w:rPr>
              <w:t>27 April 2011</w:t>
            </w:r>
          </w:p>
        </w:tc>
        <w:tc>
          <w:tcPr>
            <w:tcW w:w="0" w:type="auto"/>
            <w:tcBorders>
              <w:top w:val="nil"/>
              <w:left w:val="nil"/>
              <w:bottom w:val="single" w:sz="4" w:space="0" w:color="auto"/>
              <w:right w:val="single" w:sz="4" w:space="0" w:color="auto"/>
            </w:tcBorders>
            <w:shd w:val="clear" w:color="auto" w:fill="auto"/>
            <w:noWrap/>
            <w:vAlign w:val="center"/>
            <w:hideMark/>
          </w:tcPr>
          <w:p w14:paraId="68FF491B" w14:textId="77777777" w:rsidR="00D90A51" w:rsidRPr="004F469F" w:rsidRDefault="00D90A51" w:rsidP="00D90A51">
            <w:pPr>
              <w:jc w:val="center"/>
              <w:rPr>
                <w:i/>
                <w:iCs/>
                <w:sz w:val="20"/>
                <w:szCs w:val="20"/>
              </w:rPr>
            </w:pPr>
            <w:r w:rsidRPr="004F469F">
              <w:rPr>
                <w:i/>
                <w:iCs/>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24A48639" w14:textId="24B51FF5" w:rsidR="00D90A51" w:rsidRPr="004F469F" w:rsidRDefault="00D90A51" w:rsidP="00D90A5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56BE0462" w14:textId="0095EEF1" w:rsidR="00D90A51" w:rsidRPr="004F469F" w:rsidRDefault="00D90A51" w:rsidP="00D90A51">
            <w:pPr>
              <w:jc w:val="center"/>
              <w:rPr>
                <w:sz w:val="20"/>
                <w:szCs w:val="20"/>
              </w:rPr>
            </w:pPr>
            <w:r w:rsidRPr="004F469F">
              <w:rPr>
                <w:sz w:val="20"/>
                <w:szCs w:val="20"/>
              </w:rPr>
              <w:t>9</w:t>
            </w:r>
          </w:p>
        </w:tc>
        <w:tc>
          <w:tcPr>
            <w:tcW w:w="0" w:type="auto"/>
            <w:tcBorders>
              <w:top w:val="nil"/>
              <w:left w:val="nil"/>
              <w:bottom w:val="single" w:sz="4" w:space="0" w:color="auto"/>
              <w:right w:val="single" w:sz="4" w:space="0" w:color="auto"/>
            </w:tcBorders>
            <w:shd w:val="clear" w:color="auto" w:fill="auto"/>
            <w:noWrap/>
            <w:vAlign w:val="center"/>
            <w:hideMark/>
          </w:tcPr>
          <w:p w14:paraId="52BB0EF9" w14:textId="71D37982" w:rsidR="00D90A51" w:rsidRPr="004F469F" w:rsidRDefault="00D90A51" w:rsidP="00D90A51">
            <w:pPr>
              <w:jc w:val="center"/>
              <w:rPr>
                <w:sz w:val="20"/>
                <w:szCs w:val="20"/>
              </w:rPr>
            </w:pPr>
            <w:r w:rsidRPr="004F469F">
              <w:rPr>
                <w:sz w:val="20"/>
                <w:szCs w:val="20"/>
              </w:rPr>
              <w:t>72</w:t>
            </w:r>
          </w:p>
        </w:tc>
        <w:tc>
          <w:tcPr>
            <w:tcW w:w="0" w:type="auto"/>
            <w:tcBorders>
              <w:top w:val="nil"/>
              <w:left w:val="nil"/>
              <w:bottom w:val="single" w:sz="4" w:space="0" w:color="auto"/>
              <w:right w:val="single" w:sz="4" w:space="0" w:color="auto"/>
            </w:tcBorders>
            <w:shd w:val="clear" w:color="auto" w:fill="auto"/>
            <w:noWrap/>
            <w:vAlign w:val="center"/>
            <w:hideMark/>
          </w:tcPr>
          <w:p w14:paraId="6D3A4B75" w14:textId="75AB7942" w:rsidR="00D90A51" w:rsidRPr="004F469F" w:rsidRDefault="00D90A51" w:rsidP="00D90A51">
            <w:pPr>
              <w:jc w:val="center"/>
              <w:rPr>
                <w:sz w:val="20"/>
                <w:szCs w:val="20"/>
              </w:rPr>
            </w:pPr>
            <w:r w:rsidRPr="004F469F">
              <w:rPr>
                <w:sz w:val="20"/>
                <w:szCs w:val="20"/>
              </w:rPr>
              <w:t>70</w:t>
            </w:r>
          </w:p>
        </w:tc>
        <w:tc>
          <w:tcPr>
            <w:tcW w:w="0" w:type="auto"/>
            <w:tcBorders>
              <w:top w:val="nil"/>
              <w:left w:val="nil"/>
              <w:bottom w:val="single" w:sz="4" w:space="0" w:color="auto"/>
              <w:right w:val="single" w:sz="4" w:space="0" w:color="auto"/>
            </w:tcBorders>
            <w:shd w:val="clear" w:color="auto" w:fill="auto"/>
            <w:noWrap/>
            <w:vAlign w:val="center"/>
            <w:hideMark/>
          </w:tcPr>
          <w:p w14:paraId="706DC202" w14:textId="1A0B78B5" w:rsidR="00D90A51" w:rsidRPr="004F469F" w:rsidRDefault="00D90A51" w:rsidP="00D90A51">
            <w:pPr>
              <w:jc w:val="center"/>
              <w:rPr>
                <w:sz w:val="20"/>
                <w:szCs w:val="20"/>
              </w:rPr>
            </w:pPr>
            <w:r w:rsidRPr="004F469F">
              <w:rPr>
                <w:sz w:val="20"/>
                <w:szCs w:val="20"/>
              </w:rPr>
              <w:t>817</w:t>
            </w:r>
          </w:p>
        </w:tc>
        <w:tc>
          <w:tcPr>
            <w:tcW w:w="0" w:type="auto"/>
            <w:tcBorders>
              <w:top w:val="nil"/>
              <w:left w:val="nil"/>
              <w:bottom w:val="single" w:sz="4" w:space="0" w:color="auto"/>
              <w:right w:val="single" w:sz="4" w:space="0" w:color="auto"/>
            </w:tcBorders>
            <w:shd w:val="clear" w:color="auto" w:fill="auto"/>
            <w:noWrap/>
            <w:vAlign w:val="center"/>
            <w:hideMark/>
          </w:tcPr>
          <w:p w14:paraId="3DB8C654" w14:textId="54C6249D" w:rsidR="00D90A51" w:rsidRPr="004F469F" w:rsidRDefault="00D90A51" w:rsidP="00D90A51">
            <w:pPr>
              <w:jc w:val="center"/>
              <w:rPr>
                <w:sz w:val="20"/>
                <w:szCs w:val="20"/>
              </w:rPr>
            </w:pPr>
            <w:r w:rsidRPr="004F469F">
              <w:rPr>
                <w:sz w:val="20"/>
                <w:szCs w:val="20"/>
              </w:rPr>
              <w:t>79,897</w:t>
            </w:r>
          </w:p>
        </w:tc>
      </w:tr>
      <w:tr w:rsidR="00D90A51" w:rsidRPr="004F469F" w14:paraId="51F12ABA"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5628047C"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840F6AA" w14:textId="77777777" w:rsidR="00D90A51" w:rsidRPr="004F469F" w:rsidRDefault="00D90A51" w:rsidP="00D90A51">
            <w:pPr>
              <w:jc w:val="center"/>
              <w:rPr>
                <w:i/>
                <w:iCs/>
                <w:sz w:val="20"/>
                <w:szCs w:val="20"/>
              </w:rPr>
            </w:pPr>
            <w:r w:rsidRPr="004F469F">
              <w:rPr>
                <w:i/>
                <w:iCs/>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4F43CDFE" w14:textId="7584BE49" w:rsidR="00D90A51" w:rsidRPr="004F469F" w:rsidRDefault="00D90A51" w:rsidP="00D90A51">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77427B3C" w14:textId="08A94C88" w:rsidR="00D90A51" w:rsidRPr="004F469F" w:rsidRDefault="00D90A51" w:rsidP="00D90A51">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4C7EB790" w14:textId="5F8C703F" w:rsidR="00D90A51" w:rsidRPr="004F469F" w:rsidRDefault="00D90A51" w:rsidP="00D90A51">
            <w:pPr>
              <w:jc w:val="center"/>
              <w:rPr>
                <w:sz w:val="20"/>
                <w:szCs w:val="20"/>
              </w:rPr>
            </w:pPr>
            <w:r w:rsidRPr="004F469F">
              <w:rPr>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3454F870" w14:textId="124CE13B" w:rsidR="00D90A51" w:rsidRPr="004F469F" w:rsidRDefault="00D90A51" w:rsidP="00D90A51">
            <w:pPr>
              <w:jc w:val="center"/>
              <w:rPr>
                <w:sz w:val="20"/>
                <w:szCs w:val="20"/>
              </w:rPr>
            </w:pPr>
            <w:r w:rsidRPr="004F469F">
              <w:rPr>
                <w:sz w:val="20"/>
                <w:szCs w:val="20"/>
              </w:rPr>
              <w:t>221</w:t>
            </w:r>
          </w:p>
        </w:tc>
        <w:tc>
          <w:tcPr>
            <w:tcW w:w="0" w:type="auto"/>
            <w:tcBorders>
              <w:top w:val="nil"/>
              <w:left w:val="nil"/>
              <w:bottom w:val="single" w:sz="4" w:space="0" w:color="auto"/>
              <w:right w:val="single" w:sz="4" w:space="0" w:color="auto"/>
            </w:tcBorders>
            <w:shd w:val="clear" w:color="auto" w:fill="auto"/>
            <w:noWrap/>
            <w:vAlign w:val="center"/>
            <w:hideMark/>
          </w:tcPr>
          <w:p w14:paraId="3ACBB475" w14:textId="24DB9D1A" w:rsidR="00D90A51" w:rsidRPr="004F469F" w:rsidRDefault="00D90A51" w:rsidP="00D90A51">
            <w:pPr>
              <w:jc w:val="center"/>
              <w:rPr>
                <w:sz w:val="20"/>
                <w:szCs w:val="20"/>
              </w:rPr>
            </w:pPr>
            <w:r w:rsidRPr="004F469F">
              <w:rPr>
                <w:sz w:val="20"/>
                <w:szCs w:val="20"/>
              </w:rPr>
              <w:t>1,102</w:t>
            </w:r>
          </w:p>
        </w:tc>
        <w:tc>
          <w:tcPr>
            <w:tcW w:w="0" w:type="auto"/>
            <w:tcBorders>
              <w:top w:val="nil"/>
              <w:left w:val="nil"/>
              <w:bottom w:val="single" w:sz="4" w:space="0" w:color="auto"/>
              <w:right w:val="single" w:sz="4" w:space="0" w:color="auto"/>
            </w:tcBorders>
            <w:shd w:val="clear" w:color="auto" w:fill="auto"/>
            <w:noWrap/>
            <w:vAlign w:val="center"/>
            <w:hideMark/>
          </w:tcPr>
          <w:p w14:paraId="33D6C931" w14:textId="20016B2C" w:rsidR="00D90A51" w:rsidRPr="004F469F" w:rsidRDefault="00D90A51" w:rsidP="00D90A51">
            <w:pPr>
              <w:jc w:val="center"/>
              <w:rPr>
                <w:sz w:val="20"/>
                <w:szCs w:val="20"/>
              </w:rPr>
            </w:pPr>
            <w:r w:rsidRPr="004F469F">
              <w:rPr>
                <w:sz w:val="20"/>
                <w:szCs w:val="20"/>
              </w:rPr>
              <w:t>68,045</w:t>
            </w:r>
          </w:p>
        </w:tc>
      </w:tr>
      <w:tr w:rsidR="00D90A51" w:rsidRPr="004F469F" w14:paraId="7F2BB370"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2C00F7D0"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3C2FC306" w14:textId="77777777" w:rsidR="00D90A51" w:rsidRPr="004F469F" w:rsidRDefault="00D90A51" w:rsidP="00D90A51">
            <w:pPr>
              <w:jc w:val="center"/>
              <w:rPr>
                <w:i/>
                <w:iCs/>
                <w:sz w:val="20"/>
                <w:szCs w:val="20"/>
              </w:rPr>
            </w:pPr>
            <w:r w:rsidRPr="004F469F">
              <w:rPr>
                <w:i/>
                <w:iCs/>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0F599C91" w14:textId="1B237E48"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7BD822EA" w14:textId="78A8BB46"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DC06CB6" w14:textId="4069AFC2" w:rsidR="00D90A51" w:rsidRPr="004F469F" w:rsidRDefault="00D90A51" w:rsidP="00D90A51">
            <w:pPr>
              <w:jc w:val="center"/>
              <w:rPr>
                <w:sz w:val="20"/>
                <w:szCs w:val="20"/>
              </w:rPr>
            </w:pPr>
            <w:r w:rsidRPr="004F469F">
              <w:rPr>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4A1745C7" w14:textId="528F4952" w:rsidR="00D90A51" w:rsidRPr="004F469F" w:rsidRDefault="00D90A51" w:rsidP="00D90A51">
            <w:pPr>
              <w:jc w:val="center"/>
              <w:rPr>
                <w:sz w:val="20"/>
                <w:szCs w:val="20"/>
              </w:rPr>
            </w:pPr>
            <w:r w:rsidRPr="004F469F">
              <w:rPr>
                <w:sz w:val="20"/>
                <w:szCs w:val="20"/>
              </w:rPr>
              <w:t>472</w:t>
            </w:r>
          </w:p>
        </w:tc>
        <w:tc>
          <w:tcPr>
            <w:tcW w:w="0" w:type="auto"/>
            <w:tcBorders>
              <w:top w:val="nil"/>
              <w:left w:val="nil"/>
              <w:bottom w:val="single" w:sz="4" w:space="0" w:color="auto"/>
              <w:right w:val="single" w:sz="4" w:space="0" w:color="auto"/>
            </w:tcBorders>
            <w:shd w:val="clear" w:color="auto" w:fill="auto"/>
            <w:noWrap/>
            <w:vAlign w:val="center"/>
            <w:hideMark/>
          </w:tcPr>
          <w:p w14:paraId="79DCBDF4" w14:textId="411D3751" w:rsidR="00D90A51" w:rsidRPr="004F469F" w:rsidRDefault="00D90A51" w:rsidP="00D90A51">
            <w:pPr>
              <w:jc w:val="center"/>
              <w:rPr>
                <w:sz w:val="20"/>
                <w:szCs w:val="20"/>
              </w:rPr>
            </w:pPr>
            <w:r w:rsidRPr="004F469F">
              <w:rPr>
                <w:sz w:val="20"/>
                <w:szCs w:val="20"/>
              </w:rPr>
              <w:t>1,569</w:t>
            </w:r>
          </w:p>
        </w:tc>
        <w:tc>
          <w:tcPr>
            <w:tcW w:w="0" w:type="auto"/>
            <w:tcBorders>
              <w:top w:val="nil"/>
              <w:left w:val="nil"/>
              <w:bottom w:val="single" w:sz="4" w:space="0" w:color="auto"/>
              <w:right w:val="single" w:sz="4" w:space="0" w:color="auto"/>
            </w:tcBorders>
            <w:shd w:val="clear" w:color="auto" w:fill="auto"/>
            <w:noWrap/>
            <w:vAlign w:val="center"/>
            <w:hideMark/>
          </w:tcPr>
          <w:p w14:paraId="2470319A" w14:textId="611C3334" w:rsidR="00D90A51" w:rsidRPr="004F469F" w:rsidRDefault="00D90A51" w:rsidP="00D90A51">
            <w:pPr>
              <w:jc w:val="center"/>
              <w:rPr>
                <w:sz w:val="20"/>
                <w:szCs w:val="20"/>
              </w:rPr>
            </w:pPr>
            <w:r w:rsidRPr="004F469F">
              <w:rPr>
                <w:sz w:val="20"/>
                <w:szCs w:val="20"/>
              </w:rPr>
              <w:t>37,201</w:t>
            </w:r>
          </w:p>
        </w:tc>
      </w:tr>
      <w:tr w:rsidR="00D90A51" w:rsidRPr="004F469F" w14:paraId="4FE5041F" w14:textId="77777777" w:rsidTr="00D90A51">
        <w:trPr>
          <w:trHeight w:val="32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A8FCF5D" w14:textId="77777777" w:rsidR="00D90A51" w:rsidRPr="004F469F" w:rsidRDefault="00D90A51" w:rsidP="00D90A51">
            <w:pPr>
              <w:jc w:val="center"/>
              <w:rPr>
                <w:sz w:val="20"/>
                <w:szCs w:val="20"/>
              </w:rPr>
            </w:pPr>
            <w:r w:rsidRPr="004F469F">
              <w:rPr>
                <w:sz w:val="20"/>
                <w:szCs w:val="20"/>
              </w:rPr>
              <w:t>22 May 2011</w:t>
            </w:r>
          </w:p>
        </w:tc>
        <w:tc>
          <w:tcPr>
            <w:tcW w:w="0" w:type="auto"/>
            <w:tcBorders>
              <w:top w:val="nil"/>
              <w:left w:val="nil"/>
              <w:bottom w:val="single" w:sz="4" w:space="0" w:color="auto"/>
              <w:right w:val="single" w:sz="4" w:space="0" w:color="auto"/>
            </w:tcBorders>
            <w:shd w:val="clear" w:color="auto" w:fill="auto"/>
            <w:noWrap/>
            <w:vAlign w:val="center"/>
            <w:hideMark/>
          </w:tcPr>
          <w:p w14:paraId="0A131069" w14:textId="77777777" w:rsidR="00D90A51" w:rsidRPr="004F469F" w:rsidRDefault="00D90A51" w:rsidP="00D90A51">
            <w:pPr>
              <w:jc w:val="center"/>
              <w:rPr>
                <w:i/>
                <w:iCs/>
                <w:sz w:val="20"/>
                <w:szCs w:val="20"/>
              </w:rPr>
            </w:pPr>
            <w:r w:rsidRPr="004F469F">
              <w:rPr>
                <w:i/>
                <w:iCs/>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186935A8" w14:textId="347966AA" w:rsidR="00D90A51" w:rsidRPr="004F469F" w:rsidRDefault="00D90A51" w:rsidP="00D90A51">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173C39A3" w14:textId="131B5D9F" w:rsidR="00D90A51" w:rsidRPr="004F469F" w:rsidRDefault="00D90A51" w:rsidP="00D90A5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7C7BE041" w14:textId="7E94D745" w:rsidR="00D90A51" w:rsidRPr="004F469F" w:rsidRDefault="00D90A51" w:rsidP="00D90A51">
            <w:pPr>
              <w:jc w:val="center"/>
              <w:rPr>
                <w:sz w:val="20"/>
                <w:szCs w:val="20"/>
              </w:rPr>
            </w:pPr>
            <w:r w:rsidRPr="004F469F">
              <w:rPr>
                <w:sz w:val="20"/>
                <w:szCs w:val="20"/>
              </w:rPr>
              <w:t>67</w:t>
            </w:r>
          </w:p>
        </w:tc>
        <w:tc>
          <w:tcPr>
            <w:tcW w:w="0" w:type="auto"/>
            <w:tcBorders>
              <w:top w:val="nil"/>
              <w:left w:val="nil"/>
              <w:bottom w:val="single" w:sz="4" w:space="0" w:color="auto"/>
              <w:right w:val="single" w:sz="4" w:space="0" w:color="auto"/>
            </w:tcBorders>
            <w:shd w:val="clear" w:color="auto" w:fill="auto"/>
            <w:noWrap/>
            <w:vAlign w:val="center"/>
            <w:hideMark/>
          </w:tcPr>
          <w:p w14:paraId="375706BD" w14:textId="23520E00" w:rsidR="00D90A51" w:rsidRPr="004F469F" w:rsidRDefault="00D90A51" w:rsidP="00D90A51">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20AA5482" w14:textId="148C8DED" w:rsidR="00D90A51" w:rsidRPr="004F469F" w:rsidRDefault="00D90A51" w:rsidP="00D90A51">
            <w:pPr>
              <w:jc w:val="center"/>
              <w:rPr>
                <w:sz w:val="20"/>
                <w:szCs w:val="20"/>
              </w:rPr>
            </w:pPr>
            <w:r w:rsidRPr="004F469F">
              <w:rPr>
                <w:sz w:val="20"/>
                <w:szCs w:val="20"/>
              </w:rPr>
              <w:t>292</w:t>
            </w:r>
          </w:p>
        </w:tc>
        <w:tc>
          <w:tcPr>
            <w:tcW w:w="0" w:type="auto"/>
            <w:tcBorders>
              <w:top w:val="nil"/>
              <w:left w:val="nil"/>
              <w:bottom w:val="single" w:sz="4" w:space="0" w:color="auto"/>
              <w:right w:val="single" w:sz="4" w:space="0" w:color="auto"/>
            </w:tcBorders>
            <w:shd w:val="clear" w:color="auto" w:fill="auto"/>
            <w:noWrap/>
            <w:vAlign w:val="center"/>
            <w:hideMark/>
          </w:tcPr>
          <w:p w14:paraId="4178BC85" w14:textId="3C2AD5C0" w:rsidR="00D90A51" w:rsidRPr="004F469F" w:rsidRDefault="00D90A51" w:rsidP="00D90A51">
            <w:pPr>
              <w:jc w:val="center"/>
              <w:rPr>
                <w:sz w:val="20"/>
                <w:szCs w:val="20"/>
              </w:rPr>
            </w:pPr>
            <w:r w:rsidRPr="004F469F">
              <w:rPr>
                <w:sz w:val="20"/>
                <w:szCs w:val="20"/>
              </w:rPr>
              <w:t>55,320</w:t>
            </w:r>
          </w:p>
        </w:tc>
      </w:tr>
      <w:tr w:rsidR="00D90A51" w:rsidRPr="004F469F" w14:paraId="1EEBFE79"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1FDBEFE2"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538E63AD" w14:textId="77777777" w:rsidR="00D90A51" w:rsidRPr="004F469F" w:rsidRDefault="00D90A51" w:rsidP="00D90A51">
            <w:pPr>
              <w:jc w:val="center"/>
              <w:rPr>
                <w:i/>
                <w:iCs/>
                <w:sz w:val="20"/>
                <w:szCs w:val="20"/>
              </w:rPr>
            </w:pPr>
            <w:r w:rsidRPr="004F469F">
              <w:rPr>
                <w:i/>
                <w:iCs/>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1892D4FE" w14:textId="614EE5A2"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5401D263" w14:textId="7CEDB362" w:rsidR="00D90A51" w:rsidRPr="004F469F" w:rsidRDefault="00D90A51" w:rsidP="00D90A51">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64F1100E" w14:textId="2D6AB7B6" w:rsidR="00D90A51" w:rsidRPr="004F469F" w:rsidRDefault="00D90A51" w:rsidP="00D90A51">
            <w:pPr>
              <w:jc w:val="center"/>
              <w:rPr>
                <w:sz w:val="20"/>
                <w:szCs w:val="20"/>
              </w:rPr>
            </w:pPr>
            <w:r w:rsidRPr="004F469F">
              <w:rPr>
                <w:sz w:val="20"/>
                <w:szCs w:val="20"/>
              </w:rPr>
              <w:t>26</w:t>
            </w:r>
          </w:p>
        </w:tc>
        <w:tc>
          <w:tcPr>
            <w:tcW w:w="0" w:type="auto"/>
            <w:tcBorders>
              <w:top w:val="nil"/>
              <w:left w:val="nil"/>
              <w:bottom w:val="single" w:sz="4" w:space="0" w:color="auto"/>
              <w:right w:val="single" w:sz="4" w:space="0" w:color="auto"/>
            </w:tcBorders>
            <w:shd w:val="clear" w:color="auto" w:fill="auto"/>
            <w:noWrap/>
            <w:vAlign w:val="center"/>
            <w:hideMark/>
          </w:tcPr>
          <w:p w14:paraId="0F01DF1A" w14:textId="6BF59299" w:rsidR="00D90A51" w:rsidRPr="004F469F" w:rsidRDefault="00D90A51" w:rsidP="00D90A51">
            <w:pPr>
              <w:jc w:val="center"/>
              <w:rPr>
                <w:sz w:val="20"/>
                <w:szCs w:val="20"/>
              </w:rPr>
            </w:pPr>
            <w:r w:rsidRPr="004F469F">
              <w:rPr>
                <w:sz w:val="20"/>
                <w:szCs w:val="20"/>
              </w:rPr>
              <w:t>65</w:t>
            </w:r>
          </w:p>
        </w:tc>
        <w:tc>
          <w:tcPr>
            <w:tcW w:w="0" w:type="auto"/>
            <w:tcBorders>
              <w:top w:val="nil"/>
              <w:left w:val="nil"/>
              <w:bottom w:val="single" w:sz="4" w:space="0" w:color="auto"/>
              <w:right w:val="single" w:sz="4" w:space="0" w:color="auto"/>
            </w:tcBorders>
            <w:shd w:val="clear" w:color="auto" w:fill="auto"/>
            <w:noWrap/>
            <w:vAlign w:val="center"/>
            <w:hideMark/>
          </w:tcPr>
          <w:p w14:paraId="55D89F24" w14:textId="48DD8457" w:rsidR="00D90A51" w:rsidRPr="004F469F" w:rsidRDefault="00D90A51" w:rsidP="00D90A51">
            <w:pPr>
              <w:jc w:val="center"/>
              <w:rPr>
                <w:sz w:val="20"/>
                <w:szCs w:val="20"/>
              </w:rPr>
            </w:pPr>
            <w:r w:rsidRPr="004F469F">
              <w:rPr>
                <w:sz w:val="20"/>
                <w:szCs w:val="20"/>
              </w:rPr>
              <w:t>592</w:t>
            </w:r>
          </w:p>
        </w:tc>
        <w:tc>
          <w:tcPr>
            <w:tcW w:w="0" w:type="auto"/>
            <w:tcBorders>
              <w:top w:val="nil"/>
              <w:left w:val="nil"/>
              <w:bottom w:val="single" w:sz="4" w:space="0" w:color="auto"/>
              <w:right w:val="single" w:sz="4" w:space="0" w:color="auto"/>
            </w:tcBorders>
            <w:shd w:val="clear" w:color="auto" w:fill="auto"/>
            <w:noWrap/>
            <w:vAlign w:val="center"/>
            <w:hideMark/>
          </w:tcPr>
          <w:p w14:paraId="725E18D8" w14:textId="052DFDE5" w:rsidR="00D90A51" w:rsidRPr="004F469F" w:rsidRDefault="00D90A51" w:rsidP="00D90A51">
            <w:pPr>
              <w:jc w:val="center"/>
              <w:rPr>
                <w:sz w:val="20"/>
                <w:szCs w:val="20"/>
              </w:rPr>
            </w:pPr>
            <w:r w:rsidRPr="004F469F">
              <w:rPr>
                <w:sz w:val="20"/>
                <w:szCs w:val="20"/>
              </w:rPr>
              <w:t>55,247</w:t>
            </w:r>
          </w:p>
        </w:tc>
      </w:tr>
      <w:tr w:rsidR="00D90A51" w:rsidRPr="004F469F" w14:paraId="7CEC8919" w14:textId="77777777" w:rsidTr="00D90A51">
        <w:trPr>
          <w:trHeight w:val="320"/>
        </w:trPr>
        <w:tc>
          <w:tcPr>
            <w:tcW w:w="0" w:type="auto"/>
            <w:vMerge/>
            <w:tcBorders>
              <w:top w:val="nil"/>
              <w:left w:val="single" w:sz="4" w:space="0" w:color="auto"/>
              <w:bottom w:val="single" w:sz="4" w:space="0" w:color="000000"/>
              <w:right w:val="single" w:sz="4" w:space="0" w:color="auto"/>
            </w:tcBorders>
            <w:vAlign w:val="center"/>
            <w:hideMark/>
          </w:tcPr>
          <w:p w14:paraId="5E8E1FED"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D6BBB3D" w14:textId="77777777" w:rsidR="00D90A51" w:rsidRPr="004F469F" w:rsidRDefault="00D90A51" w:rsidP="00D90A51">
            <w:pPr>
              <w:jc w:val="center"/>
              <w:rPr>
                <w:i/>
                <w:iCs/>
                <w:sz w:val="20"/>
                <w:szCs w:val="20"/>
              </w:rPr>
            </w:pPr>
            <w:r w:rsidRPr="004F469F">
              <w:rPr>
                <w:i/>
                <w:iCs/>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78FADB76" w14:textId="20F48916"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4AC248EF" w14:textId="70855A69"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1A74D776" w14:textId="268A6CD8" w:rsidR="00D90A51" w:rsidRPr="004F469F" w:rsidRDefault="00D90A51" w:rsidP="00D90A5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F7A8D28" w14:textId="3E36051A" w:rsidR="00D90A51" w:rsidRPr="004F469F" w:rsidRDefault="00D90A51" w:rsidP="00D90A51">
            <w:pPr>
              <w:jc w:val="center"/>
              <w:rPr>
                <w:sz w:val="20"/>
                <w:szCs w:val="20"/>
              </w:rPr>
            </w:pPr>
            <w:r w:rsidRPr="004F469F">
              <w:rPr>
                <w:sz w:val="20"/>
                <w:szCs w:val="20"/>
              </w:rPr>
              <w:t>315</w:t>
            </w:r>
          </w:p>
        </w:tc>
        <w:tc>
          <w:tcPr>
            <w:tcW w:w="0" w:type="auto"/>
            <w:tcBorders>
              <w:top w:val="nil"/>
              <w:left w:val="nil"/>
              <w:bottom w:val="single" w:sz="4" w:space="0" w:color="auto"/>
              <w:right w:val="single" w:sz="4" w:space="0" w:color="auto"/>
            </w:tcBorders>
            <w:shd w:val="clear" w:color="auto" w:fill="auto"/>
            <w:noWrap/>
            <w:vAlign w:val="center"/>
            <w:hideMark/>
          </w:tcPr>
          <w:p w14:paraId="6B85EF5A" w14:textId="632340DC" w:rsidR="00D90A51" w:rsidRPr="004F469F" w:rsidRDefault="00D90A51" w:rsidP="00D90A51">
            <w:pPr>
              <w:jc w:val="center"/>
              <w:rPr>
                <w:sz w:val="20"/>
                <w:szCs w:val="20"/>
              </w:rPr>
            </w:pPr>
            <w:r w:rsidRPr="004F469F">
              <w:rPr>
                <w:sz w:val="20"/>
                <w:szCs w:val="20"/>
              </w:rPr>
              <w:t>1,369</w:t>
            </w:r>
          </w:p>
        </w:tc>
        <w:tc>
          <w:tcPr>
            <w:tcW w:w="0" w:type="auto"/>
            <w:tcBorders>
              <w:top w:val="nil"/>
              <w:left w:val="nil"/>
              <w:bottom w:val="single" w:sz="4" w:space="0" w:color="auto"/>
              <w:right w:val="single" w:sz="4" w:space="0" w:color="auto"/>
            </w:tcBorders>
            <w:shd w:val="clear" w:color="auto" w:fill="auto"/>
            <w:noWrap/>
            <w:vAlign w:val="center"/>
            <w:hideMark/>
          </w:tcPr>
          <w:p w14:paraId="0C3C35E7" w14:textId="682C1032" w:rsidR="00D90A51" w:rsidRPr="004F469F" w:rsidRDefault="00D90A51" w:rsidP="00D90A51">
            <w:pPr>
              <w:jc w:val="center"/>
              <w:rPr>
                <w:sz w:val="20"/>
                <w:szCs w:val="20"/>
              </w:rPr>
            </w:pPr>
            <w:r w:rsidRPr="004F469F">
              <w:rPr>
                <w:sz w:val="20"/>
                <w:szCs w:val="20"/>
              </w:rPr>
              <w:t>55,247</w:t>
            </w:r>
          </w:p>
        </w:tc>
      </w:tr>
      <w:tr w:rsidR="00D90A51" w:rsidRPr="004F469F" w14:paraId="6F4D16E3" w14:textId="77777777" w:rsidTr="00D90A51">
        <w:trPr>
          <w:trHeight w:val="320"/>
        </w:trPr>
        <w:tc>
          <w:tcPr>
            <w:tcW w:w="0" w:type="auto"/>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19548E67" w14:textId="77777777" w:rsidR="00D90A51" w:rsidRPr="004F469F" w:rsidRDefault="00D90A51" w:rsidP="00D90A51">
            <w:pPr>
              <w:jc w:val="center"/>
              <w:rPr>
                <w:sz w:val="20"/>
                <w:szCs w:val="20"/>
              </w:rPr>
            </w:pPr>
            <w:r w:rsidRPr="004F469F">
              <w:rPr>
                <w:sz w:val="20"/>
                <w:szCs w:val="20"/>
              </w:rPr>
              <w:t>20 May 2013</w:t>
            </w:r>
          </w:p>
        </w:tc>
        <w:tc>
          <w:tcPr>
            <w:tcW w:w="0" w:type="auto"/>
            <w:tcBorders>
              <w:top w:val="nil"/>
              <w:left w:val="nil"/>
              <w:bottom w:val="single" w:sz="4" w:space="0" w:color="auto"/>
              <w:right w:val="single" w:sz="4" w:space="0" w:color="auto"/>
            </w:tcBorders>
            <w:shd w:val="clear" w:color="auto" w:fill="auto"/>
            <w:noWrap/>
            <w:vAlign w:val="center"/>
            <w:hideMark/>
          </w:tcPr>
          <w:p w14:paraId="5BE7C4E1" w14:textId="77777777" w:rsidR="00D90A51" w:rsidRPr="004F469F" w:rsidRDefault="00D90A51" w:rsidP="00D90A51">
            <w:pPr>
              <w:jc w:val="center"/>
              <w:rPr>
                <w:i/>
                <w:iCs/>
                <w:sz w:val="20"/>
                <w:szCs w:val="20"/>
              </w:rPr>
            </w:pPr>
            <w:r w:rsidRPr="004F469F">
              <w:rPr>
                <w:i/>
                <w:iCs/>
                <w:sz w:val="20"/>
                <w:szCs w:val="20"/>
              </w:rPr>
              <w:t>All</w:t>
            </w:r>
          </w:p>
        </w:tc>
        <w:tc>
          <w:tcPr>
            <w:tcW w:w="0" w:type="auto"/>
            <w:tcBorders>
              <w:top w:val="nil"/>
              <w:left w:val="nil"/>
              <w:bottom w:val="single" w:sz="4" w:space="0" w:color="auto"/>
              <w:right w:val="single" w:sz="4" w:space="0" w:color="auto"/>
            </w:tcBorders>
            <w:shd w:val="clear" w:color="auto" w:fill="auto"/>
            <w:noWrap/>
            <w:vAlign w:val="center"/>
            <w:hideMark/>
          </w:tcPr>
          <w:p w14:paraId="6578E62B" w14:textId="7174821A" w:rsidR="00D90A51" w:rsidRPr="004F469F" w:rsidRDefault="00D90A51" w:rsidP="00D90A51">
            <w:pPr>
              <w:jc w:val="center"/>
              <w:rPr>
                <w:sz w:val="20"/>
                <w:szCs w:val="20"/>
              </w:rPr>
            </w:pPr>
            <w:r w:rsidRPr="004F469F">
              <w:rPr>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6A22F82E" w14:textId="087E97D9" w:rsidR="00D90A51" w:rsidRPr="004F469F" w:rsidRDefault="00D90A51" w:rsidP="00D90A51">
            <w:pPr>
              <w:jc w:val="center"/>
              <w:rPr>
                <w:sz w:val="20"/>
                <w:szCs w:val="20"/>
              </w:rPr>
            </w:pPr>
            <w:r w:rsidRPr="004F469F">
              <w:rPr>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5A97E084" w14:textId="7873C95D" w:rsidR="00D90A51" w:rsidRPr="004F469F" w:rsidRDefault="00D90A51" w:rsidP="00D90A51">
            <w:pPr>
              <w:jc w:val="center"/>
              <w:rPr>
                <w:sz w:val="20"/>
                <w:szCs w:val="20"/>
              </w:rPr>
            </w:pPr>
            <w:r w:rsidRPr="004F469F">
              <w:rPr>
                <w:sz w:val="20"/>
                <w:szCs w:val="20"/>
              </w:rPr>
              <w:t>72</w:t>
            </w:r>
          </w:p>
        </w:tc>
        <w:tc>
          <w:tcPr>
            <w:tcW w:w="0" w:type="auto"/>
            <w:tcBorders>
              <w:top w:val="nil"/>
              <w:left w:val="nil"/>
              <w:bottom w:val="single" w:sz="4" w:space="0" w:color="auto"/>
              <w:right w:val="single" w:sz="4" w:space="0" w:color="auto"/>
            </w:tcBorders>
            <w:shd w:val="clear" w:color="auto" w:fill="auto"/>
            <w:noWrap/>
            <w:vAlign w:val="center"/>
            <w:hideMark/>
          </w:tcPr>
          <w:p w14:paraId="0F8CFFB3" w14:textId="3AD22A0D" w:rsidR="00D90A51" w:rsidRPr="004F469F" w:rsidRDefault="00D90A51" w:rsidP="00D90A51">
            <w:pPr>
              <w:jc w:val="center"/>
              <w:rPr>
                <w:sz w:val="20"/>
                <w:szCs w:val="20"/>
              </w:rPr>
            </w:pPr>
            <w:r w:rsidRPr="004F469F">
              <w:rPr>
                <w:sz w:val="20"/>
                <w:szCs w:val="20"/>
              </w:rPr>
              <w:t>34</w:t>
            </w:r>
          </w:p>
        </w:tc>
        <w:tc>
          <w:tcPr>
            <w:tcW w:w="0" w:type="auto"/>
            <w:tcBorders>
              <w:top w:val="nil"/>
              <w:left w:val="nil"/>
              <w:bottom w:val="single" w:sz="4" w:space="0" w:color="auto"/>
              <w:right w:val="single" w:sz="4" w:space="0" w:color="auto"/>
            </w:tcBorders>
            <w:shd w:val="clear" w:color="auto" w:fill="auto"/>
            <w:noWrap/>
            <w:vAlign w:val="center"/>
            <w:hideMark/>
          </w:tcPr>
          <w:p w14:paraId="2F3A1E0A" w14:textId="4E3D0E17" w:rsidR="00D90A51" w:rsidRPr="004F469F" w:rsidRDefault="00D90A51" w:rsidP="00D90A51">
            <w:pPr>
              <w:jc w:val="center"/>
              <w:rPr>
                <w:sz w:val="20"/>
                <w:szCs w:val="20"/>
              </w:rPr>
            </w:pPr>
            <w:r w:rsidRPr="004F469F">
              <w:rPr>
                <w:sz w:val="20"/>
                <w:szCs w:val="20"/>
              </w:rPr>
              <w:t>652</w:t>
            </w:r>
          </w:p>
        </w:tc>
        <w:tc>
          <w:tcPr>
            <w:tcW w:w="0" w:type="auto"/>
            <w:tcBorders>
              <w:top w:val="nil"/>
              <w:left w:val="nil"/>
              <w:bottom w:val="single" w:sz="4" w:space="0" w:color="auto"/>
              <w:right w:val="single" w:sz="4" w:space="0" w:color="auto"/>
            </w:tcBorders>
            <w:shd w:val="clear" w:color="auto" w:fill="auto"/>
            <w:noWrap/>
            <w:vAlign w:val="center"/>
            <w:hideMark/>
          </w:tcPr>
          <w:p w14:paraId="639F3F52" w14:textId="4EB62806" w:rsidR="00D90A51" w:rsidRPr="004F469F" w:rsidRDefault="00D90A51" w:rsidP="00D90A51">
            <w:pPr>
              <w:jc w:val="center"/>
              <w:rPr>
                <w:sz w:val="20"/>
                <w:szCs w:val="20"/>
              </w:rPr>
            </w:pPr>
            <w:r w:rsidRPr="004F469F">
              <w:rPr>
                <w:sz w:val="20"/>
                <w:szCs w:val="20"/>
              </w:rPr>
              <w:t>77,381</w:t>
            </w:r>
          </w:p>
        </w:tc>
      </w:tr>
      <w:tr w:rsidR="00D90A51" w:rsidRPr="004F469F" w14:paraId="160B9846" w14:textId="77777777" w:rsidTr="00D90A51">
        <w:trPr>
          <w:trHeight w:val="32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7B73E418"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80260A2" w14:textId="77777777" w:rsidR="00D90A51" w:rsidRPr="004F469F" w:rsidRDefault="00D90A51" w:rsidP="00D90A51">
            <w:pPr>
              <w:jc w:val="center"/>
              <w:rPr>
                <w:i/>
                <w:iCs/>
                <w:sz w:val="20"/>
                <w:szCs w:val="20"/>
              </w:rPr>
            </w:pPr>
            <w:r w:rsidRPr="004F469F">
              <w:rPr>
                <w:i/>
                <w:iCs/>
                <w:sz w:val="20"/>
                <w:szCs w:val="20"/>
              </w:rPr>
              <w:t>Significant (EF2+)</w:t>
            </w:r>
          </w:p>
        </w:tc>
        <w:tc>
          <w:tcPr>
            <w:tcW w:w="0" w:type="auto"/>
            <w:tcBorders>
              <w:top w:val="nil"/>
              <w:left w:val="nil"/>
              <w:bottom w:val="single" w:sz="4" w:space="0" w:color="auto"/>
              <w:right w:val="single" w:sz="4" w:space="0" w:color="auto"/>
            </w:tcBorders>
            <w:shd w:val="clear" w:color="auto" w:fill="auto"/>
            <w:noWrap/>
            <w:vAlign w:val="center"/>
            <w:hideMark/>
          </w:tcPr>
          <w:p w14:paraId="7E4200B0" w14:textId="761B6BA3" w:rsidR="00D90A51" w:rsidRPr="004F469F" w:rsidRDefault="00D90A51" w:rsidP="00D90A51">
            <w:pPr>
              <w:jc w:val="center"/>
              <w:rPr>
                <w:sz w:val="20"/>
                <w:szCs w:val="20"/>
              </w:rPr>
            </w:pPr>
            <w:r w:rsidRPr="004F469F">
              <w:rPr>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452157F9" w14:textId="54978016" w:rsidR="00D90A51" w:rsidRPr="004F469F" w:rsidRDefault="00D90A51" w:rsidP="00D90A51">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2B38C4FF" w14:textId="1C6B71FD" w:rsidR="00D90A51" w:rsidRPr="004F469F" w:rsidRDefault="00D90A51" w:rsidP="00D90A51">
            <w:pPr>
              <w:jc w:val="center"/>
              <w:rPr>
                <w:sz w:val="20"/>
                <w:szCs w:val="20"/>
              </w:rPr>
            </w:pPr>
            <w:r w:rsidRPr="004F469F">
              <w:rPr>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3BEA46CD" w14:textId="1CE2996B" w:rsidR="00D90A51" w:rsidRPr="004F469F" w:rsidRDefault="00D90A51" w:rsidP="00D90A51">
            <w:pPr>
              <w:jc w:val="center"/>
              <w:rPr>
                <w:sz w:val="20"/>
                <w:szCs w:val="20"/>
              </w:rPr>
            </w:pPr>
            <w:r w:rsidRPr="004F469F">
              <w:rPr>
                <w:sz w:val="20"/>
                <w:szCs w:val="20"/>
              </w:rPr>
              <w:t>106</w:t>
            </w:r>
          </w:p>
        </w:tc>
        <w:tc>
          <w:tcPr>
            <w:tcW w:w="0" w:type="auto"/>
            <w:tcBorders>
              <w:top w:val="nil"/>
              <w:left w:val="nil"/>
              <w:bottom w:val="single" w:sz="4" w:space="0" w:color="auto"/>
              <w:right w:val="single" w:sz="4" w:space="0" w:color="auto"/>
            </w:tcBorders>
            <w:shd w:val="clear" w:color="auto" w:fill="auto"/>
            <w:noWrap/>
            <w:vAlign w:val="center"/>
            <w:hideMark/>
          </w:tcPr>
          <w:p w14:paraId="25AAE9FC" w14:textId="5A513DFC" w:rsidR="00D90A51" w:rsidRPr="004F469F" w:rsidRDefault="00D90A51" w:rsidP="00D90A51">
            <w:pPr>
              <w:jc w:val="center"/>
              <w:rPr>
                <w:sz w:val="20"/>
                <w:szCs w:val="20"/>
              </w:rPr>
            </w:pPr>
            <w:r w:rsidRPr="004F469F">
              <w:rPr>
                <w:sz w:val="20"/>
                <w:szCs w:val="20"/>
              </w:rPr>
              <w:t>889</w:t>
            </w:r>
          </w:p>
        </w:tc>
        <w:tc>
          <w:tcPr>
            <w:tcW w:w="0" w:type="auto"/>
            <w:tcBorders>
              <w:top w:val="nil"/>
              <w:left w:val="nil"/>
              <w:bottom w:val="single" w:sz="4" w:space="0" w:color="auto"/>
              <w:right w:val="single" w:sz="4" w:space="0" w:color="auto"/>
            </w:tcBorders>
            <w:shd w:val="clear" w:color="auto" w:fill="auto"/>
            <w:noWrap/>
            <w:vAlign w:val="center"/>
            <w:hideMark/>
          </w:tcPr>
          <w:p w14:paraId="28DF3546" w14:textId="65DB1E6E" w:rsidR="00D90A51" w:rsidRPr="004F469F" w:rsidRDefault="00D90A51" w:rsidP="00D90A51">
            <w:pPr>
              <w:jc w:val="center"/>
              <w:rPr>
                <w:sz w:val="20"/>
                <w:szCs w:val="20"/>
              </w:rPr>
            </w:pPr>
            <w:r w:rsidRPr="004F469F">
              <w:rPr>
                <w:sz w:val="20"/>
                <w:szCs w:val="20"/>
              </w:rPr>
              <w:t>77,367</w:t>
            </w:r>
          </w:p>
        </w:tc>
      </w:tr>
      <w:tr w:rsidR="00D90A51" w:rsidRPr="004F469F" w14:paraId="768046D8" w14:textId="77777777" w:rsidTr="00D90A51">
        <w:trPr>
          <w:trHeight w:val="320"/>
        </w:trPr>
        <w:tc>
          <w:tcPr>
            <w:tcW w:w="0" w:type="auto"/>
            <w:vMerge/>
            <w:tcBorders>
              <w:top w:val="single" w:sz="4" w:space="0" w:color="000000"/>
              <w:left w:val="single" w:sz="4" w:space="0" w:color="auto"/>
              <w:bottom w:val="single" w:sz="4" w:space="0" w:color="auto"/>
              <w:right w:val="single" w:sz="4" w:space="0" w:color="auto"/>
            </w:tcBorders>
            <w:vAlign w:val="center"/>
            <w:hideMark/>
          </w:tcPr>
          <w:p w14:paraId="55DD60BD" w14:textId="77777777" w:rsidR="00D90A51" w:rsidRPr="004F469F" w:rsidRDefault="00D90A51" w:rsidP="00D90A51">
            <w:pPr>
              <w:jc w:val="center"/>
              <w:rPr>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28D50C0D" w14:textId="77777777" w:rsidR="00D90A51" w:rsidRPr="004F469F" w:rsidRDefault="00D90A51" w:rsidP="00D90A51">
            <w:pPr>
              <w:jc w:val="center"/>
              <w:rPr>
                <w:i/>
                <w:iCs/>
                <w:sz w:val="20"/>
                <w:szCs w:val="20"/>
              </w:rPr>
            </w:pPr>
            <w:r w:rsidRPr="004F469F">
              <w:rPr>
                <w:i/>
                <w:iCs/>
                <w:sz w:val="20"/>
                <w:szCs w:val="20"/>
              </w:rPr>
              <w:t>Violent (EF4+)</w:t>
            </w:r>
          </w:p>
        </w:tc>
        <w:tc>
          <w:tcPr>
            <w:tcW w:w="0" w:type="auto"/>
            <w:tcBorders>
              <w:top w:val="nil"/>
              <w:left w:val="nil"/>
              <w:bottom w:val="single" w:sz="4" w:space="0" w:color="auto"/>
              <w:right w:val="single" w:sz="4" w:space="0" w:color="auto"/>
            </w:tcBorders>
            <w:shd w:val="clear" w:color="auto" w:fill="auto"/>
            <w:noWrap/>
            <w:vAlign w:val="center"/>
            <w:hideMark/>
          </w:tcPr>
          <w:p w14:paraId="103C1CF3" w14:textId="4E5218D8"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6D2F6207" w14:textId="330E57DB" w:rsidR="00D90A51" w:rsidRPr="004F469F" w:rsidRDefault="00D90A51" w:rsidP="00D90A51">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4DD098E2" w14:textId="5508E5F4" w:rsidR="00D90A51" w:rsidRPr="004F469F" w:rsidRDefault="00D90A51" w:rsidP="00D90A51">
            <w:pPr>
              <w:jc w:val="center"/>
              <w:rPr>
                <w:sz w:val="20"/>
                <w:szCs w:val="20"/>
              </w:rPr>
            </w:pPr>
            <w:r w:rsidRPr="004F469F">
              <w:rPr>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5685F722" w14:textId="7156E57C" w:rsidR="00D90A51" w:rsidRPr="004F469F" w:rsidRDefault="00D90A51" w:rsidP="00D90A51">
            <w:pPr>
              <w:jc w:val="center"/>
              <w:rPr>
                <w:sz w:val="20"/>
                <w:szCs w:val="20"/>
              </w:rPr>
            </w:pPr>
            <w:r w:rsidRPr="004F469F">
              <w:rPr>
                <w:sz w:val="20"/>
                <w:szCs w:val="20"/>
              </w:rPr>
              <w:t>272</w:t>
            </w:r>
          </w:p>
        </w:tc>
        <w:tc>
          <w:tcPr>
            <w:tcW w:w="0" w:type="auto"/>
            <w:tcBorders>
              <w:top w:val="nil"/>
              <w:left w:val="nil"/>
              <w:bottom w:val="single" w:sz="4" w:space="0" w:color="auto"/>
              <w:right w:val="single" w:sz="4" w:space="0" w:color="auto"/>
            </w:tcBorders>
            <w:shd w:val="clear" w:color="auto" w:fill="auto"/>
            <w:noWrap/>
            <w:vAlign w:val="center"/>
            <w:hideMark/>
          </w:tcPr>
          <w:p w14:paraId="6C66B5CE" w14:textId="23042D80" w:rsidR="00D90A51" w:rsidRPr="004F469F" w:rsidRDefault="00D90A51" w:rsidP="00D90A51">
            <w:pPr>
              <w:jc w:val="center"/>
              <w:rPr>
                <w:sz w:val="20"/>
                <w:szCs w:val="20"/>
              </w:rPr>
            </w:pPr>
            <w:r w:rsidRPr="004F469F">
              <w:rPr>
                <w:sz w:val="20"/>
                <w:szCs w:val="20"/>
              </w:rPr>
              <w:t>1,355</w:t>
            </w:r>
          </w:p>
        </w:tc>
        <w:tc>
          <w:tcPr>
            <w:tcW w:w="0" w:type="auto"/>
            <w:tcBorders>
              <w:top w:val="nil"/>
              <w:left w:val="nil"/>
              <w:bottom w:val="single" w:sz="4" w:space="0" w:color="auto"/>
              <w:right w:val="single" w:sz="4" w:space="0" w:color="auto"/>
            </w:tcBorders>
            <w:shd w:val="clear" w:color="auto" w:fill="auto"/>
            <w:noWrap/>
            <w:vAlign w:val="center"/>
            <w:hideMark/>
          </w:tcPr>
          <w:p w14:paraId="3B59939A" w14:textId="5CA10175" w:rsidR="00D90A51" w:rsidRPr="004F469F" w:rsidRDefault="00D90A51" w:rsidP="00D90A51">
            <w:pPr>
              <w:jc w:val="center"/>
              <w:rPr>
                <w:sz w:val="20"/>
                <w:szCs w:val="20"/>
              </w:rPr>
            </w:pPr>
            <w:r w:rsidRPr="004F469F">
              <w:rPr>
                <w:sz w:val="20"/>
                <w:szCs w:val="20"/>
              </w:rPr>
              <w:t>77,367</w:t>
            </w:r>
          </w:p>
        </w:tc>
      </w:tr>
    </w:tbl>
    <w:p w14:paraId="6A540721" w14:textId="77777777" w:rsidR="00A4283D" w:rsidRPr="004F469F" w:rsidRDefault="00A4283D" w:rsidP="00C645E5">
      <w:pPr>
        <w:spacing w:after="120" w:line="480" w:lineRule="auto"/>
        <w:rPr>
          <w:sz w:val="20"/>
          <w:szCs w:val="20"/>
        </w:rPr>
      </w:pPr>
    </w:p>
    <w:p w14:paraId="260D2D73" w14:textId="77777777" w:rsidR="00B11AB4" w:rsidRPr="004F469F" w:rsidRDefault="00B11AB4" w:rsidP="00B11AB4">
      <w:pPr>
        <w:keepNext/>
        <w:widowControl w:val="0"/>
        <w:autoSpaceDE w:val="0"/>
        <w:autoSpaceDN w:val="0"/>
        <w:adjustRightInd w:val="0"/>
        <w:spacing w:line="480" w:lineRule="auto"/>
        <w:ind w:left="480" w:hanging="480"/>
        <w:rPr>
          <w:sz w:val="20"/>
          <w:szCs w:val="20"/>
        </w:rPr>
      </w:pPr>
      <w:r w:rsidRPr="004F469F">
        <w:rPr>
          <w:noProof/>
          <w:sz w:val="20"/>
          <w:szCs w:val="20"/>
        </w:rPr>
        <w:lastRenderedPageBreak/>
        <w:drawing>
          <wp:inline distT="0" distB="0" distL="0" distR="0" wp14:anchorId="3823258C" wp14:editId="3764331E">
            <wp:extent cx="4687486" cy="625647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rDIS_Flowchart_20190410.pdf"/>
                    <pic:cNvPicPr/>
                  </pic:nvPicPr>
                  <pic:blipFill>
                    <a:blip r:embed="rId22">
                      <a:extLst>
                        <a:ext uri="{28A0092B-C50C-407E-A947-70E740481C1C}">
                          <a14:useLocalDpi xmlns:a14="http://schemas.microsoft.com/office/drawing/2010/main" val="0"/>
                        </a:ext>
                      </a:extLst>
                    </a:blip>
                    <a:stretch>
                      <a:fillRect/>
                    </a:stretch>
                  </pic:blipFill>
                  <pic:spPr>
                    <a:xfrm>
                      <a:off x="0" y="0"/>
                      <a:ext cx="4687486" cy="6256478"/>
                    </a:xfrm>
                    <a:prstGeom prst="rect">
                      <a:avLst/>
                    </a:prstGeom>
                  </pic:spPr>
                </pic:pic>
              </a:graphicData>
            </a:graphic>
          </wp:inline>
        </w:drawing>
      </w:r>
    </w:p>
    <w:p w14:paraId="595EE0F6" w14:textId="0576CF22" w:rsidR="00B11AB4" w:rsidRPr="004F469F" w:rsidRDefault="00B11AB4" w:rsidP="00B11AB4">
      <w:pPr>
        <w:pStyle w:val="Caption"/>
        <w:rPr>
          <w:rFonts w:ascii="Times New Roman" w:hAnsi="Times New Roman" w:cs="Times New Roman"/>
          <w:i w:val="0"/>
          <w:iCs w:val="0"/>
          <w:noProof/>
          <w:color w:val="auto"/>
          <w:sz w:val="24"/>
          <w:szCs w:val="24"/>
        </w:rPr>
      </w:pPr>
      <w:bookmarkStart w:id="71" w:name="_Toc22035195"/>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noProof/>
          <w:color w:val="auto"/>
          <w:sz w:val="24"/>
          <w:szCs w:val="24"/>
        </w:rPr>
        <w:t xml:space="preserve">. Tornado Daily Impacts Simulator (TorDIS) model flow chart. Rhombus shapes represent model input, squares represent model processes, rounded rectangles represent model decisions, and the oval represents the model output. Modelled after Figure 1 in Strader </w:t>
      </w:r>
      <w:r w:rsidRPr="00453357">
        <w:rPr>
          <w:rFonts w:ascii="Times New Roman" w:hAnsi="Times New Roman" w:cs="Times New Roman"/>
          <w:noProof/>
          <w:color w:val="auto"/>
          <w:sz w:val="24"/>
          <w:szCs w:val="24"/>
        </w:rPr>
        <w:t>et al.</w:t>
      </w:r>
      <w:r w:rsidRPr="004F469F">
        <w:rPr>
          <w:rFonts w:ascii="Times New Roman" w:hAnsi="Times New Roman" w:cs="Times New Roman"/>
          <w:i w:val="0"/>
          <w:iCs w:val="0"/>
          <w:noProof/>
          <w:color w:val="auto"/>
          <w:sz w:val="24"/>
          <w:szCs w:val="24"/>
        </w:rPr>
        <w:t xml:space="preserve"> </w:t>
      </w:r>
      <w:r w:rsidRPr="004F469F">
        <w:rPr>
          <w:rFonts w:ascii="Times New Roman" w:hAnsi="Times New Roman" w:cs="Times New Roman"/>
          <w:i w:val="0"/>
          <w:iCs w:val="0"/>
          <w:noProof/>
          <w:color w:val="auto"/>
          <w:sz w:val="24"/>
          <w:szCs w:val="24"/>
        </w:rPr>
        <w:fldChar w:fldCharType="begin" w:fldLock="1"/>
      </w:r>
      <w:r w:rsidRPr="004F469F">
        <w:rPr>
          <w:rFonts w:ascii="Times New Roman" w:hAnsi="Times New Roman" w:cs="Times New Roman"/>
          <w:i w:val="0"/>
          <w:iCs w:val="0"/>
          <w:noProof/>
          <w:color w:val="auto"/>
          <w:sz w:val="24"/>
          <w:szCs w:val="24"/>
        </w:rPr>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rPr>
          <w:rFonts w:ascii="Times New Roman" w:hAnsi="Times New Roman" w:cs="Times New Roman"/>
          <w:i w:val="0"/>
          <w:iCs w:val="0"/>
          <w:noProof/>
          <w:color w:val="auto"/>
          <w:sz w:val="24"/>
          <w:szCs w:val="24"/>
        </w:rPr>
        <w:fldChar w:fldCharType="separate"/>
      </w:r>
      <w:r w:rsidRPr="004F469F">
        <w:rPr>
          <w:rFonts w:ascii="Times New Roman" w:hAnsi="Times New Roman" w:cs="Times New Roman"/>
          <w:i w:val="0"/>
          <w:iCs w:val="0"/>
          <w:noProof/>
          <w:color w:val="auto"/>
          <w:sz w:val="24"/>
          <w:szCs w:val="24"/>
        </w:rPr>
        <w:t>(2016)</w:t>
      </w:r>
      <w:r w:rsidRPr="004F469F">
        <w:rPr>
          <w:rFonts w:ascii="Times New Roman" w:hAnsi="Times New Roman" w:cs="Times New Roman"/>
          <w:i w:val="0"/>
          <w:iCs w:val="0"/>
          <w:noProof/>
          <w:color w:val="auto"/>
          <w:sz w:val="24"/>
          <w:szCs w:val="24"/>
        </w:rPr>
        <w:fldChar w:fldCharType="end"/>
      </w:r>
      <w:r w:rsidRPr="004F469F">
        <w:rPr>
          <w:rFonts w:ascii="Times New Roman" w:hAnsi="Times New Roman" w:cs="Times New Roman"/>
          <w:i w:val="0"/>
          <w:iCs w:val="0"/>
          <w:noProof/>
          <w:color w:val="auto"/>
          <w:sz w:val="24"/>
          <w:szCs w:val="24"/>
        </w:rPr>
        <w:t xml:space="preserve"> for comparison.</w:t>
      </w:r>
      <w:bookmarkEnd w:id="71"/>
    </w:p>
    <w:p w14:paraId="27E9237F" w14:textId="77777777" w:rsidR="00B11AB4" w:rsidRPr="004F469F" w:rsidRDefault="00B11AB4" w:rsidP="00B11AB4">
      <w:pPr>
        <w:widowControl w:val="0"/>
        <w:autoSpaceDE w:val="0"/>
        <w:autoSpaceDN w:val="0"/>
        <w:adjustRightInd w:val="0"/>
        <w:rPr>
          <w:sz w:val="20"/>
          <w:szCs w:val="20"/>
        </w:rPr>
      </w:pPr>
    </w:p>
    <w:p w14:paraId="360388B8" w14:textId="77777777" w:rsidR="00B11AB4" w:rsidRPr="004F469F" w:rsidRDefault="00B11AB4" w:rsidP="00B11AB4">
      <w:pPr>
        <w:widowControl w:val="0"/>
        <w:autoSpaceDE w:val="0"/>
        <w:autoSpaceDN w:val="0"/>
        <w:adjustRightInd w:val="0"/>
        <w:rPr>
          <w:sz w:val="20"/>
          <w:szCs w:val="20"/>
        </w:rPr>
      </w:pPr>
    </w:p>
    <w:p w14:paraId="282FE18A" w14:textId="77777777" w:rsidR="00B11AB4" w:rsidRPr="004F469F" w:rsidRDefault="00B11AB4" w:rsidP="00B11AB4">
      <w:pPr>
        <w:keepNext/>
        <w:widowControl w:val="0"/>
        <w:autoSpaceDE w:val="0"/>
        <w:autoSpaceDN w:val="0"/>
        <w:adjustRightInd w:val="0"/>
        <w:spacing w:line="480" w:lineRule="auto"/>
        <w:ind w:left="480" w:hanging="480"/>
        <w:rPr>
          <w:sz w:val="20"/>
          <w:szCs w:val="20"/>
        </w:rPr>
      </w:pPr>
      <w:r w:rsidRPr="004F469F">
        <w:rPr>
          <w:noProof/>
          <w:sz w:val="20"/>
          <w:szCs w:val="20"/>
        </w:rPr>
        <w:lastRenderedPageBreak/>
        <w:drawing>
          <wp:inline distT="0" distB="0" distL="0" distR="0" wp14:anchorId="1A09D5C6" wp14:editId="065AD889">
            <wp:extent cx="5943600" cy="459278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main_Map.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4592781"/>
                    </a:xfrm>
                    <a:prstGeom prst="rect">
                      <a:avLst/>
                    </a:prstGeom>
                  </pic:spPr>
                </pic:pic>
              </a:graphicData>
            </a:graphic>
          </wp:inline>
        </w:drawing>
      </w:r>
    </w:p>
    <w:p w14:paraId="19BA39CE" w14:textId="3B64B8CC" w:rsidR="00B11AB4" w:rsidRPr="004F469F" w:rsidRDefault="00B11AB4" w:rsidP="00B11AB4">
      <w:pPr>
        <w:pStyle w:val="Caption"/>
        <w:rPr>
          <w:rFonts w:ascii="Times New Roman" w:hAnsi="Times New Roman" w:cs="Times New Roman"/>
          <w:i w:val="0"/>
          <w:iCs w:val="0"/>
          <w:color w:val="auto"/>
          <w:sz w:val="24"/>
          <w:szCs w:val="24"/>
        </w:rPr>
      </w:pPr>
      <w:bookmarkStart w:id="72" w:name="_Toc22035196"/>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Population for major cities within the model domain. The dashed line refers to the maximum study area size for a model run assuming a 50 km buffer to reduce edge effects.</w:t>
      </w:r>
      <w:bookmarkEnd w:id="72"/>
    </w:p>
    <w:p w14:paraId="184855A0" w14:textId="77777777" w:rsidR="00B11AB4" w:rsidRPr="004F469F" w:rsidRDefault="00B11AB4" w:rsidP="00B11AB4">
      <w:pPr>
        <w:widowControl w:val="0"/>
        <w:autoSpaceDE w:val="0"/>
        <w:autoSpaceDN w:val="0"/>
        <w:adjustRightInd w:val="0"/>
        <w:spacing w:line="480" w:lineRule="auto"/>
        <w:ind w:left="480" w:hanging="480"/>
        <w:rPr>
          <w:noProof/>
          <w:sz w:val="20"/>
          <w:szCs w:val="20"/>
        </w:rPr>
      </w:pPr>
    </w:p>
    <w:p w14:paraId="2A09A109" w14:textId="77777777" w:rsidR="00B11AB4" w:rsidRPr="004F469F" w:rsidRDefault="00B11AB4" w:rsidP="00B11AB4">
      <w:pPr>
        <w:widowControl w:val="0"/>
        <w:autoSpaceDE w:val="0"/>
        <w:autoSpaceDN w:val="0"/>
        <w:adjustRightInd w:val="0"/>
        <w:spacing w:line="480" w:lineRule="auto"/>
        <w:ind w:left="480" w:hanging="480"/>
        <w:rPr>
          <w:noProof/>
          <w:sz w:val="20"/>
          <w:szCs w:val="20"/>
        </w:rPr>
      </w:pPr>
    </w:p>
    <w:p w14:paraId="4E739BCD" w14:textId="77777777" w:rsidR="00B11AB4" w:rsidRPr="004F469F" w:rsidRDefault="00B11AB4" w:rsidP="00B11AB4">
      <w:pPr>
        <w:widowControl w:val="0"/>
        <w:autoSpaceDE w:val="0"/>
        <w:autoSpaceDN w:val="0"/>
        <w:adjustRightInd w:val="0"/>
        <w:spacing w:line="480" w:lineRule="auto"/>
        <w:ind w:left="480" w:hanging="480"/>
        <w:rPr>
          <w:noProof/>
          <w:sz w:val="20"/>
          <w:szCs w:val="20"/>
        </w:rPr>
      </w:pPr>
    </w:p>
    <w:p w14:paraId="442CF6E4" w14:textId="77777777" w:rsidR="00B11AB4" w:rsidRPr="004F469F" w:rsidRDefault="00B11AB4" w:rsidP="00B11AB4">
      <w:pPr>
        <w:widowControl w:val="0"/>
        <w:autoSpaceDE w:val="0"/>
        <w:autoSpaceDN w:val="0"/>
        <w:adjustRightInd w:val="0"/>
        <w:spacing w:line="480" w:lineRule="auto"/>
        <w:ind w:left="480" w:hanging="480"/>
        <w:rPr>
          <w:noProof/>
          <w:sz w:val="20"/>
          <w:szCs w:val="20"/>
        </w:rPr>
      </w:pPr>
    </w:p>
    <w:p w14:paraId="0C08667E" w14:textId="77777777" w:rsidR="00B11AB4" w:rsidRPr="004F469F" w:rsidRDefault="00B11AB4" w:rsidP="00B11AB4">
      <w:pPr>
        <w:widowControl w:val="0"/>
        <w:autoSpaceDE w:val="0"/>
        <w:autoSpaceDN w:val="0"/>
        <w:adjustRightInd w:val="0"/>
        <w:rPr>
          <w:noProof/>
          <w:sz w:val="20"/>
          <w:szCs w:val="20"/>
        </w:rPr>
      </w:pPr>
    </w:p>
    <w:p w14:paraId="3950A533" w14:textId="77777777" w:rsidR="00B11AB4" w:rsidRPr="004F469F" w:rsidRDefault="00B11AB4" w:rsidP="00B11AB4">
      <w:pPr>
        <w:widowControl w:val="0"/>
        <w:autoSpaceDE w:val="0"/>
        <w:autoSpaceDN w:val="0"/>
        <w:adjustRightInd w:val="0"/>
        <w:rPr>
          <w:noProof/>
          <w:sz w:val="20"/>
          <w:szCs w:val="20"/>
        </w:rPr>
      </w:pPr>
    </w:p>
    <w:p w14:paraId="65DE5C8F" w14:textId="77777777" w:rsidR="00B11AB4" w:rsidRPr="004F469F" w:rsidRDefault="00B11AB4" w:rsidP="00B11AB4">
      <w:pPr>
        <w:widowControl w:val="0"/>
        <w:autoSpaceDE w:val="0"/>
        <w:autoSpaceDN w:val="0"/>
        <w:adjustRightInd w:val="0"/>
        <w:rPr>
          <w:noProof/>
          <w:sz w:val="20"/>
          <w:szCs w:val="20"/>
        </w:rPr>
      </w:pPr>
    </w:p>
    <w:p w14:paraId="1E91BB49" w14:textId="77777777" w:rsidR="00B11AB4" w:rsidRPr="004F469F" w:rsidRDefault="00B11AB4" w:rsidP="00B11AB4">
      <w:pPr>
        <w:widowControl w:val="0"/>
        <w:autoSpaceDE w:val="0"/>
        <w:autoSpaceDN w:val="0"/>
        <w:adjustRightInd w:val="0"/>
        <w:rPr>
          <w:noProof/>
          <w:sz w:val="20"/>
          <w:szCs w:val="20"/>
        </w:rPr>
      </w:pPr>
    </w:p>
    <w:p w14:paraId="57CA911F" w14:textId="77777777" w:rsidR="00B11AB4" w:rsidRPr="004F469F" w:rsidRDefault="00B11AB4" w:rsidP="00B11AB4">
      <w:pPr>
        <w:widowControl w:val="0"/>
        <w:autoSpaceDE w:val="0"/>
        <w:autoSpaceDN w:val="0"/>
        <w:adjustRightInd w:val="0"/>
        <w:rPr>
          <w:noProof/>
          <w:sz w:val="20"/>
          <w:szCs w:val="20"/>
        </w:rPr>
      </w:pPr>
    </w:p>
    <w:p w14:paraId="112E358B" w14:textId="77777777" w:rsidR="00B11AB4" w:rsidRPr="004F469F" w:rsidRDefault="00B11AB4" w:rsidP="00B11AB4">
      <w:pPr>
        <w:widowControl w:val="0"/>
        <w:autoSpaceDE w:val="0"/>
        <w:autoSpaceDN w:val="0"/>
        <w:adjustRightInd w:val="0"/>
        <w:rPr>
          <w:noProof/>
          <w:sz w:val="20"/>
          <w:szCs w:val="20"/>
        </w:rPr>
      </w:pPr>
    </w:p>
    <w:p w14:paraId="34C8E2D3" w14:textId="77777777" w:rsidR="00B11AB4" w:rsidRPr="004F469F" w:rsidRDefault="00B11AB4" w:rsidP="00B11AB4">
      <w:pPr>
        <w:widowControl w:val="0"/>
        <w:autoSpaceDE w:val="0"/>
        <w:autoSpaceDN w:val="0"/>
        <w:adjustRightInd w:val="0"/>
        <w:rPr>
          <w:sz w:val="20"/>
          <w:szCs w:val="20"/>
        </w:rPr>
      </w:pPr>
    </w:p>
    <w:p w14:paraId="19B27D84" w14:textId="77777777" w:rsidR="00B11AB4" w:rsidRPr="004F469F" w:rsidRDefault="00B11AB4" w:rsidP="00B11AB4">
      <w:pPr>
        <w:widowControl w:val="0"/>
        <w:autoSpaceDE w:val="0"/>
        <w:autoSpaceDN w:val="0"/>
        <w:adjustRightInd w:val="0"/>
        <w:rPr>
          <w:sz w:val="20"/>
          <w:szCs w:val="20"/>
        </w:rPr>
      </w:pPr>
    </w:p>
    <w:p w14:paraId="35B54A60" w14:textId="77777777" w:rsidR="00B11AB4" w:rsidRPr="004F469F" w:rsidRDefault="00B11AB4" w:rsidP="00B11AB4">
      <w:pPr>
        <w:keepNext/>
        <w:widowControl w:val="0"/>
        <w:autoSpaceDE w:val="0"/>
        <w:autoSpaceDN w:val="0"/>
        <w:adjustRightInd w:val="0"/>
        <w:ind w:left="480" w:hanging="480"/>
        <w:rPr>
          <w:sz w:val="20"/>
          <w:szCs w:val="20"/>
        </w:rPr>
      </w:pPr>
      <w:r w:rsidRPr="004F469F">
        <w:rPr>
          <w:noProof/>
          <w:sz w:val="20"/>
          <w:szCs w:val="20"/>
        </w:rPr>
        <w:lastRenderedPageBreak/>
        <w:drawing>
          <wp:inline distT="0" distB="0" distL="0" distR="0" wp14:anchorId="6631BDCF" wp14:editId="1D4B9753">
            <wp:extent cx="5500240" cy="71179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ecast_Map.pdf"/>
                    <pic:cNvPicPr/>
                  </pic:nvPicPr>
                  <pic:blipFill>
                    <a:blip r:embed="rId24">
                      <a:extLst>
                        <a:ext uri="{28A0092B-C50C-407E-A947-70E740481C1C}">
                          <a14:useLocalDpi xmlns:a14="http://schemas.microsoft.com/office/drawing/2010/main" val="0"/>
                        </a:ext>
                      </a:extLst>
                    </a:blip>
                    <a:stretch>
                      <a:fillRect/>
                    </a:stretch>
                  </pic:blipFill>
                  <pic:spPr>
                    <a:xfrm>
                      <a:off x="0" y="0"/>
                      <a:ext cx="5500240" cy="7117958"/>
                    </a:xfrm>
                    <a:prstGeom prst="rect">
                      <a:avLst/>
                    </a:prstGeom>
                  </pic:spPr>
                </pic:pic>
              </a:graphicData>
            </a:graphic>
          </wp:inline>
        </w:drawing>
      </w:r>
    </w:p>
    <w:p w14:paraId="12E5EA32" w14:textId="268B4192" w:rsidR="00B11AB4" w:rsidRPr="004F469F" w:rsidRDefault="00B11AB4" w:rsidP="00B11AB4">
      <w:pPr>
        <w:pStyle w:val="Caption"/>
        <w:rPr>
          <w:rFonts w:ascii="Times New Roman" w:hAnsi="Times New Roman" w:cs="Times New Roman"/>
          <w:i w:val="0"/>
          <w:iCs w:val="0"/>
          <w:color w:val="auto"/>
          <w:sz w:val="24"/>
          <w:szCs w:val="24"/>
        </w:rPr>
      </w:pPr>
      <w:bookmarkStart w:id="73" w:name="_Toc22035197"/>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Comparison between probabilistic tornado forecasts for 2015 May 10 generated by the SPC (a) and TorDIS (b). Tornado reports for 2015 May 10 are plotted as upside-down triangles to show the accuracy of the forecast areas. Probabilistic forecasts are smoothed using a Gaussian low-pass filter with a 120 km standard deviation. All smoothed forecasts with a probability of less than 2% are set to 0 to match the SPC’s practice of no</w:t>
      </w:r>
      <w:r w:rsidR="00B35ACB">
        <w:rPr>
          <w:rFonts w:ascii="Times New Roman" w:hAnsi="Times New Roman" w:cs="Times New Roman"/>
          <w:i w:val="0"/>
          <w:iCs w:val="0"/>
          <w:color w:val="auto"/>
          <w:sz w:val="24"/>
          <w:szCs w:val="24"/>
        </w:rPr>
        <w:t>t</w:t>
      </w:r>
      <w:r w:rsidRPr="004F469F">
        <w:rPr>
          <w:rFonts w:ascii="Times New Roman" w:hAnsi="Times New Roman" w:cs="Times New Roman"/>
          <w:i w:val="0"/>
          <w:iCs w:val="0"/>
          <w:color w:val="auto"/>
          <w:sz w:val="24"/>
          <w:szCs w:val="24"/>
        </w:rPr>
        <w:t xml:space="preserve"> showing probabilities below 2% </w:t>
      </w:r>
      <w:r w:rsidRPr="004F469F">
        <w:rPr>
          <w:rFonts w:ascii="Times New Roman" w:hAnsi="Times New Roman" w:cs="Times New Roman"/>
          <w:i w:val="0"/>
          <w:iCs w:val="0"/>
          <w:color w:val="auto"/>
          <w:sz w:val="24"/>
          <w:szCs w:val="24"/>
        </w:rPr>
        <w:fldChar w:fldCharType="begin" w:fldLock="1"/>
      </w:r>
      <w:r w:rsidR="00123266">
        <w:rPr>
          <w:rFonts w:ascii="Times New Roman" w:hAnsi="Times New Roman" w:cs="Times New Roman"/>
          <w:i w:val="0"/>
          <w:iCs w:val="0"/>
          <w:color w:val="auto"/>
          <w:sz w:val="24"/>
          <w:szCs w:val="24"/>
        </w:rPr>
        <w:instrText>ADDIN CSL_CITATION {"citationItems":[{"id":"ITEM-1","itemData":{"DOI":"10.1175/WAF-D-12-00113.1","author":[{"dropping-particle":"","family":"Hitchens","given":"Nathan M.","non-dropping-particle":"","parse-names":false,"suffix":""},{"dropping-particle":"","family":"Brooks","given":"Harold E.","non-dropping-particle":"","parse-names":false,"suffix":""},{"dropping-particle":"","family":"Kay","given":"Michael P.","non-dropping-particle":"","parse-names":false,"suffix":""}],"container-title":"Wea.\\ Forecasting","id":"ITEM-1","issue":"2","issued":{"date-parts":[["2013"]]},"page":"525-534","title":"Objective limits on forecasting skill of rare events","type":"article-journal","volume":"28"},"uris":["http://www.mendeley.com/documents/?uuid=55d4fa66-1a22-4b85-b911-70acb174598c"]}],"mendeley":{"formattedCitation":"(Hitchens et al., 2013)","plainTextFormattedCitation":"(Hitchens et al., 2013)","previouslyFormattedCitation":"(Hitchens et al., 2013)"},"properties":{"noteIndex":0},"schema":"https://github.com/citation-style-language/schema/raw/master/csl-citation.json"}</w:instrText>
      </w:r>
      <w:r w:rsidRPr="004F469F">
        <w:rPr>
          <w:rFonts w:ascii="Times New Roman" w:hAnsi="Times New Roman" w:cs="Times New Roman"/>
          <w:i w:val="0"/>
          <w:iCs w:val="0"/>
          <w:color w:val="auto"/>
          <w:sz w:val="24"/>
          <w:szCs w:val="24"/>
        </w:rPr>
        <w:fldChar w:fldCharType="separate"/>
      </w:r>
      <w:r w:rsidR="00123266" w:rsidRPr="00123266">
        <w:rPr>
          <w:rFonts w:ascii="Times New Roman" w:hAnsi="Times New Roman" w:cs="Times New Roman"/>
          <w:i w:val="0"/>
          <w:iCs w:val="0"/>
          <w:noProof/>
          <w:color w:val="auto"/>
          <w:sz w:val="24"/>
          <w:szCs w:val="24"/>
        </w:rPr>
        <w:t xml:space="preserve">(Hitchens </w:t>
      </w:r>
      <w:r w:rsidR="00123266" w:rsidRPr="00453357">
        <w:rPr>
          <w:rFonts w:ascii="Times New Roman" w:hAnsi="Times New Roman" w:cs="Times New Roman"/>
          <w:noProof/>
          <w:color w:val="auto"/>
          <w:sz w:val="24"/>
          <w:szCs w:val="24"/>
        </w:rPr>
        <w:t>et al.</w:t>
      </w:r>
      <w:r w:rsidR="00123266" w:rsidRPr="00123266">
        <w:rPr>
          <w:rFonts w:ascii="Times New Roman" w:hAnsi="Times New Roman" w:cs="Times New Roman"/>
          <w:i w:val="0"/>
          <w:iCs w:val="0"/>
          <w:noProof/>
          <w:color w:val="auto"/>
          <w:sz w:val="24"/>
          <w:szCs w:val="24"/>
        </w:rPr>
        <w:t>, 2013)</w:t>
      </w:r>
      <w:r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w:t>
      </w:r>
      <w:bookmarkEnd w:id="73"/>
    </w:p>
    <w:p w14:paraId="1956379D" w14:textId="77777777" w:rsidR="00B11AB4" w:rsidRPr="004F469F" w:rsidRDefault="00B11AB4" w:rsidP="00B11AB4">
      <w:pPr>
        <w:widowControl w:val="0"/>
        <w:autoSpaceDE w:val="0"/>
        <w:autoSpaceDN w:val="0"/>
        <w:adjustRightInd w:val="0"/>
        <w:rPr>
          <w:sz w:val="20"/>
          <w:szCs w:val="20"/>
        </w:rPr>
      </w:pPr>
    </w:p>
    <w:p w14:paraId="6062C8EB" w14:textId="77777777" w:rsidR="00B11AB4" w:rsidRPr="004F469F" w:rsidRDefault="00B11AB4" w:rsidP="00B11AB4">
      <w:pPr>
        <w:keepNext/>
        <w:widowControl w:val="0"/>
        <w:autoSpaceDE w:val="0"/>
        <w:autoSpaceDN w:val="0"/>
        <w:adjustRightInd w:val="0"/>
        <w:ind w:left="480" w:hanging="480"/>
        <w:rPr>
          <w:sz w:val="20"/>
          <w:szCs w:val="20"/>
        </w:rPr>
      </w:pPr>
      <w:r w:rsidRPr="004F469F">
        <w:rPr>
          <w:noProof/>
          <w:sz w:val="20"/>
          <w:szCs w:val="20"/>
        </w:rPr>
        <w:drawing>
          <wp:inline distT="0" distB="0" distL="0" distR="0" wp14:anchorId="77F91EEB" wp14:editId="515722B6">
            <wp:extent cx="5164691" cy="66837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nual_Simulations_Map2.pdf"/>
                    <pic:cNvPicPr/>
                  </pic:nvPicPr>
                  <pic:blipFill>
                    <a:blip r:embed="rId25">
                      <a:extLst>
                        <a:ext uri="{28A0092B-C50C-407E-A947-70E740481C1C}">
                          <a14:useLocalDpi xmlns:a14="http://schemas.microsoft.com/office/drawing/2010/main" val="0"/>
                        </a:ext>
                      </a:extLst>
                    </a:blip>
                    <a:stretch>
                      <a:fillRect/>
                    </a:stretch>
                  </pic:blipFill>
                  <pic:spPr>
                    <a:xfrm>
                      <a:off x="0" y="0"/>
                      <a:ext cx="5164691" cy="6683717"/>
                    </a:xfrm>
                    <a:prstGeom prst="rect">
                      <a:avLst/>
                    </a:prstGeom>
                  </pic:spPr>
                </pic:pic>
              </a:graphicData>
            </a:graphic>
          </wp:inline>
        </w:drawing>
      </w:r>
    </w:p>
    <w:p w14:paraId="6E9318D8" w14:textId="32B40475" w:rsidR="00B11AB4" w:rsidRPr="004F469F" w:rsidRDefault="00B11AB4" w:rsidP="00B11AB4">
      <w:pPr>
        <w:pStyle w:val="Caption"/>
        <w:rPr>
          <w:rFonts w:ascii="Times New Roman" w:hAnsi="Times New Roman" w:cs="Times New Roman"/>
          <w:i w:val="0"/>
          <w:iCs w:val="0"/>
          <w:color w:val="auto"/>
          <w:sz w:val="24"/>
          <w:szCs w:val="24"/>
        </w:rPr>
      </w:pPr>
      <w:bookmarkStart w:id="74" w:name="_Toc22035198"/>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(a) Observed tornado footprints for 1979 to 2016 from SVRGIS over gridded 2010 population counts from SEDAC for the Oklahoma City Metropolitan Area. (b) Same as (a) but for a random sample of 38 years of simulated tornado footprints. (c) Same as (a) but for all tornado footprints from the 38 most impactful years over the Oklahoma City Metropolitan Area (in terms of total persons exposed to tornado winds per year). Sample sizes were chosen to be over 38 years since it matches the length of 1979 to 2016 observed period. The figure is modelled after Figure 4 from Strader </w:t>
      </w:r>
      <w:r w:rsidRPr="00453357">
        <w:rPr>
          <w:rFonts w:ascii="Times New Roman" w:hAnsi="Times New Roman" w:cs="Times New Roman"/>
          <w:color w:val="auto"/>
          <w:sz w:val="24"/>
          <w:szCs w:val="24"/>
        </w:rPr>
        <w:t>et al.</w:t>
      </w:r>
      <w:r w:rsidRPr="004F469F">
        <w:rPr>
          <w:rFonts w:ascii="Times New Roman" w:hAnsi="Times New Roman" w:cs="Times New Roman"/>
          <w:i w:val="0"/>
          <w:iCs w:val="0"/>
          <w:color w:val="auto"/>
          <w:sz w:val="24"/>
          <w:szCs w:val="24"/>
        </w:rPr>
        <w:t xml:space="preserve"> </w:t>
      </w:r>
      <w:r w:rsidRPr="004F469F">
        <w:rPr>
          <w:rFonts w:ascii="Times New Roman" w:hAnsi="Times New Roman" w:cs="Times New Roman"/>
          <w:i w:val="0"/>
          <w:iCs w:val="0"/>
          <w:color w:val="auto"/>
          <w:sz w:val="24"/>
          <w:szCs w:val="24"/>
        </w:rPr>
        <w:fldChar w:fldCharType="begin" w:fldLock="1"/>
      </w:r>
      <w:r w:rsidRPr="004F469F">
        <w:rPr>
          <w:rFonts w:ascii="Times New Roman" w:hAnsi="Times New Roman" w:cs="Times New Roman"/>
          <w:i w:val="0"/>
          <w:iCs w:val="0"/>
          <w:color w:val="auto"/>
          <w:sz w:val="24"/>
          <w:szCs w:val="24"/>
        </w:rPr>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rPr>
          <w:rFonts w:ascii="Times New Roman" w:hAnsi="Times New Roman" w:cs="Times New Roman"/>
          <w:i w:val="0"/>
          <w:iCs w:val="0"/>
          <w:color w:val="auto"/>
          <w:sz w:val="24"/>
          <w:szCs w:val="24"/>
        </w:rPr>
        <w:fldChar w:fldCharType="separate"/>
      </w:r>
      <w:r w:rsidRPr="004F469F">
        <w:rPr>
          <w:rFonts w:ascii="Times New Roman" w:hAnsi="Times New Roman" w:cs="Times New Roman"/>
          <w:i w:val="0"/>
          <w:iCs w:val="0"/>
          <w:noProof/>
          <w:color w:val="auto"/>
          <w:sz w:val="24"/>
          <w:szCs w:val="24"/>
        </w:rPr>
        <w:t>(2016)</w:t>
      </w:r>
      <w:r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w:t>
      </w:r>
      <w:bookmarkEnd w:id="74"/>
    </w:p>
    <w:p w14:paraId="1C2CF88D" w14:textId="77777777" w:rsidR="00B11AB4" w:rsidRPr="004F469F" w:rsidRDefault="00B11AB4" w:rsidP="00B11AB4">
      <w:pPr>
        <w:widowControl w:val="0"/>
        <w:autoSpaceDE w:val="0"/>
        <w:autoSpaceDN w:val="0"/>
        <w:adjustRightInd w:val="0"/>
        <w:rPr>
          <w:sz w:val="20"/>
          <w:szCs w:val="20"/>
        </w:rPr>
      </w:pPr>
    </w:p>
    <w:p w14:paraId="54DC24EE" w14:textId="77777777" w:rsidR="00B11AB4" w:rsidRPr="004F469F" w:rsidRDefault="00B11AB4" w:rsidP="00B11AB4">
      <w:pPr>
        <w:keepNext/>
        <w:widowControl w:val="0"/>
        <w:autoSpaceDE w:val="0"/>
        <w:autoSpaceDN w:val="0"/>
        <w:adjustRightInd w:val="0"/>
        <w:spacing w:line="480" w:lineRule="auto"/>
        <w:ind w:left="480" w:hanging="480"/>
        <w:rPr>
          <w:sz w:val="20"/>
          <w:szCs w:val="20"/>
        </w:rPr>
      </w:pPr>
      <w:r w:rsidRPr="004F469F">
        <w:rPr>
          <w:noProof/>
          <w:sz w:val="20"/>
          <w:szCs w:val="20"/>
        </w:rPr>
        <w:drawing>
          <wp:inline distT="0" distB="0" distL="0" distR="0" wp14:anchorId="23FC9D3D" wp14:editId="753A867B">
            <wp:extent cx="4572000" cy="6400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nthly_exposure.pdf"/>
                    <pic:cNvPicPr/>
                  </pic:nvPicPr>
                  <pic:blipFill>
                    <a:blip r:embed="rId26">
                      <a:extLst>
                        <a:ext uri="{28A0092B-C50C-407E-A947-70E740481C1C}">
                          <a14:useLocalDpi xmlns:a14="http://schemas.microsoft.com/office/drawing/2010/main" val="0"/>
                        </a:ext>
                      </a:extLst>
                    </a:blip>
                    <a:stretch>
                      <a:fillRect/>
                    </a:stretch>
                  </pic:blipFill>
                  <pic:spPr>
                    <a:xfrm>
                      <a:off x="0" y="0"/>
                      <a:ext cx="4572000" cy="6400800"/>
                    </a:xfrm>
                    <a:prstGeom prst="rect">
                      <a:avLst/>
                    </a:prstGeom>
                  </pic:spPr>
                </pic:pic>
              </a:graphicData>
            </a:graphic>
          </wp:inline>
        </w:drawing>
      </w:r>
    </w:p>
    <w:p w14:paraId="5ABCEDBE" w14:textId="26EC9701" w:rsidR="00B11AB4" w:rsidRPr="004F469F" w:rsidRDefault="00B11AB4" w:rsidP="00B11AB4">
      <w:pPr>
        <w:pStyle w:val="Caption"/>
        <w:rPr>
          <w:rFonts w:ascii="Times New Roman" w:hAnsi="Times New Roman" w:cs="Times New Roman"/>
          <w:i w:val="0"/>
          <w:iCs w:val="0"/>
          <w:color w:val="auto"/>
          <w:sz w:val="24"/>
          <w:szCs w:val="24"/>
        </w:rPr>
      </w:pPr>
      <w:bookmarkStart w:id="75" w:name="_Toc22035199"/>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Monthly variation in significant tornado counts and mean annual persons exposed to significant tornado winds over the Oklahoma City Metropolitan Statistical Area.</w:t>
      </w:r>
      <w:bookmarkEnd w:id="75"/>
    </w:p>
    <w:p w14:paraId="1CF98557" w14:textId="77777777" w:rsidR="00B11AB4" w:rsidRPr="004F469F" w:rsidRDefault="00B11AB4" w:rsidP="00B11AB4">
      <w:pPr>
        <w:widowControl w:val="0"/>
        <w:autoSpaceDE w:val="0"/>
        <w:autoSpaceDN w:val="0"/>
        <w:adjustRightInd w:val="0"/>
        <w:rPr>
          <w:sz w:val="20"/>
          <w:szCs w:val="20"/>
        </w:rPr>
      </w:pPr>
    </w:p>
    <w:p w14:paraId="2B7D22FD" w14:textId="77777777" w:rsidR="00B11AB4" w:rsidRPr="004F469F" w:rsidRDefault="00B11AB4" w:rsidP="00B11AB4">
      <w:pPr>
        <w:widowControl w:val="0"/>
        <w:autoSpaceDE w:val="0"/>
        <w:autoSpaceDN w:val="0"/>
        <w:adjustRightInd w:val="0"/>
        <w:rPr>
          <w:sz w:val="20"/>
          <w:szCs w:val="20"/>
        </w:rPr>
      </w:pPr>
    </w:p>
    <w:p w14:paraId="7AB40937" w14:textId="77777777" w:rsidR="00B11AB4" w:rsidRPr="004F469F" w:rsidRDefault="00B11AB4" w:rsidP="00B11AB4">
      <w:pPr>
        <w:widowControl w:val="0"/>
        <w:autoSpaceDE w:val="0"/>
        <w:autoSpaceDN w:val="0"/>
        <w:adjustRightInd w:val="0"/>
        <w:rPr>
          <w:sz w:val="20"/>
          <w:szCs w:val="20"/>
        </w:rPr>
      </w:pPr>
    </w:p>
    <w:p w14:paraId="67D283DB" w14:textId="77777777" w:rsidR="00B11AB4" w:rsidRPr="004F469F" w:rsidRDefault="00B11AB4" w:rsidP="00B11AB4">
      <w:pPr>
        <w:widowControl w:val="0"/>
        <w:autoSpaceDE w:val="0"/>
        <w:autoSpaceDN w:val="0"/>
        <w:adjustRightInd w:val="0"/>
        <w:rPr>
          <w:sz w:val="20"/>
          <w:szCs w:val="20"/>
        </w:rPr>
      </w:pPr>
    </w:p>
    <w:p w14:paraId="12195296" w14:textId="77777777" w:rsidR="00B11AB4" w:rsidRPr="004F469F" w:rsidRDefault="00B11AB4" w:rsidP="00B11AB4">
      <w:pPr>
        <w:widowControl w:val="0"/>
        <w:autoSpaceDE w:val="0"/>
        <w:autoSpaceDN w:val="0"/>
        <w:adjustRightInd w:val="0"/>
        <w:rPr>
          <w:sz w:val="20"/>
          <w:szCs w:val="20"/>
        </w:rPr>
      </w:pPr>
    </w:p>
    <w:p w14:paraId="7081F8CA" w14:textId="77777777" w:rsidR="00B11AB4" w:rsidRPr="004F469F" w:rsidRDefault="00B11AB4" w:rsidP="00B11AB4">
      <w:pPr>
        <w:widowControl w:val="0"/>
        <w:autoSpaceDE w:val="0"/>
        <w:autoSpaceDN w:val="0"/>
        <w:adjustRightInd w:val="0"/>
        <w:rPr>
          <w:sz w:val="20"/>
          <w:szCs w:val="20"/>
        </w:rPr>
      </w:pPr>
    </w:p>
    <w:p w14:paraId="06AA2F1E" w14:textId="77777777" w:rsidR="00B11AB4" w:rsidRPr="004F469F" w:rsidRDefault="00B11AB4" w:rsidP="00B11AB4">
      <w:pPr>
        <w:keepNext/>
        <w:widowControl w:val="0"/>
        <w:autoSpaceDE w:val="0"/>
        <w:autoSpaceDN w:val="0"/>
        <w:adjustRightInd w:val="0"/>
        <w:spacing w:line="480" w:lineRule="auto"/>
        <w:ind w:left="480" w:hanging="480"/>
        <w:rPr>
          <w:sz w:val="20"/>
          <w:szCs w:val="20"/>
        </w:rPr>
      </w:pPr>
      <w:r w:rsidRPr="004F469F">
        <w:rPr>
          <w:noProof/>
          <w:sz w:val="20"/>
          <w:szCs w:val="20"/>
        </w:rPr>
        <w:lastRenderedPageBreak/>
        <w:drawing>
          <wp:inline distT="0" distB="0" distL="0" distR="0" wp14:anchorId="14BFF912" wp14:editId="704A34C6">
            <wp:extent cx="4572000" cy="640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nual_POE_by_metro.pdf"/>
                    <pic:cNvPicPr/>
                  </pic:nvPicPr>
                  <pic:blipFill>
                    <a:blip r:embed="rId27">
                      <a:extLst>
                        <a:ext uri="{28A0092B-C50C-407E-A947-70E740481C1C}">
                          <a14:useLocalDpi xmlns:a14="http://schemas.microsoft.com/office/drawing/2010/main" val="0"/>
                        </a:ext>
                      </a:extLst>
                    </a:blip>
                    <a:stretch>
                      <a:fillRect/>
                    </a:stretch>
                  </pic:blipFill>
                  <pic:spPr>
                    <a:xfrm>
                      <a:off x="0" y="0"/>
                      <a:ext cx="4572000" cy="6400800"/>
                    </a:xfrm>
                    <a:prstGeom prst="rect">
                      <a:avLst/>
                    </a:prstGeom>
                  </pic:spPr>
                </pic:pic>
              </a:graphicData>
            </a:graphic>
          </wp:inline>
        </w:drawing>
      </w:r>
    </w:p>
    <w:p w14:paraId="3700E377" w14:textId="468E54D7" w:rsidR="00B11AB4" w:rsidRPr="004F469F" w:rsidRDefault="00B11AB4" w:rsidP="00B11AB4">
      <w:pPr>
        <w:pStyle w:val="Caption"/>
        <w:rPr>
          <w:rFonts w:ascii="Times New Roman" w:hAnsi="Times New Roman" w:cs="Times New Roman"/>
          <w:i w:val="0"/>
          <w:iCs w:val="0"/>
          <w:color w:val="auto"/>
          <w:sz w:val="24"/>
          <w:szCs w:val="24"/>
        </w:rPr>
      </w:pPr>
      <w:bookmarkStart w:id="76" w:name="_Toc22035200"/>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6</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The probability that a significant (a) or violent (b) tornado would impact more persons than a set threshold for a 1,000-year simulation over the Birmingham, Dallas/Fort Worth, Omaha, Chicago, Oklahoma City and St. Louis Metropolitan Statistical Areas.</w:t>
      </w:r>
      <w:bookmarkEnd w:id="76"/>
    </w:p>
    <w:p w14:paraId="0D9D4334" w14:textId="6527E014" w:rsidR="005C4E5F" w:rsidRPr="004F469F" w:rsidRDefault="005C4E5F" w:rsidP="00C645E5">
      <w:pPr>
        <w:spacing w:after="120" w:line="480" w:lineRule="auto"/>
      </w:pPr>
    </w:p>
    <w:p w14:paraId="45CC5654" w14:textId="4B18A00B" w:rsidR="005C4E5F" w:rsidRPr="004F469F" w:rsidRDefault="005C4E5F" w:rsidP="00C645E5">
      <w:pPr>
        <w:spacing w:after="120" w:line="480" w:lineRule="auto"/>
      </w:pPr>
    </w:p>
    <w:p w14:paraId="217BF6DD" w14:textId="77777777" w:rsidR="00A4283D" w:rsidRPr="004F469F" w:rsidRDefault="00A4283D" w:rsidP="00C645E5">
      <w:pPr>
        <w:spacing w:after="120" w:line="480" w:lineRule="auto"/>
      </w:pPr>
    </w:p>
    <w:p w14:paraId="5295233E" w14:textId="20CD8EFA" w:rsidR="00DF5082" w:rsidRPr="004F469F" w:rsidRDefault="00E5297C" w:rsidP="004F469F">
      <w:pPr>
        <w:pStyle w:val="Heading1"/>
        <w:spacing w:before="0" w:after="120"/>
        <w:rPr>
          <w:rFonts w:ascii="Times New Roman" w:hAnsi="Times New Roman" w:cs="Times New Roman"/>
          <w:b/>
          <w:bCs/>
          <w:color w:val="auto"/>
        </w:rPr>
      </w:pPr>
      <w:bookmarkStart w:id="77" w:name="_Toc21861321"/>
      <w:r w:rsidRPr="004F469F">
        <w:rPr>
          <w:rFonts w:ascii="Times New Roman" w:hAnsi="Times New Roman" w:cs="Times New Roman"/>
          <w:b/>
          <w:bCs/>
          <w:color w:val="auto"/>
        </w:rPr>
        <w:lastRenderedPageBreak/>
        <w:t xml:space="preserve">Analyzing </w:t>
      </w:r>
      <w:r>
        <w:rPr>
          <w:rFonts w:ascii="Times New Roman" w:hAnsi="Times New Roman" w:cs="Times New Roman"/>
          <w:b/>
          <w:bCs/>
          <w:color w:val="auto"/>
        </w:rPr>
        <w:t>t</w:t>
      </w:r>
      <w:r w:rsidRPr="004F469F">
        <w:rPr>
          <w:rFonts w:ascii="Times New Roman" w:hAnsi="Times New Roman" w:cs="Times New Roman"/>
          <w:b/>
          <w:bCs/>
          <w:color w:val="auto"/>
        </w:rPr>
        <w:t xml:space="preserve">he Combined Effects </w:t>
      </w:r>
      <w:r>
        <w:rPr>
          <w:rFonts w:ascii="Times New Roman" w:hAnsi="Times New Roman" w:cs="Times New Roman"/>
          <w:b/>
          <w:bCs/>
          <w:color w:val="auto"/>
        </w:rPr>
        <w:t>o</w:t>
      </w:r>
      <w:r w:rsidRPr="004F469F">
        <w:rPr>
          <w:rFonts w:ascii="Times New Roman" w:hAnsi="Times New Roman" w:cs="Times New Roman"/>
          <w:b/>
          <w:bCs/>
          <w:color w:val="auto"/>
        </w:rPr>
        <w:t xml:space="preserve">f Urbanization </w:t>
      </w:r>
      <w:r>
        <w:rPr>
          <w:rFonts w:ascii="Times New Roman" w:hAnsi="Times New Roman" w:cs="Times New Roman"/>
          <w:b/>
          <w:bCs/>
          <w:color w:val="auto"/>
        </w:rPr>
        <w:t>a</w:t>
      </w:r>
      <w:r w:rsidRPr="004F469F">
        <w:rPr>
          <w:rFonts w:ascii="Times New Roman" w:hAnsi="Times New Roman" w:cs="Times New Roman"/>
          <w:b/>
          <w:bCs/>
          <w:color w:val="auto"/>
        </w:rPr>
        <w:t xml:space="preserve">nd </w:t>
      </w:r>
      <w:r>
        <w:rPr>
          <w:rFonts w:ascii="Times New Roman" w:hAnsi="Times New Roman" w:cs="Times New Roman"/>
          <w:b/>
          <w:bCs/>
          <w:color w:val="auto"/>
        </w:rPr>
        <w:t>a</w:t>
      </w:r>
      <w:r w:rsidRPr="004F469F">
        <w:rPr>
          <w:rFonts w:ascii="Times New Roman" w:hAnsi="Times New Roman" w:cs="Times New Roman"/>
          <w:b/>
          <w:bCs/>
          <w:color w:val="auto"/>
        </w:rPr>
        <w:t xml:space="preserve"> Changing Climate </w:t>
      </w:r>
      <w:r>
        <w:rPr>
          <w:rFonts w:ascii="Times New Roman" w:hAnsi="Times New Roman" w:cs="Times New Roman"/>
          <w:b/>
          <w:bCs/>
          <w:color w:val="auto"/>
        </w:rPr>
        <w:t>o</w:t>
      </w:r>
      <w:r w:rsidRPr="004F469F">
        <w:rPr>
          <w:rFonts w:ascii="Times New Roman" w:hAnsi="Times New Roman" w:cs="Times New Roman"/>
          <w:b/>
          <w:bCs/>
          <w:color w:val="auto"/>
        </w:rPr>
        <w:t xml:space="preserve">n Tornado Exposure: A Case Study </w:t>
      </w:r>
      <w:r>
        <w:rPr>
          <w:rFonts w:ascii="Times New Roman" w:hAnsi="Times New Roman" w:cs="Times New Roman"/>
          <w:b/>
          <w:bCs/>
          <w:color w:val="auto"/>
        </w:rPr>
        <w:t>f</w:t>
      </w:r>
      <w:r w:rsidRPr="004F469F">
        <w:rPr>
          <w:rFonts w:ascii="Times New Roman" w:hAnsi="Times New Roman" w:cs="Times New Roman"/>
          <w:b/>
          <w:bCs/>
          <w:color w:val="auto"/>
        </w:rPr>
        <w:t xml:space="preserve">or </w:t>
      </w:r>
      <w:r>
        <w:rPr>
          <w:rFonts w:ascii="Times New Roman" w:hAnsi="Times New Roman" w:cs="Times New Roman"/>
          <w:b/>
          <w:bCs/>
          <w:color w:val="auto"/>
        </w:rPr>
        <w:t>t</w:t>
      </w:r>
      <w:r w:rsidRPr="004F469F">
        <w:rPr>
          <w:rFonts w:ascii="Times New Roman" w:hAnsi="Times New Roman" w:cs="Times New Roman"/>
          <w:b/>
          <w:bCs/>
          <w:color w:val="auto"/>
        </w:rPr>
        <w:t>he Oklahoma City Metropolitan Area</w:t>
      </w:r>
      <w:bookmarkEnd w:id="77"/>
    </w:p>
    <w:p w14:paraId="2155386A" w14:textId="77777777" w:rsidR="004F469F" w:rsidRPr="004F469F" w:rsidRDefault="004F469F" w:rsidP="004F469F">
      <w:pPr>
        <w:rPr>
          <w:sz w:val="32"/>
          <w:szCs w:val="32"/>
        </w:rPr>
      </w:pPr>
    </w:p>
    <w:p w14:paraId="3E75EB79" w14:textId="77777777" w:rsidR="00DF5082" w:rsidRPr="004F469F" w:rsidRDefault="00DF5082" w:rsidP="00DF5082">
      <w:pPr>
        <w:spacing w:after="120" w:line="480" w:lineRule="auto"/>
        <w:rPr>
          <w:b/>
          <w:bCs/>
          <w:sz w:val="28"/>
          <w:szCs w:val="28"/>
        </w:rPr>
      </w:pPr>
      <w:r w:rsidRPr="004F469F">
        <w:rPr>
          <w:b/>
          <w:bCs/>
          <w:sz w:val="28"/>
          <w:szCs w:val="28"/>
        </w:rPr>
        <w:t>Abstract</w:t>
      </w:r>
    </w:p>
    <w:p w14:paraId="4CD754A7" w14:textId="7BF96CBA" w:rsidR="00DF5082" w:rsidRPr="004F469F" w:rsidRDefault="00DF5082" w:rsidP="009225F0">
      <w:pPr>
        <w:spacing w:after="120" w:line="480" w:lineRule="auto"/>
        <w:ind w:firstLine="720"/>
      </w:pPr>
      <w:r w:rsidRPr="004F469F">
        <w:t>In recent years the U.S. has seen a significant increase in the frequency of weather-related disasters and their attendant consequences. The exact role climate change will play on the frequency and intensity of severe weather is widely debated, but it will likely become more common. At the same time, urban areas continue to expand in size and population, putting more people at risk of severe weather events. One example of this is Oklahoma City, the fourth largest city in the U.S. (by area) which has seen a population growth of over 39% since 2000 and frequently experiences tornadoes. Population growth within Oklahoma City is expected to continue into the year 2050 and beyond. We tested how tornado exposure over the Oklahoma City Metropolitan Area may change by 2050 using a business-as-usual projection of population and projected climate data from the North American Regional Climate Change Assessment Program (NARCCAP). To test the relative contribution of climate change and urban development on tornado impacts, we simulated 1,000 years of significant tornadoes using the Tornado Daily Impacts Simulator under four different scenarios: control, climate change only, urban development only and urban development and climate change. We found</w:t>
      </w:r>
      <w:r w:rsidR="00EA6A96">
        <w:t xml:space="preserve"> no significant change in either</w:t>
      </w:r>
      <w:r w:rsidRPr="004F469F">
        <w:t xml:space="preserve"> tornado risk</w:t>
      </w:r>
      <w:r w:rsidR="00EA6A96">
        <w:t>,</w:t>
      </w:r>
      <w:r w:rsidRPr="004F469F">
        <w:t xml:space="preserve"> </w:t>
      </w:r>
      <w:r w:rsidR="00EA6A96">
        <w:t xml:space="preserve">or impacts, due to climate change, </w:t>
      </w:r>
      <w:r w:rsidRPr="004F469F">
        <w:t xml:space="preserve">over the Oklahoma City Metropolitan Area while </w:t>
      </w:r>
      <w:r w:rsidR="00EA6A96">
        <w:t xml:space="preserve">tornado </w:t>
      </w:r>
      <w:r w:rsidRPr="004F469F">
        <w:t>impacts</w:t>
      </w:r>
      <w:r w:rsidR="00EA6A96">
        <w:t xml:space="preserve"> were likely to increase due to the effects of urban development</w:t>
      </w:r>
      <w:r w:rsidRPr="004F469F">
        <w:t>.</w:t>
      </w:r>
      <w:r w:rsidR="00EA6A96">
        <w:t xml:space="preserve"> Our findings are in agreement with other studies suggesting that urban development plays a larger role in changing tornado impacts than does climate change.</w:t>
      </w:r>
    </w:p>
    <w:p w14:paraId="7BD76062" w14:textId="77777777" w:rsidR="00DF5082" w:rsidRPr="004F469F" w:rsidRDefault="00DF5082" w:rsidP="009225F0">
      <w:pPr>
        <w:pStyle w:val="Heading2"/>
        <w:spacing w:before="0" w:after="120" w:line="480" w:lineRule="auto"/>
        <w:rPr>
          <w:rFonts w:ascii="Times New Roman" w:hAnsi="Times New Roman" w:cs="Times New Roman"/>
          <w:b/>
          <w:bCs/>
          <w:color w:val="auto"/>
          <w:sz w:val="28"/>
          <w:szCs w:val="28"/>
        </w:rPr>
      </w:pPr>
      <w:bookmarkStart w:id="78" w:name="_Toc21861322"/>
      <w:r w:rsidRPr="004F469F">
        <w:rPr>
          <w:rFonts w:ascii="Times New Roman" w:hAnsi="Times New Roman" w:cs="Times New Roman"/>
          <w:b/>
          <w:bCs/>
          <w:color w:val="auto"/>
          <w:sz w:val="28"/>
          <w:szCs w:val="28"/>
        </w:rPr>
        <w:lastRenderedPageBreak/>
        <w:t>Introduction</w:t>
      </w:r>
      <w:bookmarkEnd w:id="78"/>
    </w:p>
    <w:p w14:paraId="10998804" w14:textId="3104B859" w:rsidR="00DF5082" w:rsidRPr="004F469F" w:rsidRDefault="00DF5082" w:rsidP="009225F0">
      <w:pPr>
        <w:spacing w:after="120" w:line="480" w:lineRule="auto"/>
        <w:ind w:firstLine="720"/>
      </w:pPr>
      <w:r w:rsidRPr="004F469F">
        <w:t xml:space="preserve">Following World War II, the global population began to shift from mostly rural (30% </w:t>
      </w:r>
      <w:r w:rsidR="00BE346C">
        <w:t xml:space="preserve">urban </w:t>
      </w:r>
      <w:r w:rsidRPr="004F469F">
        <w:t xml:space="preserve">in 1950) to more urban (55% </w:t>
      </w:r>
      <w:r w:rsidR="00BE346C">
        <w:t xml:space="preserve">urban </w:t>
      </w:r>
      <w:r w:rsidRPr="004F469F">
        <w:t xml:space="preserve">in 2018), and this trend is likely to continue. The projections from the United Nations suggest that the global urban population </w:t>
      </w:r>
      <w:r w:rsidR="00BE346C">
        <w:t>will</w:t>
      </w:r>
      <w:r w:rsidRPr="004F469F">
        <w:t xml:space="preserve"> reach 68% by 2050 </w:t>
      </w:r>
      <w:r w:rsidRPr="004F469F">
        <w:fldChar w:fldCharType="begin" w:fldLock="1"/>
      </w:r>
      <w:r w:rsidRPr="004F469F">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prospects","type":"article"},"uris":["http://www.mendeley.com/documents/?uuid=05745bf1-955f-4014-b410-06d6d4abe6d0"]}],"mendeley":{"formattedCitation":"(United Nations, 2018)","plainTextFormattedCitation":"(United Nations, 2018)","previouslyFormattedCitation":"(United Nations, 2018)"},"properties":{"noteIndex":0},"schema":"https://github.com/citation-style-language/schema/raw/master/csl-citation.json"}</w:instrText>
      </w:r>
      <w:r w:rsidRPr="004F469F">
        <w:fldChar w:fldCharType="separate"/>
      </w:r>
      <w:r w:rsidRPr="004F469F">
        <w:rPr>
          <w:noProof/>
        </w:rPr>
        <w:t>(United Nations, 2018)</w:t>
      </w:r>
      <w:r w:rsidRPr="004F469F">
        <w:fldChar w:fldCharType="end"/>
      </w:r>
      <w:r w:rsidRPr="004F469F">
        <w:t xml:space="preserve">. The development in population distributions has changed and </w:t>
      </w:r>
      <w:r w:rsidR="00B35ACB">
        <w:t>a</w:t>
      </w:r>
      <w:r w:rsidRPr="004F469F">
        <w:t xml:space="preserve">ffected land use and land cover change considerably. Over the last 30 years </w:t>
      </w:r>
      <w:r w:rsidR="00B35ACB">
        <w:t xml:space="preserve">global </w:t>
      </w:r>
      <w:r w:rsidRPr="004F469F">
        <w:t xml:space="preserve">urban areas have expanded at a rate, on average, twice that of the population growth </w:t>
      </w:r>
      <w:r w:rsidRPr="004F469F">
        <w:fldChar w:fldCharType="begin" w:fldLock="1"/>
      </w:r>
      <w:r w:rsidR="00123266">
        <w:instrText>ADDIN CSL_CITATION {"citationItems":[{"id":"ITEM-1","itemData":{"author":[{"dropping-particle":"","family":"Seto","given":"Karen C","non-dropping-particle":"","parse-names":false,"suffix":""},{"dropping-particle":"","family":"Fragkias","given":"Michail","non-dropping-particle":"","parse-names":false,"suffix":""},{"dropping-particle":"","family":"Güneralp","given":"Burak","non-dropping-particle":"","parse-names":false,"suffix":""},{"dropping-particle":"","family":"Reilly","given":"Michael K","non-dropping-particle":"","parse-names":false,"suffix":""}],"container-title":"PloS one","id":"ITEM-1","issue":"8","issued":{"date-parts":[["2011"]]},"page":"e23777","publisher":"Public Library of Science","title":"A meta-analysis of global urban land expansion","type":"article-journal","volume":"6"},"uris":["http://www.mendeley.com/documents/?uuid=dcd9f1f0-561a-4572-9217-19239a5f5c43"]}],"mendeley":{"formattedCitation":"(Seto et al., 2011)","plainTextFormattedCitation":"(Seto et al., 2011)","previouslyFormattedCitation":"(Seto et al., 2011)"},"properties":{"noteIndex":0},"schema":"https://github.com/citation-style-language/schema/raw/master/csl-citation.json"}</w:instrText>
      </w:r>
      <w:r w:rsidRPr="004F469F">
        <w:fldChar w:fldCharType="separate"/>
      </w:r>
      <w:r w:rsidR="0010658B" w:rsidRPr="00123266">
        <w:rPr>
          <w:noProof/>
        </w:rPr>
        <w:t xml:space="preserve">(Seto </w:t>
      </w:r>
      <w:r w:rsidR="0010658B" w:rsidRPr="00453357">
        <w:rPr>
          <w:i/>
          <w:iCs/>
          <w:noProof/>
        </w:rPr>
        <w:t>et al.</w:t>
      </w:r>
      <w:r w:rsidR="0010658B" w:rsidRPr="00123266">
        <w:rPr>
          <w:noProof/>
        </w:rPr>
        <w:t>, 2011)</w:t>
      </w:r>
      <w:r w:rsidRPr="004F469F">
        <w:fldChar w:fldCharType="end"/>
      </w:r>
      <w:r w:rsidRPr="004F469F">
        <w:t xml:space="preserve">, showing an increase in area consumption per capita </w:t>
      </w:r>
      <w:r w:rsidRPr="004F469F">
        <w:fldChar w:fldCharType="begin" w:fldLock="1"/>
      </w:r>
      <w:r w:rsidR="00123266">
        <w:instrText>ADDIN CSL_CITATION {"citationItems":[{"id":"ITEM-1","itemData":{"author":[{"dropping-particle":"","family":"Scheidel","given":"Arnim","non-dropping-particle":"","parse-names":false,"suffix":""},{"dropping-particle":"","family":"Sorman","given":"Alevgul H","non-dropping-particle":"","parse-names":false,"suffix":""}],"container-title":"Global Environmental Change","id":"ITEM-1","issue":"3","issued":{"date-parts":[["2012"]]},"page":"588-595","publisher":"Elsevier","title":"Energy transitions and the global land rush: Ultimate drivers and persistent consequences","type":"article-journal","volume":"22"},"uris":["http://www.mendeley.com/documents/?uuid=bfc53703-95a6-401f-badc-102ed4b3fb9e"]},{"id":"ITEM-2","itemData":{"author":[{"dropping-particle":"","family":"Sharma","given":"Laxmikant","non-dropping-particle":"","parse-names":false,"suffix":""},{"dropping-particle":"","family":"Pandey","given":"Prem Chandra","non-dropping-particle":"","parse-names":false,"suffix":""},{"dropping-particle":"","family":"Nathawat","given":"M S","non-dropping-particle":"","parse-names":false,"suffix":""}],"container-title":"Journal of Land Use Science","id":"ITEM-2","issue":"2","issued":{"date-parts":[["2012"]]},"page":"135-148","publisher":"Taylor &amp; Francis","title":"Assessment of land consumption rate with urban dynamics change using geospatial techniques","type":"article-journal","volume":"7"},"uris":["http://www.mendeley.com/documents/?uuid=133a6ea6-4bd7-43f9-93c5-3b3c2d71421e"]}],"mendeley":{"formattedCitation":"(Scheidel and Sorman, 2012; Sharma et al., 2012)","plainTextFormattedCitation":"(Scheidel and Sorman, 2012; Sharma et al., 2012)","previouslyFormattedCitation":"(Scheidel and Sorman, 2012; Sharma et al., 2012)"},"properties":{"noteIndex":0},"schema":"https://github.com/citation-style-language/schema/raw/master/csl-citation.json"}</w:instrText>
      </w:r>
      <w:r w:rsidRPr="004F469F">
        <w:fldChar w:fldCharType="separate"/>
      </w:r>
      <w:r w:rsidR="00123266" w:rsidRPr="00123266">
        <w:rPr>
          <w:noProof/>
        </w:rPr>
        <w:t xml:space="preserve">(Scheidel and Sorman, 2012; Sharma </w:t>
      </w:r>
      <w:r w:rsidR="00123266" w:rsidRPr="00453357">
        <w:rPr>
          <w:i/>
          <w:iCs/>
          <w:noProof/>
        </w:rPr>
        <w:t>et al.</w:t>
      </w:r>
      <w:r w:rsidR="00123266" w:rsidRPr="00123266">
        <w:rPr>
          <w:noProof/>
        </w:rPr>
        <w:t>, 2012)</w:t>
      </w:r>
      <w:r w:rsidRPr="004F469F">
        <w:fldChar w:fldCharType="end"/>
      </w:r>
      <w:r w:rsidRPr="004F469F">
        <w:t xml:space="preserve">. In 2018, 82% of the North American population was living in urban areas </w:t>
      </w:r>
      <w:r w:rsidRPr="004F469F">
        <w:fldChar w:fldCharType="begin" w:fldLock="1"/>
      </w:r>
      <w:r w:rsidRPr="004F469F">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prospects","type":"article"},"uris":["http://www.mendeley.com/documents/?uuid=05745bf1-955f-4014-b410-06d6d4abe6d0"]}],"mendeley":{"formattedCitation":"(United Nations, 2018)","plainTextFormattedCitation":"(United Nations, 2018)","previouslyFormattedCitation":"(United Nations, 2018)"},"properties":{"noteIndex":0},"schema":"https://github.com/citation-style-language/schema/raw/master/csl-citation.json"}</w:instrText>
      </w:r>
      <w:r w:rsidRPr="004F469F">
        <w:fldChar w:fldCharType="separate"/>
      </w:r>
      <w:r w:rsidRPr="004F469F">
        <w:rPr>
          <w:noProof/>
        </w:rPr>
        <w:t>(United Nations, 2018)</w:t>
      </w:r>
      <w:r w:rsidRPr="004F469F">
        <w:fldChar w:fldCharType="end"/>
      </w:r>
      <w:r w:rsidRPr="004F469F">
        <w:t xml:space="preserve"> and projections indicate that urban land cover is likely to nearly double by 2030 </w:t>
      </w:r>
      <w:r w:rsidRPr="004F469F">
        <w:fldChar w:fldCharType="begin" w:fldLock="1"/>
      </w:r>
      <w:r w:rsidR="00123266">
        <w:instrText>ADDIN CSL_CITATION {"citationItems":[{"id":"ITEM-1","itemData":{"author":[{"dropping-particle":"","family":"Seto","given":"Karen C","non-dropping-particle":"","parse-names":false,"suffix":""},{"dropping-particle":"","family":"Güneralp","given":"Burak","non-dropping-particle":"","parse-names":false,"suffix":""},{"dropping-particle":"","family":"Hutyra","given":"Lucy R","non-dropping-particle":"","parse-names":false,"suffix":""}],"container-title":"Proceedings of the National Academy of Sciences","id":"ITEM-1","issue":"40","issued":{"date-parts":[["2012"]]},"page":"16083-16088","publisher":"National Acad Sciences","title":"Global forecasts of urban expansion to 2030 and direct impacts on biodiversity and carbon pools","type":"article-journal","volume":"109"},"uris":["http://www.mendeley.com/documents/?uuid=ea4c05a8-080e-4421-b0d8-270fc51acdd0"]}],"mendeley":{"formattedCitation":"(Seto et al., 2012)","plainTextFormattedCitation":"(Seto et al., 2012)","previouslyFormattedCitation":"(Seto et al., 2012)"},"properties":{"noteIndex":0},"schema":"https://github.com/citation-style-language/schema/raw/master/csl-citation.json"}</w:instrText>
      </w:r>
      <w:r w:rsidRPr="004F469F">
        <w:fldChar w:fldCharType="separate"/>
      </w:r>
      <w:r w:rsidR="00123266" w:rsidRPr="00123266">
        <w:rPr>
          <w:noProof/>
        </w:rPr>
        <w:t xml:space="preserve">(Seto </w:t>
      </w:r>
      <w:r w:rsidR="00123266" w:rsidRPr="00453357">
        <w:rPr>
          <w:i/>
          <w:iCs/>
          <w:noProof/>
        </w:rPr>
        <w:t>et al.</w:t>
      </w:r>
      <w:r w:rsidR="00123266" w:rsidRPr="00123266">
        <w:rPr>
          <w:noProof/>
        </w:rPr>
        <w:t>, 2012)</w:t>
      </w:r>
      <w:r w:rsidRPr="004F469F">
        <w:fldChar w:fldCharType="end"/>
      </w:r>
      <w:r w:rsidRPr="004F469F">
        <w:t xml:space="preserve">. Urban expansion in the United States has been characterized by mostly sprawl (as defined by Hamidi and Ewing </w:t>
      </w:r>
      <w:r w:rsidRPr="004F469F">
        <w:fldChar w:fldCharType="begin" w:fldLock="1"/>
      </w:r>
      <w:r w:rsidRPr="004F469F">
        <w:instrText>ADDIN CSL_CITATION {"citationItems":[{"id":"ITEM-1","itemData":{"author":[{"dropping-particle":"","family":"Hamidi","given":"Shima","non-dropping-particle":"","parse-names":false,"suffix":""},{"dropping-particle":"","family":"Ewing","given":"Reid","non-dropping-particle":"","parse-names":false,"suffix":""}],"container-title":"Landscape and Urban Planning","id":"ITEM-1","issued":{"date-parts":[["2014"]]},"page":"72-82","publisher":"Elsevier","title":"A longitudinal study of changes in urban sprawl between 2000 and 2010 in the United States","type":"article-journal","volume":"128"},"suppress-author":1,"uris":["http://www.mendeley.com/documents/?uuid=8a60cf09-b10c-4fdd-8df8-9350ed3741e9"]}],"mendeley":{"formattedCitation":"(2014)","plainTextFormattedCitation":"(2014)","previouslyFormattedCitation":"(2014)"},"properties":{"noteIndex":0},"schema":"https://github.com/citation-style-language/schema/raw/master/csl-citation.json"}</w:instrText>
      </w:r>
      <w:r w:rsidRPr="004F469F">
        <w:fldChar w:fldCharType="separate"/>
      </w:r>
      <w:r w:rsidRPr="004F469F">
        <w:rPr>
          <w:noProof/>
        </w:rPr>
        <w:t>(2014)</w:t>
      </w:r>
      <w:r w:rsidRPr="004F469F">
        <w:fldChar w:fldCharType="end"/>
      </w:r>
      <w:r w:rsidRPr="004F469F">
        <w:t xml:space="preserve"> </w:t>
      </w:r>
      <w:r w:rsidRPr="004F469F">
        <w:rPr>
          <w:shd w:val="clear" w:color="auto" w:fill="FFFFFF"/>
        </w:rPr>
        <w:t xml:space="preserve">where the predominant development character is low-density housing spread over a large land area) </w:t>
      </w:r>
      <w:r w:rsidRPr="004F469F">
        <w:t xml:space="preserve">since the mid-1940s with populations moving from the urban core to more suburban locations </w:t>
      </w:r>
      <w:r w:rsidRPr="004F469F">
        <w:fldChar w:fldCharType="begin" w:fldLock="1"/>
      </w:r>
      <w:r w:rsidR="00123266">
        <w:instrText>ADDIN CSL_CITATION {"citationItems":[{"id":"ITEM-1","itemData":{"author":[{"dropping-particle":"","family":"Handy","given":"Susan","non-dropping-particle":"","parse-names":false,"suffix":""}],"container-title":"International regional science review","id":"ITEM-1","issue":"2","issued":{"date-parts":[["2005"]]},"page":"146-167","publisher":"Sage publications Sage CA: Thousand Oaks, CA","title":"Smart growth and the transportation-land use connection: What does the research tell us?","type":"article-journal","volume":"28"},"uris":["http://www.mendeley.com/documents/?uuid=8c6ca507-8518-448c-8549-ff9c9b8adf09"]},{"id":"ITEM-2","itemData":{"author":[{"dropping-particle":"","family":"Radeloff","given":"Volker C","non-dropping-particle":"","parse-names":false,"suffix":""},{"dropping-particle":"","family":"Hammer","given":"Roger B","non-dropping-particle":"","parse-names":false,"suffix":""},{"dropping-particle":"","family":"Stewart","given":"Susan I","non-dropping-particle":"","parse-names":false,"suffix":""}],"container-title":"Conservation biology","id":"ITEM-2","issue":"3","issued":{"date-parts":[["2005"]]},"page":"793-805","publisher":"Wiley Online Library","title":"Rural and suburban sprawl in the US Midwest from 1940 to 2000 and its relation to forest fragmentation","type":"article-journal","volume":"19"},"uris":["http://www.mendeley.com/documents/?uuid=f5ae474c-5271-4be5-a71c-360886968102"]},{"id":"ITEM-3","itemData":{"author":[{"dropping-particle":"","family":"Danielsen","given":"Karen A","non-dropping-particle":"","parse-names":false,"suffix":""},{"dropping-particle":"","family":"Lang","given":"Robert E","non-dropping-particle":"","parse-names":false,"suffix":""},{"dropping-particle":"","family":"Fulton","given":"William","non-dropping-particle":"","parse-names":false,"suffix":""}],"id":"ITEM-3","issued":{"date-parts":[["1999"]]},"publisher":"Taylor &amp; Francis","title":"Retracting suburbia: Smart growth and the future of housing","type":"article-journal"},"uris":["http://www.mendeley.com/documents/?uuid=ceda9ba5-792d-493b-83de-a88601095bd7"]}],"mendeley":{"formattedCitation":"(Danielsen et al., 1999; Handy, 2005; Radeloff et al., 2005)","plainTextFormattedCitation":"(Danielsen et al., 1999; Handy, 2005; Radeloff et al., 2005)","previouslyFormattedCitation":"(Danielsen et al., 1999; Handy, 2005; Radeloff et al., 2005)"},"properties":{"noteIndex":0},"schema":"https://github.com/citation-style-language/schema/raw/master/csl-citation.json"}</w:instrText>
      </w:r>
      <w:r w:rsidRPr="004F469F">
        <w:fldChar w:fldCharType="separate"/>
      </w:r>
      <w:r w:rsidR="00123266" w:rsidRPr="00123266">
        <w:rPr>
          <w:noProof/>
        </w:rPr>
        <w:t xml:space="preserve">(Danielsen </w:t>
      </w:r>
      <w:r w:rsidR="00123266" w:rsidRPr="00453357">
        <w:rPr>
          <w:i/>
          <w:iCs/>
          <w:noProof/>
        </w:rPr>
        <w:t>et al.</w:t>
      </w:r>
      <w:r w:rsidR="00123266" w:rsidRPr="00123266">
        <w:rPr>
          <w:noProof/>
        </w:rPr>
        <w:t xml:space="preserve">, 1999; Handy, 2005; Radeloff </w:t>
      </w:r>
      <w:r w:rsidR="00123266" w:rsidRPr="00453357">
        <w:rPr>
          <w:i/>
          <w:iCs/>
          <w:noProof/>
        </w:rPr>
        <w:t>et al.</w:t>
      </w:r>
      <w:r w:rsidR="00123266" w:rsidRPr="00123266">
        <w:rPr>
          <w:noProof/>
        </w:rPr>
        <w:t>, 2005)</w:t>
      </w:r>
      <w:r w:rsidRPr="004F469F">
        <w:fldChar w:fldCharType="end"/>
      </w:r>
      <w:r w:rsidRPr="004F469F">
        <w:t>.</w:t>
      </w:r>
    </w:p>
    <w:p w14:paraId="6D03B108" w14:textId="1A70A926" w:rsidR="00DF5082" w:rsidRPr="004F469F" w:rsidRDefault="00DF5082" w:rsidP="009225F0">
      <w:pPr>
        <w:spacing w:after="120" w:line="480" w:lineRule="auto"/>
        <w:ind w:firstLine="720"/>
      </w:pPr>
      <w:r w:rsidRPr="004F469F">
        <w:t xml:space="preserve">Land use and land cover change due to urban expansion have considerable effects on both people and the environment. Urban expansion is responsible for increases in habitat loss and species extinction </w:t>
      </w:r>
      <w:r w:rsidRPr="004F469F">
        <w:fldChar w:fldCharType="begin" w:fldLock="1"/>
      </w:r>
      <w:r w:rsidR="00123266">
        <w:instrText>ADDIN CSL_CITATION {"citationItems":[{"id":"ITEM-1","itemData":{"author":[{"dropping-particle":"","family":"IPCC","given":"","non-dropping-particle":"","parse-names":false,"suffix":""}],"id":"ITEM-1","issued":{"date-parts":[["2019"]]},"title":"Special Report on Climate Change and Land","type":"report"},"uris":["http://www.mendeley.com/documents/?uuid=7d35f8f1-acab-4564-a6c2-7f1a55787cf9"]},{"id":"ITEM-2","itemData":{"author":[{"dropping-particle":"","family":"Seto","given":"Karen C","non-dropping-particle":"","parse-names":false,"suffix":""},{"dropping-particle":"","family":"Güneralp","given":"Burak","non-dropping-particle":"","parse-names":false,"suffix":""},{"dropping-particle":"","family":"Hutyra","given":"Lucy R","non-dropping-particle":"","parse-names":false,"suffix":""}],"container-title":"Proceedings of the National Academy of Sciences","id":"ITEM-2","issue":"40","issued":{"date-parts":[["2012"]]},"page":"16083-16088","publisher":"National Acad Sciences","title":"Global forecasts of urban expansion to 2030 and direct impacts on biodiversity and carbon pools","type":"article-journal","volume":"109"},"uris":["http://www.mendeley.com/documents/?uuid=ea4c05a8-080e-4421-b0d8-270fc51acdd0"]},{"id":"ITEM-3","itemData":{"author":[{"dropping-particle":"","family":"Foley","given":"Jonathan A","non-dropping-particle":"","parse-names":false,"suffix":""},{"dropping-particle":"","family":"DeFries","given":"Ruth","non-dropping-particle":"","parse-names":false,"suffix":""},{"dropping-particle":"","family":"Asner","given":"Gregory P","non-dropping-particle":"","parse-names":false,"suffix":""},{"dropping-particle":"","family":"Barford","given":"Carol","non-dropping-particle":"","parse-names":false,"suffix":""},{"dropping-particle":"","family":"Bonan","given":"Gordon","non-dropping-particle":"","parse-names":false,"suffix":""},{"dropping-particle":"","family":"Carpenter","given":"Stephen R","non-dropping-particle":"","parse-names":false,"suffix":""},{"dropping-particle":"","family":"Chapin","given":"F Stuart","non-dropping-particle":"","parse-names":false,"suffix":""},{"dropping-particle":"","family":"Coe","given":"Michael T","non-dropping-particle":"","parse-names":false,"suffix":""},{"dropping-particle":"","family":"Daily","given":"Gretchen C","non-dropping-particle":"","parse-names":false,"suffix":""},{"dropping-particle":"","family":"Gibbs","given":"Holly K","non-dropping-particle":"","parse-names":false,"suffix":""},{"dropping-particle":"","family":"others","given":"","non-dropping-particle":"","parse-names":false,"suffix":""}],"container-title":"science","id":"ITEM-3","issue":"5734","issued":{"date-parts":[["2005"]]},"page":"570-574","publisher":"American Association for the Advancement of Science","title":"Global consequences of land use","type":"article-journal","volume":"309"},"uris":["http://www.mendeley.com/documents/?uuid=b2bfb5f6-19af-4076-9452-05896ce44fa4"]}],"mendeley":{"formattedCitation":"(Foley et al., 2005; Seto et al., 2012; IPCC, 2019)","plainTextFormattedCitation":"(Foley et al., 2005; Seto et al., 2012; IPCC, 2019)","previouslyFormattedCitation":"(Foley et al., 2005; Seto et al., 2012; IPCC, 2019)"},"properties":{"noteIndex":0},"schema":"https://github.com/citation-style-language/schema/raw/master/csl-citation.json"}</w:instrText>
      </w:r>
      <w:r w:rsidRPr="004F469F">
        <w:fldChar w:fldCharType="separate"/>
      </w:r>
      <w:r w:rsidR="00123266" w:rsidRPr="00123266">
        <w:rPr>
          <w:noProof/>
        </w:rPr>
        <w:t xml:space="preserve">(Foley </w:t>
      </w:r>
      <w:r w:rsidR="00123266" w:rsidRPr="00453357">
        <w:rPr>
          <w:i/>
          <w:iCs/>
          <w:noProof/>
        </w:rPr>
        <w:t>et al.</w:t>
      </w:r>
      <w:r w:rsidR="00123266" w:rsidRPr="00123266">
        <w:rPr>
          <w:noProof/>
        </w:rPr>
        <w:t xml:space="preserve">, 2005; Seto </w:t>
      </w:r>
      <w:r w:rsidR="00123266" w:rsidRPr="00453357">
        <w:rPr>
          <w:i/>
          <w:iCs/>
          <w:noProof/>
        </w:rPr>
        <w:t>et al.</w:t>
      </w:r>
      <w:r w:rsidR="00123266" w:rsidRPr="00123266">
        <w:rPr>
          <w:noProof/>
        </w:rPr>
        <w:t>, 2012; IPCC, 2019)</w:t>
      </w:r>
      <w:r w:rsidRPr="004F469F">
        <w:fldChar w:fldCharType="end"/>
      </w:r>
      <w:r w:rsidRPr="004F469F">
        <w:t xml:space="preserve">, loss of agricultural land </w:t>
      </w:r>
      <w:r w:rsidRPr="004F469F">
        <w:fldChar w:fldCharType="begin" w:fldLock="1"/>
      </w:r>
      <w:r w:rsidR="00123266">
        <w:instrText>ADDIN CSL_CITATION {"citationItems":[{"id":"ITEM-1","itemData":{"author":[{"dropping-particle":"","family":"Seto","given":"Karen C","non-dropping-particle":"","parse-names":false,"suffix":""},{"dropping-particle":"","family":"Ramankutty","given":"Navin","non-dropping-particle":"","parse-names":false,"suffix":""}],"container-title":"Science","id":"ITEM-1","issue":"6288","issued":{"date-parts":[["2016"]]},"page":"943-945","publisher":"American Association for the Advancement of Science","title":"Hidden linkages between urbanization and food systems","type":"article-journal","volume":"352"},"uris":["http://www.mendeley.com/documents/?uuid=a732a8f3-0781-4394-be38-53a6fee61ffa"]},{"id":"ITEM-2","itemData":{"author":[{"dropping-particle":"","family":"d’Amour","given":"Christopher Bren","non-dropping-particle":"","parse-names":false,"suffix":""},{"dropping-particle":"","family":"Reitsma","given":"Femke","non-dropping-particle":"","parse-names":false,"suffix":""},{"dropping-particle":"","family":"Baiocchi","given":"Giovanni","non-dropping-particle":"","parse-names":false,"suffix":""},{"dropping-particle":"","family":"Barthel","given":"Stephan","non-dropping-particle":"","parse-names":false,"suffix":""},{"dropping-particle":"","family":"Güneralp","given":"Burak","non-dropping-particle":"","parse-names":false,"suffix":""},{"dropping-particle":"","family":"Erb","given":"Karl-Heinz","non-dropping-particle":"","parse-names":false,"suffix":""},{"dropping-particle":"","family":"Haberl","given":"Helmut","non-dropping-particle":"","parse-names":false,"suffix":""},{"dropping-particle":"","family":"Creutzig","given":"Felix","non-dropping-particle":"","parse-names":false,"suffix":""},{"dropping-particle":"","family":"Seto","given":"Karen C","non-dropping-particle":"","parse-names":false,"suffix":""}],"container-title":"Proceedings of the National Academy of Sciences","id":"ITEM-2","issue":"34","issued":{"date-parts":[["2017"]]},"page":"8939-8944","publisher":"National Acad Sciences","title":"Future urban land expansion and implications for global croplands","type":"article-journal","volume":"114"},"uris":["http://www.mendeley.com/documents/?uuid=7d204a63-58dd-4f9c-b647-e0a192fea152"]}],"mendeley":{"formattedCitation":"(Seto and Ramankutty, 2016; d’Amour et al., 2017)","plainTextFormattedCitation":"(Seto and Ramankutty, 2016; d’Amour et al., 2017)","previouslyFormattedCitation":"(Seto and Ramankutty, 2016; d’Amour et al., 2017)"},"properties":{"noteIndex":0},"schema":"https://github.com/citation-style-language/schema/raw/master/csl-citation.json"}</w:instrText>
      </w:r>
      <w:r w:rsidRPr="004F469F">
        <w:fldChar w:fldCharType="separate"/>
      </w:r>
      <w:r w:rsidR="0010658B" w:rsidRPr="00123266">
        <w:rPr>
          <w:noProof/>
        </w:rPr>
        <w:t xml:space="preserve">(Seto and Ramankutty, 2016; d’Amour </w:t>
      </w:r>
      <w:r w:rsidR="0010658B" w:rsidRPr="00453357">
        <w:rPr>
          <w:i/>
          <w:iCs/>
          <w:noProof/>
        </w:rPr>
        <w:t>et al.</w:t>
      </w:r>
      <w:r w:rsidR="0010658B" w:rsidRPr="00123266">
        <w:rPr>
          <w:noProof/>
        </w:rPr>
        <w:t>, 2017)</w:t>
      </w:r>
      <w:r w:rsidRPr="004F469F">
        <w:fldChar w:fldCharType="end"/>
      </w:r>
      <w:r w:rsidRPr="004F469F">
        <w:t xml:space="preserve">, pollution </w:t>
      </w:r>
      <w:r w:rsidRPr="004F469F">
        <w:fldChar w:fldCharType="begin" w:fldLock="1"/>
      </w:r>
      <w:r w:rsidRPr="004F469F">
        <w:instrText>ADDIN CSL_CITATION {"citationItems":[{"id":"ITEM-1","itemData":{"author":[{"dropping-particle":"","family":"Frumkin","given":"Howard","non-dropping-particle":"","parse-names":false,"suffix":""}],"container-title":"Public health reports","id":"ITEM-1","issued":{"date-parts":[["2016"]]},"publisher":"SAGE PublicationsSage CA: Los Angeles, CA","title":"Urban sprawl and public health","type":"article-journal"},"uris":["http://www.mendeley.com/documents/?uuid=bcf3ebb0-cbbc-40cf-9350-7c124d52be34"]}],"mendeley":{"formattedCitation":"(Frumkin, 2016)","plainTextFormattedCitation":"(Frumkin, 2016)","previouslyFormattedCitation":"(Frumkin, 2016)"},"properties":{"noteIndex":0},"schema":"https://github.com/citation-style-language/schema/raw/master/csl-citation.json"}</w:instrText>
      </w:r>
      <w:r w:rsidRPr="004F469F">
        <w:fldChar w:fldCharType="separate"/>
      </w:r>
      <w:r w:rsidRPr="004F469F">
        <w:rPr>
          <w:noProof/>
        </w:rPr>
        <w:t>(Frumkin, 2016)</w:t>
      </w:r>
      <w:r w:rsidRPr="004F469F">
        <w:fldChar w:fldCharType="end"/>
      </w:r>
      <w:r w:rsidRPr="004F469F">
        <w:t xml:space="preserve">, and income disparity </w:t>
      </w:r>
      <w:r w:rsidRPr="004F469F">
        <w:fldChar w:fldCharType="begin" w:fldLock="1"/>
      </w:r>
      <w:r w:rsidR="0010658B">
        <w:instrText>ADDIN CSL_CITATION {"citationItems":[{"id":"ITEM-1","itemData":{"author":[{"dropping-particle":"","family":"Powell","given":"John A","non-dropping-particle":"","parse-names":false,"suffix":""}],"container-title":"The Brookings Review","id":"ITEM-1","issue":"4","issued":{"date-parts":[["1998"]]},"page":"20","publisher":"Brookings Institution Press","title":"Race and space: What really drives metropolitan growth","type":"article-journal","volume":"16"},"uris":["http://www.mendeley.com/documents/?uuid=d269352d-b957-4f3c-b062-d8a482054154"]}],"mendeley":{"formattedCitation":"(Powell, 1998)","plainTextFormattedCitation":"(Powell, 1998)","previouslyFormattedCitation":"(Powell, 1998)"},"properties":{"noteIndex":0},"schema":"https://github.com/citation-style-language/schema/raw/master/csl-citation.json"}</w:instrText>
      </w:r>
      <w:r w:rsidRPr="004F469F">
        <w:fldChar w:fldCharType="separate"/>
      </w:r>
      <w:r w:rsidR="0010658B" w:rsidRPr="0010658B">
        <w:rPr>
          <w:noProof/>
        </w:rPr>
        <w:t>(Powell, 1998)</w:t>
      </w:r>
      <w:r w:rsidRPr="004F469F">
        <w:fldChar w:fldCharType="end"/>
      </w:r>
      <w:r w:rsidRPr="004F469F">
        <w:t xml:space="preserve">. Additionally, urban expansion has implications for the impacts of hazards. As population numbers increase, more land is developed, and more expensive real estate is built, the potential for high-impact hazard events increases </w:t>
      </w:r>
      <w:r w:rsidRPr="004F469F">
        <w:fldChar w:fldCharType="begin" w:fldLock="1"/>
      </w:r>
      <w:r w:rsidR="00123266">
        <w:instrText>ADDIN CSL_CITATION {"citationItems":[{"id":"ITEM-1","itemData":{"DOI":"10.1016/j.apgeog.2018.03.005","ISSN":"01436228","abstract":"This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Geography","id":"ITEM-1","issue":"March 2017","issued":{"date-parts":[["2018"]]},"page":"18-29","publisher":"Elsevier Ltd","title":"How land use alters the tornado disaster landscape","type":"article-journal","volume":"94"},"uris":["http://www.mendeley.com/documents/?uuid=d9748686-b846-458c-a837-e1e5ffc60746"]},{"id":"ITEM-2","itemData":{"DOI":"10.1007/s10584-017-1905-4","author":[{"dropping-particle":"","family":"Strader","given":"Stephen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Change","id":"ITEM-2","issue":"2","issued":{"date-parts":[["2017"]]},"page":"301-313","publisher":"Springer","title":"Projected 21st century changes in tornado exposure, risk, and disaster potential","type":"article-journal","volume":"141"},"uris":["http://www.mendeley.com/documents/?uuid=f875dd0e-da5d-4186-8536-d8e3921d37a0"]},{"id":"ITEM-3","itemData":{"author":[{"dropping-particle":"","family":"Ashley","given":"Walker S.","non-dropping-particle":"","parse-names":false,"suffix":""},{"dropping-particle":"","family":"Strader","given":"Stephen M.","non-dropping-particle":"","parse-names":false,"suffix":""}],"container-title":"Bulletin of the American Meteorological Society","id":"ITEM-3","issue":"5","issued":{"date-parts":[["2016"]]},"page":"767-786","title":"Recipe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 Strader et al., 2017a, 2018)","plainTextFormattedCitation":"(Ashley and Strader, 2016; Strader et al., 2017a, 2018)","previouslyFormattedCitation":"(Ashley and Strader, 2016; Strader et al., 2017a, 2018)"},"properties":{"noteIndex":0},"schema":"https://github.com/citation-style-language/schema/raw/master/csl-citation.json"}</w:instrText>
      </w:r>
      <w:r w:rsidRPr="004F469F">
        <w:fldChar w:fldCharType="separate"/>
      </w:r>
      <w:r w:rsidR="00123266" w:rsidRPr="00123266">
        <w:rPr>
          <w:noProof/>
        </w:rPr>
        <w:t xml:space="preserve">(Ashley and Strader, 2016; Strader </w:t>
      </w:r>
      <w:r w:rsidR="00123266" w:rsidRPr="00453357">
        <w:rPr>
          <w:i/>
          <w:iCs/>
          <w:noProof/>
        </w:rPr>
        <w:t>et al.</w:t>
      </w:r>
      <w:r w:rsidR="00123266" w:rsidRPr="00123266">
        <w:rPr>
          <w:noProof/>
        </w:rPr>
        <w:t>, 2017a, 2018)</w:t>
      </w:r>
      <w:r w:rsidRPr="004F469F">
        <w:fldChar w:fldCharType="end"/>
      </w:r>
      <w:r w:rsidRPr="004F469F">
        <w:t xml:space="preserve">. Studies have shown an increase in economic losses from weather-related </w:t>
      </w:r>
      <w:r w:rsidRPr="004F469F">
        <w:lastRenderedPageBreak/>
        <w:t xml:space="preserve">disasters, including tornadoes in recent decades </w:t>
      </w:r>
      <w:r w:rsidRPr="004F469F">
        <w:fldChar w:fldCharType="begin" w:fldLock="1"/>
      </w:r>
      <w:r w:rsidR="00123266">
        <w:instrText>ADDIN CSL_CITATION {"citationItems":[{"id":"ITEM-1","itemData":{"DOI":"10.1007/s11069-013-0566-5","ISBN":"0921-030X","ISSN":"0921030X","abstract":"This paper focuses on the US Billion-dollar Weather/Climate Disaster report by the National Oceanic and Atmospheric Administration's National Climatic Data Center. The current methodology for the production of this loss dataset is described, highlighting its strengths and limitations including sources of uncertainty and bias. The Insurance Services Office/Property Claims Service, the US Federal Emergency Management Agency's National Flood Insurance Program and the US Department of Agriculture's crop insurance program are key sources of quantified disaster loss data, among others. The methodology uses a factor approach to convert from insured losses to total direct losses, one potential limitation. An increasing trend in annual aggregate losses is shown to be primarily attributable to a statistically significant increasing trend of about 5 % per year in the frequency of billion-dollar disasters. So the question arises of how such trend estimates are affected by uncertainties and biases in the billion-dollar disaster data. The net effect of all biases appears to be an underestimation of average loss. In particular, it is shown that the factor approach can result in a considerable underestimation of average loss of roughly 10-15 %. Because this bias is systematic, any trends in losses from tropical cyclones appear to be robust to variations in insurance participation rates. Any attribution of the marked increasing trends in crop losses is complicated by a major expansion of the federally subsidized crop insurance program, as a consequence encompassing more marginal land. Recommendations concerning how the current methodology can be improved to increase the quality of the billion-dollar disaster dataset include refining the factor approach to more realistically take into account spatial and temporal variations in insurance participation rates.","author":[{"dropping-particle":"","family":"Smith","given":"Adam B.","non-dropping-particle":"","parse-names":false,"suffix":""},{"dropping-particle":"","family":"Katz","given":"Richard W.","non-dropping-particle":"","parse-names":false,"suffix":""}],"container-title":"Natural Hazards","id":"ITEM-1","issue":"2","issued":{"date-parts":[["2013"]]},"page":"387-410","title":"US billion-dollar weather and climate disasters: Data sources, trends, accuracy and biases","type":"article-journal","volume":"67"},"uris":["http://www.mendeley.com/documents/?uuid=ff691012-ca7b-4f8a-bad9-1941c6dfa0bf"]},{"id":"ITEM-2","itemData":{"author":[{"dropping-particle":"","family":"Simmons","given":"Kevin M","non-dropping-particle":"","parse-names":false,"suffix":""},{"dropping-particle":"","family":"Sutter","given":"Daniel","non-dropping-particle":"","parse-names":false,"suffix":""},{"dropping-particle":"","family":"Pielke","given":"Roger","non-dropping-particle":"","parse-names":false,"suffix":""}],"container-title":"Environmental Hazards","id":"ITEM-2","issue":"2","issued":{"date-parts":[["2013"]]},"page":"132-147","publisher":"Taylor &amp; Francis","title":"Normalized tornado damage in the United States: 1950--2011","type":"article-journal","volume":"12"},"uris":["http://www.mendeley.com/documents/?uuid=f5b699d7-1561-4a4f-9fc0-b0ccce670a80"]}],"mendeley":{"formattedCitation":"(Simmons et al., 2013; Smith and Katz, 2013)","plainTextFormattedCitation":"(Simmons et al., 2013; Smith and Katz, 2013)","previouslyFormattedCitation":"(Simmons et al., 2013; Smith and Katz, 2013)"},"properties":{"noteIndex":0},"schema":"https://github.com/citation-style-language/schema/raw/master/csl-citation.json"}</w:instrText>
      </w:r>
      <w:r w:rsidRPr="004F469F">
        <w:fldChar w:fldCharType="separate"/>
      </w:r>
      <w:r w:rsidR="00123266" w:rsidRPr="00123266">
        <w:rPr>
          <w:noProof/>
        </w:rPr>
        <w:t xml:space="preserve">(Simmons </w:t>
      </w:r>
      <w:r w:rsidR="00123266" w:rsidRPr="00453357">
        <w:rPr>
          <w:i/>
          <w:iCs/>
          <w:noProof/>
        </w:rPr>
        <w:t>et al.</w:t>
      </w:r>
      <w:r w:rsidR="00123266" w:rsidRPr="00123266">
        <w:rPr>
          <w:noProof/>
        </w:rPr>
        <w:t>, 2013; Smith and Katz, 2013)</w:t>
      </w:r>
      <w:r w:rsidRPr="004F469F">
        <w:fldChar w:fldCharType="end"/>
      </w:r>
      <w:r w:rsidRPr="004F469F">
        <w:t xml:space="preserve">. While increasing population numbers alone can influence hazard impacts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Pr="004F469F">
        <w:fldChar w:fldCharType="end"/>
      </w:r>
      <w:r w:rsidRPr="004F469F">
        <w:t>, the distribution of this additional population is an important driver as well. Sprawl-type development covers more of the landscape in low-density housing, while infill-type development builds up existing developments (</w:t>
      </w:r>
      <w:r w:rsidRPr="002614B3">
        <w:rPr>
          <w:i/>
          <w:iCs/>
        </w:rPr>
        <w:t>i.e.</w:t>
      </w:r>
      <w:r w:rsidRPr="004F469F">
        <w:t xml:space="preserve">, taller buildings) or fills in vacant plots within an existing urban development </w:t>
      </w:r>
      <w:r w:rsidRPr="004F469F">
        <w:fldChar w:fldCharType="begin" w:fldLock="1"/>
      </w:r>
      <w:r w:rsidR="0010658B">
        <w:instrText>ADDIN CSL_CITATION {"citationItems":[{"id":"ITEM-1","itemData":{"author":[{"dropping-particle":"","family":"Laidley","given":"Thomas","non-dropping-particle":"","parse-names":false,"suffix":""}],"container-title":"Urban Affairs Review","id":"ITEM-1","issue":"1","issued":{"date-parts":[["2016"]]},"page":"66-97","publisher":"SAGE Publications Sage CA: Los Angeles, CA","title":"Measuring sprawl: a new index, recent trends, and future research","type":"article-journal","volume":"52"},"uris":["http://www.mendeley.com/documents/?uuid=3dba1c64-6cea-4a88-99fa-e02bae6e49b5"]},{"id":"ITEM-2","itemData":{"author":[{"dropping-particle":"","family":"Hamidi","given":"Shima","non-dropping-particle":"","parse-names":false,"suffix":""},{"dropping-particle":"","family":"Ewing","given":"Reid","non-dropping-particle":"","parse-names":false,"suffix":""}],"container-title":"Landscape and Urban Planning","id":"ITEM-2","issued":{"date-parts":[["2014"]]},"page":"72-82","publisher":"Elsevier","title":"A longitudinal study of changes in urban sprawl between 2000 and 2010 in the United States","type":"article-journal","volume":"128"},"uris":["http://www.mendeley.com/documents/?uuid=8a60cf09-b10c-4fdd-8df8-9350ed3741e9"]}],"mendeley":{"formattedCitation":"(Hamidi and Ewing, 2014; Laidley, 2016)","plainTextFormattedCitation":"(Hamidi and Ewing, 2014; Laidley, 2016)","previouslyFormattedCitation":"(Hamidi and Ewing, 2014; Laidley, 2016)"},"properties":{"noteIndex":0},"schema":"https://github.com/citation-style-language/schema/raw/master/csl-citation.json"}</w:instrText>
      </w:r>
      <w:r w:rsidRPr="004F469F">
        <w:fldChar w:fldCharType="separate"/>
      </w:r>
      <w:r w:rsidR="0010658B" w:rsidRPr="0010658B">
        <w:rPr>
          <w:noProof/>
        </w:rPr>
        <w:t>(Hamidi and Ewing, 2014; Laidley, 2016)</w:t>
      </w:r>
      <w:r w:rsidRPr="004F469F">
        <w:fldChar w:fldCharType="end"/>
      </w:r>
      <w:r w:rsidRPr="004F469F">
        <w:t xml:space="preserve">. Sprawl-type development tends to increase the overall risk posed by hazards as the urban area expands placing more people in potential impact zones </w:t>
      </w:r>
      <w:r w:rsidRPr="004F469F">
        <w:fldChar w:fldCharType="begin" w:fldLock="1"/>
      </w:r>
      <w:r w:rsidR="00123266">
        <w:instrText>ADDIN CSL_CITATION {"citationItems":[{"id":"ITEM-1","itemData":{"DOI":"10.1016/j.apgeog.2018.03.005","ISSN":"01436228","abstract":"This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Geography","id":"ITEM-1","issue":"March 2017","issued":{"date-parts":[["2018"]]},"page":"18-29","publisher":"Elsevier Ltd","title":"How land use alters the tornado disaster landscape","type":"article-journal","volume":"94"},"uris":["http://www.mendeley.com/documents/?uuid=d9748686-b846-458c-a837-e1e5ffc60746"]},{"id":"ITEM-2","itemData":{"author":[{"dropping-particle":"","family":"Stone","given":"Brian","non-dropping-particle":"","parse-names":false,"suffix":""},{"dropping-particle":"","family":"Hess","given":"Jeremy J","non-dropping-particle":"","parse-names":false,"suffix":""},{"dropping-particle":"","family":"Frumkin","given":"Howard","non-dropping-particle":"","parse-names":false,"suffix":""}],"container-title":"Environmental health perspectives","id":"ITEM-2","issue":"10","issued":{"date-parts":[["2010"]]},"page":"1425-1428","publisher":"National Institute of Environmental Health Sciences","title":"Urban form and extreme heat events: are sprawling cities more vulnerable to climate change than compact cities?","type":"article-journal","volume":"118"},"uris":["http://www.mendeley.com/documents/?uuid=961126c7-689e-414b-bc1e-d45398cf5eea"]}],"mendeley":{"formattedCitation":"(Stone et al., 2010; Strader et al., 2018)","plainTextFormattedCitation":"(Stone et al., 2010; Strader et al., 2018)","previouslyFormattedCitation":"(Stone et al., 2010; Strader et al., 2018)"},"properties":{"noteIndex":0},"schema":"https://github.com/citation-style-language/schema/raw/master/csl-citation.json"}</w:instrText>
      </w:r>
      <w:r w:rsidRPr="004F469F">
        <w:fldChar w:fldCharType="separate"/>
      </w:r>
      <w:r w:rsidR="00123266" w:rsidRPr="00123266">
        <w:rPr>
          <w:noProof/>
        </w:rPr>
        <w:t xml:space="preserve">(Stone </w:t>
      </w:r>
      <w:r w:rsidR="00123266" w:rsidRPr="00453357">
        <w:rPr>
          <w:i/>
          <w:iCs/>
          <w:noProof/>
        </w:rPr>
        <w:t>et al.</w:t>
      </w:r>
      <w:r w:rsidR="00123266" w:rsidRPr="00123266">
        <w:rPr>
          <w:noProof/>
        </w:rPr>
        <w:t xml:space="preserve">, 2010; Strader </w:t>
      </w:r>
      <w:r w:rsidR="00123266" w:rsidRPr="00453357">
        <w:rPr>
          <w:i/>
          <w:iCs/>
          <w:noProof/>
        </w:rPr>
        <w:t>et al.</w:t>
      </w:r>
      <w:r w:rsidR="00123266" w:rsidRPr="00123266">
        <w:rPr>
          <w:noProof/>
        </w:rPr>
        <w:t>, 2018)</w:t>
      </w:r>
      <w:r w:rsidRPr="004F469F">
        <w:fldChar w:fldCharType="end"/>
      </w:r>
      <w:r w:rsidRPr="004F469F">
        <w:t xml:space="preserve">. Infill-type development does not expand the perimeter of the developed area. However, it does increase the population density within the urban area. The net result of infill is that the overall risk is lower than for sprawl; however, the maximum potential impacts increase when hazards occur in densely populated areas due to increases in population density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illinois","type":"article-journal","volume":"6"},"uris":["http://www.mendeley.com/documents/?uuid=0e441156-498a-43d6-9545-e97b6fa0d5df"]},{"id":"ITEM-2","itemData":{"DOI":"10.1175/BAMS-88-1-31","ISBN":"0003-0007 1520-0477","ISSN":"00030007","abstract":"Using an axisymmetric model of tornado structure tightly constrained by high-resolution wind field measurements collected by Doppler on Wheels (DOW) mobile radars, the potential impacts of intense tornadoes crossing densely populated urban areas are evaluated. DOW radar measurements combined with in situ low-level wind measurements permit the quantification of lowlevel tornadic winds that would impact structures. Axisymmetric modeled wind fields from actual and hypothetical tornadoes are simulated to impact high-density residential and commercial districts of several major cities. U.S. census block data, satellite imagery, and other sources are used to characterize and count the number of structures impacted by intense winds, up to 132 m s−1, and estimate the level and cost of resulting damage. Census data are used to estimate residential occupancy and human casualties. Results indicate that a large and intense tornado crossing through residential portions of Chicago, Illinois, could result in tragic consequences with winds in excess of 76 m s−1 impacting 99 km2, substantially destroying up to 239,000 single-and dual-family housing units, occupied by up to 699,000 people, resulting in 4,500–45,000 deaths, and causing substantial damage to over 400,000 homes occupied by over 1,100,000 people. Widespread damage caused by winds exceeding 102 m s−1 could occur over a broad area of the high-rise office and apartment districts causing permanent structural damage to many such buildings. Smaller and less intense tornadoes would cause lesser, but still substantial, levels of damage and mortality. Tornadoes crossing Houston and Dallas–Fort Worth, Texas; New York, New York; Saint Louis, Missouri; Washington, D.C., and Atlanta, Georgia, could cause varying levels of damage and mortality.","author":[{"dropping-particle":"","family":"Wurman","given":"Joshua","non-dropping-particle":"","parse-names":false,"suffix":""},{"dropping-particle":"","family":"Alexander","given":"Curtis","non-dropping-particle":"","parse-names":false,"suffix":""},{"dropping-particle":"","family":"Robinson","given":"Paul","non-dropping-particle":"","parse-names":false,"suffix":""},{"dropping-particle":"","family":"Richardson","given":"Yvette","non-dropping-particle":"","parse-names":false,"suffix":""}],"container-title":"Bulletin of the American Meteorological Society","id":"ITEM-2","issue":"1","issued":{"date-parts":[["2007"]]},"page":"31-46","title":"Low-level winds in tornadoes and potential catastrophic tornado impacts in urban areas","type":"article-journal","volume":"88"},"uris":["http://www.mendeley.com/documents/?uuid=6b61d9bd-055f-4858-8645-03943c0892b6"]}],"mendeley":{"formattedCitation":"(Wurman et al., 2007; Ashley et al., 2014)","plainTextFormattedCitation":"(Wurman et al., 2007; Ashley et al., 2014)","previouslyFormattedCitation":"(Wurman et al., 2007; Ashley et al., 2014)"},"properties":{"noteIndex":0},"schema":"https://github.com/citation-style-language/schema/raw/master/csl-citation.json"}</w:instrText>
      </w:r>
      <w:r w:rsidRPr="004F469F">
        <w:fldChar w:fldCharType="separate"/>
      </w:r>
      <w:r w:rsidR="0010658B" w:rsidRPr="00123266">
        <w:rPr>
          <w:noProof/>
        </w:rPr>
        <w:t xml:space="preserve">(Wurman </w:t>
      </w:r>
      <w:r w:rsidR="0010658B" w:rsidRPr="00453357">
        <w:rPr>
          <w:i/>
          <w:iCs/>
          <w:noProof/>
        </w:rPr>
        <w:t>et al.</w:t>
      </w:r>
      <w:r w:rsidR="0010658B" w:rsidRPr="00123266">
        <w:rPr>
          <w:noProof/>
        </w:rPr>
        <w:t xml:space="preserve">, 2007; Ashley </w:t>
      </w:r>
      <w:r w:rsidR="0010658B" w:rsidRPr="00453357">
        <w:rPr>
          <w:i/>
          <w:iCs/>
          <w:noProof/>
        </w:rPr>
        <w:t>et al.</w:t>
      </w:r>
      <w:r w:rsidR="0010658B" w:rsidRPr="00123266">
        <w:rPr>
          <w:noProof/>
        </w:rPr>
        <w:t>, 2014)</w:t>
      </w:r>
      <w:r w:rsidRPr="004F469F">
        <w:fldChar w:fldCharType="end"/>
      </w:r>
      <w:r w:rsidRPr="004F469F">
        <w:t>.</w:t>
      </w:r>
    </w:p>
    <w:p w14:paraId="41AB66DC" w14:textId="75F7B0FC" w:rsidR="00DF5082" w:rsidRPr="004F469F" w:rsidRDefault="00DF5082" w:rsidP="009225F0">
      <w:pPr>
        <w:spacing w:after="120" w:line="480" w:lineRule="auto"/>
        <w:ind w:firstLine="720"/>
      </w:pPr>
      <w:r w:rsidRPr="004F469F">
        <w:t xml:space="preserve">In addition to urban expansion, another process is likely to affect the potential for hazardous conditions in urban environments, namely climate change. There is much uncertainty in how climate change may impact tornado frequency or intensity. However, studies have already shown changes in tornado outbreak frequency and interannual variability </w:t>
      </w:r>
      <w:r w:rsidRPr="004F469F">
        <w:fldChar w:fldCharType="begin" w:fldLock="1"/>
      </w:r>
      <w:r w:rsidR="00123266">
        <w:instrText>ADDIN CSL_CITATION {"citationItems":[{"id":"ITEM-1","itemData":{"author":[{"dropping-particle":"","family":"Elsner","given":"J B","non-dropping-particle":"","parse-names":false,"suffix":""},{"dropping-particle":"","family":"Jagger","given":"T H","non-dropping-particle":"","parse-names":false,"suffix":""},{"dropping-particle":"","family":"Widen","given":"H M","non-dropping-particle":"","parse-names":false,"suffix":""},{"dropping-particle":"","family":"Chavas","given":"D R","non-dropping-particle":"","parse-names":false,"suffix":""}],"container-title":"Environmental Research Letters","id":"ITEM-1","issue":"2","issued":{"date-parts":[["2014"]]},"page":"24018","publisher":"IOP Publishing","title":"Daily tornado frequency distributions in the United States","type":"article-journal","volume":"9"},"uris":["http://www.mendeley.com/documents/?uuid=afac0a05-ef42-498e-a8a1-fec17a6e7639"]},{"id":"ITEM-2","itemData":{"DOI":"10.1126/science.1257460","ISBN":"0027-8424","ISSN":"0036-8075","PMID":"24062439","abstract":"The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T.","non-dropping-particle":"","parse-names":false,"suffix":""}],"container-title":"Science","id":"ITEM-2","issue":"6207","issued":{"date-parts":[["2014"]]},"page":"349-352","title":"Increased variability of tornado occurrence in the United States","type":"article-journal","volume":"346"},"uris":["http://www.mendeley.com/documents/?uuid=8864379a-9c12-4249-abb6-42120421d27f"]}],"mendeley":{"formattedCitation":"(Brooks et al., 2014; Elsner et al., 2014)","plainTextFormattedCitation":"(Brooks et al., 2014; Elsner et al., 2014)","previouslyFormattedCitation":"(Brooks et al., 2014; Elsner et al., 2014)"},"properties":{"noteIndex":0},"schema":"https://github.com/citation-style-language/schema/raw/master/csl-citation.json"}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2014)</w:t>
      </w:r>
      <w:r w:rsidRPr="004F469F">
        <w:fldChar w:fldCharType="end"/>
      </w:r>
      <w:r w:rsidRPr="004F469F">
        <w:t xml:space="preserve"> and climate projections suggest an increase in the number of days favorable for severe weather development </w:t>
      </w:r>
      <w:r w:rsidRPr="004F469F">
        <w:fldChar w:fldCharType="begin" w:fldLock="1"/>
      </w:r>
      <w:r w:rsidR="00123266">
        <w:instrText>ADDIN CSL_CITATION {"citationItems":[{"id":"ITEM-1","itemData":{"DOI":"10.1002/joc.3769","ISBN":"1097-0088","ISSN":"10970088","abstract":"This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Climatology","id":"ITEM-1","issue":"5","issued":{"date-parts":[["2014"]]},"page":"1699-1705","title":"Future convective environments using NARCCAP","type":"article-journal","volume":"34"},"uris":["http://www.mendeley.com/documents/?uuid=dc5272eb-bd85-42a6-8efc-ce143f74e287"]},{"id":"ITEM-2","itemData":{"DOI":"10.1073/pnas.0705494104","ISBN":"0027-8424","abstract":"Severe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forcing","type":"article-journal","volume":"104"},"uris":["http://www.mendeley.com/documents/?uuid=ff306650-3c82-4142-8d04-d598e3b78415"]},{"id":"ITEM-3","itemData":{"author":[{"dropping-particle":"","family":"Diffenbaugh","given":"Noah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Sciences","id":"ITEM-3","issued":{"date-parts":[["2013"]]},"page":"201307758","publisher":"National Acad Sciences","title":"Robust increases in severe thunderstorm environments in response to greenhouse forcing","type":"article-journal"},"uris":["http://www.mendeley.com/documents/?uuid=c9745462-d91f-4c64-b242-b426b7f04f12"]}],"mendeley":{"formattedCitation":"(Trapp et al., 2007; Diffenbaugh et al., 2013; Gensini et al., 2014b)","plainTextFormattedCitation":"(Trapp et al., 2007; Diffenbaugh et al., 2013; Gensini et al., 2014b)","previouslyFormattedCitation":"(Trapp et al., 2007; Diffenbaugh et al., 2013;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2013; Gensini </w:t>
      </w:r>
      <w:r w:rsidR="00123266" w:rsidRPr="00453357">
        <w:rPr>
          <w:i/>
          <w:iCs/>
          <w:noProof/>
        </w:rPr>
        <w:t>et al.</w:t>
      </w:r>
      <w:r w:rsidR="00123266" w:rsidRPr="00123266">
        <w:rPr>
          <w:noProof/>
        </w:rPr>
        <w:t>, 2014b)</w:t>
      </w:r>
      <w:r w:rsidRPr="004F469F">
        <w:fldChar w:fldCharType="end"/>
      </w:r>
      <w:r w:rsidRPr="004F469F">
        <w:t xml:space="preserve">. In addition to changes in frequency, a study by Gensini and Brooks </w:t>
      </w:r>
      <w:r w:rsidRPr="004F469F">
        <w:fldChar w:fldCharType="begin" w:fldLock="1"/>
      </w:r>
      <w:r w:rsidRPr="004F469F">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suppress-author":1,"uris":["http://www.mendeley.com/documents/?uuid=7cab4c3c-c328-479b-a5a4-be4e6b605bd6"]}],"mendeley":{"formattedCitation":"(2018)","plainTextFormattedCitation":"(2018)","previouslyFormattedCitation":"(2018)"},"properties":{"noteIndex":0},"schema":"https://github.com/citation-style-language/schema/raw/master/csl-citation.json"}</w:instrText>
      </w:r>
      <w:r w:rsidRPr="004F469F">
        <w:fldChar w:fldCharType="separate"/>
      </w:r>
      <w:r w:rsidRPr="004F469F">
        <w:rPr>
          <w:noProof/>
        </w:rPr>
        <w:t>(2018)</w:t>
      </w:r>
      <w:r w:rsidRPr="004F469F">
        <w:fldChar w:fldCharType="end"/>
      </w:r>
      <w:r w:rsidRPr="004F469F">
        <w:t xml:space="preserve"> suggests that the spatial distribution of tornadoes has also changed with tornadoes becoming more frequent in the southeastern United States and less frequent in the traditional Tornado Alley (including Oklahoma). The projected continuing growth of the Oklahoma City metropolitan area </w:t>
      </w:r>
      <w:r w:rsidRPr="004F469F">
        <w:lastRenderedPageBreak/>
        <w:fldChar w:fldCharType="begin" w:fldLock="1"/>
      </w:r>
      <w:r w:rsidRPr="004F469F">
        <w:instrText>ADDIN CSL_CITATION {"citationItems":[{"id":"ITEM-1","itemData":{"author":[{"dropping-particle":"","family":"Barker","given":"Steve","non-dropping-particle":"","parse-names":false,"suffix":""}],"id":"ITEM-1","issued":{"date-parts":[["2012"]]},"title":"2012 Demographic State of the State Report, Oklahoma City","type":"report"},"uris":["http://www.mendeley.com/documents/?uuid=78e215ac-9290-4306-bfef-baa20eac1b26"]}],"mendeley":{"formattedCitation":"(Barker, 2012)","plainTextFormattedCitation":"(Barker, 2012)","previouslyFormattedCitation":"(Barker, 2012)"},"properties":{"noteIndex":0},"schema":"https://github.com/citation-style-language/schema/raw/master/csl-citation.json"}</w:instrText>
      </w:r>
      <w:r w:rsidRPr="004F469F">
        <w:fldChar w:fldCharType="separate"/>
      </w:r>
      <w:r w:rsidRPr="004F469F">
        <w:rPr>
          <w:noProof/>
        </w:rPr>
        <w:t>(Barker, 2012)</w:t>
      </w:r>
      <w:r w:rsidRPr="004F469F">
        <w:fldChar w:fldCharType="end"/>
      </w:r>
      <w:r w:rsidRPr="004F469F">
        <w:t xml:space="preserve"> will likely place an increasing number of people and homes in the path of tornadoes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Change","id":"ITEM-2","issue":"2","issued":{"date-parts":[["2017"]]},"page":"301-313","publisher":"Springer","title":"Projected 21st century changes in tornado exposure, risk, and disaster potential","type":"article-journal","volume":"141"},"uris":["http://www.mendeley.com/documents/?uuid=f875dd0e-da5d-4186-8536-d8e3921d37a0"]}],"mendeley":{"formattedCitation":"(Ashley and Strader, 2016; Strader et al., 2017a)","plainTextFormattedCitation":"(Ashley and Strader, 2016; Strader et al., 2017a)","previouslyFormattedCitation":"(Ashley and Strader, 2016; Strader et al., 2017a)"},"properties":{"noteIndex":0},"schema":"https://github.com/citation-style-language/schema/raw/master/csl-citation.json"}</w:instrText>
      </w:r>
      <w:r w:rsidRPr="004F469F">
        <w:fldChar w:fldCharType="separate"/>
      </w:r>
      <w:r w:rsidR="00123266" w:rsidRPr="00123266">
        <w:rPr>
          <w:noProof/>
        </w:rPr>
        <w:t xml:space="preserve">(Ashley and Strader, 2016; Strader </w:t>
      </w:r>
      <w:r w:rsidR="00123266" w:rsidRPr="00453357">
        <w:rPr>
          <w:i/>
          <w:iCs/>
          <w:noProof/>
        </w:rPr>
        <w:t>et al.</w:t>
      </w:r>
      <w:r w:rsidR="00123266" w:rsidRPr="00123266">
        <w:rPr>
          <w:noProof/>
        </w:rPr>
        <w:t>, 2017a)</w:t>
      </w:r>
      <w:r w:rsidRPr="004F469F">
        <w:fldChar w:fldCharType="end"/>
      </w:r>
      <w:r w:rsidRPr="004F469F">
        <w:t>.</w:t>
      </w:r>
      <w:r w:rsidRPr="004F469F">
        <w:tab/>
      </w:r>
    </w:p>
    <w:p w14:paraId="6795CF93" w14:textId="5F2034FD" w:rsidR="00DF5082" w:rsidRPr="004F469F" w:rsidRDefault="00DF5082" w:rsidP="009225F0">
      <w:pPr>
        <w:spacing w:after="120" w:line="480" w:lineRule="auto"/>
        <w:ind w:firstLine="720"/>
      </w:pPr>
      <w:r w:rsidRPr="004F469F">
        <w:rPr>
          <w:shd w:val="clear" w:color="auto" w:fill="FFFFFF"/>
        </w:rPr>
        <w:t xml:space="preserve">Oklahoma City is a prime example of a sprawling city with an extensive area covered by low-density housing, and it is located in a high-risk area for tornadoes, which makes it an excellent location to study the combined and isolated effects of urbanization and climate change on tornado exposure. </w:t>
      </w:r>
      <w:r w:rsidRPr="004F469F">
        <w:t xml:space="preserve">Oklahoma City experiences an average (over the period 1950 – 2017) of seven tornadoes per year within the metropolitan statistical area and a violent tornado (rated four or higher on the Enhanced Fujita Scale) occurring once every four years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xml:space="preserve">. Oklahoma City is the state capital and largest city in the state of Oklahoma. The Oklahoma City Metropolitan Statistical Area encompasses the seven counties surrounding the city and, in 2010, had a population of </w:t>
      </w:r>
      <w:r w:rsidRPr="004F469F">
        <w:rPr>
          <w:shd w:val="clear" w:color="auto" w:fill="FFFFFF"/>
        </w:rPr>
        <w:t xml:space="preserve">1,252,987 </w:t>
      </w:r>
      <w:r w:rsidRPr="004F469F">
        <w:rPr>
          <w:shd w:val="clear" w:color="auto" w:fill="FFFFFF"/>
        </w:rPr>
        <w:fldChar w:fldCharType="begin" w:fldLock="1"/>
      </w:r>
      <w:r w:rsidR="00C31A1B" w:rsidRPr="004F469F">
        <w:rPr>
          <w:shd w:val="clear" w:color="auto" w:fill="FFFFFF"/>
        </w:rPr>
        <w:instrText>ADDIN CSL_CITATION {"citationItems":[{"id":"ITEM-1","itemData":{"URL":"https://factfinder.census.gov","accessed":{"date-parts":[["2019","7","18"]]},"author":[{"dropping-particle":"","family":"U.S. Census Bureau","given":"","non-dropping-particle":"","parse-names":false,"suffix":""}],"id":"ITEM-1","issued":{"date-parts":[["2010"]]},"title":"American Fact Finder","type":"webpage"},"uris":["http://www.mendeley.com/documents/?uuid=08ccc822-2ea4-4bde-8058-162af5ee6134"]}],"mendeley":{"formattedCitation":"(U.S. Census Bureau, 2010)","plainTextFormattedCitation":"(U.S. Census Bureau, 2010)","previouslyFormattedCitation":"(U.S. Census Bureau, 2010)"},"properties":{"noteIndex":0},"schema":"https://github.com/citation-style-language/schema/raw/master/csl-citation.json"}</w:instrText>
      </w:r>
      <w:r w:rsidRPr="004F469F">
        <w:rPr>
          <w:shd w:val="clear" w:color="auto" w:fill="FFFFFF"/>
        </w:rPr>
        <w:fldChar w:fldCharType="separate"/>
      </w:r>
      <w:r w:rsidR="001F078B" w:rsidRPr="004F469F">
        <w:rPr>
          <w:noProof/>
          <w:shd w:val="clear" w:color="auto" w:fill="FFFFFF"/>
        </w:rPr>
        <w:t>(U.S. Census Bureau, 2010)</w:t>
      </w:r>
      <w:r w:rsidRPr="004F469F">
        <w:rPr>
          <w:shd w:val="clear" w:color="auto" w:fill="FFFFFF"/>
        </w:rPr>
        <w:fldChar w:fldCharType="end"/>
      </w:r>
      <w:r w:rsidRPr="004F469F">
        <w:rPr>
          <w:shd w:val="clear" w:color="auto" w:fill="FFFFFF"/>
        </w:rPr>
        <w:t xml:space="preserve">. </w:t>
      </w:r>
      <w:r w:rsidRPr="004F469F">
        <w:t xml:space="preserve">Several high fatality tornadoes have impacted the Oklahoma City Metropolitan Area including the May 3, 1999, EF5 tornado that killed 36 people </w:t>
      </w:r>
      <w:r w:rsidRPr="004F469F">
        <w:fldChar w:fldCharType="begin" w:fldLock="1"/>
      </w:r>
      <w:r w:rsidR="0010658B">
        <w:instrText>ADDIN CSL_CITATION {"citationItems":[{"id":"ITEM-1","itemData":{"DOI":"10.1175/1520-0434(2002)017&lt;0354:DITMOC&gt;2.0.CO;2","ISBN":"1520-0434","ISSN":"0882-8156","abstract":"The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Forecasting","id":"ITEM-1","issue":"3","issued":{"date-parts":[["2002"]]},"page":"354-361","title":"Deaths in the 3 May 1999 Oklahoma City Tornado from a Historical Perspective","type":"article-journal","volume":"17"},"uris":["http://www.mendeley.com/documents/?uuid=5eb3ce29-8c0e-406f-9550-7fedc326e547"]}],"mendeley":{"formattedCitation":"(Brooks and Doswell, 2002)","plainTextFormattedCitation":"(Brooks and Doswell, 2002)","previouslyFormattedCitation":"(Brooks and Doswell, 2002)"},"properties":{"noteIndex":0},"schema":"https://github.com/citation-style-language/schema/raw/master/csl-citation.json"}</w:instrText>
      </w:r>
      <w:r w:rsidRPr="004F469F">
        <w:fldChar w:fldCharType="separate"/>
      </w:r>
      <w:r w:rsidR="0010658B" w:rsidRPr="0010658B">
        <w:rPr>
          <w:noProof/>
        </w:rPr>
        <w:t>(Brooks and Doswell, 2002)</w:t>
      </w:r>
      <w:r w:rsidRPr="004F469F">
        <w:fldChar w:fldCharType="end"/>
      </w:r>
      <w:r w:rsidRPr="004F469F">
        <w:t xml:space="preserve"> and the May 20, 2013 EF5 tornado that killed 24 including seven children at an elementary school </w:t>
      </w:r>
      <w:r w:rsidRPr="004F469F">
        <w:fldChar w:fldCharType="begin" w:fldLock="1"/>
      </w:r>
      <w:r w:rsidR="00123266">
        <w:instrText>ADDIN CSL_CITATION {"citationItems":[{"id":"ITEM-1","itemData":{"DOI":"10.1175/BAMS-D-14-00033.1","ISSN":"00030007","abstract":"An integrated damage, visual, and radar analysis of the EF5 Moore, Oklahoma, tornado that occurred on 20 May 2013 is presented. Characteristics of the damage path are discussed based on detailed ground and aerial surveys. Tree fall reveals highly convergent surface flow over the majority of the damage path. At times, the convergent flow is observed at radii less than that of the condensation funnel. A photogrammetric analysis of still photos and video shows that the damaging winds extend well beyond the condensation funnel location. The condensation funnel often coincides with the EF1, EF2, and EF3 isopleths. Observations of the tornado debris signature (TDS) by the Twin Lakes (KTLX)–Weather Surveillance Radar-1988 Doppler (WSR-88D) are presented. The TDS is not a good indicator of tornado intensity just after tornadogenesis. The spatial relationship between the TDS, condensation funnel, and damage path is highlighted. An analysis of the area encompassed by the respective EF-scale isopleths is presented to quantify damage risk. The area of successively weaker EF-scale categories exponentially increases. These results are compared to other well-surveyed EF5 tornadoes. A comparison is made between independent ground and aerial surveys that rated 4,039 structures along the entire damage path. The aerial survey produces a low bias in EF0 and EF1 ratings. No apparent bias is observed in the EF2–4 categories. It is not possible to draw definitive conclusions concerning the small number of EF5-rated structures.","author":[{"dropping-particle":"","family":"Atkins","given":"Nolan T.","non-dropping-particle":"","parse-names":false,"suffix":""},{"dropping-particle":"","family":"Butler","given":"Kelly M.","non-dropping-particle":"","parse-names":false,"suffix":""},{"dropping-particle":"","family":"Flynn","given":"Kayla R.","non-dropping-particle":"","parse-names":false,"suffix":""},{"dropping-particle":"","family":"Wakimoto","given":"Roger M.","non-dropping-particle":"","parse-names":false,"suffix":""}],"container-title":"Bulletin of the American Meteorological Society","id":"ITEM-1","issue":"10","issued":{"date-parts":[["2014"]]},"page":"1549-1561","title":"An integrated damage, visual, and radar analysis of the 2013 Moore, Oklahoma, EF5 Tornado","type":"article-journal","volume":"95"},"uris":["http://www.mendeley.com/documents/?uuid=dd9948e0-f705-4a6e-9816-7bd927626c73"]}],"mendeley":{"formattedCitation":"(Atkins et al., 2014)","plainTextFormattedCitation":"(Atkins et al., 2014)","previouslyFormattedCitation":"(Atkins et al., 2014)"},"properties":{"noteIndex":0},"schema":"https://github.com/citation-style-language/schema/raw/master/csl-citation.json"}</w:instrText>
      </w:r>
      <w:r w:rsidRPr="004F469F">
        <w:fldChar w:fldCharType="separate"/>
      </w:r>
      <w:r w:rsidR="0010658B" w:rsidRPr="00123266">
        <w:rPr>
          <w:noProof/>
        </w:rPr>
        <w:t xml:space="preserve">(Atkins </w:t>
      </w:r>
      <w:r w:rsidR="0010658B" w:rsidRPr="00453357">
        <w:rPr>
          <w:i/>
          <w:iCs/>
          <w:noProof/>
        </w:rPr>
        <w:t>et al.</w:t>
      </w:r>
      <w:r w:rsidR="0010658B" w:rsidRPr="00123266">
        <w:rPr>
          <w:noProof/>
        </w:rPr>
        <w:t>, 2014)</w:t>
      </w:r>
      <w:r w:rsidRPr="004F469F">
        <w:fldChar w:fldCharType="end"/>
      </w:r>
      <w:r w:rsidRPr="004F469F">
        <w:t>.</w:t>
      </w:r>
    </w:p>
    <w:p w14:paraId="79492971" w14:textId="18B2B0E1" w:rsidR="00DF5082" w:rsidRPr="004F469F" w:rsidRDefault="00DF5082" w:rsidP="009225F0">
      <w:pPr>
        <w:spacing w:after="120" w:line="480" w:lineRule="auto"/>
        <w:ind w:firstLine="720"/>
      </w:pPr>
      <w:r w:rsidRPr="004F469F">
        <w:t xml:space="preserve">The purpose of this case study is to use a newly developed, environmentally driven tornado impacts model to assess how the isolated and combined effects of urbanization and climate change may alter tornado exposure over the Oklahoma City Metropolitan Area in the mid-21st century. In a similar study by Strader </w:t>
      </w:r>
      <w:r w:rsidR="008F75F4" w:rsidRPr="00453357">
        <w:rPr>
          <w:i/>
          <w:iCs/>
        </w:rPr>
        <w:t>et al.</w:t>
      </w:r>
      <w:r w:rsidRPr="004F469F">
        <w:t xml:space="preserv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suppress-author":1,"uris":["http://www.mendeley.com/documents/?uuid=f875dd0e-da5d-4186-8536-d8e3921d37a0"]}],"mendeley":{"formattedCitation":"(2017a)","plainTextFormattedCitation":"(2017a)","previouslyFormattedCitation":"(2017a)"},"properties":{"noteIndex":0},"schema":"https://github.com/citation-style-language/schema/raw/master/csl-citation.json"}</w:instrText>
      </w:r>
      <w:r w:rsidRPr="004F469F">
        <w:fldChar w:fldCharType="separate"/>
      </w:r>
      <w:r w:rsidR="00123266" w:rsidRPr="00123266">
        <w:rPr>
          <w:noProof/>
        </w:rPr>
        <w:t>(2017a)</w:t>
      </w:r>
      <w:r w:rsidRPr="004F469F">
        <w:fldChar w:fldCharType="end"/>
      </w:r>
      <w:r w:rsidRPr="004F469F">
        <w:t xml:space="preserve">, the authors assumed tornado risk would increase at a flat rate across the central US, while studies have already suggested that tornado risk is shifting to the east as the west becomes drier </w:t>
      </w:r>
      <w:r w:rsidRPr="004F469F">
        <w:fldChar w:fldCharType="begin" w:fldLock="1"/>
      </w:r>
      <w:r w:rsidR="00123266">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id":"ITEM-2","itemData":{"author":[{"dropping-particle":"","family":"Seager","given":"Richard","non-dropping-particle":"","parse-names":false,"suffix":""},{"dropping-particle":"","family":"Lis","given":"Nathan","non-dropping-particle":"","parse-names":false,"suffix":""},{"dropping-particle":"","family":"Feldman","given":"Jamie","non-dropping-particle":"","parse-names":false,"suffix":""},{"dropping-particle":"","family":"Ting","given":"Mingfang","non-dropping-particle":"","parse-names":false,"suffix":""},{"dropping-particle":"","family":"Williams","given":"A Park","non-dropping-particle":"","parse-names":false,"suffix":""},{"dropping-particle":"","family":"Nakamura","given":"Jennifer","non-dropping-particle":"","parse-names":false,"suffix":""},{"dropping-particle":"","family":"Liu","given":"Haibo","non-dropping-particle":"","parse-names":false,"suffix":""},{"dropping-particle":"","family":"Henderson","given":"Naomi","non-dropping-particle":"","parse-names":false,"suffix":""}],"container-title":"Earth Interactions","id":"ITEM-2","issue":"5","issued":{"date-parts":[["2018"]]},"page":"1-22","title":"Whither the 100th Meridian? The once and future physical and human geography of America’s arid--humid divide. Part I: The story so far","type":"article-journal","volume":"22"},"uris":["http://www.mendeley.com/documents/?uuid=af51e12a-cbd9-4484-acf6-e9cd9e5fc387"]}],"mendeley":{"formattedCitation":"(Gensini and Brooks, 2018; Seager et al., 2018)","plainTextFormattedCitation":"(Gensini and Brooks, 2018; Seager et al., 2018)","previouslyFormattedCitation":"(Gensini and Brooks, 2018; Seager et al., 2018)"},"properties":{"noteIndex":0},"schema":"https://github.com/citation-style-language/schema/raw/master/csl-citation.json"}</w:instrText>
      </w:r>
      <w:r w:rsidRPr="004F469F">
        <w:fldChar w:fldCharType="separate"/>
      </w:r>
      <w:r w:rsidR="0010658B" w:rsidRPr="00123266">
        <w:rPr>
          <w:noProof/>
        </w:rPr>
        <w:t xml:space="preserve">(Gensini and Brooks, 2018; Seager </w:t>
      </w:r>
      <w:r w:rsidR="0010658B" w:rsidRPr="00453357">
        <w:rPr>
          <w:i/>
          <w:iCs/>
          <w:noProof/>
        </w:rPr>
        <w:t>et al.</w:t>
      </w:r>
      <w:r w:rsidR="0010658B" w:rsidRPr="00123266">
        <w:rPr>
          <w:noProof/>
        </w:rPr>
        <w:t>, 2018)</w:t>
      </w:r>
      <w:r w:rsidRPr="004F469F">
        <w:fldChar w:fldCharType="end"/>
      </w:r>
      <w:r w:rsidRPr="004F469F">
        <w:t xml:space="preserve">. Hence, while other studies have looked at the impacts of climate change on tornado risk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activity?","type":"article-journal","volume":"89"},"uris":["http://www.mendeley.com/documents/?uuid=3e309387-b981-4120-ba7b-ece4c9971012"]}],"mendeley":{"formattedCitation":"(Diffenbaugh et al., 2008; Strader et al., 2017a)","plainTextFormattedCitation":"(Diffenbaugh et al., 2008; Strader et al., 2017a)","previouslyFormattedCitation":"(Diffenbaugh et al., 2008; Strader et al., 2017a)"},"properties":{"noteIndex":0},"schema":"https://github.com/citation-style-language/schema/raw/master/csl-citation.json"}</w:instrText>
      </w:r>
      <w:r w:rsidRPr="004F469F">
        <w:fldChar w:fldCharType="separate"/>
      </w:r>
      <w:r w:rsidR="00123266" w:rsidRPr="00123266">
        <w:rPr>
          <w:noProof/>
        </w:rPr>
        <w:t xml:space="preserve">(Diffenbaugh </w:t>
      </w:r>
      <w:r w:rsidR="00123266" w:rsidRPr="00453357">
        <w:rPr>
          <w:i/>
          <w:iCs/>
          <w:noProof/>
        </w:rPr>
        <w:t>et al.</w:t>
      </w:r>
      <w:r w:rsidR="00123266" w:rsidRPr="00123266">
        <w:rPr>
          <w:noProof/>
        </w:rPr>
        <w:t xml:space="preserve">, 2008; Strader </w:t>
      </w:r>
      <w:r w:rsidR="00123266" w:rsidRPr="00453357">
        <w:rPr>
          <w:i/>
          <w:iCs/>
          <w:noProof/>
        </w:rPr>
        <w:t>et al.</w:t>
      </w:r>
      <w:r w:rsidR="00123266" w:rsidRPr="00123266">
        <w:rPr>
          <w:noProof/>
        </w:rPr>
        <w:t>, 2017a)</w:t>
      </w:r>
      <w:r w:rsidRPr="004F469F">
        <w:fldChar w:fldCharType="end"/>
      </w:r>
      <w:r w:rsidRPr="004F469F">
        <w:t xml:space="preserve">, the novelty of this study is that it uses future atmospheric environmental data, from a climate model, to directly determine how climate </w:t>
      </w:r>
      <w:r w:rsidRPr="004F469F">
        <w:lastRenderedPageBreak/>
        <w:t xml:space="preserve">change may influence tornado risk. This distinction is crucial as it allows us to determine how tornado risk may vary spatially in the future. </w:t>
      </w:r>
    </w:p>
    <w:p w14:paraId="06C7DB9A" w14:textId="77777777" w:rsidR="00DF5082" w:rsidRPr="004F469F" w:rsidRDefault="00DF5082" w:rsidP="009225F0">
      <w:pPr>
        <w:pStyle w:val="Heading2"/>
        <w:spacing w:before="0" w:after="120" w:line="480" w:lineRule="auto"/>
        <w:rPr>
          <w:rFonts w:ascii="Times New Roman" w:hAnsi="Times New Roman" w:cs="Times New Roman"/>
          <w:b/>
          <w:bCs/>
          <w:color w:val="auto"/>
          <w:sz w:val="28"/>
          <w:szCs w:val="28"/>
        </w:rPr>
      </w:pPr>
      <w:bookmarkStart w:id="79" w:name="_Toc21861323"/>
      <w:r w:rsidRPr="004F469F">
        <w:rPr>
          <w:rFonts w:ascii="Times New Roman" w:hAnsi="Times New Roman" w:cs="Times New Roman"/>
          <w:b/>
          <w:bCs/>
          <w:color w:val="auto"/>
          <w:sz w:val="28"/>
          <w:szCs w:val="28"/>
        </w:rPr>
        <w:t>Data and Methods</w:t>
      </w:r>
      <w:bookmarkEnd w:id="79"/>
    </w:p>
    <w:p w14:paraId="3C4046B0"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0" w:name="_Toc21861324"/>
      <w:r w:rsidRPr="004F469F">
        <w:rPr>
          <w:rFonts w:ascii="Times New Roman" w:hAnsi="Times New Roman" w:cs="Times New Roman"/>
          <w:i/>
          <w:iCs/>
          <w:color w:val="auto"/>
        </w:rPr>
        <w:t>Study Area</w:t>
      </w:r>
      <w:bookmarkEnd w:id="80"/>
    </w:p>
    <w:p w14:paraId="08E49A11" w14:textId="2A09DD59" w:rsidR="00DF5082" w:rsidRPr="004F469F" w:rsidRDefault="00DF5082" w:rsidP="009225F0">
      <w:pPr>
        <w:spacing w:after="120" w:line="480" w:lineRule="auto"/>
        <w:ind w:firstLine="720"/>
      </w:pPr>
      <w:r w:rsidRPr="004F469F">
        <w:t xml:space="preserve">The study area covers the </w:t>
      </w:r>
      <w:r w:rsidR="00281A5F">
        <w:t xml:space="preserve">three counties </w:t>
      </w:r>
      <w:r w:rsidR="001B6A71">
        <w:t>(</w:t>
      </w:r>
      <w:r w:rsidR="001B6A71" w:rsidRPr="004F469F">
        <w:t>Oklahoma, Cleveland, and Canadian</w:t>
      </w:r>
      <w:r w:rsidR="001B6A71">
        <w:t xml:space="preserve">) </w:t>
      </w:r>
      <w:r w:rsidR="00281A5F">
        <w:t>containing</w:t>
      </w:r>
      <w:r w:rsidR="001B6A71">
        <w:t xml:space="preserve"> the majority of the City of </w:t>
      </w:r>
      <w:r w:rsidRPr="004F469F">
        <w:t>Oklahoma City</w:t>
      </w:r>
      <w:r w:rsidR="001B6A71">
        <w:t xml:space="preserve"> in the State of Oklahoma</w:t>
      </w:r>
      <w:r w:rsidR="001B6A71" w:rsidRPr="004F469F">
        <w:t xml:space="preserve"> (Figure 4.1).</w:t>
      </w:r>
      <w:r w:rsidR="001B6A71">
        <w:t xml:space="preserve"> Hereafter, OKCMA is used to refer to the three-county metro area of Oklahoma City.</w:t>
      </w:r>
      <w:r w:rsidRPr="004F469F">
        <w:t xml:space="preserve"> The three counties have a total area of 5,554 km</w:t>
      </w:r>
      <w:r w:rsidRPr="004F469F">
        <w:rPr>
          <w:vertAlign w:val="superscript"/>
        </w:rPr>
        <w:t>2</w:t>
      </w:r>
      <w:r w:rsidRPr="004F469F">
        <w:t>, with an estimated 2010 population of 1,171,185 people and a population density of 197 persons km</w:t>
      </w:r>
      <w:r w:rsidRPr="004F469F">
        <w:rPr>
          <w:vertAlign w:val="superscript"/>
        </w:rPr>
        <w:t>-2</w:t>
      </w:r>
      <w:r w:rsidRPr="004F469F">
        <w:t>. The most densely populated county is Oklahoma County (391 persons km</w:t>
      </w:r>
      <w:r w:rsidRPr="004F469F">
        <w:rPr>
          <w:vertAlign w:val="superscript"/>
        </w:rPr>
        <w:t>-2</w:t>
      </w:r>
      <w:r w:rsidRPr="004F469F">
        <w:t>) while the least populated is Canadian County (57 persons km</w:t>
      </w:r>
      <w:r w:rsidRPr="004F469F">
        <w:rPr>
          <w:vertAlign w:val="superscript"/>
        </w:rPr>
        <w:t>-2</w:t>
      </w:r>
      <w:r w:rsidRPr="004F469F">
        <w:t xml:space="preserve">). As of 2010, the OKCMA was mostly characterized by the low-density development typical of a sprawling city </w:t>
      </w:r>
      <w:r w:rsidRPr="004F469F">
        <w:fldChar w:fldCharType="begin" w:fldLock="1"/>
      </w:r>
      <w:r w:rsidR="004018A9">
        <w:instrText>ADDIN CSL_CITATION {"citationItems":[{"id":"ITEM-1","itemData":{"author":[{"dropping-particle":"","family":"Laidley","given":"Thomas","non-dropping-particle":"","parse-names":false,"suffix":""}],"container-title":"Urban Affairs Review","id":"ITEM-1","issue":"1","issued":{"date-parts":[["2016"]]},"page":"66-97","publisher":"SAGE Publications Sage CA: Los Angeles, CA","title":"Measuring sprawl: a new index, recent trends, and future research","type":"article-journal","volume":"52"},"uris":["http://www.mendeley.com/documents/?uuid=3dba1c64-6cea-4a88-99fa-e02bae6e49b5"]},{"id":"ITEM-2","itemData":{"author":[{"dropping-particle":"","family":"Hamidi","given":"Shima","non-dropping-particle":"","parse-names":false,"suffix":""},{"dropping-particle":"","family":"Ewing","given":"Reid","non-dropping-particle":"","parse-names":false,"suffix":""}],"container-title":"Landscape and Urban Planning","id":"ITEM-2","issued":{"date-parts":[["2014"]]},"page":"72-82","publisher":"Elsevier","title":"A longitudinal study of changes in urban sprawl between 2000 and 2010 in the United States","type":"article-journal","volume":"128"},"uris":["http://www.mendeley.com/documents/?uuid=8a60cf09-b10c-4fdd-8df8-9350ed3741e9"]}],"mendeley":{"formattedCitation":"(Hamidi and Ewing, 2014; Laidley, 2016)","manualFormatting":"(Hamidi and Ewing, 2014; Laidley, 2016","plainTextFormattedCitation":"(Hamidi and Ewing, 2014; Laidley, 2016)","previouslyFormattedCitation":"(Hamidi and Ewing, 2014; Laidley, 2016)"},"properties":{"noteIndex":0},"schema":"https://github.com/citation-style-language/schema/raw/master/csl-citation.json"}</w:instrText>
      </w:r>
      <w:r w:rsidRPr="004F469F">
        <w:fldChar w:fldCharType="separate"/>
      </w:r>
      <w:r w:rsidR="0010658B" w:rsidRPr="0010658B">
        <w:rPr>
          <w:noProof/>
        </w:rPr>
        <w:t>(Hamidi and Ewing, 2014; Laidley, 2016</w:t>
      </w:r>
      <w:r w:rsidRPr="004F469F">
        <w:fldChar w:fldCharType="end"/>
      </w:r>
      <w:r w:rsidR="004018A9">
        <w:t>;</w:t>
      </w:r>
      <w:r w:rsidRPr="004F469F">
        <w:t xml:space="preserve"> Figure 4.2a). Here, we classify rural parcels as any parcel with a population density less than 518 persons km</w:t>
      </w:r>
      <w:r w:rsidRPr="004F469F">
        <w:rPr>
          <w:vertAlign w:val="superscript"/>
        </w:rPr>
        <w:t>-2</w:t>
      </w:r>
      <w:r w:rsidRPr="004F469F">
        <w:t xml:space="preserve"> with all other parcels classified as urban. Urban parcels are further separated into low-density urban (urban-low; 518 – 9,064 persons km</w:t>
      </w:r>
      <w:r w:rsidRPr="004F469F">
        <w:rPr>
          <w:vertAlign w:val="superscript"/>
        </w:rPr>
        <w:t>-2</w:t>
      </w:r>
      <w:r w:rsidRPr="004F469F">
        <w:t>) and high-density urban (urban-high; 9,065 persons km</w:t>
      </w:r>
      <w:r w:rsidRPr="004F469F">
        <w:rPr>
          <w:vertAlign w:val="superscript"/>
        </w:rPr>
        <w:t>-2</w:t>
      </w:r>
      <w:r w:rsidRPr="004F469F">
        <w:t xml:space="preserve"> or greater). These definitions correspond with those of Laidley </w:t>
      </w:r>
      <w:r w:rsidRPr="004F469F">
        <w:fldChar w:fldCharType="begin" w:fldLock="1"/>
      </w:r>
      <w:r w:rsidRPr="004F469F">
        <w:instrText>ADDIN CSL_CITATION {"citationItems":[{"id":"ITEM-1","itemData":{"author":[{"dropping-particle":"","family":"Laidley","given":"Thomas","non-dropping-particle":"","parse-names":false,"suffix":""}],"container-title":"Urban Affairs Review","id":"ITEM-1","issue":"1","issued":{"date-parts":[["2016"]]},"page":"66-97","publisher":"SAGE Publications Sage CA: Los Angeles, CA","title":"Measuring sprawl: a new index, recent trends, and future research","type":"article-journal","volume":"52"},"suppress-author":1,"uris":["http://www.mendeley.com/documents/?uuid=3dba1c64-6cea-4a88-99fa-e02bae6e49b5"]}],"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with the urban-high classification, including Laidley’s moderate and high-density classes. Most of the urban area was located in Oklahoma and Cleveland Counties (70% and 60% urban respectively) with Canadian County being mostly of a rural character (44% urban</w:t>
      </w:r>
      <w:r w:rsidR="004018A9">
        <w:t xml:space="preserve">; </w:t>
      </w:r>
      <w:r w:rsidRPr="004F469F">
        <w:t>Table 4.1). All three counties have experienced population growth since 2010 and are projected to continue to grow into the mid-21</w:t>
      </w:r>
      <w:r w:rsidRPr="004F469F">
        <w:rPr>
          <w:vertAlign w:val="superscript"/>
        </w:rPr>
        <w:t>st</w:t>
      </w:r>
      <w:r w:rsidRPr="004F469F">
        <w:t xml:space="preserve"> century </w:t>
      </w:r>
      <w:r w:rsidRPr="004F469F">
        <w:fldChar w:fldCharType="begin" w:fldLock="1"/>
      </w:r>
      <w:r w:rsidRPr="004F469F">
        <w:instrText>ADDIN CSL_CITATION {"citationItems":[{"id":"ITEM-1","itemData":{"author":[{"dropping-particle":"","family":"Barker","given":"Steve","non-dropping-particle":"","parse-names":false,"suffix":""}],"id":"ITEM-1","issued":{"date-parts":[["2012"]]},"title":"2012 Demographic State of the State Report, Oklahoma City","type":"report"},"uris":["http://www.mendeley.com/documents/?uuid=78e215ac-9290-4306-bfef-baa20eac1b26"]}],"mendeley":{"formattedCitation":"(Barker, 2012)","plainTextFormattedCitation":"(Barker, 2012)","previouslyFormattedCitation":"(Barker, 2012)"},"properties":{"noteIndex":0},"schema":"https://github.com/citation-style-language/schema/raw/master/csl-citation.json"}</w:instrText>
      </w:r>
      <w:r w:rsidRPr="004F469F">
        <w:fldChar w:fldCharType="separate"/>
      </w:r>
      <w:r w:rsidRPr="004F469F">
        <w:rPr>
          <w:noProof/>
        </w:rPr>
        <w:t>(Barker, 2012)</w:t>
      </w:r>
      <w:r w:rsidRPr="004F469F">
        <w:fldChar w:fldCharType="end"/>
      </w:r>
      <w:r w:rsidRPr="004F469F">
        <w:t xml:space="preserve">. </w:t>
      </w:r>
    </w:p>
    <w:p w14:paraId="44F746A2" w14:textId="0CE22D4E" w:rsidR="00DF5082" w:rsidRPr="004F469F" w:rsidRDefault="00DF5082" w:rsidP="009225F0">
      <w:pPr>
        <w:spacing w:after="120" w:line="480" w:lineRule="auto"/>
        <w:ind w:firstLine="720"/>
      </w:pPr>
      <w:r w:rsidRPr="004F469F">
        <w:lastRenderedPageBreak/>
        <w:t xml:space="preserve">The OKCMA is situated in the heart of the traditional Tornado Alley, a high-risk area for significant tornadoes </w:t>
      </w:r>
      <w:r w:rsidRPr="004F469F">
        <w:fldChar w:fldCharType="begin" w:fldLock="1"/>
      </w:r>
      <w:r w:rsidR="00123266">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States","type":"paper-conference"},"uris":["http://www.mendeley.com/documents/?uuid=6e052979-6a88-43b7-af1c-e706b78cdfb5"]},{"id":"ITEM-2","itemData":{"ISBN":"1477-8696","author":[{"dropping-particle":"","family":"Doswell","given":"Charles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E.","non-dropping-particle":"","parse-names":false,"suffix":""}],"container-title":"Weather","id":"ITEM-2","issue":"4","issued":{"date-parts":[["2012"]]},"page":"88-94","title":"The tornadoes of spring 2011 in the USA: An historical perspective","type":"article-journal","volume":"67"},"uris":["http://www.mendeley.com/documents/?uuid=42235697-4e43-4cf7-9772-fa9a876de81d"]},{"id":"ITEM-3","itemData":{"DOI":"10.1175/2010BAMS3102.1","ISBN":"0003-0007","ISSN":"0003-0007","author":[{"dropping-particle":"","family":"Dixon","given":"P Grady","non-dropping-particle":"","parse-names":false,"suffix":""},{"dropping-particle":"","family":"Mercer","given":"Andrew E","non-dropping-particle":"","parse-names":false,"suffix":""},{"dropping-particle":"","family":"Choi","given":"Jinmu","non-dropping-particle":"","parse-names":false,"suffix":""},{"dropping-particle":"","family":"Allen","given":"Jared S","non-dropping-particle":"","parse-names":false,"suffix":""}],"container-title":"Bulletin of the American Meteorological Society","id":"ITEM-3","issue":"4","issued":{"date-parts":[["2011"]]},"page":"433","title":"Tornado risk analysis: is Dixie Alley an extension of Tornado Alley?","type":"article-journal","volume":"92"},"uris":["http://www.mendeley.com/documents/?uuid=7a3e5f30-55c6-4dfa-a460-4f44599b65d8"]}],"mendeley":{"formattedCitation":"(Concannon et al., 2000; Dixon et al., 2011; Doswell et al., 2012)","plainTextFormattedCitation":"(Concannon et al., 2000; Dixon et al., 2011; Doswell et al., 2012)","previouslyFormattedCitation":"(Concannon et al., 2000; Dixon et al., 2011; Doswell et al., 2012)"},"properties":{"noteIndex":0},"schema":"https://github.com/citation-style-language/schema/raw/master/csl-citation.json"}</w:instrText>
      </w:r>
      <w:r w:rsidRPr="004F469F">
        <w:fldChar w:fldCharType="separate"/>
      </w:r>
      <w:r w:rsidR="00123266" w:rsidRPr="00123266">
        <w:rPr>
          <w:noProof/>
        </w:rPr>
        <w:t xml:space="preserve">(Concannon </w:t>
      </w:r>
      <w:r w:rsidR="00123266" w:rsidRPr="00453357">
        <w:rPr>
          <w:i/>
          <w:iCs/>
          <w:noProof/>
        </w:rPr>
        <w:t>et al.</w:t>
      </w:r>
      <w:r w:rsidR="00123266" w:rsidRPr="00123266">
        <w:rPr>
          <w:noProof/>
        </w:rPr>
        <w:t xml:space="preserve">, 2000; Dixon </w:t>
      </w:r>
      <w:r w:rsidR="00123266" w:rsidRPr="00453357">
        <w:rPr>
          <w:i/>
          <w:iCs/>
          <w:noProof/>
        </w:rPr>
        <w:t>et al.</w:t>
      </w:r>
      <w:r w:rsidR="00123266" w:rsidRPr="00123266">
        <w:rPr>
          <w:noProof/>
        </w:rPr>
        <w:t xml:space="preserve">, 2011; Doswell </w:t>
      </w:r>
      <w:r w:rsidR="00123266" w:rsidRPr="00453357">
        <w:rPr>
          <w:i/>
          <w:iCs/>
          <w:noProof/>
        </w:rPr>
        <w:t>et al.</w:t>
      </w:r>
      <w:r w:rsidR="00123266" w:rsidRPr="00123266">
        <w:rPr>
          <w:noProof/>
        </w:rPr>
        <w:t>, 2012)</w:t>
      </w:r>
      <w:r w:rsidRPr="004F469F">
        <w:fldChar w:fldCharType="end"/>
      </w:r>
      <w:r w:rsidRPr="004F469F">
        <w:t xml:space="preserve">. During the 1990 – 1999 period, the OKCMA experienced ten significant tornadoes over four days. Cleveland County experienced the most significant tornadoes during this period (5) with Canadian and Oklahoma Counties experiencing three each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xml:space="preserve">. One tornado, the Bridge Creek-Moore EF5 on 3 May 1999 </w:t>
      </w:r>
      <w:r w:rsidRPr="004F469F">
        <w:fldChar w:fldCharType="begin" w:fldLock="1"/>
      </w:r>
      <w:r w:rsidR="0010658B">
        <w:instrText>ADDIN CSL_CITATION {"citationItems":[{"id":"ITEM-1","itemData":{"DOI":"10.1175/1520-0434(2002)017&lt;0354:DITMOC&gt;2.0.CO;2","ISBN":"1520-0434","ISSN":"0882-8156","abstract":"The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Forecasting","id":"ITEM-1","issue":"3","issued":{"date-parts":[["2002"]]},"page":"354-361","title":"Deaths in the 3 May 1999 Oklahoma City Tornado from a Historical Perspective","type":"article-journal","volume":"17"},"uris":["http://www.mendeley.com/documents/?uuid=5eb3ce29-8c0e-406f-9550-7fedc326e547"]}],"mendeley":{"formattedCitation":"(Brooks and Doswell, 2002)","plainTextFormattedCitation":"(Brooks and Doswell, 2002)","previouslyFormattedCitation":"(Brooks and Doswell, 2002)"},"properties":{"noteIndex":0},"schema":"https://github.com/citation-style-language/schema/raw/master/csl-citation.json"}</w:instrText>
      </w:r>
      <w:r w:rsidRPr="004F469F">
        <w:fldChar w:fldCharType="separate"/>
      </w:r>
      <w:r w:rsidR="0010658B" w:rsidRPr="0010658B">
        <w:rPr>
          <w:noProof/>
        </w:rPr>
        <w:t>(Brooks and Doswell, 2002)</w:t>
      </w:r>
      <w:r w:rsidRPr="004F469F">
        <w:fldChar w:fldCharType="end"/>
      </w:r>
      <w:r w:rsidRPr="004F469F">
        <w:t xml:space="preserve">, impacted both Cleveland and Oklahoma Counties. The average number of days during 1990 – 1999 with atmospheric environmental conditions favorable for tornado development was high (~170 days) over OKCMA with little variation (~3 days) over the metropolitan area (Figure 4.2c). </w:t>
      </w:r>
    </w:p>
    <w:p w14:paraId="5D5D8121"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1" w:name="_Toc21861325"/>
      <w:r w:rsidRPr="004F469F">
        <w:rPr>
          <w:rFonts w:ascii="Times New Roman" w:hAnsi="Times New Roman" w:cs="Times New Roman"/>
          <w:i/>
          <w:iCs/>
          <w:color w:val="auto"/>
        </w:rPr>
        <w:t>Potential Future Urbanization Patterns in the Oklahoma City Metropolitan Area</w:t>
      </w:r>
      <w:bookmarkEnd w:id="81"/>
    </w:p>
    <w:p w14:paraId="672FA561" w14:textId="2A85AA32" w:rsidR="00DF5082" w:rsidRPr="004F469F" w:rsidRDefault="00DF5082" w:rsidP="009225F0">
      <w:pPr>
        <w:spacing w:after="120" w:line="480" w:lineRule="auto"/>
        <w:ind w:firstLine="720"/>
      </w:pPr>
      <w:r w:rsidRPr="004F469F">
        <w:t xml:space="preserve">We used the TARGET plug-in within the ENVISION framework </w:t>
      </w:r>
      <w:r w:rsidRPr="004F469F">
        <w:fldChar w:fldCharType="begin" w:fldLock="1"/>
      </w:r>
      <w:r w:rsidR="00123266">
        <w:instrText>ADDIN CSL_CITATION {"citationItems":[{"id":"ITEM-1","itemData":{"DOI":"10.1016/j.envsoft.2005.12.033","ISBN":"1364-8152","ISSN":"13648152","PMID":"23554226","abstract":"Increasingly, models (and modelers) are being asked to address the interactions between human influences, ecological processes, and landscape dynamics that impact many diverse aspects of managing complex coupled human and natural systems. These systems may be profoundly influenced by human decisions at multiple spatial and temporal scales, and the limitations of traditional process-level ecosystems modeling approaches for representing the richness of factors shaping landscape dynamics in these coupled systems has resulted in the need for new analysis approaches. New tools in the areas of spatial data management and analysis, multicriteria decision-making, individual-based modeling, and complexity science have all begun to impact how we approach modeling these systems. The term \"biocomplexity\" has emerged as a descriptor of the rich patterns of interactions and behaviors in human and natural systems, and the challenges of analyzing biocomplex behavior is resulting in a convergence of approaches leading to new ways of understanding these systems. Important questions related to system vulnerability and resilience, adaptation, feedback processing, cycling, non-linearities and other complex behaviors are being addressed using models employing new representational approaches to analysis. The complexity inherent in these systems challenges the modeling community to provide tools that capture sufficiently the richness of human and ecosystem processes and interactions in ways that are computationally tractable and understandable. We examine one such tool, EvoLand, which uses an actor-based approach to conduct alternative futures analyses in the Willamette Basin, Oregon. ?? 2006 Elsevier Ltd. All rights reserved.","author":[{"dropping-particle":"","family":"Bolte","given":"John P.","non-dropping-particle":"","parse-names":false,"suffix":""},{"dropping-particle":"","family":"Hulse","given":"David W.","non-dropping-particle":"","parse-names":false,"suffix":""},{"dropping-particle":"V.","family":"Gregory","given":"Stanley","non-dropping-particle":"","parse-names":false,"suffix":""},{"dropping-particle":"","family":"Smith","given":"Court","non-dropping-particle":"","parse-names":false,"suffix":""}],"container-title":"Environmental Modelling and Software","id":"ITEM-1","issue":"5","issued":{"date-parts":[["2007"]]},"page":"570-579","title":"Modeling biocomplexity - actors, landscapes and alternative futures","type":"article-journal","volume":"22"},"uris":["http://www.mendeley.com/documents/?uuid=84a27fec-f909-4768-ab1c-ce75cc6ad7d7"]},{"id":"ITEM-2","itemData":{"author":[{"dropping-particle":"","family":"Spies","given":"Thomas A","non-dropping-particle":"","parse-names":false,"suffix":""},{"dropping-particle":"","family":"White","given":"Eric","non-dropping-particle":"","parse-names":false,"suffix":""},{"dropping-particle":"","family":"Ager","given":"Alan","non-dropping-particle":"","parse-names":false,"suffix":""},{"dropping-particle":"","family":"Kline","given":"Jeffrey D","non-dropping-particle":"","parse-names":false,"suffix":""},{"dropping-particle":"","family":"Bolte","given":"John P","non-dropping-particle":"","parse-names":false,"suffix":""},{"dropping-particle":"","family":"Platt","given":"Emily K","non-dropping-particle":"","parse-names":false,"suffix":""},{"dropping-particle":"","family":"Olsen","given":"Keith A","non-dropping-particle":"","parse-names":false,"suffix":""},{"dropping-particle":"","family":"Pabst","given":"Robert J","non-dropping-particle":"","parse-names":false,"suffix":""},{"dropping-particle":"","family":"Barros","given":"Ana M G","non-dropping-particle":"","parse-names":false,"suffix":""},{"dropping-particle":"","family":"Bailey","given":"John D","non-dropping-particle":"","parse-names":false,"suffix":""},{"dropping-particle":"","family":"others","given":"","non-dropping-particle":"","parse-names":false,"suffix":""}],"container-title":"Ecology and Society. 22 (1): 25.","id":"ITEM-2","issue":"1","issued":{"date-parts":[["2017"]]},"page":"25","title":"Using an agent-based model to examine forest management outcomes in a fire-prone landscape in Oregon, USA","type":"article-journal","volume":"22"},"uris":["http://www.mendeley.com/documents/?uuid=645a0212-9c10-4072-a625-5c659f248820"]}],"mendeley":{"formattedCitation":"(Bolte et al., 2007; Spies et al., 2017)","plainTextFormattedCitation":"(Bolte et al., 2007; Spies et al., 2017)","previouslyFormattedCitation":"(Bolte et al., 2007; Spies et al., 2017)"},"properties":{"noteIndex":0},"schema":"https://github.com/citation-style-language/schema/raw/master/csl-citation.json"}</w:instrText>
      </w:r>
      <w:r w:rsidRPr="004F469F">
        <w:fldChar w:fldCharType="separate"/>
      </w:r>
      <w:r w:rsidR="0010658B" w:rsidRPr="00123266">
        <w:rPr>
          <w:noProof/>
        </w:rPr>
        <w:t xml:space="preserve">(Bolte </w:t>
      </w:r>
      <w:r w:rsidR="0010658B" w:rsidRPr="00453357">
        <w:rPr>
          <w:i/>
          <w:iCs/>
          <w:noProof/>
        </w:rPr>
        <w:t>et al.</w:t>
      </w:r>
      <w:r w:rsidR="0010658B" w:rsidRPr="00123266">
        <w:rPr>
          <w:noProof/>
        </w:rPr>
        <w:t xml:space="preserve">, 2007; Spies </w:t>
      </w:r>
      <w:r w:rsidR="0010658B" w:rsidRPr="00453357">
        <w:rPr>
          <w:i/>
          <w:iCs/>
          <w:noProof/>
        </w:rPr>
        <w:t>et al.</w:t>
      </w:r>
      <w:r w:rsidR="0010658B" w:rsidRPr="00123266">
        <w:rPr>
          <w:noProof/>
        </w:rPr>
        <w:t>, 2017)</w:t>
      </w:r>
      <w:r w:rsidRPr="004F469F">
        <w:fldChar w:fldCharType="end"/>
      </w:r>
      <w:r w:rsidRPr="004F469F">
        <w:t xml:space="preserve"> to project population densities over OKCMA for the period 2016 to 2050. The TARGET plug-in uses a baseline distribution of population densities specified on the parcel level and works by increasing the population density of this density-surface towards a maximum capacity using a fixed growth rate on an annual time step. We used an annual population density growth rate of 2.5% and a further set spatial allocation rules to distribute population growth preferentially to areas proximal to certain desirable spatial features such as the city center or bodies of water, based on established procedures in land change models (</w:t>
      </w:r>
      <w:r w:rsidRPr="004F469F">
        <w:rPr>
          <w:i/>
          <w:iCs/>
        </w:rPr>
        <w:t>e.g.</w:t>
      </w:r>
      <w:r w:rsidRPr="004F469F">
        <w:t xml:space="preserve">, </w:t>
      </w:r>
      <w:r w:rsidRPr="004F469F">
        <w:fldChar w:fldCharType="begin" w:fldLock="1"/>
      </w:r>
      <w:r w:rsidR="00123266">
        <w:instrText>ADDIN CSL_CITATION {"citationItems":[{"id":"ITEM-1","itemData":{"DOI":"10.1016/j.landurbplan.2014.11.011","ISBN":"01692046 (ISSN)","ISSN":"01692046","abstract":"Land that is of great value for conservation can also be highly suitable for human use, resulting in competition between urban development and the protection of natural resources. To assess the effectiveness of proposed regional land conservation strategies in the context of rapid urbanization, we measured the impacts of simulated development patterns on two distinct conservation goals: protecting priority natural resources and limiting landscape fragmentation. Using a stochastic, patch-based land change model (FUTURES) we projected urbanization in the North Carolina Piedmont according to status quo trends and several conservation-planning strategies, including constraints on the spatial distribution of development, encouraging infill, and increasing development density. This approach allows simulation of population-driven land consumption without excluding the possibility of development, even in areas of high conservation value. We found that if current trends continue, new development will consume 11% of priority resource lands, 21% of forested land, and 14% of farmlands regionally by 2032. We also found that no single conservation strategy was optimal for achieving both conservation goals. For example, strategies that excluded development from priority areas caused increased fragmentation of forests and farmlands, while infill strategies increased loss of priority resources proximal to urban areas. Exploration of these land change scenarios not only confirmed that a failure to act is likely to result in irreconcilable losses to a conservation network, but that all conservation plans are not equivalent in effect, highlighting the importance of analyzing tradeoffs between alternative conservation planning approaches.","author":[{"dropping-particle":"","family":"Dorning","given":"Monica A.","non-dropping-particle":"","parse-names":false,"suffix":""},{"dropping-particle":"","family":"Koch","given":"Jennifer","non-dropping-particle":"","parse-names":false,"suffix":""},{"dropping-particle":"","family":"Shoemaker","given":"Douglas A.","non-dropping-particle":"","parse-names":false,"suffix":""},{"dropping-particle":"","family":"Meentemeyer","given":"Ross K.","non-dropping-particle":"","parse-names":false,"suffix":""}],"container-title":"Landscape and Urban Planning","id":"ITEM-1","issued":{"date-parts":[["2015"]]},"page":"28-39","publisher":"Elsevier B.V.","title":"Simulating urbanization scenarios reveals tradeoffs between conservation planning strategies","type":"article-journal","volume":"136"},"uris":["http://www.mendeley.com/documents/?uuid=0b2dfd0d-e196-4584-8a98-a91d80e31dd0"]},{"id":"ITEM-2","itemData":{"author":[{"dropping-particle":"","family":"Koch","given":"Jennifer","non-dropping-particle":"","parse-names":false,"suffix":""}],"id":"ITEM-2","issued":{"date-parts":[["2010"]]},"publisher":"kassel university press GmbH","title":"Modeling the impacts of land-use change on ecosystems at the regional and continental scale","type":"book"},"uris":["http://www.mendeley.com/documents/?uuid=98458e3a-4663-4615-886c-a935ba856475"]}],"mendeley":{"formattedCitation":"(Koch, 2010; Dorning et al., 2015)","manualFormatting":"Dorning et al., 2015; Koch, 2010)","plainTextFormattedCitation":"(Koch, 2010; Dorning et al., 2015)","previouslyFormattedCitation":"(Koch, 2010; Dorning et al., 2015)"},"properties":{"noteIndex":0},"schema":"https://github.com/citation-style-language/schema/raw/master/csl-citation.json"}</w:instrText>
      </w:r>
      <w:r w:rsidRPr="004F469F">
        <w:fldChar w:fldCharType="separate"/>
      </w:r>
      <w:r w:rsidRPr="004F469F">
        <w:rPr>
          <w:noProof/>
        </w:rPr>
        <w:t xml:space="preserve">Dorning </w:t>
      </w:r>
      <w:r w:rsidRPr="00453357">
        <w:rPr>
          <w:i/>
          <w:iCs/>
          <w:noProof/>
        </w:rPr>
        <w:t>et al.</w:t>
      </w:r>
      <w:r w:rsidRPr="004F469F">
        <w:rPr>
          <w:noProof/>
        </w:rPr>
        <w:t>, 2015; Koch, 2010)</w:t>
      </w:r>
      <w:r w:rsidRPr="004F469F">
        <w:fldChar w:fldCharType="end"/>
      </w:r>
      <w:r w:rsidRPr="004F469F">
        <w:t xml:space="preserve">. Simulations were carried out on an annual basis between 2011 and 2050 with the original 2010 parcel-level population densities derived from the 2010 census block data </w:t>
      </w:r>
      <w:r w:rsidRPr="004F469F">
        <w:fldChar w:fldCharType="begin" w:fldLock="1"/>
      </w:r>
      <w:r w:rsidR="00C31A1B" w:rsidRPr="004F469F">
        <w:instrText>ADDIN CSL_CITATION {"citationItems":[{"id":"ITEM-1","itemData":{"URL":"https://factfinder.census.gov","accessed":{"date-parts":[["2019","7","18"]]},"author":[{"dropping-particle":"","family":"U.S. Census Bureau","given":"","non-dropping-particle":"","parse-names":false,"suffix":""}],"id":"ITEM-1","issued":{"date-parts":[["2010"]]},"title":"American Fact Finder","type":"webpage"},"uris":["http://www.mendeley.com/documents/?uuid=08ccc822-2ea4-4bde-8058-162af5ee6134"]}],"mendeley":{"formattedCitation":"(U.S. Census Bureau, 2010)","plainTextFormattedCitation":"(U.S. Census Bureau, 2010)","previouslyFormattedCitation":"(U.S. Census Bureau, 2010)"},"properties":{"noteIndex":0},"schema":"https://github.com/citation-style-language/schema/raw/master/csl-citation.json"}</w:instrText>
      </w:r>
      <w:r w:rsidRPr="004F469F">
        <w:fldChar w:fldCharType="separate"/>
      </w:r>
      <w:r w:rsidR="001F078B" w:rsidRPr="004F469F">
        <w:rPr>
          <w:noProof/>
        </w:rPr>
        <w:t>(U.S. Census Bureau, 2010)</w:t>
      </w:r>
      <w:r w:rsidRPr="004F469F">
        <w:fldChar w:fldCharType="end"/>
      </w:r>
      <w:r w:rsidRPr="004F469F">
        <w:t>. This scenario describes a Business as Usual (BAU) pattern (</w:t>
      </w:r>
      <w:r w:rsidRPr="002614B3">
        <w:rPr>
          <w:i/>
          <w:iCs/>
        </w:rPr>
        <w:t>i.e.</w:t>
      </w:r>
      <w:r w:rsidRPr="004F469F">
        <w:t xml:space="preserve">, a continuation of the historically observed spatial sprawl patterns) in the OKCMA. Table 4.2 provides the allocation rules used in the population density projections. Dilekli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Dileckli","given":"Naci","non-dropping-particle":"","parse-names":false,"suffix":""},{"dropping-particle":"","family":"Koch","given":"Jennifer","non-dropping-particle":"","parse-names":false,"suffix":""},{"dropping-particle":"","family":"Jawarneh","given":"Rana N.","non-dropping-particle":"","parse-names":false,"suffix":""}],"container-title":"Unpublished Work","id":"ITEM-1","issued":{"date-parts":[["0"]]},"title":"A Spatial Analysis of Historical and Potential Future Urbanization Patterns in the Oklahoma City Metropolitan Area","type":"article-journal"},"suppress-author":1,"uris":["http://www.mendeley.com/documents/?uuid=9cb1520c-57df-4fa9-b7c4-c0917fa794b2"]}],"mendeley":{"formattedCitation":"(n.d.)","manualFormatting":"(in preparation)","plainTextFormattedCitation":"(n.d.)","previouslyFormattedCitation":"(n.d.)"},"properties":{"noteIndex":0},"schema":"https://github.com/citation-style-language/schema/raw/master/csl-citation.json"}</w:instrText>
      </w:r>
      <w:r w:rsidRPr="004F469F">
        <w:fldChar w:fldCharType="separate"/>
      </w:r>
      <w:r w:rsidRPr="004F469F">
        <w:rPr>
          <w:noProof/>
        </w:rPr>
        <w:t>(</w:t>
      </w:r>
      <w:r w:rsidR="005A34E5" w:rsidRPr="004F469F">
        <w:rPr>
          <w:noProof/>
        </w:rPr>
        <w:t xml:space="preserve">in </w:t>
      </w:r>
      <w:r w:rsidR="005A34E5" w:rsidRPr="004F469F">
        <w:rPr>
          <w:noProof/>
        </w:rPr>
        <w:lastRenderedPageBreak/>
        <w:t>preparation</w:t>
      </w:r>
      <w:r w:rsidRPr="004F469F">
        <w:rPr>
          <w:noProof/>
        </w:rPr>
        <w:t>)</w:t>
      </w:r>
      <w:r w:rsidRPr="004F469F">
        <w:fldChar w:fldCharType="end"/>
      </w:r>
      <w:r w:rsidRPr="004F469F">
        <w:t xml:space="preserve"> discuss model validation and caveats. Figure 4.2 displays the simulation results resulting from the TARGET application.</w:t>
      </w:r>
    </w:p>
    <w:p w14:paraId="29E864A3"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2" w:name="_Toc21861326"/>
      <w:r w:rsidRPr="004F469F">
        <w:rPr>
          <w:rFonts w:ascii="Times New Roman" w:hAnsi="Times New Roman" w:cs="Times New Roman"/>
          <w:i/>
          <w:iCs/>
          <w:color w:val="auto"/>
        </w:rPr>
        <w:t>North American Regional Climate Change Assessment Program Current and Future Climate Scenarios</w:t>
      </w:r>
      <w:bookmarkEnd w:id="82"/>
    </w:p>
    <w:p w14:paraId="5369985B" w14:textId="4C850C3F" w:rsidR="00DF5082" w:rsidRPr="004F469F" w:rsidRDefault="00DF5082" w:rsidP="009225F0">
      <w:pPr>
        <w:spacing w:after="120" w:line="480" w:lineRule="auto"/>
        <w:ind w:firstLine="720"/>
      </w:pPr>
      <w:r w:rsidRPr="004F469F">
        <w:t xml:space="preserve">We used current (1990 – 1999) and future (2045 – 2054) gridded atmospheric environmental data from the North American Regional Climate Change Assessment Program (NARCCAP) project </w:t>
      </w:r>
      <w:r w:rsidRPr="004F469F">
        <w:fldChar w:fldCharType="begin" w:fldLock="1"/>
      </w:r>
      <w:r w:rsidR="00123266">
        <w:instrText>ADDIN CSL_CITATION {"citationItems":[{"id":"ITEM-1","itemData":{"DOI":"10.5065/D6RN35ST","author":[{"dropping-particle":"","family":"Mearns","given":"Linda","non-dropping-particle":"","parse-names":false,"suffix":""},{"dropping-particle":"","family":"McGinnis","given":"Seth","non-dropping-particle":"","parse-names":false,"suffix":""},{"dropping-particle":"","family":"Arritt","given":"Raymond","non-dropping-particle":"","parse-names":false,"suffix":""},{"dropping-particle":"","family":"Biner","given":"Sebastien","non-dropping-particle":"","parse-names":false,"suffix":""},{"dropping-particle":"","family":"Duffy","given":"Phillip","non-dropping-particle":"","parse-names":false,"suffix":""},{"dropping-particle":"","family":"Gutowski","given":"William","non-dropping-particle":"","parse-names":false,"suffix":""},{"dropping-particle":"","family":"Held","given":"Isaac","non-dropping-particle":"","parse-names":false,"suffix":""},{"dropping-particle":"","family":"Jones","given":"Richard","non-dropping-particle":"","parse-names":false,"suffix":""},{"dropping-particle":"","family":"Leung","given":"Ruby","non-dropping-particle":"","parse-names":false,"suffix":""},{"dropping-particle":"","family":"Nunes","given":"Ana","non-dropping-particle":"","parse-names":false,"suffix":""},{"dropping-particle":"","family":"Snyder","given":"Mark","non-dropping-particle":"","parse-names":false,"suffix":""},{"dropping-particle":"","family":"Caya","given":"Daniel","non-dropping-particle":"","parse-names":false,"suffix":""},{"dropping-particle":"","family":"Correia","given":"James","non-dropping-particle":"","parse-names":false,"suffix":""},{"dropping-particle":"","family":"Flory","given":"David","non-dropping-particle":"","parse-names":false,"suffix":""},{"dropping-particle":"","family":"Herzmann","given":"Daryl","non-dropping-particle":"","parse-names":false,"suffix":""},{"dropping-particle":"","family":"Laprise","given":"René","non-dropping-particle":"","parse-names":false,"suffix":""},{"dropping-particle":"","family":"Moufouma-Okia","given":"Wilfran","non-dropping-particle":"","parse-names":false,"suffix":""},{"dropping-particle":"","family":"Takle","given":"Gene","non-dropping-particle":"","parse-names":false,"suffix":""},{"dropping-particle":"","family":"Teng","given":"Haiyan","non-dropping-particle":"","parse-names":false,"suffix":""},{"dropping-particle":"","family":"Thompson","given":"Josh","non-dropping-particle":"","parse-names":false,"suffix":""},{"dropping-particle":"","family":"Tucker","given":"Simon","non-dropping-particle":"","parse-names":false,"suffix":""},{"dropping-particle":"","family":"Wyman","given":"Bruce","non-dropping-particle":"","parse-names":false,"suffix":""},{"dropping-particle":"","family":"Anitha","given":"Anila","non-dropping-particle":"","parse-names":false,"suffix":""},{"dropping-particle":"","family":"Buja","given":"Lawrence","non-dropping-particle":"","parse-names":false,"suffix":""},{"dropping-particle":"","family":"Macintosh","given":"Christopher","non-dropping-particle":"","parse-names":false,"suffix":""},{"dropping-particle":"","family":"McDaniel","given":"Larry","non-dropping-particle":"","parse-names":false,"suffix":""},{"dropping-particle":"","family":"O'Brien","given":"Travis","non-dropping-particle":"","parse-names":false,"suffix":""},{"dropping-particle":"","family":"Qian","given":"Yun","non-dropping-particle":"","parse-names":false,"suffix":""},{"dropping-particle":"","family":"Sloan","given":"Lisa","non-dropping-particle":"","parse-names":false,"suffix":""},{"dropping-particle":"","family":"Strand","given":"Gary","non-dropping-particle":"","parse-names":false,"suffix":""},{"dropping-particle":"","family":"Zoellick","given":"Casey","non-dropping-particle":"","parse-names":false,"suffix":""}],"id":"ITEM-1","issued":{"date-parts":[["2014"]]},"publisher":"National Center for Atmospheric Research Earth System Grid data portal","publisher-place":"Boulder, CO.","title":"The North American Regional Climate Change Assessment Program dataset","type":"article"},"uris":["http://www.mendeley.com/documents/?uuid=b6e7720e-80b8-4fcf-ae20-7014f6b14e15"]}],"mendeley":{"formattedCitation":"(Mearns et al., 2014)","plainTextFormattedCitation":"(Mearns et al., 2014)","previouslyFormattedCitation":"(Mearns et al., 2014)"},"properties":{"noteIndex":0},"schema":"https://github.com/citation-style-language/schema/raw/master/csl-citation.json"}</w:instrText>
      </w:r>
      <w:r w:rsidRPr="004F469F">
        <w:fldChar w:fldCharType="separate"/>
      </w:r>
      <w:r w:rsidR="0010658B" w:rsidRPr="00123266">
        <w:rPr>
          <w:noProof/>
        </w:rPr>
        <w:t xml:space="preserve">(Mearns </w:t>
      </w:r>
      <w:r w:rsidR="0010658B" w:rsidRPr="00453357">
        <w:rPr>
          <w:i/>
          <w:iCs/>
          <w:noProof/>
        </w:rPr>
        <w:t>et al.</w:t>
      </w:r>
      <w:r w:rsidR="0010658B" w:rsidRPr="00123266">
        <w:rPr>
          <w:noProof/>
        </w:rPr>
        <w:t>, 2014)</w:t>
      </w:r>
      <w:r w:rsidRPr="004F469F">
        <w:fldChar w:fldCharType="end"/>
      </w:r>
      <w:r w:rsidRPr="004F469F">
        <w:t>. NARCCAP is an international effort to create downscaled, high-resolution simulations of various atmospheric environmental variables for use in climate change research. The NARCCAP gridded data sets were produced by running several Regional Climate Models (RCMs) forced by a suite of atmosphere-ocean general circulation models (AOGCMs). The AOGCMs in the future climate scenarios were forced with the Special Report on Emission Scenarios (SRES) A2 emissions scenario, which is one of the higher</w:t>
      </w:r>
      <w:r w:rsidR="000932B0">
        <w:t xml:space="preserve"> Representative Concentration Pathway (RCP) </w:t>
      </w:r>
      <w:r w:rsidRPr="004F469F">
        <w:t xml:space="preserve">emissions scenarios </w:t>
      </w:r>
      <w:r w:rsidRPr="004F469F">
        <w:fldChar w:fldCharType="begin" w:fldLock="1"/>
      </w:r>
      <w:r w:rsidR="00123266">
        <w:instrText>ADDIN CSL_CITATION {"citationItems":[{"id":"ITEM-1","itemData":{"author":[{"dropping-particle":"","family":"Nakicenovic","given":"Nebojsa","non-dropping-particle":"","parse-names":false,"suffix":""},{"dropping-particle":"","family":"Alcamo","given":"Joseph","non-dropping-particle":"","parse-names":false,"suffix":""},{"dropping-particle":"","family":"Grubler","given":"A","non-dropping-particle":"","parse-names":false,"suffix":""},{"dropping-particle":"","family":"Riahi","given":"K","non-dropping-particle":"","parse-names":false,"suffix":""},{"dropping-particle":"","family":"Roehrl","given":"R A","non-dropping-particle":"","parse-names":false,"suffix":""},{"dropping-particle":"","family":"Rogner","given":"H-H","non-dropping-particle":"","parse-names":false,"suffix":""},{"dropping-particle":"","family":"Victor","given":"N","non-dropping-particle":"","parse-names":false,"suffix":""}],"id":"ITEM-1","issued":{"date-parts":[["2000"]]},"publisher":"Cambridge University Press","title":"Special report on emissions scenarios (SRES), a special report of Working Group III of the intergovernmental panel on climate change","type":"book"},"uris":["http://www.mendeley.com/documents/?uuid=43b38974-54dc-4c8d-877d-4ec040dcbdf9"]}],"mendeley":{"formattedCitation":"(Nakicenovic et al., 2000)","plainTextFormattedCitation":"(Nakicenovic et al., 2000)","previouslyFormattedCitation":"(Nakicenovic et al., 2000)"},"properties":{"noteIndex":0},"schema":"https://github.com/citation-style-language/schema/raw/master/csl-citation.json"}</w:instrText>
      </w:r>
      <w:r w:rsidRPr="004F469F">
        <w:fldChar w:fldCharType="separate"/>
      </w:r>
      <w:r w:rsidR="0010658B" w:rsidRPr="00123266">
        <w:rPr>
          <w:noProof/>
        </w:rPr>
        <w:t xml:space="preserve">(Nakicenovic </w:t>
      </w:r>
      <w:r w:rsidR="0010658B" w:rsidRPr="00453357">
        <w:rPr>
          <w:i/>
          <w:iCs/>
          <w:noProof/>
        </w:rPr>
        <w:t>et al.</w:t>
      </w:r>
      <w:r w:rsidR="0010658B" w:rsidRPr="00123266">
        <w:rPr>
          <w:noProof/>
        </w:rPr>
        <w:t>, 2000)</w:t>
      </w:r>
      <w:r w:rsidRPr="004F469F">
        <w:fldChar w:fldCharType="end"/>
      </w:r>
      <w:r w:rsidRPr="004F469F">
        <w:t xml:space="preserve">, but still one that can be adapted to by humans </w:t>
      </w:r>
      <w:r w:rsidRPr="004F469F">
        <w:fldChar w:fldCharType="begin" w:fldLock="1"/>
      </w:r>
      <w:r w:rsidR="00123266">
        <w:instrText>ADDIN CSL_CITATION {"citationItems":[{"id":"ITEM-1","itemData":{"DOI":"10.1002/joc.3769","ISBN":"1097-0088","ISSN":"10970088","abstract":"This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Climatology","id":"ITEM-1","issue":"5","issued":{"date-parts":[["2014"]]},"page":"1699-1705","title":"Future convective environments using NARCCAP","type":"article-journal","volume":"34"},"uris":["http://www.mendeley.com/documents/?uuid=bcd3292d-bda8-4322-96cd-a32ad75b2206"]}],"mendeley":{"formattedCitation":"(Gensini et al., 2014b)","plainTextFormattedCitation":"(Gensini et al., 2014b)","previouslyFormattedCitation":"(Gensini et al., 2014b)"},"properties":{"noteIndex":0},"schema":"https://github.com/citation-style-language/schema/raw/master/csl-citation.json"}</w:instrText>
      </w:r>
      <w:r w:rsidRPr="004F469F">
        <w:fldChar w:fldCharType="separate"/>
      </w:r>
      <w:r w:rsidR="00123266" w:rsidRPr="00123266">
        <w:rPr>
          <w:noProof/>
        </w:rPr>
        <w:t xml:space="preserve">(Gensini </w:t>
      </w:r>
      <w:r w:rsidR="00123266" w:rsidRPr="00453357">
        <w:rPr>
          <w:i/>
          <w:iCs/>
          <w:noProof/>
        </w:rPr>
        <w:t>et al.</w:t>
      </w:r>
      <w:r w:rsidR="00123266" w:rsidRPr="00123266">
        <w:rPr>
          <w:noProof/>
        </w:rPr>
        <w:t>, 2014b)</w:t>
      </w:r>
      <w:r w:rsidRPr="004F469F">
        <w:fldChar w:fldCharType="end"/>
      </w:r>
      <w:r w:rsidRPr="004F469F">
        <w:t xml:space="preserve"> The spatial resolution of the data is 50 km, and the domain is the entire conterminous United States and parts of Canada and Mexico. Following a study on future convective environments in North America by Gensini </w:t>
      </w:r>
      <w:r w:rsidR="008F75F4" w:rsidRPr="00453357">
        <w:rPr>
          <w:i/>
          <w:iCs/>
        </w:rPr>
        <w:t>et al.</w:t>
      </w:r>
      <w:r w:rsidRPr="004F469F">
        <w:t xml:space="preserve"> </w:t>
      </w:r>
      <w:r w:rsidRPr="004F469F">
        <w:fldChar w:fldCharType="begin" w:fldLock="1"/>
      </w:r>
      <w:r w:rsidR="00123266">
        <w:instrText>ADDIN CSL_CITATION {"citationItems":[{"id":"ITEM-1","itemData":{"DOI":"10.1002/joc.3769","ISBN":"1097-0088","ISSN":"10970088","abstract":"This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Climatology","id":"ITEM-1","issue":"5","issued":{"date-parts":[["2014"]]},"page":"1699-1705","title":"Future convective environments using NARCCAP","type":"article-journal","volume":"34"},"suppress-author":1,"uris":["http://www.mendeley.com/documents/?uuid=dc5272eb-bd85-42a6-8efc-ce143f74e287"]}],"mendeley":{"formattedCitation":"(2014b)","plainTextFormattedCitation":"(2014b)","previouslyFormattedCitation":"(2014b)"},"properties":{"noteIndex":0},"schema":"https://github.com/citation-style-language/schema/raw/master/csl-citation.json"}</w:instrText>
      </w:r>
      <w:r w:rsidRPr="004F469F">
        <w:fldChar w:fldCharType="separate"/>
      </w:r>
      <w:r w:rsidR="00123266" w:rsidRPr="00123266">
        <w:rPr>
          <w:noProof/>
        </w:rPr>
        <w:t>(2014b)</w:t>
      </w:r>
      <w:r w:rsidRPr="004F469F">
        <w:fldChar w:fldCharType="end"/>
      </w:r>
      <w:r w:rsidRPr="004F469F">
        <w:t xml:space="preserve">, we use the Weather Research and Forecasting Model (WRF-G) RCM forced with the Community Climate System Model (CCSM3) version 3.0 for our data. We collected the following variables at one daily time step (0000 UTC): specific humidity, temperature, vertical velocity, and u- and v-component winds. These variables were pre-processed in Python using the SHARPpy library </w:t>
      </w:r>
      <w:r w:rsidRPr="004F469F">
        <w:fldChar w:fldCharType="begin" w:fldLock="1"/>
      </w:r>
      <w:r w:rsidR="00123266">
        <w:instrText>ADDIN CSL_CITATION {"citationItems":[{"id":"ITEM-1","itemData":{"author":[{"dropping-particle":"","family":"Halbert","given":"K T","non-dropping-particle":"","parse-names":false,"suffix":""},{"dropping-particle":"","family":"Blumberg","given":"W G","non-dropping-particle":"","parse-names":false,"suffix":""},{"dropping-particle":"","family":"Marsh","given":"P T","non-dropping-particle":"","parse-names":false,"suffix":""}],"container-title":"Preprints, 5th Symposium on Advances in Modeling and Analysis Using Python, Phoenix AZ","id":"ITEM-1","issued":{"date-parts":[["2015"]]},"title":"SHARPpy: Fueling the Python Cult","type":"paper-conference"},"uris":["http://www.mendeley.com/documents/?uuid=8fc0cee2-3c84-400c-ac5c-b77e9e9f1986"]}],"mendeley":{"formattedCitation":"(Halbert et al., 2015)","plainTextFormattedCitation":"(Halbert et al., 2015)","previouslyFormattedCitation":"(Halbert et al., 2015)"},"properties":{"noteIndex":0},"schema":"https://github.com/citation-style-language/schema/raw/master/csl-citation.json"}</w:instrText>
      </w:r>
      <w:r w:rsidRPr="004F469F">
        <w:fldChar w:fldCharType="separate"/>
      </w:r>
      <w:r w:rsidR="00123266" w:rsidRPr="00123266">
        <w:rPr>
          <w:noProof/>
        </w:rPr>
        <w:t xml:space="preserve">(Halbert </w:t>
      </w:r>
      <w:r w:rsidR="00123266" w:rsidRPr="00453357">
        <w:rPr>
          <w:i/>
          <w:iCs/>
          <w:noProof/>
        </w:rPr>
        <w:t>et al.</w:t>
      </w:r>
      <w:r w:rsidR="00123266" w:rsidRPr="00123266">
        <w:rPr>
          <w:noProof/>
        </w:rPr>
        <w:t>, 2015)</w:t>
      </w:r>
      <w:r w:rsidRPr="004F469F">
        <w:fldChar w:fldCharType="end"/>
      </w:r>
      <w:r w:rsidRPr="004F469F">
        <w:t xml:space="preserve"> to obtain the severe weather diagnostic parameters required by the Tornado Daily Impacts Simulator </w:t>
      </w:r>
      <w:r w:rsidRPr="004F469F">
        <w:fldChar w:fldCharType="begin" w:fldLock="1"/>
      </w:r>
      <w:r w:rsidR="003642A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F37017" w:rsidRPr="00F37017">
        <w:rPr>
          <w:noProof/>
        </w:rPr>
        <w:t xml:space="preserve">(Hatzis </w:t>
      </w:r>
      <w:r w:rsidR="00F37017" w:rsidRPr="00453357">
        <w:rPr>
          <w:i/>
          <w:iCs/>
          <w:noProof/>
        </w:rPr>
        <w:t>et al.</w:t>
      </w:r>
      <w:r w:rsidR="00F37017" w:rsidRPr="00F37017">
        <w:rPr>
          <w:noProof/>
        </w:rPr>
        <w:t xml:space="preserve">, </w:t>
      </w:r>
      <w:r w:rsidR="00F37017">
        <w:rPr>
          <w:noProof/>
        </w:rPr>
        <w:t>in review</w:t>
      </w:r>
      <w:r w:rsidR="00F37017" w:rsidRPr="00F37017">
        <w:rPr>
          <w:noProof/>
        </w:rPr>
        <w:t>)</w:t>
      </w:r>
      <w:r w:rsidRPr="004F469F">
        <w:fldChar w:fldCharType="end"/>
      </w:r>
      <w:r w:rsidRPr="004F469F">
        <w:t>.</w:t>
      </w:r>
    </w:p>
    <w:p w14:paraId="1506BE6B"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3" w:name="_Toc21861327"/>
      <w:r w:rsidRPr="004F469F">
        <w:rPr>
          <w:rFonts w:ascii="Times New Roman" w:hAnsi="Times New Roman" w:cs="Times New Roman"/>
          <w:i/>
          <w:iCs/>
          <w:color w:val="auto"/>
        </w:rPr>
        <w:lastRenderedPageBreak/>
        <w:t>Tornado Daily Impacts Simulator</w:t>
      </w:r>
      <w:bookmarkEnd w:id="83"/>
    </w:p>
    <w:p w14:paraId="3EC3BCCD" w14:textId="3E863A79" w:rsidR="00DF5082" w:rsidRPr="004F469F" w:rsidRDefault="00DF5082" w:rsidP="009225F0">
      <w:pPr>
        <w:spacing w:after="120" w:line="480" w:lineRule="auto"/>
        <w:ind w:firstLine="720"/>
      </w:pPr>
      <w:r w:rsidRPr="004F469F">
        <w:t xml:space="preserve">The Tornado Daily Impacts Simulator (TorDIS) is a spatially explicit and environmentally driven model that simulates the impacts of many tornadoes on a specified cost surface at a daily time step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76275F" w:rsidRPr="004F469F">
        <w:rPr>
          <w:noProof/>
        </w:rPr>
        <w:t xml:space="preserve">(Hatzis </w:t>
      </w:r>
      <w:r w:rsidR="0076275F" w:rsidRPr="00453357">
        <w:rPr>
          <w:i/>
          <w:iCs/>
          <w:noProof/>
        </w:rPr>
        <w:t>et al.</w:t>
      </w:r>
      <w:r w:rsidR="0076275F" w:rsidRPr="004F469F">
        <w:rPr>
          <w:noProof/>
        </w:rPr>
        <w:t xml:space="preserve">, </w:t>
      </w:r>
      <w:r w:rsidR="00266494" w:rsidRPr="004F469F">
        <w:rPr>
          <w:noProof/>
        </w:rPr>
        <w:t>in review</w:t>
      </w:r>
      <w:r w:rsidR="0076275F" w:rsidRPr="004F469F">
        <w:rPr>
          <w:noProof/>
        </w:rPr>
        <w:t>)</w:t>
      </w:r>
      <w:r w:rsidRPr="004F469F">
        <w:fldChar w:fldCharType="end"/>
      </w:r>
      <w:r w:rsidRPr="004F469F">
        <w:t xml:space="preserve">.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0932B0" w:rsidRPr="000932B0">
        <w:rPr>
          <w:noProof/>
        </w:rPr>
        <w:t>(</w:t>
      </w:r>
      <w:r w:rsidR="000932B0">
        <w:rPr>
          <w:noProof/>
        </w:rPr>
        <w:t>in review</w:t>
      </w:r>
      <w:r w:rsidR="000932B0" w:rsidRPr="000932B0">
        <w:rPr>
          <w:noProof/>
        </w:rPr>
        <w:t>)</w:t>
      </w:r>
      <w:r w:rsidRPr="004F469F">
        <w:fldChar w:fldCharType="end"/>
      </w:r>
      <w:r w:rsidRPr="004F469F">
        <w:t xml:space="preserve"> describe TorDIS, in detail, along with use examples and model limitations. Here, we used TorDIS to simulate 1,000 years’ worth of tornado footprints over the state of Oklahoma and surrounding areas, assuming a 100 km buffer (Figure 4.1). We limited the number of runs to 1,000 years due to computational constraints. We then clipped the runs to the OKCMA. The simulation produced tornadoes of all magnitudes, but this study focuses on significant (rated two or higher on the Enhanced Fujita (EF) scale) tornadoes as they cause the most fatalities </w:t>
      </w:r>
      <w:r w:rsidRPr="004F469F">
        <w:fldChar w:fldCharType="begin" w:fldLock="1"/>
      </w:r>
      <w:r w:rsidR="0010658B">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tornadoes","type":"book"},"uris":["http://www.mendeley.com/documents/?uuid=679dd86e-3cb6-4bd9-aa65-841ad4dddd4a"]}],"mendeley":{"formattedCitation":"(Ashley, 2007; Simmons and Sutter, 2011)","plainTextFormattedCitation":"(Ashley, 2007; Simmons and Sutter, 2011)","previouslyFormattedCitation":"(Ashley, 2007; Simmons and Sutter, 2011)"},"properties":{"noteIndex":0},"schema":"https://github.com/citation-style-language/schema/raw/master/csl-citation.json"}</w:instrText>
      </w:r>
      <w:r w:rsidRPr="004F469F">
        <w:fldChar w:fldCharType="separate"/>
      </w:r>
      <w:r w:rsidR="0010658B" w:rsidRPr="0010658B">
        <w:rPr>
          <w:noProof/>
        </w:rPr>
        <w:t>(Ashley, 2007; Simmons and Sutter, 2011)</w:t>
      </w:r>
      <w:r w:rsidRPr="004F469F">
        <w:fldChar w:fldCharType="end"/>
      </w:r>
      <w:r w:rsidRPr="004F469F">
        <w:t xml:space="preserve">. We randomly selected tornado path lengths and widths from Weibull distributions. We derived the environmental data from NARCAPP and used the parcel-based census population data for the OKCMA as the cost surface. The tornado database used in this study is the SVRGIS database from the Storm Prediction Center for 1979 to 2016, the same as used in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76275F" w:rsidRPr="004F469F">
        <w:rPr>
          <w:noProof/>
        </w:rPr>
        <w:t>(</w:t>
      </w:r>
      <w:r w:rsidR="00266494" w:rsidRPr="004F469F">
        <w:rPr>
          <w:noProof/>
        </w:rPr>
        <w:t>in review</w:t>
      </w:r>
      <w:r w:rsidR="0076275F" w:rsidRPr="004F469F">
        <w:rPr>
          <w:noProof/>
        </w:rPr>
        <w:t>)</w:t>
      </w:r>
      <w:r w:rsidRPr="004F469F">
        <w:fldChar w:fldCharType="end"/>
      </w:r>
      <w:r w:rsidRPr="004F469F">
        <w:t>.</w:t>
      </w:r>
    </w:p>
    <w:p w14:paraId="762EEB92" w14:textId="1420B2A6" w:rsidR="00DF5082" w:rsidRPr="004F469F" w:rsidRDefault="00DF5082" w:rsidP="009225F0">
      <w:pPr>
        <w:spacing w:after="120" w:line="480" w:lineRule="auto"/>
        <w:ind w:firstLine="720"/>
      </w:pPr>
      <w:r w:rsidRPr="004F469F">
        <w:t xml:space="preserve">Following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76275F" w:rsidRPr="004F469F">
        <w:rPr>
          <w:noProof/>
        </w:rPr>
        <w:t>(</w:t>
      </w:r>
      <w:r w:rsidR="00266494" w:rsidRPr="004F469F">
        <w:rPr>
          <w:noProof/>
        </w:rPr>
        <w:t>in review</w:t>
      </w:r>
      <w:r w:rsidR="0076275F" w:rsidRPr="004F469F">
        <w:rPr>
          <w:noProof/>
        </w:rPr>
        <w:t>)</w:t>
      </w:r>
      <w:r w:rsidRPr="004F469F">
        <w:fldChar w:fldCharType="end"/>
      </w:r>
      <w:r w:rsidRPr="004F469F">
        <w:t xml:space="preserve">, tornado favorability and spatial distribution were determined using logistic regressions. We used the same regression variables as in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76275F" w:rsidRPr="004F469F">
        <w:rPr>
          <w:noProof/>
        </w:rPr>
        <w:t>(</w:t>
      </w:r>
      <w:r w:rsidR="00266494" w:rsidRPr="004F469F">
        <w:rPr>
          <w:noProof/>
        </w:rPr>
        <w:t>in review</w:t>
      </w:r>
      <w:r w:rsidR="0076275F" w:rsidRPr="004F469F">
        <w:rPr>
          <w:noProof/>
        </w:rPr>
        <w:t>)</w:t>
      </w:r>
      <w:r w:rsidRPr="004F469F">
        <w:fldChar w:fldCharType="end"/>
      </w:r>
      <w:r w:rsidRPr="004F469F">
        <w:t xml:space="preserve"> but we specified the logistic regressions using the 1990 – 1999 NARCCAP and SVRGIS data over the central and southern United States (see Figure 2</w:t>
      </w:r>
      <w:r w:rsidR="000932B0">
        <w:t xml:space="preserve">; </w:t>
      </w:r>
      <w:r w:rsidR="000932B0">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000932B0">
        <w:fldChar w:fldCharType="separate"/>
      </w:r>
      <w:r w:rsidR="000932B0" w:rsidRPr="000932B0">
        <w:rPr>
          <w:noProof/>
        </w:rPr>
        <w:t xml:space="preserve">Hatzis </w:t>
      </w:r>
      <w:r w:rsidR="000932B0" w:rsidRPr="00453357">
        <w:rPr>
          <w:i/>
          <w:iCs/>
          <w:noProof/>
        </w:rPr>
        <w:t>et al.</w:t>
      </w:r>
      <w:r w:rsidR="000932B0" w:rsidRPr="000932B0">
        <w:rPr>
          <w:noProof/>
        </w:rPr>
        <w:t xml:space="preserve">, </w:t>
      </w:r>
      <w:r w:rsidR="000932B0">
        <w:rPr>
          <w:noProof/>
        </w:rPr>
        <w:t>in review</w:t>
      </w:r>
      <w:r w:rsidR="000932B0" w:rsidRPr="000932B0">
        <w:rPr>
          <w:noProof/>
        </w:rPr>
        <w:t>)</w:t>
      </w:r>
      <w:r w:rsidR="000932B0">
        <w:fldChar w:fldCharType="end"/>
      </w:r>
      <w:r w:rsidRPr="004F469F">
        <w:t xml:space="preserve">, instead of the North American Regional Reanalysis (NARR) data. The regressions were trained on the 1987 – 1997 observations and validated against the 1998 and 1999 observations to confirm that the regressions performed acceptably well. We tested multiple thresholds, to determine whether a grid cell was considered favorable for severe weather, to find the thresholds </w:t>
      </w:r>
      <w:r w:rsidRPr="004F469F">
        <w:lastRenderedPageBreak/>
        <w:t xml:space="preserve">that maximized the probability of detection (POD; and minimized false alarm rates (FAR) for both tornado days and tornado distributions. The best threshold proved to be 0.00509 for the severe weather regressions and 0.009 for the tornado regressions. The POD for the spatial distribution of tornadoes was 62.5% with a FAR of 99.9%. The POD for tornado days was 81.9% with an FAR of 53.5%. The PODs were lower compared to the findings of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76275F" w:rsidRPr="004F469F">
        <w:rPr>
          <w:noProof/>
        </w:rPr>
        <w:t>(</w:t>
      </w:r>
      <w:r w:rsidR="00266494" w:rsidRPr="004F469F">
        <w:rPr>
          <w:noProof/>
        </w:rPr>
        <w:t>in review</w:t>
      </w:r>
      <w:r w:rsidR="0076275F" w:rsidRPr="004F469F">
        <w:rPr>
          <w:noProof/>
        </w:rPr>
        <w:t>)</w:t>
      </w:r>
      <w:r w:rsidRPr="004F469F">
        <w:fldChar w:fldCharType="end"/>
      </w:r>
      <w:r w:rsidRPr="004F469F">
        <w:t xml:space="preserve"> when using the North American Regional Reanalysis data, but still high enough to be acceptable for our purposes. All other model settings were as in Hatzis </w:t>
      </w:r>
      <w:r w:rsidR="008F75F4" w:rsidRPr="00453357">
        <w:rPr>
          <w:i/>
          <w:iCs/>
        </w:rPr>
        <w:t>et al.</w:t>
      </w:r>
      <w:r w:rsidRPr="004F469F">
        <w:t xml:space="preserve">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Pr="004F469F">
        <w:fldChar w:fldCharType="separate"/>
      </w:r>
      <w:r w:rsidR="0076275F" w:rsidRPr="004F469F">
        <w:rPr>
          <w:noProof/>
        </w:rPr>
        <w:t>(</w:t>
      </w:r>
      <w:r w:rsidR="00266494" w:rsidRPr="004F469F">
        <w:rPr>
          <w:noProof/>
        </w:rPr>
        <w:t>in review</w:t>
      </w:r>
      <w:r w:rsidR="0076275F" w:rsidRPr="004F469F">
        <w:rPr>
          <w:noProof/>
        </w:rPr>
        <w:t>)</w:t>
      </w:r>
      <w:r w:rsidRPr="004F469F">
        <w:fldChar w:fldCharType="end"/>
      </w:r>
      <w:r w:rsidRPr="004F469F">
        <w:t>.</w:t>
      </w:r>
    </w:p>
    <w:p w14:paraId="01103DD9"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4" w:name="_Toc21861328"/>
      <w:r w:rsidRPr="004F469F">
        <w:rPr>
          <w:rFonts w:ascii="Times New Roman" w:hAnsi="Times New Roman" w:cs="Times New Roman"/>
          <w:i/>
          <w:iCs/>
          <w:color w:val="auto"/>
        </w:rPr>
        <w:t>Study Design</w:t>
      </w:r>
      <w:bookmarkEnd w:id="84"/>
    </w:p>
    <w:p w14:paraId="67216068" w14:textId="6EB46AE6" w:rsidR="00DF5082" w:rsidRPr="004F469F" w:rsidRDefault="00DF5082" w:rsidP="009225F0">
      <w:pPr>
        <w:spacing w:after="120" w:line="480" w:lineRule="auto"/>
        <w:ind w:firstLine="720"/>
      </w:pPr>
      <w:r w:rsidRPr="004F469F">
        <w:t xml:space="preserve">In this spatially explicit, scenario study we combined an urbanization scenario and climate change scenarios with a </w:t>
      </w:r>
      <w:r w:rsidR="000932B0">
        <w:t>recently-developed</w:t>
      </w:r>
      <w:r w:rsidRPr="004F469F">
        <w:t xml:space="preserve"> model, TorDIS, to test </w:t>
      </w:r>
      <w:r w:rsidR="000932B0">
        <w:t xml:space="preserve">how </w:t>
      </w:r>
      <w:r w:rsidRPr="004F469F">
        <w:t>tornado exposure varies between 2010 and 2050 due to the combined and isolated effects of urbanization and climate change. The model output consists of spatial vector (polygon) data, representing the footprints of all simulated tornadoes over the OKCMA. We simulated tornado footprints from 10 years of atmospheric environmental data with multiple simulations using each year of data. Each tornado has a population exposure representing the number of people who reside in the footprint during the decade in which the tornado occurs (</w:t>
      </w:r>
      <w:r w:rsidRPr="002614B3">
        <w:rPr>
          <w:i/>
          <w:iCs/>
        </w:rPr>
        <w:t>i.e.</w:t>
      </w:r>
      <w:r w:rsidRPr="004F469F">
        <w:t>, 2010 or 2050). For this purpose, we applied a 6-step procedure (Figure 4.3).</w:t>
      </w:r>
    </w:p>
    <w:p w14:paraId="067C66EE" w14:textId="41E8FE8A" w:rsidR="00DF5082" w:rsidRPr="004F469F" w:rsidRDefault="00DF5082" w:rsidP="009225F0">
      <w:pPr>
        <w:spacing w:after="120" w:line="480" w:lineRule="auto"/>
        <w:ind w:firstLine="720"/>
      </w:pPr>
      <w:r w:rsidRPr="004F469F">
        <w:t>Figure 4.3 shows the steps performed at each model time step. Each time step begins with a selection of the input data. All simulations use the 100 km buffer around the study area (Figure 4.1) as well as the tornado data with environmental information (SVRGIS SND</w:t>
      </w:r>
      <w:r w:rsidR="004018A9">
        <w:t>;</w:t>
      </w:r>
      <w:r w:rsidRPr="004F469F">
        <w:t xml:space="preserve"> </w:t>
      </w:r>
      <w:r w:rsidRPr="004F469F">
        <w:fldChar w:fldCharType="begin" w:fldLock="1"/>
      </w:r>
      <w:r w:rsidR="004018A9">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76275F" w:rsidRPr="004F469F">
        <w:rPr>
          <w:noProof/>
        </w:rPr>
        <w:t xml:space="preserve">Hatzis </w:t>
      </w:r>
      <w:r w:rsidR="0076275F" w:rsidRPr="00453357">
        <w:rPr>
          <w:i/>
          <w:iCs/>
          <w:noProof/>
        </w:rPr>
        <w:t>et al.</w:t>
      </w:r>
      <w:r w:rsidR="0076275F" w:rsidRPr="004F469F">
        <w:rPr>
          <w:noProof/>
        </w:rPr>
        <w:t xml:space="preserve">, </w:t>
      </w:r>
      <w:r w:rsidR="00266494" w:rsidRPr="004F469F">
        <w:rPr>
          <w:noProof/>
        </w:rPr>
        <w:t>in review</w:t>
      </w:r>
      <w:r w:rsidR="0076275F" w:rsidRPr="004F469F">
        <w:rPr>
          <w:noProof/>
        </w:rPr>
        <w:t>)</w:t>
      </w:r>
      <w:r w:rsidRPr="004F469F">
        <w:fldChar w:fldCharType="end"/>
      </w:r>
      <w:r w:rsidRPr="004F469F">
        <w:t xml:space="preserve">. The atmospheric data used in the model run depends upon the scenario: scenarios using current climate use the NARCCAP 1990 – 1999 data while scenarios using future climate projections use the NARCCAP 2045 – 2054 data. The population data (cost surface) used in the </w:t>
      </w:r>
      <w:r w:rsidRPr="004F469F">
        <w:lastRenderedPageBreak/>
        <w:t xml:space="preserve">model run are also selected based on the scenario: we used the 2010 population data for the no urbanization scenarios while we used the 2050 population projections for the urbanization scenarios. We used the 1990 – 1999 atmospheric environment data from NARCCAP as it was the most recent period available. We use this in conjunction with 2010 population counts instead of counts from the 1990 or 2000 census because 2010 was the starting date for the urbanization scenario </w:t>
      </w:r>
      <w:r w:rsidRPr="004F469F">
        <w:fldChar w:fldCharType="begin" w:fldLock="1"/>
      </w:r>
      <w:r w:rsidR="00F37017">
        <w:instrText>ADDIN CSL_CITATION {"citationItems":[{"id":"ITEM-1","itemData":{"author":[{"dropping-particle":"","family":"Dileckli","given":"Naci","non-dropping-particle":"","parse-names":false,"suffix":""},{"dropping-particle":"","family":"Koch","given":"Jennifer","non-dropping-particle":"","parse-names":false,"suffix":""},{"dropping-particle":"","family":"Jawarneh","given":"Rana N.","non-dropping-particle":"","parse-names":false,"suffix":""}],"container-title":"Unpublished Work","id":"ITEM-1","issued":{"date-parts":[["0"]]},"title":"A Spatial Analysis of Historical and Potential Future Urbanization Patterns in the Oklahoma City Metropolitan Area","type":"article-journal"},"uris":["http://www.mendeley.com/documents/?uuid=9cb1520c-57df-4fa9-b7c4-c0917fa794b2"]}],"mendeley":{"formattedCitation":"(Dileckli et al., n.d.)","manualFormatting":"(Dilekli et al., in preparation)","plainTextFormattedCitation":"(Dileckli et al., n.d.)","previouslyFormattedCitation":"(Dileckli et al., n.d.)"},"properties":{"noteIndex":0},"schema":"https://github.com/citation-style-language/schema/raw/master/csl-citation.json"}</w:instrText>
      </w:r>
      <w:r w:rsidRPr="004F469F">
        <w:fldChar w:fldCharType="separate"/>
      </w:r>
      <w:r w:rsidR="0076275F" w:rsidRPr="004F469F">
        <w:rPr>
          <w:noProof/>
        </w:rPr>
        <w:t xml:space="preserve">(Dilekli </w:t>
      </w:r>
      <w:r w:rsidR="0076275F" w:rsidRPr="00453357">
        <w:rPr>
          <w:i/>
          <w:iCs/>
          <w:noProof/>
        </w:rPr>
        <w:t>et al.</w:t>
      </w:r>
      <w:r w:rsidR="0076275F" w:rsidRPr="004F469F">
        <w:rPr>
          <w:noProof/>
        </w:rPr>
        <w:t xml:space="preserve">, </w:t>
      </w:r>
      <w:r w:rsidR="005A34E5" w:rsidRPr="004F469F">
        <w:rPr>
          <w:noProof/>
        </w:rPr>
        <w:t>in preparation</w:t>
      </w:r>
      <w:r w:rsidR="0076275F" w:rsidRPr="004F469F">
        <w:rPr>
          <w:noProof/>
        </w:rPr>
        <w:t>)</w:t>
      </w:r>
      <w:r w:rsidRPr="004F469F">
        <w:fldChar w:fldCharType="end"/>
      </w:r>
      <w:r w:rsidRPr="004F469F">
        <w:t xml:space="preserve">. Additionally, the tornado climatology indicates no significant change in significant tornado occurrence between 1990 and 2010 </w:t>
      </w:r>
      <w:r w:rsidRPr="004F469F">
        <w:fldChar w:fldCharType="begin" w:fldLock="1"/>
      </w:r>
      <w:r w:rsidR="00123266">
        <w:instrText>ADDIN CSL_CITATION {"citationItems":[{"id":"ITEM-1","itemData":{"DOI":"10.1126/science.1257460","ISBN":"0027-8424","ISSN":"0036-8075","PMID":"24062439","abstract":"The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T.","non-dropping-particle":"","parse-names":false,"suffix":""}],"container-title":"Science","id":"ITEM-1","issue":"6207","issued":{"date-parts":[["2014"]]},"page":"349-352","title":"Increased variability of tornado occurrence in the United States","type":"article-journal","volume":"346"},"uris":["http://www.mendeley.com/documents/?uuid=8864379a-9c12-4249-abb6-42120421d27f"]},{"id":"ITEM-2","itemData":{"author":[{"dropping-particle":"","family":"Elsner","given":"J B","non-dropping-particle":"","parse-names":false,"suffix":""},{"dropping-particle":"","family":"Jagger","given":"T H","non-dropping-particle":"","parse-names":false,"suffix":""},{"dropping-particle":"","family":"Widen","given":"H M","non-dropping-particle":"","parse-names":false,"suffix":""},{"dropping-particle":"","family":"Chavas","given":"D R","non-dropping-particle":"","parse-names":false,"suffix":""}],"container-title":"Environmental Research Letters","id":"ITEM-2","issue":"2","issued":{"date-parts":[["2014"]]},"page":"24018","publisher":"IOP Publishing","title":"Daily tornado frequency distributions in the United States","type":"article-journal","volume":"9"},"uris":["http://www.mendeley.com/documents/?uuid=afac0a05-ef42-498e-a8a1-fec17a6e7639"]}],"mendeley":{"formattedCitation":"(Brooks et al., 2014; Elsner et al., 2014)","plainTextFormattedCitation":"(Brooks et al., 2014; Elsner et al., 2014)","previouslyFormattedCitation":"(Brooks et al., 2014; Elsner et al., 2014)"},"properties":{"noteIndex":0},"schema":"https://github.com/citation-style-language/schema/raw/master/csl-citation.json"}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2014)</w:t>
      </w:r>
      <w:r w:rsidRPr="004F469F">
        <w:fldChar w:fldCharType="end"/>
      </w:r>
      <w:r w:rsidRPr="004F469F">
        <w:t>.</w:t>
      </w:r>
    </w:p>
    <w:p w14:paraId="6D855BAD" w14:textId="163D5B73" w:rsidR="00DF5082" w:rsidRPr="004F469F" w:rsidRDefault="00DF5082" w:rsidP="009225F0">
      <w:pPr>
        <w:spacing w:after="120" w:line="480" w:lineRule="auto"/>
        <w:ind w:firstLine="720"/>
      </w:pPr>
      <w:r w:rsidRPr="004F469F">
        <w:t xml:space="preserve">Once the atmospheric data and population data are selected, we followed the standard TorDIS model procedures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76275F" w:rsidRPr="004F469F">
        <w:rPr>
          <w:noProof/>
        </w:rPr>
        <w:t xml:space="preserve">(Hatzis </w:t>
      </w:r>
      <w:r w:rsidR="0076275F" w:rsidRPr="00453357">
        <w:rPr>
          <w:i/>
          <w:iCs/>
          <w:noProof/>
        </w:rPr>
        <w:t>et al.</w:t>
      </w:r>
      <w:r w:rsidR="0076275F" w:rsidRPr="004F469F">
        <w:rPr>
          <w:noProof/>
        </w:rPr>
        <w:t xml:space="preserve">, </w:t>
      </w:r>
      <w:r w:rsidR="00266494" w:rsidRPr="004F469F">
        <w:rPr>
          <w:noProof/>
        </w:rPr>
        <w:t>in review</w:t>
      </w:r>
      <w:r w:rsidR="0076275F" w:rsidRPr="004F469F">
        <w:rPr>
          <w:noProof/>
        </w:rPr>
        <w:t>)</w:t>
      </w:r>
      <w:r w:rsidRPr="004F469F">
        <w:fldChar w:fldCharType="end"/>
      </w:r>
      <w:r w:rsidRPr="004F469F">
        <w:t xml:space="preserve">: (1) we use logistic regressions to create tornado probability rasters; (2) if </w:t>
      </w:r>
      <w:r w:rsidR="00AD18AE">
        <w:t xml:space="preserve">the day is determined to be favorable for tornado development, there is at least </w:t>
      </w:r>
      <w:r w:rsidR="00AD18AE" w:rsidRPr="004F469F">
        <w:t>5,000 km</w:t>
      </w:r>
      <w:r w:rsidR="00AD18AE" w:rsidRPr="004F469F">
        <w:rPr>
          <w:vertAlign w:val="superscript"/>
        </w:rPr>
        <w:t>2</w:t>
      </w:r>
      <w:r w:rsidR="00AD18AE" w:rsidRPr="004F469F">
        <w:t xml:space="preserve"> </w:t>
      </w:r>
      <w:r w:rsidR="00AD18AE">
        <w:t>of favorable area (grid cells with a tornado probability of 0.009 or greater</w:t>
      </w:r>
      <w:r w:rsidR="004018A9">
        <w:t>;</w:t>
      </w:r>
      <w:r w:rsidR="00AD18AE">
        <w:t xml:space="preserve"> </w:t>
      </w:r>
      <w:r w:rsidR="00AD18AE">
        <w:fldChar w:fldCharType="begin" w:fldLock="1"/>
      </w:r>
      <w:r w:rsidR="004018A9">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00AD18AE">
        <w:fldChar w:fldCharType="separate"/>
      </w:r>
      <w:r w:rsidR="00AD18AE" w:rsidRPr="00AD18AE">
        <w:rPr>
          <w:noProof/>
        </w:rPr>
        <w:t xml:space="preserve">Hatzis </w:t>
      </w:r>
      <w:r w:rsidR="00AD18AE" w:rsidRPr="00453357">
        <w:rPr>
          <w:i/>
          <w:iCs/>
          <w:noProof/>
        </w:rPr>
        <w:t>et al.</w:t>
      </w:r>
      <w:r w:rsidR="00AD18AE" w:rsidRPr="00AD18AE">
        <w:rPr>
          <w:noProof/>
        </w:rPr>
        <w:t xml:space="preserve">, </w:t>
      </w:r>
      <w:r w:rsidR="00AD18AE">
        <w:rPr>
          <w:noProof/>
        </w:rPr>
        <w:t>in review</w:t>
      </w:r>
      <w:r w:rsidR="00AD18AE" w:rsidRPr="00AD18AE">
        <w:rPr>
          <w:noProof/>
        </w:rPr>
        <w:t>)</w:t>
      </w:r>
      <w:r w:rsidR="00AD18AE">
        <w:fldChar w:fldCharType="end"/>
      </w:r>
      <w:r w:rsidR="00AD18AE">
        <w:t>,</w:t>
      </w:r>
      <w:r w:rsidRPr="004F469F">
        <w:t xml:space="preserve"> we place a randomly drawn number of tornadoes over the buffered study area using a random distribution weighed by the tornado probability raster; (3) we select tornado intensity, path length, width, and direction, and create a footprint for each simulated tornado; (4) we clip the footprints to the study area; (5) we intersect the footprints with the population data and sum up the total exposed population across the footprint (Figure 4.3). While the model operates at a daily time step, each simulation begins with a year randomly selected from the atmospheric data (</w:t>
      </w:r>
      <w:r w:rsidRPr="004F469F">
        <w:rPr>
          <w:i/>
          <w:iCs/>
        </w:rPr>
        <w:t>e.g.</w:t>
      </w:r>
      <w:r w:rsidRPr="004F469F">
        <w:t xml:space="preserve">, between 1990 and 1999) and each day during that year is simulated. We </w:t>
      </w:r>
      <w:r w:rsidR="00AD18AE">
        <w:t xml:space="preserve">run </w:t>
      </w:r>
      <w:r w:rsidRPr="004F469F">
        <w:t xml:space="preserve">the simulation </w:t>
      </w:r>
      <w:r w:rsidR="00AD18AE">
        <w:t xml:space="preserve">for </w:t>
      </w:r>
      <w:r w:rsidRPr="004F469F">
        <w:t>1,000 years.</w:t>
      </w:r>
    </w:p>
    <w:p w14:paraId="301AE3ED" w14:textId="743B716A" w:rsidR="00DF5082" w:rsidRPr="004F469F" w:rsidRDefault="00DF5082" w:rsidP="009225F0">
      <w:pPr>
        <w:spacing w:after="120" w:line="480" w:lineRule="auto"/>
        <w:ind w:firstLine="720"/>
      </w:pPr>
      <w:r w:rsidRPr="004F469F">
        <w:t xml:space="preserve">We tested four scenarios to improve our understanding of the isolated and combined effects of urbanization and climate change on tornado impacts. First, we established a baseline for tornado impacts over the OKCMA. This baseline tested the impacts under current (1990 – </w:t>
      </w:r>
      <w:r w:rsidRPr="004F469F">
        <w:lastRenderedPageBreak/>
        <w:t>1999) climate and current population (2010) over the OKCMA. The second scenario tested the impacts under future (2045 – 2054) climate and current population to isolate the effects of climate change alone. The third scenario used current climate and future population (2050) to isolate the effects of urbanization. The final scenario tested the combined effects of urbanization and climate change by using future climate and future population.</w:t>
      </w:r>
    </w:p>
    <w:p w14:paraId="12A6BA1E" w14:textId="3C413BFF" w:rsidR="00DF5082" w:rsidRDefault="00DF5082" w:rsidP="009225F0">
      <w:pPr>
        <w:spacing w:after="120" w:line="480" w:lineRule="auto"/>
        <w:ind w:firstLine="720"/>
      </w:pPr>
      <w:r w:rsidRPr="004F469F">
        <w:t>We assessed the tornado impacts both for individual significant tornadoes as well as for annual total impacts of all significant tornadoes. We assessed the impacts at the metropolitan area level and the county level. Annual impacts were normalized by county (or total) area to aid in the comparison between counties. Tornado impact statistics included mean, median, 95</w:t>
      </w:r>
      <w:r w:rsidRPr="004F469F">
        <w:rPr>
          <w:vertAlign w:val="superscript"/>
        </w:rPr>
        <w:t>th</w:t>
      </w:r>
      <w:r w:rsidRPr="004F469F">
        <w:t xml:space="preserve"> and 99</w:t>
      </w:r>
      <w:r w:rsidRPr="004F469F">
        <w:rPr>
          <w:vertAlign w:val="superscript"/>
        </w:rPr>
        <w:t>th</w:t>
      </w:r>
      <w:r w:rsidRPr="004F469F">
        <w:t xml:space="preserve"> percentiles and maximum number of persons exposed. Additionally, we calculated the probabilities that at least 5,000 or 20,000 persons would be impacted by individual tornadoes. We chose these thresholds as they represent tornadoes that are likely to have multiple to many fatalities. A study of select violent (EF4+) tornadoes by Brooks at others </w:t>
      </w:r>
      <w:r w:rsidRPr="004F469F">
        <w:fldChar w:fldCharType="begin" w:fldLock="1"/>
      </w:r>
      <w:r w:rsidR="00C31A1B" w:rsidRPr="004F469F">
        <w:instrText>ADDIN CSL_CITATION {"citationItems":[{"id":"ITEM-1","itemData":{"DOI":"10.1175/BAMS-89-1-87","author":[{"dropping-particle":"","family":"Brooks","given":"Harold E.","non-dropping-particle":"","parse-names":false,"suffix":""},{"dropping-particle":"","family":"Doswell","given":"Charles A. III","non-dropping-particle":"","parse-names":false,"suffix":""},{"dropping-particle":"","family":"Sutter","given":"Daniel","non-dropping-particle":"","parse-names":false,"suffix":""}],"container-title":"Bulletin of the American Meteorological Society","id":"ITEM-1","issue":"1","issued":{"date-parts":[["2008"]]},"page":"87-90","title":"Low-level winds in tornadoes and potential catastrophic tornado impacts in urban areas","type":"article-journal","volume":"89"},"suppress-author":1,"uris":["http://www.mendeley.com/documents/?uuid=604e5ef0-847e-4cbf-ba9c-24bf7f03c4ff"]}],"mendeley":{"formattedCitation":"(2008)","plainTextFormattedCitation":"(2008)","previouslyFormattedCitation":"(2008)"},"properties":{"noteIndex":0},"schema":"https://github.com/citation-style-language/schema/raw/master/csl-citation.json"}</w:instrText>
      </w:r>
      <w:r w:rsidRPr="004F469F">
        <w:fldChar w:fldCharType="separate"/>
      </w:r>
      <w:r w:rsidRPr="004F469F">
        <w:rPr>
          <w:noProof/>
        </w:rPr>
        <w:t>(2008)</w:t>
      </w:r>
      <w:r w:rsidRPr="004F469F">
        <w:fldChar w:fldCharType="end"/>
      </w:r>
      <w:r w:rsidRPr="004F469F">
        <w:t xml:space="preserve"> showed fatality rates of 0.1% to 1.9% of those exposed. An exposure of 5,000 (20,000) persons would suggest at least 5 (20) fatalities for a given violent tornado. While fatality rates for weaker significant tornadoes (EF2-3) are lower </w:t>
      </w:r>
      <w:r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Pr="004F469F">
        <w:fldChar w:fldCharType="separate"/>
      </w:r>
      <w:r w:rsidR="0076275F" w:rsidRPr="004F469F">
        <w:rPr>
          <w:noProof/>
        </w:rPr>
        <w:t>(Ashley, 2007)</w:t>
      </w:r>
      <w:r w:rsidRPr="004F469F">
        <w:fldChar w:fldCharType="end"/>
      </w:r>
      <w:r w:rsidRPr="004F469F">
        <w:t xml:space="preserve">, these thresholds are still applicable for stronger significant tornadoes, so we chose to use them. Comparisons between counties and scenarios were conducted visually using probability of exceedance curves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States","type":"article-journal"},"uris":["http://www.mendeley.com/documents/?uuid=a54416d3-f2bb-4e9d-98d2-6e1d8b73938b"]},{"id":"ITEM-2","itemData":{"DOI":"10.1002/met.1552","abstract":"Determining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Applications","id":"ITEM-2","issue":"2","issued":{"date-parts":[["2016"]]},"page":"269-281","title":"A Monte Carlo model for estimating tornado impacts","type":"article-journal","volume":"23"},"uris":["http://www.mendeley.com/documents/?uuid=35120d27-7369-4b8b-a188-dbf511d1ef98"]}],"mendeley":{"formattedCitation":"(Hatzis et al., n.d.; Strader et al., 2016)","manualFormatting":"(Strader et al., 2016; Hatzis et al., in review)","plainTextFormattedCitation":"(Hatzis et al., n.d.; Strader et al., 2016)","previouslyFormattedCitation":"(Hatzis et al., n.d.; Strader et al., 2016)"},"properties":{"noteIndex":0},"schema":"https://github.com/citation-style-language/schema/raw/master/csl-citation.json"}</w:instrText>
      </w:r>
      <w:r w:rsidRPr="004F469F">
        <w:fldChar w:fldCharType="separate"/>
      </w:r>
      <w:r w:rsidR="00C31A1B" w:rsidRPr="004F469F">
        <w:rPr>
          <w:noProof/>
        </w:rPr>
        <w:t xml:space="preserve">(Strader </w:t>
      </w:r>
      <w:r w:rsidR="00C31A1B" w:rsidRPr="00453357">
        <w:rPr>
          <w:i/>
          <w:iCs/>
          <w:noProof/>
        </w:rPr>
        <w:t>et al.</w:t>
      </w:r>
      <w:r w:rsidR="00C31A1B" w:rsidRPr="004F469F">
        <w:rPr>
          <w:noProof/>
        </w:rPr>
        <w:t xml:space="preserve">, 2016; Hatzis </w:t>
      </w:r>
      <w:r w:rsidR="00C31A1B" w:rsidRPr="00453357">
        <w:rPr>
          <w:i/>
          <w:iCs/>
          <w:noProof/>
        </w:rPr>
        <w:t>et al.</w:t>
      </w:r>
      <w:r w:rsidR="00C31A1B" w:rsidRPr="004F469F">
        <w:rPr>
          <w:noProof/>
        </w:rPr>
        <w:t xml:space="preserve">, </w:t>
      </w:r>
      <w:r w:rsidR="00266494" w:rsidRPr="004F469F">
        <w:rPr>
          <w:noProof/>
        </w:rPr>
        <w:t>in review</w:t>
      </w:r>
      <w:r w:rsidR="00C31A1B" w:rsidRPr="004F469F">
        <w:rPr>
          <w:noProof/>
        </w:rPr>
        <w:t>)</w:t>
      </w:r>
      <w:r w:rsidRPr="004F469F">
        <w:fldChar w:fldCharType="end"/>
      </w:r>
      <w:r w:rsidRPr="004F469F">
        <w:t xml:space="preserve">. Direct comparisons of the summary statistics were also used to determine which scenarios led to the greatest impacts, following Strader </w:t>
      </w:r>
      <w:r w:rsidR="008F75F4" w:rsidRPr="00453357">
        <w:rPr>
          <w:i/>
          <w:iCs/>
        </w:rPr>
        <w:t>et al.</w:t>
      </w:r>
      <w:r w:rsidRPr="004F469F">
        <w:t xml:space="preserv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suppress-author":1,"uris":["http://www.mendeley.com/documents/?uuid=f875dd0e-da5d-4186-8536-d8e3921d37a0"]}],"mendeley":{"formattedCitation":"(2017a)","plainTextFormattedCitation":"(2017a)","previouslyFormattedCitation":"(2017a)"},"properties":{"noteIndex":0},"schema":"https://github.com/citation-style-language/schema/raw/master/csl-citation.json"}</w:instrText>
      </w:r>
      <w:r w:rsidRPr="004F469F">
        <w:fldChar w:fldCharType="separate"/>
      </w:r>
      <w:r w:rsidR="00123266" w:rsidRPr="00123266">
        <w:rPr>
          <w:noProof/>
        </w:rPr>
        <w:t>(2017a)</w:t>
      </w:r>
      <w:r w:rsidRPr="004F469F">
        <w:fldChar w:fldCharType="end"/>
      </w:r>
      <w:r w:rsidRPr="004F469F">
        <w:t xml:space="preserve">. We used the non-parametric Mann-Whitney test, with a 95% confidence value for statistical comparisons </w:t>
      </w:r>
      <w:r w:rsidRPr="004F469F">
        <w:fldChar w:fldCharType="begin" w:fldLock="1"/>
      </w:r>
      <w:r w:rsidR="00123266">
        <w:instrText>ADDIN CSL_CITATION {"citationItems":[{"id":"ITEM-1","itemData":{"author":[{"dropping-particle":"","family":"Hollander","given":"Myles","non-dropping-particle":"","parse-names":false,"suffix":""},{"dropping-particle":"","family":"Wolfe","given":"Douglas A","non-dropping-particle":"","parse-names":false,"suffix":""},{"dropping-particle":"","family":"Chicken","given":"Eric","non-dropping-particle":"","parse-names":false,"suffix":""}],"id":"ITEM-1","issued":{"date-parts":[["2013"]]},"publisher":"John Wiley &amp; Sons","title":"Nonparametric statistical methods","type":"book","volume":"751"},"uris":["http://www.mendeley.com/documents/?uuid=c4356cc9-37af-4e2d-a53d-b380e814851d"]}],"mendeley":{"formattedCitation":"(Hollander et al., 2013)","plainTextFormattedCitation":"(Hollander et al., 2013)","previouslyFormattedCitation":"(Hollander et al., 2013)"},"properties":{"noteIndex":0},"schema":"https://github.com/citation-style-language/schema/raw/master/csl-citation.json"}</w:instrText>
      </w:r>
      <w:r w:rsidRPr="004F469F">
        <w:fldChar w:fldCharType="separate"/>
      </w:r>
      <w:r w:rsidR="00123266" w:rsidRPr="00123266">
        <w:rPr>
          <w:noProof/>
        </w:rPr>
        <w:t xml:space="preserve">(Hollander </w:t>
      </w:r>
      <w:r w:rsidR="00123266" w:rsidRPr="00453357">
        <w:rPr>
          <w:i/>
          <w:iCs/>
          <w:noProof/>
        </w:rPr>
        <w:t>et al.</w:t>
      </w:r>
      <w:r w:rsidR="00123266" w:rsidRPr="00123266">
        <w:rPr>
          <w:noProof/>
        </w:rPr>
        <w:t>, 2013)</w:t>
      </w:r>
      <w:r w:rsidRPr="004F469F">
        <w:fldChar w:fldCharType="end"/>
      </w:r>
      <w:r w:rsidRPr="004F469F">
        <w:t>.</w:t>
      </w:r>
    </w:p>
    <w:p w14:paraId="5F847E69" w14:textId="4C3897EC" w:rsidR="00BD7D4A" w:rsidRPr="00C55259" w:rsidRDefault="00BD7D4A" w:rsidP="00C55259">
      <w:pPr>
        <w:autoSpaceDE w:val="0"/>
        <w:autoSpaceDN w:val="0"/>
        <w:adjustRightInd w:val="0"/>
        <w:spacing w:after="120" w:line="480" w:lineRule="auto"/>
        <w:ind w:firstLine="720"/>
        <w:rPr>
          <w:rFonts w:eastAsiaTheme="minorHAnsi"/>
        </w:rPr>
      </w:pPr>
      <w:r w:rsidRPr="004F469F">
        <w:rPr>
          <w:rFonts w:eastAsiaTheme="minorHAnsi"/>
        </w:rPr>
        <w:lastRenderedPageBreak/>
        <w:t>We assigned each simulated tornado a type (land use class) based on the most densely populated parcel it impacted and not the dominant land use type (</w:t>
      </w:r>
      <w:r w:rsidRPr="002614B3">
        <w:rPr>
          <w:rFonts w:eastAsiaTheme="minorHAnsi"/>
          <w:i/>
          <w:iCs/>
        </w:rPr>
        <w:t>i.e.</w:t>
      </w:r>
      <w:r w:rsidRPr="004F469F">
        <w:rPr>
          <w:rFonts w:eastAsiaTheme="minorHAnsi"/>
        </w:rPr>
        <w:t xml:space="preserve">, a tornado impacting mostly rural parcels and only a single urban-high (densely populated) parcel would be classified as urban-high). This was done given that most tornado impacts occur in the more densely populated areas </w:t>
      </w:r>
      <w:r w:rsidRPr="004F469F">
        <w:rPr>
          <w:rFonts w:eastAsiaTheme="minorHAnsi"/>
        </w:rPr>
        <w:fldChar w:fldCharType="begin" w:fldLock="1"/>
      </w:r>
      <w:r w:rsidR="00123266">
        <w:rPr>
          <w:rFonts w:eastAsiaTheme="minorHAnsi"/>
        </w:rPr>
        <w:instrText>ADDIN CSL_CITATION {"citationItems":[{"id":"ITEM-1","itemData":{"DOI":"10.1175/BAMS-D-11-00006.1","ISBN":"1520-0477","ISSN":"00030007","abstract":"During the early to middle 2000s, in response to demand for more detail in wind damage surveying and recordkeeping, a team of atmospheric scientists and wind engineers developed the enhanced Fujita (EF) scale. The EF scale, codified officially into National Weather Service (NWS) use in February 2007, offers wind speed estimates for a range of degrees of damage (DoDs) across each of 28 damage indicators (DIs). In practice, this has increased precision of damage surveys for tornado and thunderstorm-wind events. Still, concerns remain about both the representativeness of DoDs and the sufficiency of DIs, including the following: How dependable are the wind speed ranges for certain DoDs? What other DIs can be included? How can recent advances in mapping and documentation tools be integrated into the surveying process and the storm records? What changes should be made to the existing scale: why, how, and by whom? What alternative methods may be included or adapted for estimating tornado intensity? To begin coordinated discussion on these and related topics, interested scientists and engineers (including some involved in EF scale development) organized a national EF Scale Stakeholders' Meeting, held on 2–3 March 2010 in Norman, Oklahoma. This article presents more detailed background information, summarizes the meeting, presents possibilities for the future of the EF scale and damage surveys, and solicits ideas from the engineering and atmospheric science communities.","author":[{"dropping-particle":"","family":"Edwards","given":"Roger","non-dropping-particle":"","parse-names":false,"suffix":""},{"dropping-particle":"","family":"Due","given":"James G.","non-dropping-particle":"La","parse-names":false,"suffix":""},{"dropping-particle":"","family":"Ferree","given":"John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L.","non-dropping-particle":"","parse-names":false,"suffix":""},{"dropping-particle":"","family":"LaDue","given":"James G","non-dropping-particle":"","parse-names":false,"suffix":""},{"dropping-particle":"","family":"Ferree","given":"John T.","non-dropping-particle":"","parse-names":false,"suffix":""},{"dropping-particle":"","family":"Scharfenberg","given":"Kevin","non-dropping-particle":"","parse-names":false,"suffix":""},{"dropping-particle":"","family":"Maier","given":"Chris","non-dropping-particle":"","parse-names":false,"suffix":""},{"dropping-particle":"","family":"Coulbourne","given":"William L.","non-dropping-particle":"","parse-names":false,"suffix":""}],"container-title":"Bulletin of the American Meteorological Society","id":"ITEM-1","issue":"5","issued":{"date-parts":[["2013"]]},"page":"641-653","publisher":"American Meteorological Society","title":"Tornado intensity estimation: Past, present, and future","type":"article-journal","volume":"94"},"uris":["http://www.mendeley.com/documents/?uuid=1e2ce021-f934-4efa-92c8-266e5f8914c2"]}],"mendeley":{"formattedCitation":"(Edwards et al., 2013)","plainTextFormattedCitation":"(Edwards et al., 2013)","previouslyFormattedCitation":"(Edwards et al., 2013)"},"properties":{"noteIndex":0},"schema":"https://github.com/citation-style-language/schema/raw/master/csl-citation.json"}</w:instrText>
      </w:r>
      <w:r w:rsidRPr="004F469F">
        <w:rPr>
          <w:rFonts w:eastAsiaTheme="minorHAnsi"/>
        </w:rPr>
        <w:fldChar w:fldCharType="separate"/>
      </w:r>
      <w:r w:rsidR="0010658B" w:rsidRPr="00123266">
        <w:rPr>
          <w:rFonts w:eastAsiaTheme="minorHAnsi"/>
          <w:noProof/>
        </w:rPr>
        <w:t xml:space="preserve">(Edwards </w:t>
      </w:r>
      <w:r w:rsidR="0010658B" w:rsidRPr="00453357">
        <w:rPr>
          <w:rFonts w:eastAsiaTheme="minorHAnsi"/>
          <w:i/>
          <w:iCs/>
          <w:noProof/>
        </w:rPr>
        <w:t>et al.</w:t>
      </w:r>
      <w:r w:rsidR="0010658B" w:rsidRPr="00123266">
        <w:rPr>
          <w:rFonts w:eastAsiaTheme="minorHAnsi"/>
          <w:noProof/>
        </w:rPr>
        <w:t>, 2013)</w:t>
      </w:r>
      <w:r w:rsidRPr="004F469F">
        <w:rPr>
          <w:rFonts w:eastAsiaTheme="minorHAnsi"/>
        </w:rPr>
        <w:fldChar w:fldCharType="end"/>
      </w:r>
      <w:r w:rsidRPr="004F469F">
        <w:rPr>
          <w:rFonts w:eastAsiaTheme="minorHAnsi"/>
        </w:rPr>
        <w:t>. The counts of tornadoes (by type) were tallied for each county and for the OKCMA as a whole and normalized by county area (per 2,500 km</w:t>
      </w:r>
      <w:r w:rsidRPr="00BD7D4A">
        <w:rPr>
          <w:rFonts w:eastAsiaTheme="minorHAnsi"/>
          <w:vertAlign w:val="superscript"/>
        </w:rPr>
        <w:t>2</w:t>
      </w:r>
      <w:r w:rsidRPr="004F469F">
        <w:rPr>
          <w:rFonts w:eastAsiaTheme="minorHAnsi"/>
        </w:rPr>
        <w:t xml:space="preserve"> to approximate the size of the largest county, Canadian County) for each scenario. We averaged the counts between scenarios using the same population estimates (baseline with CC and UD with CCUD) to show only the influence of urban development on changes in land use status of significant tornadoes in the OKCMA (</w:t>
      </w:r>
      <w:r w:rsidR="00C55259">
        <w:rPr>
          <w:rFonts w:eastAsiaTheme="minorHAnsi"/>
        </w:rPr>
        <w:t>Table 4.3</w:t>
      </w:r>
      <w:r w:rsidRPr="004F469F">
        <w:rPr>
          <w:rFonts w:eastAsiaTheme="minorHAnsi"/>
        </w:rPr>
        <w:t>). We did this because climate change did not significantly alter the tornado counts.</w:t>
      </w:r>
    </w:p>
    <w:p w14:paraId="213EBB29" w14:textId="77777777" w:rsidR="00DF5082" w:rsidRPr="004F469F" w:rsidRDefault="00DF5082" w:rsidP="009225F0">
      <w:pPr>
        <w:pStyle w:val="Heading2"/>
        <w:spacing w:before="0" w:after="120" w:line="480" w:lineRule="auto"/>
        <w:rPr>
          <w:rFonts w:ascii="Times New Roman" w:hAnsi="Times New Roman" w:cs="Times New Roman"/>
          <w:b/>
          <w:bCs/>
          <w:color w:val="auto"/>
          <w:sz w:val="28"/>
          <w:szCs w:val="28"/>
        </w:rPr>
      </w:pPr>
      <w:bookmarkStart w:id="85" w:name="_Toc21861329"/>
      <w:r w:rsidRPr="004F469F">
        <w:rPr>
          <w:rFonts w:ascii="Times New Roman" w:hAnsi="Times New Roman" w:cs="Times New Roman"/>
          <w:b/>
          <w:bCs/>
          <w:color w:val="auto"/>
          <w:sz w:val="28"/>
          <w:szCs w:val="28"/>
        </w:rPr>
        <w:t>Results</w:t>
      </w:r>
      <w:bookmarkEnd w:id="85"/>
    </w:p>
    <w:p w14:paraId="7E9ED873"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6" w:name="_Toc21861330"/>
      <w:r w:rsidRPr="004F469F">
        <w:rPr>
          <w:rFonts w:ascii="Times New Roman" w:hAnsi="Times New Roman" w:cs="Times New Roman"/>
          <w:i/>
          <w:iCs/>
          <w:color w:val="auto"/>
        </w:rPr>
        <w:t>Projections of Future Tornado Risk and Urban Development over OKCMA</w:t>
      </w:r>
      <w:bookmarkEnd w:id="86"/>
    </w:p>
    <w:p w14:paraId="2EE2BBB3" w14:textId="18DBD279" w:rsidR="00DF5082" w:rsidRPr="004F469F" w:rsidRDefault="00DF5082" w:rsidP="009225F0">
      <w:pPr>
        <w:spacing w:after="120" w:line="480" w:lineRule="auto"/>
        <w:ind w:firstLine="720"/>
      </w:pPr>
      <w:r w:rsidRPr="004F469F">
        <w:t>Our projections indicate that the population of the OKCMA will nearly double to 2,252,564 persons by 2050 (Table 4.1). The BAU scenario settings used for the 2050 population projections continues the sprawling trend with low-density urban development expanding in all counties at the expense of rural area (Figure 4.2b). The simulation results indicate the greatest amount of urban development for Cleveland County with a 10.3% loss of rural area while the least development is projected to occur in Canadian County (8.6% loss</w:t>
      </w:r>
      <w:r w:rsidR="004018A9">
        <w:t>;</w:t>
      </w:r>
      <w:r w:rsidRPr="004F469F">
        <w:t xml:space="preserve"> Table 4.1). The number of tornado favorable days is projected to increase to ~180 days by the 2045 – 2054 period; however, the variation across OKCMA is projected to decrease to ~1 day (Figure 4.2d). In spite of the slight increase in the number of tornado favorable days over the OKCMA, we found that the mean annual number of simulated significant tornadoes and significant tornado days </w:t>
      </w:r>
      <w:r w:rsidRPr="004F469F">
        <w:lastRenderedPageBreak/>
        <w:t>decreased slightly in all three counties with the greatest decrease in both significant tornadoes (0.6) and significant tornado days (0.6) in Cleveland County (</w:t>
      </w:r>
      <w:r w:rsidR="00C55259">
        <w:t>Table 4.4</w:t>
      </w:r>
      <w:r w:rsidRPr="004F469F">
        <w:t xml:space="preserve">). </w:t>
      </w:r>
      <w:r w:rsidR="006644E1">
        <w:t>T</w:t>
      </w:r>
      <w:r w:rsidRPr="004F469F">
        <w:t>his decrease was not statistically significant</w:t>
      </w:r>
      <w:r w:rsidR="006644E1">
        <w:t xml:space="preserve"> and may have been the result of random effects and a greater tornado favorability to the west of the study area</w:t>
      </w:r>
      <w:r w:rsidRPr="004F469F">
        <w:t xml:space="preserve">; however, it is in line with findings by Gensini and Brooks </w:t>
      </w:r>
      <w:r w:rsidRPr="004F469F">
        <w:fldChar w:fldCharType="begin" w:fldLock="1"/>
      </w:r>
      <w:r w:rsidRPr="004F469F">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suppress-author":1,"uris":["http://www.mendeley.com/documents/?uuid=7cab4c3c-c328-479b-a5a4-be4e6b605bd6"]}],"mendeley":{"formattedCitation":"(2018)","plainTextFormattedCitation":"(2018)","previouslyFormattedCitation":"(2018)"},"properties":{"noteIndex":0},"schema":"https://github.com/citation-style-language/schema/raw/master/csl-citation.json"}</w:instrText>
      </w:r>
      <w:r w:rsidRPr="004F469F">
        <w:fldChar w:fldCharType="separate"/>
      </w:r>
      <w:r w:rsidRPr="004F469F">
        <w:rPr>
          <w:noProof/>
        </w:rPr>
        <w:t>(2018)</w:t>
      </w:r>
      <w:r w:rsidRPr="004F469F">
        <w:fldChar w:fldCharType="end"/>
      </w:r>
      <w:r w:rsidRPr="004F469F">
        <w:t>, which suggest a reduction in tornado activity over Oklahoma that may continue into the future.</w:t>
      </w:r>
    </w:p>
    <w:p w14:paraId="4B4788AF"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7" w:name="_Toc21861331"/>
      <w:r w:rsidRPr="004F469F">
        <w:rPr>
          <w:rFonts w:ascii="Times New Roman" w:hAnsi="Times New Roman" w:cs="Times New Roman"/>
          <w:i/>
          <w:iCs/>
          <w:color w:val="auto"/>
        </w:rPr>
        <w:t>Baseline Simulation</w:t>
      </w:r>
      <w:bookmarkEnd w:id="87"/>
    </w:p>
    <w:p w14:paraId="1253866E" w14:textId="1EC72609" w:rsidR="00DF5082" w:rsidRPr="004F469F" w:rsidRDefault="00DF5082" w:rsidP="009225F0">
      <w:pPr>
        <w:spacing w:after="120" w:line="480" w:lineRule="auto"/>
        <w:ind w:firstLine="720"/>
      </w:pPr>
      <w:r w:rsidRPr="004F469F">
        <w:t xml:space="preserve">For the baseline simulation, we used atmospheric environments from 1990 – 1999 with population estimates from the 2010 census. Figure 4.4a shows an example of the ten most impactful years’ (highest annual exposures) worth of significant tornadoes over the OKCMA for the baseline simulation. Hereafter, we </w:t>
      </w:r>
      <w:r w:rsidR="00BD7D4A">
        <w:t xml:space="preserve">estimate </w:t>
      </w:r>
      <w:r w:rsidRPr="004F469F">
        <w:t xml:space="preserve">all annual exposure totals </w:t>
      </w:r>
      <w:r w:rsidR="00BD7D4A">
        <w:t xml:space="preserve">per </w:t>
      </w:r>
      <w:r w:rsidR="00907352">
        <w:t>2</w:t>
      </w:r>
      <w:r w:rsidR="00BD7D4A">
        <w:t>,</w:t>
      </w:r>
      <w:r w:rsidR="00907352">
        <w:t>5</w:t>
      </w:r>
      <w:r w:rsidR="00BD7D4A">
        <w:t>00 km</w:t>
      </w:r>
      <w:r w:rsidR="00BD7D4A" w:rsidRPr="00BD7D4A">
        <w:rPr>
          <w:vertAlign w:val="superscript"/>
        </w:rPr>
        <w:t>2</w:t>
      </w:r>
      <w:r w:rsidR="00BD7D4A">
        <w:t xml:space="preserve"> to enable comparison between different sized counties</w:t>
      </w:r>
      <w:r w:rsidRPr="004F469F">
        <w:t>. During an average baseline year over OKCMA, a median (mean) of 1,328 (4,541) persons were impacted by significant tornadoes with the most impactful years (95</w:t>
      </w:r>
      <w:r w:rsidRPr="004F469F">
        <w:rPr>
          <w:vertAlign w:val="superscript"/>
        </w:rPr>
        <w:t>th</w:t>
      </w:r>
      <w:r w:rsidRPr="004F469F">
        <w:t xml:space="preserve"> and 99</w:t>
      </w:r>
      <w:r w:rsidRPr="004F469F">
        <w:rPr>
          <w:vertAlign w:val="superscript"/>
        </w:rPr>
        <w:t>th</w:t>
      </w:r>
      <w:r w:rsidRPr="004F469F">
        <w:t xml:space="preserve"> percentile) affecting 21,284 and 33,322 persons respectively. Exposure was greatest (least) in the most (least) populated counties with a median exposure of 3,929 persons in Oklahoma County compared to 345 persons in Canadian County. The simulation results indicated that the probability that the annual exposure over the OKCMA would exceed 5,000 or 20,000 persons was 28.0% and 5.8% respectively with the highest (lowest) probabilities in Oklahoma County (Canadian County</w:t>
      </w:r>
      <w:r w:rsidR="004018A9">
        <w:t>;</w:t>
      </w:r>
      <w:r w:rsidRPr="004F469F">
        <w:t xml:space="preserve"> </w:t>
      </w:r>
      <w:r w:rsidR="00C55259">
        <w:t>Table 4.5</w:t>
      </w:r>
      <w:r w:rsidRPr="004F469F">
        <w:t xml:space="preserve">). For individual significant tornadoes, the simulation results indicated a median (mean) exposure of 172 (2,523) persons with a maximum exposure of 93,448 persons for the OKCMA. The maximum impact for an individual significant tornado was highest in Oklahoma County (88,059 persons) and lowest </w:t>
      </w:r>
      <w:r w:rsidRPr="004F469F">
        <w:lastRenderedPageBreak/>
        <w:t>in Canadian County (20,135 persons). The probability that an individual significant tornado over the OKCMA would impact more than 5,000 (20,000) persons was 12.2% (3.1%</w:t>
      </w:r>
      <w:r w:rsidR="004018A9">
        <w:t>;</w:t>
      </w:r>
      <w:r w:rsidRPr="004F469F">
        <w:t xml:space="preserve"> </w:t>
      </w:r>
      <w:r w:rsidR="00C55259">
        <w:t>Table 4.6</w:t>
      </w:r>
      <w:r w:rsidRPr="004F469F">
        <w:t>).</w:t>
      </w:r>
    </w:p>
    <w:p w14:paraId="2958F02C"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8" w:name="_Toc21861332"/>
      <w:r w:rsidRPr="004F469F">
        <w:rPr>
          <w:rFonts w:ascii="Times New Roman" w:hAnsi="Times New Roman" w:cs="Times New Roman"/>
          <w:i/>
          <w:iCs/>
          <w:color w:val="auto"/>
        </w:rPr>
        <w:t>Climate Change Scenario</w:t>
      </w:r>
      <w:bookmarkEnd w:id="88"/>
    </w:p>
    <w:p w14:paraId="54028307" w14:textId="2FD7DA3E" w:rsidR="00DF5082" w:rsidRPr="004F469F" w:rsidRDefault="00DF5082" w:rsidP="009225F0">
      <w:pPr>
        <w:spacing w:after="120" w:line="480" w:lineRule="auto"/>
        <w:ind w:firstLine="720"/>
      </w:pPr>
      <w:r w:rsidRPr="004F469F">
        <w:t>The climate change (CC) scenario simulations combined the 2045 – 2054 projected atmospheric environments with the baseline population estimates from the 2010 census to analyze the isolated effects of a changing climate on tornado exposure. Figure 4.4b shows an example of the ten most impactful years’ for the CC scenario over the OKCMA. The slight decrease in the number of significant tornadoes under the CC scenario led to a reduction in both individual and annual significant tornado impacts over OKCMA. The median (mean) annual impact decreased to 1,120 (3,984) persons while the most impactful years decreased to 17,757 and 28,305 persons, respectively (</w:t>
      </w:r>
      <w:r w:rsidR="00C55259">
        <w:t>Table 4.5</w:t>
      </w:r>
      <w:r w:rsidRPr="004F469F">
        <w:t>). As for the baseline simulations, the annual impacts were highest in Oklahoma County and lowest in Canadian County. For impacts of individual significant tornadoes, the median (mean) exposure over OKCMA decreased to 145 (2,187) persons while the maximum impact decreased to 63,173 persons. The simulations for the CC scenario indicated that the probability that an individual significant tornado over the OKCMA would impact more than 5,000 (20,000) persons decreased to 11.3% (2.7%) as compared to 12.2% (3.1%</w:t>
      </w:r>
      <w:r w:rsidR="004018A9">
        <w:t>;</w:t>
      </w:r>
      <w:r w:rsidRPr="004F469F">
        <w:t xml:space="preserve"> </w:t>
      </w:r>
      <w:r w:rsidR="00C55259">
        <w:t>Table 4.6</w:t>
      </w:r>
      <w:r w:rsidRPr="004F469F">
        <w:t xml:space="preserve">) for the baseline simulation (see section 3.2). The difference between the simulations for the baseline and CC scenario exposures were very small (Figure 4.5) and not statistically significant. While none of the differences in exposures were significant, the individual significant tornado exposures in Canadian County were nearly significant </w:t>
      </w:r>
      <m:oMath>
        <m:d>
          <m:dPr>
            <m:ctrlPr>
              <w:rPr>
                <w:rFonts w:ascii="Cambria Math" w:hAnsi="Cambria Math"/>
                <w:i/>
              </w:rPr>
            </m:ctrlPr>
          </m:dPr>
          <m:e>
            <m:r>
              <w:rPr>
                <w:rFonts w:ascii="Cambria Math" w:hAnsi="Cambria Math"/>
              </w:rPr>
              <m:t>p=0.06</m:t>
            </m:r>
          </m:e>
        </m:d>
      </m:oMath>
      <w:r w:rsidRPr="004F469F">
        <w:t>.</w:t>
      </w:r>
    </w:p>
    <w:p w14:paraId="7F698279"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89" w:name="_Toc21861333"/>
      <w:r w:rsidRPr="004F469F">
        <w:rPr>
          <w:rFonts w:ascii="Times New Roman" w:hAnsi="Times New Roman" w:cs="Times New Roman"/>
          <w:i/>
          <w:iCs/>
          <w:color w:val="auto"/>
        </w:rPr>
        <w:t>Urban Development Scenario</w:t>
      </w:r>
      <w:bookmarkEnd w:id="89"/>
    </w:p>
    <w:p w14:paraId="0DBF617C" w14:textId="44B5EA31" w:rsidR="00DF5082" w:rsidRPr="004F469F" w:rsidRDefault="00DF5082" w:rsidP="009225F0">
      <w:pPr>
        <w:spacing w:after="120" w:line="480" w:lineRule="auto"/>
        <w:ind w:firstLine="720"/>
      </w:pPr>
      <w:r w:rsidRPr="004F469F">
        <w:t xml:space="preserve">The urban development (UD) scenario combined the 1990 – 1999 atmospheric environments for the baseline period with the projected population density estimates for 2050 to </w:t>
      </w:r>
      <w:r w:rsidRPr="004F469F">
        <w:lastRenderedPageBreak/>
        <w:t>simulate and analyze the isolated effects of population growth and spatial distribution on tornado exposure. Figure 4.4c shows an example of the ten most impactful years’ for the UD scenario over the OKCMA. The UD scenario simulations indicated near doubling of the population in OKCMA by 2050 (Figure 4.2). This had a significant effect on tornado impacts; the median (mean) annual impact over OKCMA increased to 4,175 (8,576) persons with the most impactful years increased to 34,688 and 57,559 persons, respectively. Mean and median annual impacts were still highest in Oklahoma County (7,266 and 19,387 persons respectively) and lowest in Canadian County (3,889 and 6,465 persons respectively</w:t>
      </w:r>
      <w:r w:rsidR="004018A9">
        <w:t>;</w:t>
      </w:r>
      <w:r w:rsidRPr="004F469F">
        <w:t xml:space="preserve"> </w:t>
      </w:r>
      <w:r w:rsidR="00C55259">
        <w:t>Table 4.5</w:t>
      </w:r>
      <w:r w:rsidRPr="004F469F">
        <w:t>). For individual significant tornadoes over the OKCMA, the mean (median) impact increased to 1,147 (4,693) persons with a maximum impact of 153,522 persons. According to the UD scenario simulations, the probability that an individual significant tornado over the OKCMA would impact more than 5,000 (20,000) persons increased to 20.8% (5.3%</w:t>
      </w:r>
      <w:r w:rsidR="004018A9">
        <w:t>;</w:t>
      </w:r>
      <w:r w:rsidRPr="004F469F">
        <w:t xml:space="preserve"> </w:t>
      </w:r>
      <w:r w:rsidR="00C55259">
        <w:t>Table 4.6</w:t>
      </w:r>
      <w:r w:rsidRPr="004F469F">
        <w:t>). The UD scenario showed a statistically significant increase in exposures over the baseline, as can be observed from the large differences between the POE curves (Figure 4.5).</w:t>
      </w:r>
    </w:p>
    <w:p w14:paraId="020B798A"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90" w:name="_Toc21861334"/>
      <w:r w:rsidRPr="004F469F">
        <w:rPr>
          <w:rFonts w:ascii="Times New Roman" w:hAnsi="Times New Roman" w:cs="Times New Roman"/>
          <w:i/>
          <w:iCs/>
          <w:color w:val="auto"/>
        </w:rPr>
        <w:t>Climate Change and Urban Development Scenario</w:t>
      </w:r>
      <w:bookmarkEnd w:id="90"/>
    </w:p>
    <w:p w14:paraId="0D424C0C" w14:textId="6B2B81E5" w:rsidR="00DF5082" w:rsidRPr="004F469F" w:rsidRDefault="00DF5082" w:rsidP="009225F0">
      <w:pPr>
        <w:spacing w:after="120" w:line="480" w:lineRule="auto"/>
        <w:ind w:firstLine="720"/>
      </w:pPr>
      <w:r w:rsidRPr="004F469F">
        <w:t xml:space="preserve">The Climate Change and Urban Development (CCUD) scenario used the 2045 – 2054 projected atmospheric environments combined with the projected population density estimates for 2050. Figure 4.4d shows an example of the ten most impactful years’ for the CCUD scenario over the OKCMA. This scenario enables the analysis of the combined effects of climate change and population growth on tornado exposure. According to the CCUD simulation results, the median (mean) annual impacts were 3,820 (8,396) persons over the OKCMA with the most impactful years at 31,979 and 46,747 persons, respectively. These values were higher than both the results for the baseline simulation and the CC scenario; however, they were lower than the </w:t>
      </w:r>
      <w:r w:rsidRPr="004F469F">
        <w:lastRenderedPageBreak/>
        <w:t>values for the UD scenario under some thresholds (Figure 4.5). We attribute this to the slight decrease in significant tornado activity over the OKCMA under the CC scenario. Again, the results showed the highest median annual impact (8,040 persons) for Oklahoma County, while Canadian County had the lowest (3,103 persons</w:t>
      </w:r>
      <w:r w:rsidR="004018A9">
        <w:t>;</w:t>
      </w:r>
      <w:r w:rsidRPr="004F469F">
        <w:t xml:space="preserve"> </w:t>
      </w:r>
      <w:r w:rsidR="00C55259">
        <w:t>Table 4.5</w:t>
      </w:r>
      <w:r w:rsidRPr="004F469F">
        <w:t>). For individual significant tornadoes, the mean and median impact of 1,201 and 4,812 persons, respectively, was higher than for the UD scenario. However, the maximum impact of 102,430 persons was lower as compared to 153,522 persons for the UD scenario. According to the CCUD scenario simulations, the probability that an individual significant tornado over the OKCMA would impact more than 5,000 (20,000) persons was also higher than for the UD scenario at 22.2% (6.1%</w:t>
      </w:r>
      <w:r w:rsidR="004018A9">
        <w:t>;</w:t>
      </w:r>
      <w:r w:rsidRPr="004F469F">
        <w:t xml:space="preserve"> </w:t>
      </w:r>
      <w:r w:rsidR="00C55259">
        <w:t>Table 4.6</w:t>
      </w:r>
      <w:r w:rsidRPr="004F469F">
        <w:t>). Like the UD scenario, the CCUD scenario showed a statistically significant increase in both annual total exposure and individual exposure over the baseline simulation. However, differences between the UD and CCUD scenario exposures were very small (Figure 4.5) and not statistically significant, except for Cleveland County for individual significant tornado exposures. Population change is the primary driver of the change in normalized annual impacts with a 75-times greater median change in value and an opposite direction of change (although the decrease due to the climate change scenario was not statistically significant).</w:t>
      </w:r>
    </w:p>
    <w:p w14:paraId="436C2295" w14:textId="77777777" w:rsidR="00DF5082" w:rsidRPr="004F469F" w:rsidRDefault="00DF5082" w:rsidP="009225F0">
      <w:pPr>
        <w:pStyle w:val="Heading3"/>
        <w:spacing w:before="0" w:after="120" w:line="480" w:lineRule="auto"/>
        <w:rPr>
          <w:rFonts w:ascii="Times New Roman" w:hAnsi="Times New Roman" w:cs="Times New Roman"/>
          <w:i/>
          <w:iCs/>
          <w:color w:val="auto"/>
        </w:rPr>
      </w:pPr>
      <w:bookmarkStart w:id="91" w:name="_Toc21861335"/>
      <w:r w:rsidRPr="004F469F">
        <w:rPr>
          <w:rFonts w:ascii="Times New Roman" w:hAnsi="Times New Roman" w:cs="Times New Roman"/>
          <w:i/>
          <w:iCs/>
          <w:color w:val="auto"/>
        </w:rPr>
        <w:t>Exposure of Urban Versus Rural Population</w:t>
      </w:r>
      <w:bookmarkEnd w:id="91"/>
    </w:p>
    <w:p w14:paraId="5120BC57" w14:textId="5E50F7F5" w:rsidR="00DF5082" w:rsidRPr="004F469F" w:rsidRDefault="00DF5082" w:rsidP="009225F0">
      <w:pPr>
        <w:spacing w:after="120" w:line="480" w:lineRule="auto"/>
        <w:ind w:firstLine="720"/>
      </w:pPr>
      <w:r w:rsidRPr="004F469F">
        <w:rPr>
          <w:rFonts w:eastAsiaTheme="minorHAnsi"/>
        </w:rPr>
        <w:t>For the OKCMA, under the no urban development scenario, most (51%) significant tornadoes only impacted rural parcels while that number dropped to 42% under the urban development scenario (</w:t>
      </w:r>
      <w:r w:rsidR="00C55259">
        <w:rPr>
          <w:rFonts w:eastAsiaTheme="minorHAnsi"/>
        </w:rPr>
        <w:t>Table 4.3</w:t>
      </w:r>
      <w:r w:rsidRPr="004F469F">
        <w:rPr>
          <w:rFonts w:eastAsiaTheme="minorHAnsi"/>
        </w:rPr>
        <w:t xml:space="preserve">). Most of the change was because of an increase in the number tornadoes impacting low-density parcels (~9%). However, tornadoes impacting moderate to high-density parcels also increased (~1%). Each county saw a similar increase in urban tornadoes (~10%) with most of that increase in urban-low tornadoes. The simulation showed the greatest </w:t>
      </w:r>
      <w:r w:rsidRPr="004F469F">
        <w:rPr>
          <w:rFonts w:eastAsiaTheme="minorHAnsi"/>
        </w:rPr>
        <w:lastRenderedPageBreak/>
        <w:t>increase in urban-high tornadoes (1.5%) in Oklahoma County (</w:t>
      </w:r>
      <w:r w:rsidR="00C55259">
        <w:rPr>
          <w:rFonts w:eastAsiaTheme="minorHAnsi"/>
        </w:rPr>
        <w:t>Table 4.3</w:t>
      </w:r>
      <w:r w:rsidRPr="004F469F">
        <w:rPr>
          <w:rFonts w:eastAsiaTheme="minorHAnsi"/>
        </w:rPr>
        <w:t>). Overall the tornado type distribution matches the land use type distribution (Table 4.1) with the greatest number of rural (urban) tornadoes in Canadian County (Oklahoma County).</w:t>
      </w:r>
    </w:p>
    <w:p w14:paraId="6FE64446" w14:textId="77777777" w:rsidR="00DF5082" w:rsidRPr="004F469F" w:rsidRDefault="00DF5082" w:rsidP="009225F0">
      <w:pPr>
        <w:pStyle w:val="Heading2"/>
        <w:spacing w:before="0" w:after="120" w:line="480" w:lineRule="auto"/>
        <w:rPr>
          <w:rFonts w:ascii="Times New Roman" w:hAnsi="Times New Roman" w:cs="Times New Roman"/>
          <w:b/>
          <w:bCs/>
          <w:color w:val="auto"/>
          <w:sz w:val="28"/>
          <w:szCs w:val="28"/>
        </w:rPr>
      </w:pPr>
      <w:bookmarkStart w:id="92" w:name="_Toc21861336"/>
      <w:r w:rsidRPr="004F469F">
        <w:rPr>
          <w:rFonts w:ascii="Times New Roman" w:hAnsi="Times New Roman" w:cs="Times New Roman"/>
          <w:b/>
          <w:bCs/>
          <w:color w:val="auto"/>
          <w:sz w:val="28"/>
          <w:szCs w:val="28"/>
        </w:rPr>
        <w:t>Discussion</w:t>
      </w:r>
      <w:bookmarkEnd w:id="92"/>
    </w:p>
    <w:p w14:paraId="6FD61621" w14:textId="5E04137C" w:rsidR="00DF5082" w:rsidRPr="004F469F" w:rsidRDefault="00DF5082" w:rsidP="009225F0">
      <w:pPr>
        <w:spacing w:after="120" w:line="480" w:lineRule="auto"/>
        <w:ind w:firstLine="720"/>
      </w:pPr>
      <w:r w:rsidRPr="004F469F">
        <w:t xml:space="preserve">Here, we conducted an integrated scenario analysis to analyze and quantify the isolated and combined effects of climate change and change in population density for the Oklahoma City Metropolitan Area. For this, we combined spatially explicit population density simulations, carried out with ENVISION </w:t>
      </w:r>
      <w:r w:rsidRPr="004F469F">
        <w:fldChar w:fldCharType="begin" w:fldLock="1"/>
      </w:r>
      <w:r w:rsidR="00123266">
        <w:instrText>ADDIN CSL_CITATION {"citationItems":[{"id":"ITEM-1","itemData":{"DOI":"10.1016/j.envsoft.2005.12.033","ISBN":"1364-8152","ISSN":"13648152","PMID":"23554226","abstract":"Increasingly, models (and modelers) are being asked to address the interactions between human influences, ecological processes, and landscape dynamics that impact many diverse aspects of managing complex coupled human and natural systems. These systems may be profoundly influenced by human decisions at multiple spatial and temporal scales, and the limitations of traditional process-level ecosystems modeling approaches for representing the richness of factors shaping landscape dynamics in these coupled systems has resulted in the need for new analysis approaches. New tools in the areas of spatial data management and analysis, multicriteria decision-making, individual-based modeling, and complexity science have all begun to impact how we approach modeling these systems. The term \"biocomplexity\" has emerged as a descriptor of the rich patterns of interactions and behaviors in human and natural systems, and the challenges of analyzing biocomplex behavior is resulting in a convergence of approaches leading to new ways of understanding these systems. Important questions related to system vulnerability and resilience, adaptation, feedback processing, cycling, non-linearities and other complex behaviors are being addressed using models employing new representational approaches to analysis. The complexity inherent in these systems challenges the modeling community to provide tools that capture sufficiently the richness of human and ecosystem processes and interactions in ways that are computationally tractable and understandable. We examine one such tool, EvoLand, which uses an actor-based approach to conduct alternative futures analyses in the Willamette Basin, Oregon. ?? 2006 Elsevier Ltd. All rights reserved.","author":[{"dropping-particle":"","family":"Bolte","given":"John P.","non-dropping-particle":"","parse-names":false,"suffix":""},{"dropping-particle":"","family":"Hulse","given":"David W.","non-dropping-particle":"","parse-names":false,"suffix":""},{"dropping-particle":"V.","family":"Gregory","given":"Stanley","non-dropping-particle":"","parse-names":false,"suffix":""},{"dropping-particle":"","family":"Smith","given":"Court","non-dropping-particle":"","parse-names":false,"suffix":""}],"container-title":"Environmental Modelling and Software","id":"ITEM-1","issue":"5","issued":{"date-parts":[["2007"]]},"page":"570-579","title":"Modeling biocomplexity - actors, landscapes and alternative futures","type":"article-journal","volume":"22"},"uris":["http://www.mendeley.com/documents/?uuid=84a27fec-f909-4768-ab1c-ce75cc6ad7d7"]}],"mendeley":{"formattedCitation":"(Bolte et al., 2007)","plainTextFormattedCitation":"(Bolte et al., 2007)","previouslyFormattedCitation":"(Bolte et al., 2007)"},"properties":{"noteIndex":0},"schema":"https://github.com/citation-style-language/schema/raw/master/csl-citation.json"}</w:instrText>
      </w:r>
      <w:r w:rsidRPr="004F469F">
        <w:fldChar w:fldCharType="separate"/>
      </w:r>
      <w:r w:rsidR="0010658B" w:rsidRPr="00123266">
        <w:rPr>
          <w:noProof/>
        </w:rPr>
        <w:t xml:space="preserve">(Bolte </w:t>
      </w:r>
      <w:r w:rsidR="0010658B" w:rsidRPr="00453357">
        <w:rPr>
          <w:i/>
          <w:iCs/>
          <w:noProof/>
        </w:rPr>
        <w:t>et al.</w:t>
      </w:r>
      <w:r w:rsidR="0010658B" w:rsidRPr="00123266">
        <w:rPr>
          <w:noProof/>
        </w:rPr>
        <w:t>, 2007)</w:t>
      </w:r>
      <w:r w:rsidRPr="004F469F">
        <w:fldChar w:fldCharType="end"/>
      </w:r>
      <w:r w:rsidRPr="004F469F">
        <w:t xml:space="preserve">, with spatial tornado simulations produced with the environmentally driven daily impacts simulation model TorDIS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76275F" w:rsidRPr="004F469F">
        <w:rPr>
          <w:noProof/>
        </w:rPr>
        <w:t xml:space="preserve">(Hatzis </w:t>
      </w:r>
      <w:r w:rsidR="0076275F" w:rsidRPr="00453357">
        <w:rPr>
          <w:i/>
          <w:iCs/>
          <w:noProof/>
        </w:rPr>
        <w:t>et al.</w:t>
      </w:r>
      <w:r w:rsidR="0076275F" w:rsidRPr="004F469F">
        <w:rPr>
          <w:noProof/>
        </w:rPr>
        <w:t xml:space="preserve">, </w:t>
      </w:r>
      <w:r w:rsidR="00266494" w:rsidRPr="004F469F">
        <w:rPr>
          <w:noProof/>
        </w:rPr>
        <w:t>in review</w:t>
      </w:r>
      <w:r w:rsidR="0076275F" w:rsidRPr="004F469F">
        <w:rPr>
          <w:noProof/>
        </w:rPr>
        <w:t>)</w:t>
      </w:r>
      <w:r w:rsidRPr="004F469F">
        <w:fldChar w:fldCharType="end"/>
      </w:r>
      <w:r w:rsidRPr="004F469F">
        <w:t>. One novel component of our study was the use of climate projections to assess the influence of climate change on tornado risk. For this purpose, we used the newly developed TorDIS model, which uses data on the atmospheric environment to spatially distribute tornadoes on a daily time step and to constrain the intensity and size of the simulated tornado footprints. This approach allowed us to use projected atmospheric environments (from NARCCAP</w:t>
      </w:r>
      <w:r w:rsidR="00F37017">
        <w:t>;</w:t>
      </w:r>
      <w:r w:rsidRPr="004F469F">
        <w:t xml:space="preserve"> </w:t>
      </w:r>
      <w:r w:rsidRPr="004F469F">
        <w:fldChar w:fldCharType="begin" w:fldLock="1"/>
      </w:r>
      <w:r w:rsidR="00F37017">
        <w:instrText>ADDIN CSL_CITATION {"citationItems":[{"id":"ITEM-1","itemData":{"DOI":"10.5065/D6RN35ST","author":[{"dropping-particle":"","family":"Mearns","given":"Linda","non-dropping-particle":"","parse-names":false,"suffix":""},{"dropping-particle":"","family":"McGinnis","given":"Seth","non-dropping-particle":"","parse-names":false,"suffix":""},{"dropping-particle":"","family":"Arritt","given":"Raymond","non-dropping-particle":"","parse-names":false,"suffix":""},{"dropping-particle":"","family":"Biner","given":"Sebastien","non-dropping-particle":"","parse-names":false,"suffix":""},{"dropping-particle":"","family":"Duffy","given":"Phillip","non-dropping-particle":"","parse-names":false,"suffix":""},{"dropping-particle":"","family":"Gutowski","given":"William","non-dropping-particle":"","parse-names":false,"suffix":""},{"dropping-particle":"","family":"Held","given":"Isaac","non-dropping-particle":"","parse-names":false,"suffix":""},{"dropping-particle":"","family":"Jones","given":"Richard","non-dropping-particle":"","parse-names":false,"suffix":""},{"dropping-particle":"","family":"Leung","given":"Ruby","non-dropping-particle":"","parse-names":false,"suffix":""},{"dropping-particle":"","family":"Nunes","given":"Ana","non-dropping-particle":"","parse-names":false,"suffix":""},{"dropping-particle":"","family":"Snyder","given":"Mark","non-dropping-particle":"","parse-names":false,"suffix":""},{"dropping-particle":"","family":"Caya","given":"Daniel","non-dropping-particle":"","parse-names":false,"suffix":""},{"dropping-particle":"","family":"Correia","given":"James","non-dropping-particle":"","parse-names":false,"suffix":""},{"dropping-particle":"","family":"Flory","given":"David","non-dropping-particle":"","parse-names":false,"suffix":""},{"dropping-particle":"","family":"Herzmann","given":"Daryl","non-dropping-particle":"","parse-names":false,"suffix":""},{"dropping-particle":"","family":"Laprise","given":"René","non-dropping-particle":"","parse-names":false,"suffix":""},{"dropping-particle":"","family":"Moufouma-Okia","given":"Wilfran","non-dropping-particle":"","parse-names":false,"suffix":""},{"dropping-particle":"","family":"Takle","given":"Gene","non-dropping-particle":"","parse-names":false,"suffix":""},{"dropping-particle":"","family":"Teng","given":"Haiyan","non-dropping-particle":"","parse-names":false,"suffix":""},{"dropping-particle":"","family":"Thompson","given":"Josh","non-dropping-particle":"","parse-names":false,"suffix":""},{"dropping-particle":"","family":"Tucker","given":"Simon","non-dropping-particle":"","parse-names":false,"suffix":""},{"dropping-particle":"","family":"Wyman","given":"Bruce","non-dropping-particle":"","parse-names":false,"suffix":""},{"dropping-particle":"","family":"Anitha","given":"Anila","non-dropping-particle":"","parse-names":false,"suffix":""},{"dropping-particle":"","family":"Buja","given":"Lawrence","non-dropping-particle":"","parse-names":false,"suffix":""},{"dropping-particle":"","family":"Macintosh","given":"Christopher","non-dropping-particle":"","parse-names":false,"suffix":""},{"dropping-particle":"","family":"McDaniel","given":"Larry","non-dropping-particle":"","parse-names":false,"suffix":""},{"dropping-particle":"","family":"O'Brien","given":"Travis","non-dropping-particle":"","parse-names":false,"suffix":""},{"dropping-particle":"","family":"Qian","given":"Yun","non-dropping-particle":"","parse-names":false,"suffix":""},{"dropping-particle":"","family":"Sloan","given":"Lisa","non-dropping-particle":"","parse-names":false,"suffix":""},{"dropping-particle":"","family":"Strand","given":"Gary","non-dropping-particle":"","parse-names":false,"suffix":""},{"dropping-particle":"","family":"Zoellick","given":"Casey","non-dropping-particle":"","parse-names":false,"suffix":""}],"id":"ITEM-1","issued":{"date-parts":[["2014"]]},"publisher":"National Center for Atmospheric Research Earth System Grid data portal","publisher-place":"Boulder, CO.","title":"The North American Regional Climate Change Assessment Program dataset","type":"article"},"uris":["http://www.mendeley.com/documents/?uuid=b6e7720e-80b8-4fcf-ae20-7014f6b14e15"]}],"mendeley":{"formattedCitation":"(Mearns et al., 2014)","manualFormatting":"Mearns et al., 2014","plainTextFormattedCitation":"(Mearns et al., 2014)","previouslyFormattedCitation":"(Mearns et al., 2014)"},"properties":{"noteIndex":0},"schema":"https://github.com/citation-style-language/schema/raw/master/csl-citation.json"}</w:instrText>
      </w:r>
      <w:r w:rsidRPr="004F469F">
        <w:fldChar w:fldCharType="separate"/>
      </w:r>
      <w:r w:rsidR="0010658B" w:rsidRPr="00123266">
        <w:rPr>
          <w:noProof/>
        </w:rPr>
        <w:t xml:space="preserve">Mearns </w:t>
      </w:r>
      <w:r w:rsidR="0010658B" w:rsidRPr="00453357">
        <w:rPr>
          <w:i/>
          <w:iCs/>
          <w:noProof/>
        </w:rPr>
        <w:t>et al.</w:t>
      </w:r>
      <w:r w:rsidR="0010658B" w:rsidRPr="00123266">
        <w:rPr>
          <w:noProof/>
        </w:rPr>
        <w:t>, 2014</w:t>
      </w:r>
      <w:r w:rsidRPr="004F469F">
        <w:fldChar w:fldCharType="end"/>
      </w:r>
      <w:r w:rsidRPr="004F469F">
        <w:t>) to simulate tornadoes under potential future environments and to compare and contrast these projections with simulations for the baseline (using historical atmospheric environments). This approach differs from that similar studies (</w:t>
      </w:r>
      <w:r w:rsidRPr="002614B3">
        <w:rPr>
          <w:i/>
          <w:iCs/>
        </w:rPr>
        <w:t>e.g.</w:t>
      </w:r>
      <w:r w:rsidRPr="004F469F">
        <w:t xml:space="preserve">, that of Strader </w:t>
      </w:r>
      <w:r w:rsidR="008F75F4" w:rsidRPr="00453357">
        <w:rPr>
          <w:i/>
          <w:iCs/>
        </w:rPr>
        <w:t>et al.</w:t>
      </w:r>
      <w:r w:rsidRPr="004F469F">
        <w:t xml:space="preserv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suppress-author":1,"uris":["http://www.mendeley.com/documents/?uuid=f875dd0e-da5d-4186-8536-d8e3921d37a0"]}],"mendeley":{"formattedCitation":"(2017a)","plainTextFormattedCitation":"(2017a)","previouslyFormattedCitation":"(2017a)"},"properties":{"noteIndex":0},"schema":"https://github.com/citation-style-language/schema/raw/master/csl-citation.json"}</w:instrText>
      </w:r>
      <w:r w:rsidRPr="004F469F">
        <w:fldChar w:fldCharType="separate"/>
      </w:r>
      <w:r w:rsidR="00123266" w:rsidRPr="00123266">
        <w:rPr>
          <w:noProof/>
        </w:rPr>
        <w:t>(2017a)</w:t>
      </w:r>
      <w:r w:rsidRPr="004F469F">
        <w:fldChar w:fldCharType="end"/>
      </w:r>
      <w:r w:rsidRPr="004F469F">
        <w:t xml:space="preserve"> who compare simulations using historical tornado climatology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xml:space="preserve"> with simulations using a manual increase, from the climatology, in tornado frequency and interannual variability. The advantage of our novel approach is that it avoids the use of a flat percent change in tornado frequency across the US and instead allows the change to vary according to the projected changes in the atmospheric environment </w:t>
      </w:r>
      <w:r w:rsidRPr="004F469F">
        <w:fldChar w:fldCharType="begin" w:fldLock="1"/>
      </w:r>
      <w:r w:rsidR="00123266">
        <w:instrText>ADDIN CSL_CITATION {"citationItems":[{"id":"ITEM-1","itemData":{"author":[{"dropping-particle":"","family":"Gensini","given":"Victor A.","non-dropping-particle":"","parse-names":false,"suffix":""},{"dropping-particle":"","family":"Mote","given":"Thomas L.","non-dropping-particle":"","parse-names":false,"suffix":""}],"container-title":"Climatic Change","id":"ITEM-1","issue":"1-2","issued":{"date-parts":[["2015"]]},"page":"307-321","publisher":"Springer","title":"Downscaled estimates of late 21st century severe weather from CCSM3","type":"article-journal","volume":"129"},"uris":["http://www.mendeley.com/documents/?uuid=18e2bc25-26e3-4cdd-b884-615f1f068201"]},{"id":"ITEM-2","itemData":{"DOI":"10.1073/pnas.0705494104","ISBN":"0027-8424","abstract":"Severe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forcing","type":"article-journal","volume":"104"},"uris":["http://www.mendeley.com/documents/?uuid=ff306650-3c82-4142-8d04-d598e3b78415"]},{"id":"ITEM-3","itemData":{"author":[{"dropping-particle":"","family":"Diffenbaugh","given":"Noah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Sciences","id":"ITEM-3","issued":{"date-parts":[["2013"]]},"page":"201307758","publisher":"National Acad Sciences","title":"Robust increases in severe thunderstorm environments in response to greenhouse forcing","type":"article-journal"},"uris":["http://www.mendeley.com/documents/?uuid=c9745462-d91f-4c64-b242-b426b7f04f12"]}],"mendeley":{"formattedCitation":"(Trapp et al., 2007; Diffenbaugh et al., 2013; Gensini and Mote, 2015)","plainTextFormattedCitation":"(Trapp et al., 2007; Diffenbaugh et al., 2013; Gensini and Mote, 2015)","previouslyFormattedCitation":"(Trapp et al., 2007; Diffenbaugh et al., 2013; Gensini and Mote, 2015)"},"properties":{"noteIndex":0},"schema":"https://github.com/citation-style-language/schema/raw/master/csl-citation.json"}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2013; Gensini and Mote, 2015)</w:t>
      </w:r>
      <w:r w:rsidRPr="004F469F">
        <w:fldChar w:fldCharType="end"/>
      </w:r>
      <w:r w:rsidRPr="004F469F">
        <w:t xml:space="preserve">. </w:t>
      </w:r>
    </w:p>
    <w:p w14:paraId="031BF4FD" w14:textId="1212CC81" w:rsidR="00DF5082" w:rsidRPr="004F469F" w:rsidRDefault="00DF5082" w:rsidP="009225F0">
      <w:pPr>
        <w:spacing w:after="120" w:line="480" w:lineRule="auto"/>
        <w:ind w:firstLine="720"/>
      </w:pPr>
      <w:r w:rsidRPr="004F469F">
        <w:lastRenderedPageBreak/>
        <w:t xml:space="preserve">While TorDIS provides improved functionalities by using environmental data, improvements </w:t>
      </w:r>
      <w:r w:rsidR="00B07524">
        <w:t>in</w:t>
      </w:r>
      <w:r w:rsidRPr="004F469F">
        <w:t xml:space="preserve"> the logistic regressions that control the spatial and temporal distribution of the tornadoes are required. The current regressions led to a significant overestimation of the number of tornado favorable days (as evidenced by the high false alarm rate (53.5%) for the tornado day forecasts). While the number of tornado favorable days is not the same as the number of days with tornadoes (</w:t>
      </w:r>
      <w:r w:rsidRPr="002614B3">
        <w:rPr>
          <w:i/>
          <w:iCs/>
        </w:rPr>
        <w:t>i.e.</w:t>
      </w:r>
      <w:r w:rsidRPr="004F469F">
        <w:t>, favorable days still need storms to initiate in order for tornadoes to occur</w:t>
      </w:r>
      <w:r w:rsidR="00F37017">
        <w:t>;</w:t>
      </w:r>
      <w:r w:rsidRPr="004F469F">
        <w:t xml:space="preserve"> </w:t>
      </w:r>
      <w:r w:rsidRPr="004F469F">
        <w:fldChar w:fldCharType="begin" w:fldLock="1"/>
      </w:r>
      <w:r w:rsidR="00F37017">
        <w:instrText>ADDIN CSL_CITATION {"citationItems":[{"id":"ITEM-1","itemData":{"DOI":"10.1002/joc.3769","ISBN":"1097-0088","ISSN":"10970088","abstract":"This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Climatology","id":"ITEM-1","issue":"5","issued":{"date-parts":[["2014"]]},"page":"1699-1705","title":"Future convective environments using NARCCAP","type":"article-journal","volume":"34"},"uris":["http://www.mendeley.com/documents/?uuid=bcd3292d-bda8-4322-96cd-a32ad75b2206"]},{"id":"ITEM-2","itemData":{"DOI":"10.1073/pnas.0705494104","ISBN":"0027-8424","abstract":"Severe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forcing","type":"article-journal","volume":"104"},"uris":["http://www.mendeley.com/documents/?uuid=ff306650-3c82-4142-8d04-d598e3b78415"]},{"id":"ITEM-3","itemData":{"author":[{"dropping-particle":"","family":"Diffenbaugh","given":"Noah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Sciences","id":"ITEM-3","issued":{"date-parts":[["2013"]]},"page":"201307758","publisher":"National Acad Sciences","title":"Robust increases in severe thunderstorm environments in response to greenhouse forcing","type":"article-journal"},"uris":["http://www.mendeley.com/documents/?uuid=c9745462-d91f-4c64-b242-b426b7f04f12"]}],"mendeley":{"formattedCitation":"(Trapp et al., 2007; Diffenbaugh et al., 2013; Gensini et al., 2014b)","manualFormatting":"Trapp et al., 2007; Diffenbaugh et al., 2013; Gensini et al., 2014b","plainTextFormattedCitation":"(Trapp et al., 2007; Diffenbaugh et al., 2013; Gensini et al., 2014b)","previouslyFormattedCitation":"(Trapp et al., 2007; Diffenbaugh et al., 2013; Gensini et al., 2014b)"},"properties":{"noteIndex":0},"schema":"https://github.com/citation-style-language/schema/raw/master/csl-citation.json"}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xml:space="preserve">, 2013; Gensini </w:t>
      </w:r>
      <w:r w:rsidR="00123266" w:rsidRPr="00453357">
        <w:rPr>
          <w:i/>
          <w:iCs/>
          <w:noProof/>
        </w:rPr>
        <w:t>et al.</w:t>
      </w:r>
      <w:r w:rsidR="00123266" w:rsidRPr="00123266">
        <w:rPr>
          <w:noProof/>
        </w:rPr>
        <w:t>, 2014b</w:t>
      </w:r>
      <w:r w:rsidRPr="004F469F">
        <w:fldChar w:fldCharType="end"/>
      </w:r>
      <w:r w:rsidRPr="004F469F">
        <w:t>), overestimations of the number of days will still lead to overestimation of the total number of tornadoes. The ability to capture the spatial distribution of tornadoes could also be improved. This study used atmospheric environments at one time step daily (0000 UTC</w:t>
      </w:r>
      <w:r w:rsidR="003642A7">
        <w:t xml:space="preserve">; </w:t>
      </w:r>
      <w:r w:rsidRPr="004F469F">
        <w:fldChar w:fldCharType="begin" w:fldLock="1"/>
      </w:r>
      <w:r w:rsidR="003642A7">
        <w:instrText>ADDIN CSL_CITATION {"citationItems":[{"id":"ITEM-1","itemData":{"ISBN":"1559-5404","author":[{"dropping-particle":"","family":"Gensini","given":"Victor A.","non-dropping-particle":"","parse-names":false,"suffix":""},{"dropping-particle":"","family":"Ashley","given":"Walker S.","non-dropping-particle":"","parse-names":false,"suffix":""}],"container-title":"E-Journal of Severe Storms Meteorology","id":"ITEM-1","issue":"8","issued":{"date-parts":[["2011"]]},"page":"1-40","title":"Climatology of potentially severe convective environments from the North American Regional Reanalysis","type":"article-journal","volume":"6"},"uris":["http://www.mendeley.com/documents/?uuid=c00b076a-fd2d-4516-ac75-69faf6495920"]}],"mendeley":{"formattedCitation":"(Gensini and Ashley, 2011)","manualFormatting":"Gensini and Ashley, 2011","plainTextFormattedCitation":"(Gensini and Ashley, 2011)","previouslyFormattedCitation":"(Gensini and Ashley, 2011)"},"properties":{"noteIndex":0},"schema":"https://github.com/citation-style-language/schema/raw/master/csl-citation.json"}</w:instrText>
      </w:r>
      <w:r w:rsidRPr="004F469F">
        <w:fldChar w:fldCharType="separate"/>
      </w:r>
      <w:r w:rsidR="003642A7" w:rsidRPr="003642A7">
        <w:rPr>
          <w:noProof/>
        </w:rPr>
        <w:t>Gensini and Ashley, 2011</w:t>
      </w:r>
      <w:r w:rsidRPr="004F469F">
        <w:fldChar w:fldCharType="end"/>
      </w:r>
      <w:r w:rsidRPr="004F469F">
        <w:t xml:space="preserve">) due to time constraints. Future studies will use atmospheric environmental data at multiple time steps daily to get atmospheric environments closer in time the actual occurrence of tornadoes </w:t>
      </w:r>
      <w:r w:rsidRPr="004F469F">
        <w:fldChar w:fldCharType="begin" w:fldLock="1"/>
      </w:r>
      <w:r w:rsidR="00123266">
        <w:instrText>ADDIN CSL_CITATION {"citationItems":[{"id":"ITEM-1","itemData":{"author":[{"dropping-particle":"","family":"Lee","given":"James Wynn","non-dropping-particle":"","parse-names":false,"suffix":""}],"id":"ITEM-1","issued":{"date-parts":[["2002"]]},"publisher":"University of Oklahoma","title":"Tornado proximity soundings from the NCEP/NCAR reanalysis data","type":"thesis"},"uris":["http://www.mendeley.com/documents/?uuid=bba92b88-62e5-40bc-afd0-bd991c88247b"]},{"id":"ITEM-2","itemData":{"ISBN":"0169-8095","author":[{"dropping-particle":"","family":"Brooks","given":"Harold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Research","id":"ITEM-2","issued":{"date-parts":[["2003"]]},"page":"73-94","title":"The spatial distribution of severe thunderstorm and tornado environments from global reanalysis data","type":"article-journal","volume":"67"},"uris":["http://www.mendeley.com/documents/?uuid=2299b90d-1ada-4897-b75e-ee0ee8a4e064"]}],"mendeley":{"formattedCitation":"(Lee, 2002; Brooks et al., 2003b)","plainTextFormattedCitation":"(Lee, 2002; Brooks et al., 2003b)","previouslyFormattedCitation":"(Lee, 2002; Brooks et al., 2003b)"},"properties":{"noteIndex":0},"schema":"https://github.com/citation-style-language/schema/raw/master/csl-citation.json"}</w:instrText>
      </w:r>
      <w:r w:rsidRPr="004F469F">
        <w:fldChar w:fldCharType="separate"/>
      </w:r>
      <w:r w:rsidR="00123266" w:rsidRPr="00123266">
        <w:rPr>
          <w:noProof/>
        </w:rPr>
        <w:t xml:space="preserve">(Lee, 2002; Brooks </w:t>
      </w:r>
      <w:r w:rsidR="00123266" w:rsidRPr="00453357">
        <w:rPr>
          <w:i/>
          <w:iCs/>
          <w:noProof/>
        </w:rPr>
        <w:t>et al.</w:t>
      </w:r>
      <w:r w:rsidR="00123266" w:rsidRPr="00123266">
        <w:rPr>
          <w:noProof/>
        </w:rPr>
        <w:t>, 2003b)</w:t>
      </w:r>
      <w:r w:rsidRPr="004F469F">
        <w:fldChar w:fldCharType="end"/>
      </w:r>
      <w:r w:rsidRPr="004F469F">
        <w:t>. This may result in more realistic relationships between the tornadoes and their environments, thus improving the accuracy of the logistic regressions.</w:t>
      </w:r>
    </w:p>
    <w:p w14:paraId="62925145" w14:textId="751BD7C9" w:rsidR="00DF5082" w:rsidRPr="004F469F" w:rsidRDefault="00DF5082" w:rsidP="009225F0">
      <w:pPr>
        <w:spacing w:after="120" w:line="480" w:lineRule="auto"/>
        <w:ind w:firstLine="720"/>
      </w:pPr>
      <w:r w:rsidRPr="004F469F">
        <w:t xml:space="preserve">One key result of this scenario study is that population growth is the main driver of increased tornado exposure. This is in line with earlier findings from studies analyzing observed population distributions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Society","id":"ITEM-1","issue":"1","issued":{"date-parts":[["2019"]]},"page":"159 - 182","title":"Spatiotemporal Analysis of Near-Miss Violent Tornadoes in the United States","type":"article-journal","volume":"11"},"uris":["http://www.mendeley.com/documents/?uuid=0032bc5e-f0bd-436a-ab51-61b7467838eb"]},{"id":"ITEM-2","itemData":{"author":[{"dropping-particle":"","family":"Ashley","given":"Walker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 Hatzis et al., 2019)","plainTextFormattedCitation":"(Ashley and Strader, 2016; Hatzis et al., 2019)","previouslyFormattedCitation":"(Ashley and Strader, 2016; Hatzis et al., 2019)"},"properties":{"noteIndex":0},"schema":"https://github.com/citation-style-language/schema/raw/master/csl-citation.json"}</w:instrText>
      </w:r>
      <w:r w:rsidRPr="004F469F">
        <w:fldChar w:fldCharType="separate"/>
      </w:r>
      <w:r w:rsidR="00123266" w:rsidRPr="00123266">
        <w:rPr>
          <w:noProof/>
        </w:rPr>
        <w:t xml:space="preserve">(Ashley and Strader, 2016; Hatzis </w:t>
      </w:r>
      <w:r w:rsidR="00123266" w:rsidRPr="00453357">
        <w:rPr>
          <w:i/>
          <w:iCs/>
          <w:noProof/>
        </w:rPr>
        <w:t>et al.</w:t>
      </w:r>
      <w:r w:rsidR="00123266" w:rsidRPr="00123266">
        <w:rPr>
          <w:noProof/>
        </w:rPr>
        <w:t>, 2019)</w:t>
      </w:r>
      <w:r w:rsidRPr="004F469F">
        <w:fldChar w:fldCharType="end"/>
      </w:r>
      <w:r w:rsidRPr="004F469F">
        <w:t xml:space="preserve"> as well as spatially explicit simulation studies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society","id":"ITEM-2","issue":"2","issued":{"date-parts":[["2017"]]},"page":"109-123","title":"Observed and projected changes in United States tornado exposure","type":"article-journal","volume":"9"},"uris":["http://www.mendeley.com/documents/?uuid=b07828b3-19f9-42fd-82f4-7b463c849143"]},{"id":"ITEM-3","itemData":{"DOI":"10.1016/j.apgeog.2018.03.005","ISSN":"01436228","abstract":"This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Geography","id":"ITEM-3","issue":"March 2017","issued":{"date-parts":[["2018"]]},"page":"18-29","publisher":"Elsevier Ltd","title":"How land use alters the tornado disaster landscape","type":"article-journal","volume":"94"},"uris":["http://www.mendeley.com/documents/?uuid=d9748686-b846-458c-a837-e1e5ffc60746"]}],"mendeley":{"formattedCitation":"(Strader et al., 2017a, 2017b, 2018)","plainTextFormattedCitation":"(Strader et al., 2017a, 2017b, 2018)","previouslyFormattedCitation":"(Strader et al., 2017a, 2017b, 2018)"},"properties":{"noteIndex":0},"schema":"https://github.com/citation-style-language/schema/raw/master/csl-citation.json"}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2017a, 2017b, 2018)</w:t>
      </w:r>
      <w:r w:rsidRPr="004F469F">
        <w:fldChar w:fldCharType="end"/>
      </w:r>
      <w:r w:rsidRPr="004F469F">
        <w:t xml:space="preserve">. The OKCMA is projected to experience significant population growth by 2050 </w:t>
      </w:r>
      <w:r w:rsidRPr="004F469F">
        <w:fldChar w:fldCharType="begin" w:fldLock="1"/>
      </w:r>
      <w:r w:rsidRPr="004F469F">
        <w:instrText>ADDIN CSL_CITATION {"citationItems":[{"id":"ITEM-1","itemData":{"author":[{"dropping-particle":"","family":"Barker","given":"Steve","non-dropping-particle":"","parse-names":false,"suffix":""}],"id":"ITEM-1","issued":{"date-parts":[["2012"]]},"title":"2012 Demographic State of the State Report, Oklahoma City","type":"report"},"uris":["http://www.mendeley.com/documents/?uuid=78e215ac-9290-4306-bfef-baa20eac1b26"]}],"mendeley":{"formattedCitation":"(Barker, 2012)","plainTextFormattedCitation":"(Barker, 2012)","previouslyFormattedCitation":"(Barker, 2012)"},"properties":{"noteIndex":0},"schema":"https://github.com/citation-style-language/schema/raw/master/csl-citation.json"}</w:instrText>
      </w:r>
      <w:r w:rsidRPr="004F469F">
        <w:fldChar w:fldCharType="separate"/>
      </w:r>
      <w:r w:rsidRPr="004F469F">
        <w:rPr>
          <w:noProof/>
        </w:rPr>
        <w:t>(Barker, 2012)</w:t>
      </w:r>
      <w:r w:rsidRPr="004F469F">
        <w:fldChar w:fldCharType="end"/>
      </w:r>
      <w:r w:rsidRPr="004F469F">
        <w:t xml:space="preserve"> and during this time atmospheric conditions are also projected to become more conducive for severe weather and potentially tornadoes </w:t>
      </w:r>
      <w:r w:rsidRPr="004F469F">
        <w:fldChar w:fldCharType="begin" w:fldLock="1"/>
      </w:r>
      <w:r w:rsidR="00123266">
        <w:instrText>ADDIN CSL_CITATION {"citationItems":[{"id":"ITEM-1","itemData":{"DOI":"10.1029/2008EO530001","ISBN":"2324-9250","ISSN":"00963941","abstract":"Tornadoes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Union","id":"ITEM-1","issue":"53","issued":{"date-parts":[["2008"]]},"page":"553-554","title":"Does global warming influence tornado activity?","type":"article-journal","volume":"89"},"uris":["http://www.mendeley.com/documents/?uuid=3e309387-b981-4120-ba7b-ece4c9971012"]},{"id":"ITEM-2","itemData":{"author":[{"dropping-particle":"","family":"Diffenbaugh","given":"Noah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forcing","type":"article-journal"},"uris":["http://www.mendeley.com/documents/?uuid=c9745462-d91f-4c64-b242-b426b7f04f12"]},{"id":"ITEM-3","itemData":{"DOI":"10.1002/joc.3769","ISBN":"1097-0088","ISSN":"10970088","abstract":"This study examines trends in atmospheric environments conducive to the development of severe convection in the United States, as simulated by a regional model forced with output from a global climate model. Meteorological variables necessary for severe convection from current (1981–1995) and future (2041–2065) epochs were compared. Results indicate a statistically significant increase in the number of significant severe weather environments in the Northeast United States, Great Lakes, and Southeast Canada regions. Regional severe weather environment increases can be attributed to both an increase in convective available potential energy (CAPE) and the number of times deep-layer wind shear and CAPE juxtaposition. Given the current distribution of severe convective weather, these changes would alter the current physical risk of severe convective storms across a large population.","author":[{"dropping-particle":"","family":"Gensini","given":"Victor A.","non-dropping-particle":"","parse-names":false,"suffix":""},{"dropping-particle":"","family":"Ramseyer","given":"Craig","non-dropping-particle":"","parse-names":false,"suffix":""},{"dropping-particle":"","family":"Mote","given":"Thomas L.","non-dropping-particle":"","parse-names":false,"suffix":""}],"container-title":"International Journal of Climatology","id":"ITEM-3","issue":"5","issued":{"date-parts":[["2014"]]},"page":"1699-1705","title":"Future convective environments using NARCCAP","type":"article-journal","volume":"34"},"uris":["http://www.mendeley.com/documents/?uuid=bcd3292d-bda8-4322-96cd-a32ad75b2206"]}],"mendeley":{"formattedCitation":"(Diffenbaugh et al., 2008, 2013; Gensini et al., 2014b)","plainTextFormattedCitation":"(Diffenbaugh et al., 2008, 2013; Gensini et al., 2014b)","previouslyFormattedCitation":"(Diffenbaugh et al., 2008, 2013; Gensini et al., 2014b)"},"properties":{"noteIndex":0},"schema":"https://github.com/citation-style-language/schema/raw/master/csl-citation.json"}</w:instrText>
      </w:r>
      <w:r w:rsidRPr="004F469F">
        <w:fldChar w:fldCharType="separate"/>
      </w:r>
      <w:r w:rsidR="00123266" w:rsidRPr="00123266">
        <w:rPr>
          <w:noProof/>
        </w:rPr>
        <w:t xml:space="preserve">(Diffenbaugh </w:t>
      </w:r>
      <w:r w:rsidR="00123266" w:rsidRPr="00453357">
        <w:rPr>
          <w:i/>
          <w:iCs/>
          <w:noProof/>
        </w:rPr>
        <w:t>et al.</w:t>
      </w:r>
      <w:r w:rsidR="00123266" w:rsidRPr="00123266">
        <w:rPr>
          <w:noProof/>
        </w:rPr>
        <w:t xml:space="preserve">, 2008, 2013; Gensini </w:t>
      </w:r>
      <w:r w:rsidR="00123266" w:rsidRPr="00453357">
        <w:rPr>
          <w:i/>
          <w:iCs/>
          <w:noProof/>
        </w:rPr>
        <w:t>et al.</w:t>
      </w:r>
      <w:r w:rsidR="00123266" w:rsidRPr="00123266">
        <w:rPr>
          <w:noProof/>
        </w:rPr>
        <w:t>, 2014b)</w:t>
      </w:r>
      <w:r w:rsidRPr="004F469F">
        <w:fldChar w:fldCharType="end"/>
      </w:r>
      <w:r w:rsidRPr="004F469F">
        <w:t xml:space="preserve">. There are some indications that tornado risk is shifting to the east, as the western states become drier </w:t>
      </w:r>
      <w:r w:rsidRPr="004F469F">
        <w:fldChar w:fldCharType="begin" w:fldLock="1"/>
      </w:r>
      <w:r w:rsidR="00123266">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id":"ITEM-2","itemData":{"author":[{"dropping-particle":"","family":"Seager","given":"Richard","non-dropping-particle":"","parse-names":false,"suffix":""},{"dropping-particle":"","family":"Lis","given":"Nathan","non-dropping-particle":"","parse-names":false,"suffix":""},{"dropping-particle":"","family":"Feldman","given":"Jamie","non-dropping-particle":"","parse-names":false,"suffix":""},{"dropping-particle":"","family":"Ting","given":"Mingfang","non-dropping-particle":"","parse-names":false,"suffix":""},{"dropping-particle":"","family":"Williams","given":"A Park","non-dropping-particle":"","parse-names":false,"suffix":""},{"dropping-particle":"","family":"Nakamura","given":"Jennifer","non-dropping-particle":"","parse-names":false,"suffix":""},{"dropping-particle":"","family":"Liu","given":"Haibo","non-dropping-particle":"","parse-names":false,"suffix":""},{"dropping-particle":"","family":"Henderson","given":"Naomi","non-dropping-particle":"","parse-names":false,"suffix":""}],"container-title":"Earth Interactions","id":"ITEM-2","issue":"5","issued":{"date-parts":[["2018"]]},"page":"1-22","title":"Whither the 100th Meridian? The once and future physical and human geography of America’s arid--humid divide. Part I: The story so far","type":"article-journal","volume":"22"},"uris":["http://www.mendeley.com/documents/?uuid=af51e12a-cbd9-4484-acf6-e9cd9e5fc387"]}],"mendeley":{"formattedCitation":"(Gensini and Brooks, 2018; Seager et al., 2018)","plainTextFormattedCitation":"(Gensini and Brooks, 2018; Seager et al., 2018)","previouslyFormattedCitation":"(Gensini and Brooks, 2018; Seager et al., 2018)"},"properties":{"noteIndex":0},"schema":"https://github.com/citation-style-language/schema/raw/master/csl-citation.json"}</w:instrText>
      </w:r>
      <w:r w:rsidRPr="004F469F">
        <w:fldChar w:fldCharType="separate"/>
      </w:r>
      <w:r w:rsidR="0010658B" w:rsidRPr="00123266">
        <w:rPr>
          <w:noProof/>
        </w:rPr>
        <w:t xml:space="preserve">(Gensini and Brooks, 2018; Seager </w:t>
      </w:r>
      <w:r w:rsidR="0010658B" w:rsidRPr="00453357">
        <w:rPr>
          <w:i/>
          <w:iCs/>
          <w:noProof/>
        </w:rPr>
        <w:t>et al.</w:t>
      </w:r>
      <w:r w:rsidR="0010658B" w:rsidRPr="00123266">
        <w:rPr>
          <w:noProof/>
        </w:rPr>
        <w:t>, 2018)</w:t>
      </w:r>
      <w:r w:rsidRPr="004F469F">
        <w:fldChar w:fldCharType="end"/>
      </w:r>
      <w:r w:rsidRPr="004F469F">
        <w:t xml:space="preserve">. This eastward shift could lead to a reduction in tornado </w:t>
      </w:r>
      <w:r w:rsidRPr="004F469F">
        <w:lastRenderedPageBreak/>
        <w:t xml:space="preserve">occurrence over the OKCMA in the future. However, we </w:t>
      </w:r>
      <w:r w:rsidR="00B07524">
        <w:t>did not observe</w:t>
      </w:r>
      <w:r w:rsidRPr="004F469F">
        <w:t xml:space="preserve"> a significant downward trend over OKCMA in this study. Future studies using an ensemble of climate models and emissions scenarios might confirm such a trend </w:t>
      </w:r>
      <w:r w:rsidRPr="004F469F">
        <w:fldChar w:fldCharType="begin" w:fldLock="1"/>
      </w:r>
      <w:r w:rsidR="00123266">
        <w:instrText>ADDIN CSL_CITATION {"citationItems":[{"id":"ITEM-1","itemData":{"DOI":"10.1017/CBO9781107415324.004","ISBN":"9788578110796","ISSN":"16130073","PMID":"25246403","author":[{"dropping-particle":"","family":"IPCC","given":"","non-dropping-particle":"","parse-names":false,"suffix":""}],"container-title":"Climate Change 2013: The Physical Science Basis. Contribution of Working Group I to the Fifth Assessment Report of the Intergovernmental Panel on Climate Change","editor":[{"dropping-particle":"","family":"Stocker","given":"TF","non-dropping-particle":"","parse-names":false,"suffix":""},{"dropping-particle":"","family":"Qin","given":"D","non-dropping-particle":"","parse-names":false,"suffix":""},{"dropping-particle":"","family":"Plattner","given":"GK","non-dropping-particle":"","parse-names":false,"suffix":""},{"dropping-particle":"","family":"Tignor","given":"M","non-dropping-particle":"","parse-names":false,"suffix":""},{"dropping-particle":"","family":"Allen","given":"SK","non-dropping-particle":"","parse-names":false,"suffix":""},{"dropping-particle":"","family":"Boschung","given":"J","non-dropping-particle":"","parse-names":false,"suffix":""},{"dropping-particle":"","family":"Nauels","given":"A","non-dropping-particle":"","parse-names":false,"suffix":""},{"dropping-particle":"","family":"Xia","given":"Y","non-dropping-particle":"","parse-names":false,"suffix":""},{"dropping-particle":"","family":"Bex","given":"V","non-dropping-particle":"","parse-names":false,"suffix":""},{"dropping-particle":"","family":"Midgley","given":"PM","non-dropping-particle":"","parse-names":false,"suffix":""}],"id":"ITEM-1","issued":{"date-parts":[["2013"]]},"number-of-pages":"29","publisher":"Cambridge University Press","publisher-place":"Cambridge, United Kingdom","title":"Summary for Policymakers","type":"book"},"uris":["http://www.mendeley.com/documents/?uuid=3ce32abb-506a-44e7-ac38-af4f8388a2f4"]},{"id":"ITEM-2","itemData":{"DOI":"10.7930/J0J1012N","ISBN":"9780160924026","abstract":"(Mote et al, 2014)","author":[{"dropping-particle":"","family":"Pryor","given":"S. C.","non-dropping-particle":"","parse-names":false,"suffix":""},{"dropping-particle":"","family":"Scavia","given":"D.","non-dropping-particle":"","parse-names":false,"suffix":""},{"dropping-particle":"","family":"Downer","given":"C.","non-dropping-particle":"","parse-names":false,"suffix":""},{"dropping-particle":"","family":"Gaden","given":"M.","non-dropping-particle":"","parse-names":false,"suffix":""},{"dropping-particle":"","family":"Iverson","given":"Louis R.","non-dropping-particle":"","parse-names":false,"suffix":""},{"dropping-particle":"","family":"Nordstrom","given":"R.","non-dropping-particle":"","parse-names":false,"suffix":""},{"dropping-particle":"","family":"Patz","given":"J.","non-dropping-particle":"","parse-names":false,"suffix":""},{"dropping-particle":"","family":"Robertson","given":"G. P.","non-dropping-particle":"","parse-names":false,"suffix":""}],"container-title":"Climate Change Impacts in the United States: The Third National Climate Assessment","id":"ITEM-2","issued":{"date-parts":[["2014"]]},"number-of-pages":"418-440","title":"Midwest","type":"book"},"uris":["http://www.mendeley.com/documents/?uuid=598c32ed-3f95-4ef6-9b5f-4fd99c8eb3dd"]}],"mendeley":{"formattedCitation":"(IPCC, 2013; Pryor et al., 2014)","plainTextFormattedCitation":"(IPCC, 2013; Pryor et al., 2014)","previouslyFormattedCitation":"(IPCC, 2013; Pryor et al., 2014)"},"properties":{"noteIndex":0},"schema":"https://github.com/citation-style-language/schema/raw/master/csl-citation.json"}</w:instrText>
      </w:r>
      <w:r w:rsidRPr="004F469F">
        <w:fldChar w:fldCharType="separate"/>
      </w:r>
      <w:r w:rsidR="0010658B" w:rsidRPr="00123266">
        <w:rPr>
          <w:noProof/>
        </w:rPr>
        <w:t xml:space="preserve">(IPCC, 2013; Pryor </w:t>
      </w:r>
      <w:r w:rsidR="0010658B" w:rsidRPr="00453357">
        <w:rPr>
          <w:i/>
          <w:iCs/>
          <w:noProof/>
        </w:rPr>
        <w:t>et al.</w:t>
      </w:r>
      <w:r w:rsidR="0010658B" w:rsidRPr="00123266">
        <w:rPr>
          <w:noProof/>
        </w:rPr>
        <w:t>, 2014)</w:t>
      </w:r>
      <w:r w:rsidRPr="004F469F">
        <w:fldChar w:fldCharType="end"/>
      </w:r>
      <w:r w:rsidRPr="004F469F">
        <w:t xml:space="preserve">. While the tornado risk may decrease, the increasing population of the OKCMA will likely lead to greater tornado impacts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Pr="004F469F">
        <w:fldChar w:fldCharType="end"/>
      </w:r>
      <w:r w:rsidRPr="004F469F">
        <w:t xml:space="preserve">. Our findings showed that, despite a slight reduction </w:t>
      </w:r>
      <w:r w:rsidR="0026150E">
        <w:t xml:space="preserve">(not significant) </w:t>
      </w:r>
      <w:r w:rsidRPr="004F469F">
        <w:t xml:space="preserve">in significant tornado risk, the annual number of persons exposed to significant tornadoes increased over time (Figure 4.5). As the population within the US continues to become increasing urban </w:t>
      </w:r>
      <w:r w:rsidRPr="004F469F">
        <w:fldChar w:fldCharType="begin" w:fldLock="1"/>
      </w:r>
      <w:r w:rsidR="00123266">
        <w:instrText>ADDIN CSL_CITATION {"citationItems":[{"id":"ITEM-1","itemData":{"author":[{"dropping-particle":"","family":"United Nations","given":"","non-dropping-particle":"","parse-names":false,"suffix":""}],"id":"ITEM-1","issued":{"date-parts":[["2018"]]},"publisher":"United Nations Department of Economic and Social Affairs","title":"2018 revision of world urbanization prospects","type":"article"},"uris":["http://www.mendeley.com/documents/?uuid=05745bf1-955f-4014-b410-06d6d4abe6d0"]},{"id":"ITEM-2","itemData":{"author":[{"dropping-particle":"","family":"Seto","given":"Karen C","non-dropping-particle":"","parse-names":false,"suffix":""},{"dropping-particle":"","family":"Güneralp","given":"Burak","non-dropping-particle":"","parse-names":false,"suffix":""},{"dropping-particle":"","family":"Hutyra","given":"Lucy R","non-dropping-particle":"","parse-names":false,"suffix":""}],"container-title":"Proceedings of the National Academy of Sciences","id":"ITEM-2","issue":"40","issued":{"date-parts":[["2012"]]},"page":"16083-16088","publisher":"National Acad Sciences","title":"Global forecasts of urban expansion to 2030 and direct impacts on biodiversity and carbon pools","type":"article-journal","volume":"109"},"uris":["http://www.mendeley.com/documents/?uuid=ea4c05a8-080e-4421-b0d8-270fc51acdd0"]}],"mendeley":{"formattedCitation":"(Seto et al., 2012; United Nations, 2018)","plainTextFormattedCitation":"(Seto et al., 2012; United Nations, 2018)","previouslyFormattedCitation":"(Seto et al., 2012; United Nations, 2018)"},"properties":{"noteIndex":0},"schema":"https://github.com/citation-style-language/schema/raw/master/csl-citation.json"}</w:instrText>
      </w:r>
      <w:r w:rsidRPr="004F469F">
        <w:fldChar w:fldCharType="separate"/>
      </w:r>
      <w:r w:rsidR="00123266" w:rsidRPr="00123266">
        <w:rPr>
          <w:noProof/>
        </w:rPr>
        <w:t xml:space="preserve">(Seto </w:t>
      </w:r>
      <w:r w:rsidR="00123266" w:rsidRPr="00453357">
        <w:rPr>
          <w:i/>
          <w:iCs/>
          <w:noProof/>
        </w:rPr>
        <w:t>et al.</w:t>
      </w:r>
      <w:r w:rsidR="00123266" w:rsidRPr="00123266">
        <w:rPr>
          <w:noProof/>
        </w:rPr>
        <w:t>, 2012; United Nations, 2018)</w:t>
      </w:r>
      <w:r w:rsidRPr="004F469F">
        <w:fldChar w:fldCharType="end"/>
      </w:r>
      <w:r w:rsidRPr="004F469F">
        <w:t xml:space="preserve"> more people will reside in the paths of hazards such as tornadoes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landscape","type":"article-journal","volume":"97"},"uris":["http://www.mendeley.com/documents/?uuid=f66d6182-0c44-4efe-84e8-83956e5e4d92"]},{"id":"ITEM-2","itemData":{"author":[{"dropping-particle":"","family":"Ashley","given":"Walker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Society","id":"ITEM-2","issue":"2","issued":{"date-parts":[["2014"]]},"page":"175-193","title":"Spatiotemporal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 Ashley and Strader, 2016)","plainTextFormattedCitation":"(Ashley et al., 2014; Ashley and Strader, 2016)","previouslyFormattedCitation":"(Ashley et al., 2014; Ashley and Strader, 2016)"},"properties":{"noteIndex":0},"schema":"https://github.com/citation-style-language/schema/raw/master/csl-citation.json"}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 Ashley and Strader, 2016)</w:t>
      </w:r>
      <w:r w:rsidRPr="004F469F">
        <w:fldChar w:fldCharType="end"/>
      </w:r>
      <w:r w:rsidRPr="004F469F">
        <w:t>. The risk posed by significant tornadoes also varies depending upon the development paradigm employed (</w:t>
      </w:r>
      <w:r w:rsidRPr="002614B3">
        <w:rPr>
          <w:i/>
          <w:iCs/>
        </w:rPr>
        <w:t>e.g.</w:t>
      </w:r>
      <w:r w:rsidRPr="004F469F">
        <w:t>, sprawl or infill</w:t>
      </w:r>
      <w:r w:rsidR="004018A9">
        <w:t>;</w:t>
      </w:r>
      <w:r w:rsidRPr="004F469F">
        <w:t xml:space="preserve"> </w:t>
      </w:r>
      <w:r w:rsidRPr="004F469F">
        <w:fldChar w:fldCharType="begin" w:fldLock="1"/>
      </w:r>
      <w:r w:rsidR="00123266">
        <w:instrText>ADDIN CSL_CITATION {"citationItems":[{"id":"ITEM-1","itemData":{"author":[{"dropping-particle":"","family":"Strader","given":"Stephen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J.","non-dropping-particle":"","parse-names":false,"suffix":""}],"container-title":"Weather, climate, and society","id":"ITEM-1","issue":"2","issued":{"date-parts":[["2017"]]},"page":"109-123","title":"Observed and projected changes in United States tornado exposure","type":"article-journal","volume":"9"},"uris":["http://www.mendeley.com/documents/?uuid=b07828b3-19f9-42fd-82f4-7b463c849143"]},{"id":"ITEM-2","itemData":{"DOI":"10.1016/j.apgeog.2018.03.005","ISSN":"01436228","abstract":"This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Geography","id":"ITEM-2","issue":"March 2017","issued":{"date-parts":[["2018"]]},"page":"18-29","publisher":"Elsevier Ltd","title":"How land use alters the tornado disaster landscape","type":"article-journal","volume":"94"},"uris":["http://www.mendeley.com/documents/?uuid=d9748686-b846-458c-a837-e1e5ffc60746"]}],"mendeley":{"formattedCitation":"(Strader et al., 2017b, 2018)","plainTextFormattedCitation":"(Strader et al., 2017b, 2018)","previouslyFormattedCitation":"(Strader et al., 2017b, 2018)"},"properties":{"noteIndex":0},"schema":"https://github.com/citation-style-language/schema/raw/master/csl-citation.json"}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2017b, 2018)</w:t>
      </w:r>
      <w:r w:rsidRPr="004F469F">
        <w:fldChar w:fldCharType="end"/>
      </w:r>
      <w:r w:rsidRPr="004F469F">
        <w:t>. Studies have shown that sprawl-type development leads to greater median tornado impacts with more people potentially in harm’s way</w:t>
      </w:r>
      <w:r w:rsidR="000140C4">
        <w:t xml:space="preserve"> </w:t>
      </w:r>
      <w:r w:rsidR="000140C4">
        <w:fldChar w:fldCharType="begin" w:fldLock="1"/>
      </w:r>
      <w:r w:rsidR="0010658B">
        <w:instrText>ADDIN CSL_CITATION {"citationItems":[{"id":"ITEM-1","itemData":{"author":[{"dropping-particle":"","family":"Ashley","given":"Walker S.","non-dropping-particle":"","parse-names":false,"suffix":""},{"dropping-particle":"","family":"Strader","given":"Stephen M.","non-dropping-particle":"","parse-names":false,"suffix":""}],"container-title":"Bulletin of the American Meteorological Society","id":"ITEM-1","issue":"5","issued":{"date-parts":[["2016"]]},"page":"767-786","title":"Recipe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2016)","plainTextFormattedCitation":"(Ashley and Strader, 2016)","previouslyFormattedCitation":"(Ashley and Strader, 2016)"},"properties":{"noteIndex":0},"schema":"https://github.com/citation-style-language/schema/raw/master/csl-citation.json"}</w:instrText>
      </w:r>
      <w:r w:rsidR="000140C4">
        <w:fldChar w:fldCharType="separate"/>
      </w:r>
      <w:r w:rsidR="0010658B" w:rsidRPr="0010658B">
        <w:rPr>
          <w:noProof/>
        </w:rPr>
        <w:t>(Ashley and Strader, 2016)</w:t>
      </w:r>
      <w:r w:rsidR="000140C4">
        <w:fldChar w:fldCharType="end"/>
      </w:r>
      <w:r w:rsidRPr="004F469F">
        <w:t xml:space="preserve">. Infill-type (concentrated) development leads to greater high-end tornado impacts with people more densely packed into the biggest tornadoes’ paths </w:t>
      </w:r>
      <w:r w:rsidRPr="004F469F">
        <w:fldChar w:fldCharType="begin" w:fldLock="1"/>
      </w:r>
      <w:r w:rsidR="00F37017">
        <w:instrText>ADDIN CSL_CITATION {"citationItems":[{"id":"ITEM-1","itemData":{"DOI":"10.1016/j.apgeog.2018.03.005","ISSN":"01436228","abstract":"This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Geography","id":"ITEM-1","issue":"March 2017","issued":{"date-parts":[["2018"]]},"page":"18-29","publisher":"Elsevier Ltd","title":"How land use alters the tornado disaster landscape","type":"article-journal","volume":"94"},"uris":["http://www.mendeley.com/documents/?uuid=d9748686-b846-458c-a837-e1e5ffc60746"]},{"id":"ITEM-2","itemData":{"author":[{"dropping-particle":"","family":"Hatzis","given":"Joshua J.","non-dropping-particle":"","parse-names":false,"suffix":""},{"dropping-particle":"","family":"Koch","given":"Jennifer","non-dropping-particle":"","parse-names":false,"suffix":""},{"dropping-particle":"","family":"Brooks","given":"Harold E.","non-dropping-particle":"","parse-names":false,"suffix":""}],"container-title":"Weather, Climate, and Society","id":"ITEM-2","issue":"1","issued":{"date-parts":[["2019"]]},"page":"159 - 182","title":"Spatiotemporal Analysis of Near-Miss Violent Tornadoes in the United States","type":"article-journal","volume":"11"},"uris":["http://www.mendeley.com/documents/?uuid=0032bc5e-f0bd-436a-ab51-61b7467838eb"]},{"id":"ITEM-3","itemData":{"DOI":"10.1007/s11069-015-1704-z","ISBN":"1106901517","ISSN":"0921030X","abstract":"Weather-related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Hazards","id":"ITEM-3","issue":"1","issued":{"date-parts":[["2015"]]},"page":"121-140","publisher":"Springer Netherlands","title":"Spatiotemporal analysis of tornado exposure in five US metropolitan areas","type":"article-journal","volume":"78"},"uris":["http://www.mendeley.com/documents/?uuid=d44d442f-d7b1-46d3-9316-83a25acff696"]}],"mendeley":{"formattedCitation":"(Rosencrants and Ashley, 2015; Strader et al., 2018; Hatzis et al., 2019)","plainTextFormattedCitation":"(Rosencrants and Ashley, 2015; Strader et al., 2018; Hatzis et al., 2019)","previouslyFormattedCitation":"(Rosencrants and Ashley, 2015; Strader et al., 2018; Hatzis et al., 2019)"},"properties":{"noteIndex":0},"schema":"https://github.com/citation-style-language/schema/raw/master/csl-citation.json"}</w:instrText>
      </w:r>
      <w:r w:rsidRPr="004F469F">
        <w:fldChar w:fldCharType="separate"/>
      </w:r>
      <w:r w:rsidR="00123266" w:rsidRPr="00123266">
        <w:rPr>
          <w:noProof/>
        </w:rPr>
        <w:t xml:space="preserve">(Rosencrants and Ashley, 2015; Strader </w:t>
      </w:r>
      <w:r w:rsidR="00123266" w:rsidRPr="00453357">
        <w:rPr>
          <w:i/>
          <w:iCs/>
          <w:noProof/>
        </w:rPr>
        <w:t>et al.</w:t>
      </w:r>
      <w:r w:rsidR="00123266" w:rsidRPr="00123266">
        <w:rPr>
          <w:noProof/>
        </w:rPr>
        <w:t xml:space="preserve">, 2018; Hatzis </w:t>
      </w:r>
      <w:r w:rsidR="00123266" w:rsidRPr="00453357">
        <w:rPr>
          <w:i/>
          <w:iCs/>
          <w:noProof/>
        </w:rPr>
        <w:t>et al.</w:t>
      </w:r>
      <w:r w:rsidR="00123266" w:rsidRPr="00123266">
        <w:rPr>
          <w:noProof/>
        </w:rPr>
        <w:t>, 2019)</w:t>
      </w:r>
      <w:r w:rsidRPr="004F469F">
        <w:fldChar w:fldCharType="end"/>
      </w:r>
      <w:r w:rsidRPr="004F469F">
        <w:t xml:space="preserve">. For city planning purposes, TorDIS could be run with multiple development paradigms such as these to see which mode of development reduces the risk the most. Future improvements to TorDIS will also add the capability to assess social vulnerability </w:t>
      </w:r>
      <w:r w:rsidRPr="004F469F">
        <w:fldChar w:fldCharType="begin" w:fldLock="1"/>
      </w:r>
      <w:r w:rsidR="00123266">
        <w:instrText>ADDIN CSL_CITATION {"citationItems":[{"id":"ITEM-1","itemData":{"DOI":"10.1111/1540-6237.8402002","ISBN":"1540-6237","ISSN":"00384941","PMID":"9841166","abstract":"Objective. County-level socioeconomic and demographic data were used to construct an index of social vulnerability to environmental hazards, called the Social Vulnerability Index (SoVI) for the United States based on 1990 data. Methods. Using a factor analytic approach, 42 variables were reduced to 11 independent factors that accounted for about 76 percent of the variance. These factors were placed in an additive model to compute a summary score—the Social Vulnerability Index. Results. There are some distinct spatial patterns in the SoVI, with the most vulnerable counties clustered in metropolitan counties in the east, south Texas, and the Mississippi Delta region. Conclusion. Those factors that contribute to the overall score often are different for each county, underscoring the interactive nature of social vulnerability—some components increase vulnerability; others moderate the effects.","author":[{"dropping-particle":"","family":"Cutter","given":"Susan L.","non-dropping-particle":"","parse-names":false,"suffix":""},{"dropping-particle":"","family":"Boruff","given":"Bryan J.","non-dropping-particle":"","parse-names":false,"suffix":""},{"dropping-particle":"","family":"Shirley","given":"W. Lynn","non-dropping-particle":"","parse-names":false,"suffix":""}],"container-title":"Social Science Quarterly","id":"ITEM-1","issue":"2","issued":{"date-parts":[["2003"]]},"page":"242-261","title":"Social vulnerability to environmental hazards","type":"article-journal","volume":"84"},"uris":["http://www.mendeley.com/documents/?uuid=d49c5493-2335-4145-b3e1-6ba9bc1f1236"]},{"id":"ITEM-2","itemData":{"ISBN":"9781878220998","author":[{"dropping-particle":"","family":"Simmons","given":"Kevin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tornadoes","type":"book"},"uris":["http://www.mendeley.com/documents/?uuid=679dd86e-3cb6-4bd9-aa65-841ad4dddd4a"]}],"mendeley":{"formattedCitation":"(Cutter et al., 2003; Simmons and Sutter, 2011)","plainTextFormattedCitation":"(Cutter et al., 2003; Simmons and Sutter, 2011)","previouslyFormattedCitation":"(Cutter et al., 2003; Simmons and Sutter, 2011)"},"properties":{"noteIndex":0},"schema":"https://github.com/citation-style-language/schema/raw/master/csl-citation.json"}</w:instrText>
      </w:r>
      <w:r w:rsidRPr="004F469F">
        <w:fldChar w:fldCharType="separate"/>
      </w:r>
      <w:r w:rsidR="00123266" w:rsidRPr="00123266">
        <w:rPr>
          <w:noProof/>
        </w:rPr>
        <w:t xml:space="preserve">(Cutter </w:t>
      </w:r>
      <w:r w:rsidR="00123266" w:rsidRPr="00453357">
        <w:rPr>
          <w:i/>
          <w:iCs/>
          <w:noProof/>
        </w:rPr>
        <w:t>et al.</w:t>
      </w:r>
      <w:r w:rsidR="00123266" w:rsidRPr="00123266">
        <w:rPr>
          <w:noProof/>
        </w:rPr>
        <w:t>, 2003; Simmons and Sutter, 2011)</w:t>
      </w:r>
      <w:r w:rsidRPr="004F469F">
        <w:fldChar w:fldCharType="end"/>
      </w:r>
      <w:r w:rsidRPr="004F469F">
        <w:t xml:space="preserve"> in the path of tornadoes. Such improvements would allow us to assess where to establish public storm shelters </w:t>
      </w:r>
      <w:r w:rsidRPr="004F469F">
        <w:fldChar w:fldCharType="begin" w:fldLock="1"/>
      </w:r>
      <w:r w:rsidR="00123266">
        <w:instrText>ADDIN CSL_CITATION {"citationItems":[{"id":"ITEM-1","itemData":{"DOI":"10.1175/1520-0434(2002)017&lt;0619:TSETSB&gt;2.0.CO;2","ISSN":"0882-8156","abstract":"Over the past several decades, engineers have made significant progress in the design and construction of structures able to withstand tornadic winds and debris. The aftermath of the 3 May 1999 F5 tornado in Moore, Oklahoma, highlighted the modest market penetration of tornado shelters in metropolitan areas. The authors use historical data from Oklahoma to estimate the potential casualties that tornado shelters could prevent and calculate that the cost per fatality avoided in single-family homes is $29 million while the cost per fatality avoided for mobile homes is $2.6 million. The estimates are sensitive to the proportion of strong (F3 or stronger) tornadoes and the choice of an interest rate for present-value calculations. If the F-scale distribution of Oklahoma tornadoes resembled a reported national frequency distribution and fatalities per category storm are held constant, the permanent home cost per fatality avoided triples to $88 million.","author":[{"dropping-particle":"","family":"Merrell","given":"David;","non-dropping-particle":"","parse-names":false,"suffix":""},{"dropping-particle":"","family":"Simmons","given":"Kevin;","non-dropping-particle":"","parse-names":false,"suffix":""},{"dropping-particle":"","family":"Sutter","given":"Daniel","non-dropping-particle":"","parse-names":false,"suffix":""}],"container-title":"American Meteorological Society","id":"ITEM-1","issue":"3","issued":{"date-parts":[["2002"]]},"page":"619-625","title":"Taking Shelter : Estimating the Safety Benefits of Tornado Safe Rooms","type":"article-journal","volume":"17"},"uris":["http://www.mendeley.com/documents/?uuid=8266b7aa-68b2-45b0-9d2c-f78e7e11622b"]},{"id":"ITEM-2","itemData":{"author":[{"dropping-particle":"","family":"Merrell","given":"David","non-dropping-particle":"","parse-names":false,"suffix":""},{"dropping-particle":"","family":"Simmons","given":"Kevin M","non-dropping-particle":"","parse-names":false,"suffix":""},{"dropping-particle":"","family":"Sutter","given":"Daniel","non-dropping-particle":"","parse-names":false,"suffix":""}],"container-title":"Land Economics","id":"ITEM-2","issue":"1","issued":{"date-parts":[["2005"]]},"page":"87-99","publisher":"University of Wisconsin Press","title":"The determinants of tornado casualties and the benefits of tornado shelters","type":"article-journal","volume":"81"},"uris":["http://www.mendeley.com/documents/?uuid=c554c701-4850-4023-baa7-f2e5a333e1cc"]}],"mendeley":{"formattedCitation":"(Merrell et al., 2002, 2005)","plainTextFormattedCitation":"(Merrell et al., 2002, 2005)","previouslyFormattedCitation":"(Merrell et al., 2002, 2005)"},"properties":{"noteIndex":0},"schema":"https://github.com/citation-style-language/schema/raw/master/csl-citation.json"}</w:instrText>
      </w:r>
      <w:r w:rsidRPr="004F469F">
        <w:fldChar w:fldCharType="separate"/>
      </w:r>
      <w:r w:rsidR="00123266" w:rsidRPr="00123266">
        <w:rPr>
          <w:noProof/>
        </w:rPr>
        <w:t xml:space="preserve">(Merrell </w:t>
      </w:r>
      <w:r w:rsidR="00123266" w:rsidRPr="00453357">
        <w:rPr>
          <w:i/>
          <w:iCs/>
          <w:noProof/>
        </w:rPr>
        <w:t>et al.</w:t>
      </w:r>
      <w:r w:rsidR="00123266" w:rsidRPr="00123266">
        <w:rPr>
          <w:noProof/>
        </w:rPr>
        <w:t>, 2002, 2005)</w:t>
      </w:r>
      <w:r w:rsidRPr="004F469F">
        <w:fldChar w:fldCharType="end"/>
      </w:r>
      <w:r w:rsidRPr="004F469F">
        <w:t xml:space="preserve"> to protect the most vulnerable at-risk populations.</w:t>
      </w:r>
    </w:p>
    <w:p w14:paraId="2244A939" w14:textId="36475B91" w:rsidR="00DF5082" w:rsidRPr="004F469F" w:rsidRDefault="00DF5082" w:rsidP="009225F0">
      <w:pPr>
        <w:spacing w:after="120" w:line="480" w:lineRule="auto"/>
        <w:ind w:firstLine="720"/>
      </w:pPr>
      <w:r w:rsidRPr="004F469F">
        <w:t xml:space="preserve">The Urban Development scenario presented in this study represents one (out of many possible) potential future pathway(s) for population development in the OKCMA - a BAU </w:t>
      </w:r>
      <w:r w:rsidRPr="004F469F">
        <w:lastRenderedPageBreak/>
        <w:t xml:space="preserve">scenario simulating a continuation of the observed historical development pattern </w:t>
      </w:r>
      <w:r w:rsidRPr="004F469F">
        <w:fldChar w:fldCharType="begin" w:fldLock="1"/>
      </w:r>
      <w:r w:rsidR="00F37017">
        <w:instrText>ADDIN CSL_CITATION {"citationItems":[{"id":"ITEM-1","itemData":{"author":[{"dropping-particle":"","family":"Dileckli","given":"Naci","non-dropping-particle":"","parse-names":false,"suffix":""},{"dropping-particle":"","family":"Koch","given":"Jennifer","non-dropping-particle":"","parse-names":false,"suffix":""},{"dropping-particle":"","family":"Jawarneh","given":"Rana N.","non-dropping-particle":"","parse-names":false,"suffix":""}],"container-title":"Unpublished Work","id":"ITEM-1","issued":{"date-parts":[["0"]]},"title":"A Spatial Analysis of Historical and Potential Future Urbanization Patterns in the Oklahoma City Metropolitan Area","type":"article-journal"},"uris":["http://www.mendeley.com/documents/?uuid=9cb1520c-57df-4fa9-b7c4-c0917fa794b2"]}],"mendeley":{"formattedCitation":"(Dileckli et al., n.d.)","manualFormatting":"(Dilekli et al., in preparation)","plainTextFormattedCitation":"(Dileckli et al., n.d.)","previouslyFormattedCitation":"(Dileckli et al., n.d.)"},"properties":{"noteIndex":0},"schema":"https://github.com/citation-style-language/schema/raw/master/csl-citation.json"}</w:instrText>
      </w:r>
      <w:r w:rsidRPr="004F469F">
        <w:fldChar w:fldCharType="separate"/>
      </w:r>
      <w:r w:rsidR="0076275F" w:rsidRPr="004F469F">
        <w:rPr>
          <w:noProof/>
        </w:rPr>
        <w:t xml:space="preserve">(Dilekli </w:t>
      </w:r>
      <w:r w:rsidR="0076275F" w:rsidRPr="00453357">
        <w:rPr>
          <w:i/>
          <w:iCs/>
          <w:noProof/>
        </w:rPr>
        <w:t>et al.</w:t>
      </w:r>
      <w:r w:rsidR="0076275F" w:rsidRPr="004F469F">
        <w:rPr>
          <w:noProof/>
        </w:rPr>
        <w:t xml:space="preserve">, </w:t>
      </w:r>
      <w:r w:rsidR="005A34E5" w:rsidRPr="004F469F">
        <w:rPr>
          <w:noProof/>
        </w:rPr>
        <w:t>in preparation</w:t>
      </w:r>
      <w:r w:rsidR="0076275F" w:rsidRPr="004F469F">
        <w:rPr>
          <w:noProof/>
        </w:rPr>
        <w:t>)</w:t>
      </w:r>
      <w:r w:rsidRPr="004F469F">
        <w:fldChar w:fldCharType="end"/>
      </w:r>
      <w:r w:rsidRPr="004F469F">
        <w:t xml:space="preserve">. The OKCMA has historically grown outward by increasing low-density housing on the outskirts of the city, a sprawl-type development </w:t>
      </w:r>
      <w:r w:rsidRPr="004F469F">
        <w:fldChar w:fldCharType="begin" w:fldLock="1"/>
      </w:r>
      <w:r w:rsidR="0010658B">
        <w:instrText>ADDIN CSL_CITATION {"citationItems":[{"id":"ITEM-1","itemData":{"author":[{"dropping-particle":"","family":"Laidley","given":"Thomas","non-dropping-particle":"","parse-names":false,"suffix":""}],"container-title":"Urban Affairs Review","id":"ITEM-1","issue":"1","issued":{"date-parts":[["2016"]]},"page":"66-97","publisher":"SAGE Publications Sage CA: Los Angeles, CA","title":"Measuring sprawl: a new index, recent trends, and future research","type":"article-journal","volume":"52"},"uris":["http://www.mendeley.com/documents/?uuid=3dba1c64-6cea-4a88-99fa-e02bae6e49b5"]},{"id":"ITEM-2","itemData":{"author":[{"dropping-particle":"","family":"Hamidi","given":"Shima","non-dropping-particle":"","parse-names":false,"suffix":""},{"dropping-particle":"","family":"Ewing","given":"Reid","non-dropping-particle":"","parse-names":false,"suffix":""}],"container-title":"Landscape and Urban Planning","id":"ITEM-2","issued":{"date-parts":[["2014"]]},"page":"72-82","publisher":"Elsevier","title":"A longitudinal study of changes in urban sprawl between 2000 and 2010 in the United States","type":"article-journal","volume":"128"},"uris":["http://www.mendeley.com/documents/?uuid=8a60cf09-b10c-4fdd-8df8-9350ed3741e9"]}],"mendeley":{"formattedCitation":"(Hamidi and Ewing, 2014; Laidley, 2016)","plainTextFormattedCitation":"(Hamidi and Ewing, 2014; Laidley, 2016)","previouslyFormattedCitation":"(Hamidi and Ewing, 2014; Laidley, 2016)"},"properties":{"noteIndex":0},"schema":"https://github.com/citation-style-language/schema/raw/master/csl-citation.json"}</w:instrText>
      </w:r>
      <w:r w:rsidRPr="004F469F">
        <w:fldChar w:fldCharType="separate"/>
      </w:r>
      <w:r w:rsidR="0010658B" w:rsidRPr="0010658B">
        <w:rPr>
          <w:noProof/>
        </w:rPr>
        <w:t>(Hamidi and Ewing, 2014; Laidley, 2016)</w:t>
      </w:r>
      <w:r w:rsidRPr="004F469F">
        <w:fldChar w:fldCharType="end"/>
      </w:r>
      <w:r w:rsidRPr="004F469F">
        <w:t>. Sprawl-type development has led the OKCMA to be dominated by low-density housing (Table 4.1). This development paradigm may change in the future with the current comprehensive plan for Oklahoma City encouraging/incentivizing infill-type development (increasing density in existing developments or filling in unoccupied areas within the city limits</w:t>
      </w:r>
      <w:r w:rsidR="003642A7">
        <w:t>;</w:t>
      </w:r>
      <w:r w:rsidRPr="004F469F">
        <w:t xml:space="preserve"> </w:t>
      </w:r>
      <w:r w:rsidRPr="004F469F">
        <w:fldChar w:fldCharType="begin" w:fldLock="1"/>
      </w:r>
      <w:r w:rsidR="003642A7">
        <w:instrText>ADDIN CSL_CITATION {"citationItems":[{"id":"ITEM-1","itemData":{"author":[{"dropping-particle":"","family":"Oklahoma City Planning Commission","given":"","non-dropping-particle":"","parse-names":false,"suffix":""}],"id":"ITEM-1","issued":{"date-parts":[["2017"]]},"number-of-pages":"426","title":"PlanOKC","type":"report"},"uris":["http://www.mendeley.com/documents/?uuid=b5cd0a19-c97e-4a6b-9e6d-5e9a50dd8cc6"]}],"mendeley":{"formattedCitation":"(Oklahoma City Planning Commission, 2017)","manualFormatting":"Oklahoma City Planning Commission, 2017","plainTextFormattedCitation":"(Oklahoma City Planning Commission, 2017)","previouslyFormattedCitation":"(Oklahoma City Planning Commission, 2017)"},"properties":{"noteIndex":0},"schema":"https://github.com/citation-style-language/schema/raw/master/csl-citation.json"}</w:instrText>
      </w:r>
      <w:r w:rsidRPr="004F469F">
        <w:fldChar w:fldCharType="separate"/>
      </w:r>
      <w:r w:rsidRPr="004F469F">
        <w:rPr>
          <w:noProof/>
        </w:rPr>
        <w:t>Oklahoma City Planning Commission, 2017</w:t>
      </w:r>
      <w:r w:rsidRPr="004F469F">
        <w:fldChar w:fldCharType="end"/>
      </w:r>
      <w:r w:rsidRPr="004F469F">
        <w:t>). Future studies on the influence of urban development on tornado impacts in the OKCMA will incorporate urban development scenarios for other possible development paradigms, including increasing sprawl and increasing infill.</w:t>
      </w:r>
    </w:p>
    <w:p w14:paraId="3F1CC26E" w14:textId="0DF31736" w:rsidR="00DF5082" w:rsidRPr="004F469F" w:rsidRDefault="00DF5082" w:rsidP="009225F0">
      <w:pPr>
        <w:spacing w:after="120" w:line="480" w:lineRule="auto"/>
        <w:ind w:firstLine="720"/>
      </w:pPr>
      <w:r w:rsidRPr="004F469F">
        <w:t xml:space="preserve">In summary, this study evaluated the effects of climate change and urban development on tornado impacts in the Oklahoma City Metropolitan Area. Similar to previous studies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Hazards","id":"ITEM-2","issue":"1","issued":{"date-parts":[["2015"]]},"page":"121-140","publisher":"Springer Netherlands","title":"Spatiotemporal analysis of tornado exposure in five US metropolitan areas","type":"article-journal","volume":"78"},"uris":["http://www.mendeley.com/documents/?uuid=d44d442f-d7b1-46d3-9316-83a25acff696"]},{"id":"ITEM-3","itemData":{"author":[{"dropping-particle":"","family":"Bouwer","given":"Laurens M","non-dropping-particle":"","parse-names":false,"suffix":""}],"container-title":"Risk Analysis","id":"ITEM-3","issue":"5","issued":{"date-parts":[["2013"]]},"page":"915-930","publisher":"Wiley Online Library","title":"Projections of future extreme weather losses under changes in climate and exposure","type":"article-journal","volume":"33"},"uris":["http://www.mendeley.com/documents/?uuid=ed3f618b-0325-4a93-846e-8f92c3cb0a00"]}],"mendeley":{"formattedCitation":"(Bouwer, 2013; Rosencrants and Ashley, 2015; Strader et al., 2017a)","plainTextFormattedCitation":"(Bouwer, 2013; Rosencrants and Ashley, 2015; Strader et al., 2017a)","previouslyFormattedCitation":"(Bouwer, 2013; Rosencrants and Ashley, 2015; Strader et al., 2017a)"},"properties":{"noteIndex":0},"schema":"https://github.com/citation-style-language/schema/raw/master/csl-citation.json"}</w:instrText>
      </w:r>
      <w:r w:rsidRPr="004F469F">
        <w:fldChar w:fldCharType="separate"/>
      </w:r>
      <w:r w:rsidR="00123266" w:rsidRPr="00123266">
        <w:rPr>
          <w:noProof/>
        </w:rPr>
        <w:t xml:space="preserve">(Bouwer, 2013; Rosencrants and Ashley, 2015; Strader </w:t>
      </w:r>
      <w:r w:rsidR="00123266" w:rsidRPr="00453357">
        <w:rPr>
          <w:i/>
          <w:iCs/>
          <w:noProof/>
        </w:rPr>
        <w:t>et al.</w:t>
      </w:r>
      <w:r w:rsidR="00123266" w:rsidRPr="00123266">
        <w:rPr>
          <w:noProof/>
        </w:rPr>
        <w:t>, 2017a)</w:t>
      </w:r>
      <w:r w:rsidRPr="004F469F">
        <w:fldChar w:fldCharType="end"/>
      </w:r>
      <w:r w:rsidRPr="004F469F">
        <w:t xml:space="preserve">, we found that population growth plays a much larger role in changes to the tornado disaster landscape than climate change. We found that the OKCMA is expected to see an increase in annual tornado impacts by 2050, primarily due to the projected near doubling of the population </w:t>
      </w:r>
      <w:r w:rsidRPr="004F469F">
        <w:fldChar w:fldCharType="begin" w:fldLock="1"/>
      </w:r>
      <w:r w:rsidRPr="004F469F">
        <w:instrText>ADDIN CSL_CITATION {"citationItems":[{"id":"ITEM-1","itemData":{"author":[{"dropping-particle":"","family":"Barker","given":"Steve","non-dropping-particle":"","parse-names":false,"suffix":""}],"id":"ITEM-1","issued":{"date-parts":[["2012"]]},"title":"2012 Demographic State of the State Report, Oklahoma City","type":"report"},"uris":["http://www.mendeley.com/documents/?uuid=78e215ac-9290-4306-bfef-baa20eac1b26"]}],"mendeley":{"formattedCitation":"(Barker, 2012)","plainTextFormattedCitation":"(Barker, 2012)","previouslyFormattedCitation":"(Barker, 2012)"},"properties":{"noteIndex":0},"schema":"https://github.com/citation-style-language/schema/raw/master/csl-citation.json"}</w:instrText>
      </w:r>
      <w:r w:rsidRPr="004F469F">
        <w:fldChar w:fldCharType="separate"/>
      </w:r>
      <w:r w:rsidRPr="004F469F">
        <w:rPr>
          <w:noProof/>
        </w:rPr>
        <w:t>(Barker, 2012)</w:t>
      </w:r>
      <w:r w:rsidRPr="004F469F">
        <w:fldChar w:fldCharType="end"/>
      </w:r>
      <w:r w:rsidRPr="004F469F">
        <w:t xml:space="preserve">. While not statistically significant, the downward trend in significant tornado risk found during this time period was in line with the suggestions that tornado risk in the OKCMA may be decreasing (and shifting eastward) as western states, like Oklahoma, become drier </w:t>
      </w:r>
      <w:r w:rsidRPr="004F469F">
        <w:fldChar w:fldCharType="begin" w:fldLock="1"/>
      </w:r>
      <w:r w:rsidR="00123266">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id":"ITEM-2","itemData":{"author":[{"dropping-particle":"","family":"Seager","given":"Richard","non-dropping-particle":"","parse-names":false,"suffix":""},{"dropping-particle":"","family":"Lis","given":"Nathan","non-dropping-particle":"","parse-names":false,"suffix":""},{"dropping-particle":"","family":"Feldman","given":"Jamie","non-dropping-particle":"","parse-names":false,"suffix":""},{"dropping-particle":"","family":"Ting","given":"Mingfang","non-dropping-particle":"","parse-names":false,"suffix":""},{"dropping-particle":"","family":"Williams","given":"A Park","non-dropping-particle":"","parse-names":false,"suffix":""},{"dropping-particle":"","family":"Nakamura","given":"Jennifer","non-dropping-particle":"","parse-names":false,"suffix":""},{"dropping-particle":"","family":"Liu","given":"Haibo","non-dropping-particle":"","parse-names":false,"suffix":""},{"dropping-particle":"","family":"Henderson","given":"Naomi","non-dropping-particle":"","parse-names":false,"suffix":""}],"container-title":"Earth Interactions","id":"ITEM-2","issue":"5","issued":{"date-parts":[["2018"]]},"page":"1-22","title":"Whither the 100th Meridian? The once and future physical and human geography of America’s arid--humid divide. Part I: The story so far","type":"article-journal","volume":"22"},"uris":["http://www.mendeley.com/documents/?uuid=af51e12a-cbd9-4484-acf6-e9cd9e5fc387"]}],"mendeley":{"formattedCitation":"(Gensini and Brooks, 2018; Seager et al., 2018)","plainTextFormattedCitation":"(Gensini and Brooks, 2018; Seager et al., 2018)","previouslyFormattedCitation":"(Gensini and Brooks, 2018; Seager et al., 2018)"},"properties":{"noteIndex":0},"schema":"https://github.com/citation-style-language/schema/raw/master/csl-citation.json"}</w:instrText>
      </w:r>
      <w:r w:rsidRPr="004F469F">
        <w:fldChar w:fldCharType="separate"/>
      </w:r>
      <w:r w:rsidR="0010658B" w:rsidRPr="00123266">
        <w:rPr>
          <w:noProof/>
        </w:rPr>
        <w:t xml:space="preserve">(Gensini and Brooks, 2018; Seager </w:t>
      </w:r>
      <w:r w:rsidR="0010658B" w:rsidRPr="00453357">
        <w:rPr>
          <w:i/>
          <w:iCs/>
          <w:noProof/>
        </w:rPr>
        <w:t>et al.</w:t>
      </w:r>
      <w:r w:rsidR="0010658B" w:rsidRPr="00123266">
        <w:rPr>
          <w:noProof/>
        </w:rPr>
        <w:t>, 2018)</w:t>
      </w:r>
      <w:r w:rsidRPr="004F469F">
        <w:fldChar w:fldCharType="end"/>
      </w:r>
      <w:r w:rsidRPr="004F469F">
        <w:t xml:space="preserve">. Future sensitivity analyses will be required to confirm if the downward trend was due to random effects or climate change. Furthermore, this study showcased the use of the TorDIS model </w:t>
      </w:r>
      <w:r w:rsidRPr="004F469F">
        <w:fldChar w:fldCharType="begin" w:fldLock="1"/>
      </w:r>
      <w:r w:rsidR="00F37017">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Pr="004F469F">
        <w:fldChar w:fldCharType="separate"/>
      </w:r>
      <w:r w:rsidR="0076275F" w:rsidRPr="004F469F">
        <w:rPr>
          <w:noProof/>
        </w:rPr>
        <w:t xml:space="preserve">(Hatzis </w:t>
      </w:r>
      <w:r w:rsidR="0076275F" w:rsidRPr="00453357">
        <w:rPr>
          <w:i/>
          <w:iCs/>
          <w:noProof/>
        </w:rPr>
        <w:t>et al.</w:t>
      </w:r>
      <w:r w:rsidR="0076275F" w:rsidRPr="004F469F">
        <w:rPr>
          <w:noProof/>
        </w:rPr>
        <w:t xml:space="preserve">, </w:t>
      </w:r>
      <w:r w:rsidR="00266494" w:rsidRPr="004F469F">
        <w:rPr>
          <w:noProof/>
        </w:rPr>
        <w:t>in review</w:t>
      </w:r>
      <w:r w:rsidR="0076275F" w:rsidRPr="004F469F">
        <w:rPr>
          <w:noProof/>
        </w:rPr>
        <w:t>)</w:t>
      </w:r>
      <w:r w:rsidRPr="004F469F">
        <w:fldChar w:fldCharType="end"/>
      </w:r>
      <w:r w:rsidRPr="004F469F">
        <w:t xml:space="preserve"> to assess the effect of climate change on tornado impacts. As the population of the US continues to grow </w:t>
      </w:r>
      <w:r w:rsidRPr="004F469F">
        <w:fldChar w:fldCharType="begin" w:fldLock="1"/>
      </w:r>
      <w:r w:rsidR="00123266">
        <w:instrText>ADDIN CSL_CITATION {"citationItems":[{"id":"ITEM-1","itemData":{"author":[{"dropping-particle":"","family":"Seto","given":"Karen C","non-dropping-particle":"","parse-names":false,"suffix":""},{"dropping-particle":"","family":"Fragkias","given":"Michail","non-dropping-particle":"","parse-names":false,"suffix":""},{"dropping-particle":"","family":"Güneralp","given":"Burak","non-dropping-particle":"","parse-names":false,"suffix":""},{"dropping-particle":"","family":"Reilly","given":"Michael K","non-dropping-particle":"","parse-names":false,"suffix":""}],"container-title":"PloS one","id":"ITEM-1","issue":"8","issued":{"date-parts":[["2011"]]},"page":"e23777","publisher":"Public Library of Science","title":"A meta-analysis of global urban land expansion","type":"article-journal","volume":"6"},"uris":["http://www.mendeley.com/documents/?uuid=dcd9f1f0-561a-4572-9217-19239a5f5c43"]},{"id":"ITEM-2","itemData":{"author":[{"dropping-particle":"","family":"United Nations","given":"","non-dropping-particle":"","parse-names":false,"suffix":""}],"id":"ITEM-2","issued":{"date-parts":[["2018"]]},"publisher":"United Nations Department of Economic and Social Affairs","title":"2018 revision of world urbanization prospects","type":"article"},"uris":["http://www.mendeley.com/documents/?uuid=05745bf1-955f-4014-b410-06d6d4abe6d0"]}],"mendeley":{"formattedCitation":"(Seto et al., 2011; United Nations, 2018)","plainTextFormattedCitation":"(Seto et al., 2011; United Nations, 2018)","previouslyFormattedCitation":"(Seto et al., 2011; United Nations, 2018)"},"properties":{"noteIndex":0},"schema":"https://github.com/citation-style-language/schema/raw/master/csl-citation.json"}</w:instrText>
      </w:r>
      <w:r w:rsidRPr="004F469F">
        <w:fldChar w:fldCharType="separate"/>
      </w:r>
      <w:r w:rsidR="0010658B" w:rsidRPr="00123266">
        <w:rPr>
          <w:noProof/>
        </w:rPr>
        <w:t xml:space="preserve">(Seto </w:t>
      </w:r>
      <w:r w:rsidR="0010658B" w:rsidRPr="00453357">
        <w:rPr>
          <w:i/>
          <w:iCs/>
          <w:noProof/>
        </w:rPr>
        <w:t>et al.</w:t>
      </w:r>
      <w:r w:rsidR="0010658B" w:rsidRPr="00123266">
        <w:rPr>
          <w:noProof/>
        </w:rPr>
        <w:t>, 2011; United Nations, 2018)</w:t>
      </w:r>
      <w:r w:rsidRPr="004F469F">
        <w:fldChar w:fldCharType="end"/>
      </w:r>
      <w:r w:rsidRPr="004F469F">
        <w:t xml:space="preserve"> </w:t>
      </w:r>
      <w:r w:rsidRPr="004F469F">
        <w:lastRenderedPageBreak/>
        <w:t xml:space="preserve">and increasing greenhouse gas emissions further alter the climate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Reanalysis","type":"article-journal","volume":"6"},"uris":["http://www.mendeley.com/documents/?uuid=c00b076a-fd2d-4516-ac75-69faf6495920"]}],"mendeley":{"formattedCitation":"(Trapp et al., 2007; Gensini and Ashley, 2011; Diffenbaugh et al., 2013)","plainTextFormattedCitation":"(Trapp et al., 2007; Gensini and Ashley, 2011; Diffenbaugh et al., 2013)","previouslyFormattedCitation":"(Trapp et al., 2007; Gensini and Ashley, 2011; Diffenbaugh et al., 2013)"},"properties":{"noteIndex":0},"schema":"https://github.com/citation-style-language/schema/raw/master/csl-citation.json"}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Gensini and Ashley, 2011; Diffenbaugh </w:t>
      </w:r>
      <w:r w:rsidR="00123266" w:rsidRPr="00453357">
        <w:rPr>
          <w:i/>
          <w:iCs/>
          <w:noProof/>
        </w:rPr>
        <w:t>et al.</w:t>
      </w:r>
      <w:r w:rsidR="00123266" w:rsidRPr="00123266">
        <w:rPr>
          <w:noProof/>
        </w:rPr>
        <w:t>, 2013)</w:t>
      </w:r>
      <w:r w:rsidRPr="004F469F">
        <w:fldChar w:fldCharType="end"/>
      </w:r>
      <w:r w:rsidRPr="004F469F">
        <w:t>, the impact of tornadoes is likely to keep changing. To reduce the risk of casualties in the future, it is critical to understand how these changes will occur. Such knowledge can reduce risk by encouraging the placement of more storm shelters and increasing general awareness.</w:t>
      </w:r>
    </w:p>
    <w:p w14:paraId="4D5BBDD1" w14:textId="77777777" w:rsidR="00DF5082" w:rsidRPr="004F469F" w:rsidRDefault="00DF5082" w:rsidP="009225F0">
      <w:pPr>
        <w:pStyle w:val="Heading2"/>
        <w:spacing w:before="0" w:after="120" w:line="480" w:lineRule="auto"/>
        <w:rPr>
          <w:rFonts w:ascii="Times New Roman" w:hAnsi="Times New Roman" w:cs="Times New Roman"/>
          <w:b/>
          <w:bCs/>
          <w:color w:val="auto"/>
          <w:sz w:val="28"/>
          <w:szCs w:val="28"/>
        </w:rPr>
      </w:pPr>
      <w:bookmarkStart w:id="93" w:name="_Toc21861337"/>
      <w:r w:rsidRPr="004F469F">
        <w:rPr>
          <w:rFonts w:ascii="Times New Roman" w:hAnsi="Times New Roman" w:cs="Times New Roman"/>
          <w:b/>
          <w:bCs/>
          <w:color w:val="auto"/>
          <w:sz w:val="28"/>
          <w:szCs w:val="28"/>
        </w:rPr>
        <w:t>Conclusion</w:t>
      </w:r>
      <w:bookmarkEnd w:id="93"/>
    </w:p>
    <w:p w14:paraId="538DDC2F" w14:textId="625709D5" w:rsidR="00DF5082" w:rsidRPr="004F469F" w:rsidRDefault="00DF5082" w:rsidP="009225F0">
      <w:pPr>
        <w:spacing w:after="120" w:line="480" w:lineRule="auto"/>
        <w:ind w:firstLine="720"/>
      </w:pPr>
      <w:r w:rsidRPr="004F469F">
        <w:t>The objective of this research was to use an environmentally driven tornado impacts model to analyze how the isolated and combined effects of urbanization and climate change may alter tornado exposure over the Oklahoma City Metropolitan Area in the mid-21</w:t>
      </w:r>
      <w:r w:rsidRPr="004F469F">
        <w:rPr>
          <w:vertAlign w:val="superscript"/>
        </w:rPr>
        <w:t>st</w:t>
      </w:r>
      <w:r w:rsidRPr="004F469F">
        <w:t xml:space="preserve"> century. The novelty of this study was that it was the first to use the atmospheric environment to project future tornado impacts. While we were unable to find a statistically significant change in tornado risk over the Oklahoma City Metropolitan Area, this was only a limited case study. Future modeling studies using other emissions scenarios and an ensemble of climate models with TorDIS may be able to investigate further how projected future atmospheric environments may influence tornado exposure.</w:t>
      </w:r>
    </w:p>
    <w:p w14:paraId="0444C813" w14:textId="77777777" w:rsidR="00DF5082" w:rsidRPr="004F469F" w:rsidRDefault="00DF5082" w:rsidP="00DF5082"/>
    <w:p w14:paraId="71879279" w14:textId="423E7DB2" w:rsidR="00657E2A" w:rsidRPr="004F469F" w:rsidRDefault="00657E2A" w:rsidP="00657E2A">
      <w:pPr>
        <w:spacing w:after="120" w:line="480" w:lineRule="auto"/>
      </w:pPr>
    </w:p>
    <w:p w14:paraId="7268F7AB" w14:textId="3FF24B70" w:rsidR="00A4283D" w:rsidRPr="004F469F" w:rsidRDefault="00A4283D" w:rsidP="00657E2A">
      <w:pPr>
        <w:spacing w:after="120" w:line="480" w:lineRule="auto"/>
      </w:pPr>
    </w:p>
    <w:p w14:paraId="4D44EC51" w14:textId="682AB717" w:rsidR="00A4283D" w:rsidRPr="004F469F" w:rsidRDefault="00A4283D" w:rsidP="00657E2A">
      <w:pPr>
        <w:spacing w:after="120" w:line="480" w:lineRule="auto"/>
      </w:pPr>
    </w:p>
    <w:p w14:paraId="49BEDB20" w14:textId="39E93870" w:rsidR="00A4283D" w:rsidRPr="004F469F" w:rsidRDefault="00A4283D" w:rsidP="00657E2A">
      <w:pPr>
        <w:spacing w:after="120" w:line="480" w:lineRule="auto"/>
      </w:pPr>
    </w:p>
    <w:p w14:paraId="31655394" w14:textId="77777777" w:rsidR="008E73D1" w:rsidRPr="004F469F" w:rsidRDefault="008E73D1" w:rsidP="008E73D1">
      <w:pPr>
        <w:widowControl w:val="0"/>
        <w:autoSpaceDE w:val="0"/>
        <w:autoSpaceDN w:val="0"/>
        <w:adjustRightInd w:val="0"/>
        <w:sectPr w:rsidR="008E73D1" w:rsidRPr="004F469F" w:rsidSect="003C6A19">
          <w:pgSz w:w="12240" w:h="15840"/>
          <w:pgMar w:top="1440" w:right="1440" w:bottom="1440" w:left="1440" w:header="720" w:footer="720" w:gutter="0"/>
          <w:cols w:space="720"/>
          <w:docGrid w:linePitch="360"/>
        </w:sectPr>
      </w:pPr>
    </w:p>
    <w:p w14:paraId="0361F3C7" w14:textId="3171948E" w:rsidR="00A4283D" w:rsidRPr="004F469F" w:rsidRDefault="008E73D1" w:rsidP="008E73D1">
      <w:pPr>
        <w:widowControl w:val="0"/>
        <w:autoSpaceDE w:val="0"/>
        <w:autoSpaceDN w:val="0"/>
        <w:adjustRightInd w:val="0"/>
      </w:pPr>
      <w:bookmarkStart w:id="94" w:name="_Toc22035001"/>
      <w:r w:rsidRPr="004F469F">
        <w:lastRenderedPageBreak/>
        <w:t>T</w:t>
      </w:r>
      <w:r w:rsidR="00A4283D" w:rsidRPr="004F469F">
        <w:t xml:space="preserve">able </w:t>
      </w:r>
      <w:fldSimple w:instr=" STYLEREF 1 \s ">
        <w:r w:rsidR="00F95F7F">
          <w:rPr>
            <w:noProof/>
          </w:rPr>
          <w:t>4</w:t>
        </w:r>
      </w:fldSimple>
      <w:r w:rsidR="00783C30">
        <w:t>.</w:t>
      </w:r>
      <w:fldSimple w:instr=" SEQ Table \* ARABIC \s 1 ">
        <w:r w:rsidR="00F95F7F">
          <w:rPr>
            <w:noProof/>
          </w:rPr>
          <w:t>1</w:t>
        </w:r>
      </w:fldSimple>
      <w:r w:rsidR="00A4283D" w:rsidRPr="004F469F">
        <w:t xml:space="preserve">. </w:t>
      </w:r>
      <w:r w:rsidRPr="004F469F">
        <w:t>Parcel-based population and land use statistics for the Oklahoma City Metropolitan Area by county from the 2010 census and 2050 population projections. Variables include county area (km</w:t>
      </w:r>
      <w:r w:rsidRPr="004F469F">
        <w:rPr>
          <w:vertAlign w:val="superscript"/>
        </w:rPr>
        <w:t>2</w:t>
      </w:r>
      <w:r w:rsidRPr="004F469F">
        <w:t>), population count (persons), population density (persons km</w:t>
      </w:r>
      <w:r w:rsidRPr="004F469F">
        <w:rPr>
          <w:vertAlign w:val="superscript"/>
        </w:rPr>
        <w:t>-2</w:t>
      </w:r>
      <w:r w:rsidRPr="004F469F">
        <w:t>), and percentage of parcels under each of three land use classes. Land use classes are based on the definitions from Laidley (2016) with parcels classified as rural if they have a population density of under 518 persons km</w:t>
      </w:r>
      <w:r w:rsidRPr="004F469F">
        <w:rPr>
          <w:vertAlign w:val="superscript"/>
        </w:rPr>
        <w:t>-2</w:t>
      </w:r>
      <w:r w:rsidRPr="004F469F">
        <w:t>, low density if the population density is between 518 and 9,064 persons km</w:t>
      </w:r>
      <w:r w:rsidRPr="004F469F">
        <w:rPr>
          <w:vertAlign w:val="superscript"/>
        </w:rPr>
        <w:t>-2</w:t>
      </w:r>
      <w:r w:rsidRPr="004F469F">
        <w:t>, and high density if the population density is 9,065 persons km</w:t>
      </w:r>
      <w:r w:rsidRPr="004F469F">
        <w:rPr>
          <w:vertAlign w:val="superscript"/>
        </w:rPr>
        <w:t>-2</w:t>
      </w:r>
      <w:r w:rsidRPr="004F469F">
        <w:t xml:space="preserve"> or greater (high density here corresponds to Laidley’s moderate to high density definition).</w:t>
      </w:r>
      <w:bookmarkEnd w:id="94"/>
    </w:p>
    <w:p w14:paraId="43D2ED70" w14:textId="77777777" w:rsidR="008E73D1" w:rsidRPr="004F469F" w:rsidRDefault="008E73D1" w:rsidP="008E73D1">
      <w:pPr>
        <w:pStyle w:val="HTMLPreformatted"/>
        <w:rPr>
          <w:rFonts w:ascii="Times New Roman" w:hAnsi="Times New Roman" w:cs="Times New Roman"/>
          <w:i/>
          <w:iCs/>
        </w:rPr>
      </w:pPr>
    </w:p>
    <w:tbl>
      <w:tblPr>
        <w:tblW w:w="0" w:type="auto"/>
        <w:tblLayout w:type="fixed"/>
        <w:tblLook w:val="04A0" w:firstRow="1" w:lastRow="0" w:firstColumn="1" w:lastColumn="0" w:noHBand="0" w:noVBand="1"/>
      </w:tblPr>
      <w:tblGrid>
        <w:gridCol w:w="1255"/>
        <w:gridCol w:w="720"/>
        <w:gridCol w:w="1080"/>
        <w:gridCol w:w="900"/>
        <w:gridCol w:w="900"/>
        <w:gridCol w:w="1080"/>
        <w:gridCol w:w="1080"/>
        <w:gridCol w:w="1080"/>
        <w:gridCol w:w="900"/>
        <w:gridCol w:w="900"/>
        <w:gridCol w:w="1080"/>
        <w:gridCol w:w="1080"/>
      </w:tblGrid>
      <w:tr w:rsidR="002F321E" w:rsidRPr="004F469F" w14:paraId="694BB557" w14:textId="77777777" w:rsidTr="002F321E">
        <w:trPr>
          <w:trHeight w:val="320"/>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28AAE" w14:textId="6213012E" w:rsidR="00A4283D" w:rsidRPr="004F469F" w:rsidRDefault="00A4283D" w:rsidP="008E73D1">
            <w:pPr>
              <w:jc w:val="center"/>
              <w:rPr>
                <w:sz w:val="20"/>
                <w:szCs w:val="20"/>
              </w:rPr>
            </w:pP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39F1173" w14:textId="0E2128AA" w:rsidR="00A4283D" w:rsidRPr="004F469F" w:rsidRDefault="00A4283D" w:rsidP="008E73D1">
            <w:pPr>
              <w:jc w:val="center"/>
              <w:rPr>
                <w:sz w:val="20"/>
                <w:szCs w:val="20"/>
              </w:rPr>
            </w:pPr>
          </w:p>
        </w:tc>
        <w:tc>
          <w:tcPr>
            <w:tcW w:w="50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86D3341" w14:textId="77777777" w:rsidR="00A4283D" w:rsidRPr="004F469F" w:rsidRDefault="00A4283D" w:rsidP="008E73D1">
            <w:pPr>
              <w:jc w:val="center"/>
              <w:rPr>
                <w:b/>
                <w:bCs/>
                <w:sz w:val="20"/>
                <w:szCs w:val="20"/>
              </w:rPr>
            </w:pPr>
            <w:r w:rsidRPr="004F469F">
              <w:rPr>
                <w:b/>
                <w:bCs/>
                <w:sz w:val="20"/>
                <w:szCs w:val="20"/>
              </w:rPr>
              <w:t>2010</w:t>
            </w:r>
          </w:p>
        </w:tc>
        <w:tc>
          <w:tcPr>
            <w:tcW w:w="5040" w:type="dxa"/>
            <w:gridSpan w:val="5"/>
            <w:tcBorders>
              <w:top w:val="single" w:sz="4" w:space="0" w:color="auto"/>
              <w:left w:val="nil"/>
              <w:bottom w:val="single" w:sz="4" w:space="0" w:color="auto"/>
              <w:right w:val="single" w:sz="4" w:space="0" w:color="auto"/>
            </w:tcBorders>
            <w:shd w:val="clear" w:color="auto" w:fill="auto"/>
            <w:noWrap/>
            <w:vAlign w:val="center"/>
            <w:hideMark/>
          </w:tcPr>
          <w:p w14:paraId="70543394" w14:textId="77777777" w:rsidR="00A4283D" w:rsidRPr="004F469F" w:rsidRDefault="00A4283D" w:rsidP="008E73D1">
            <w:pPr>
              <w:jc w:val="center"/>
              <w:rPr>
                <w:b/>
                <w:bCs/>
                <w:sz w:val="20"/>
                <w:szCs w:val="20"/>
              </w:rPr>
            </w:pPr>
            <w:r w:rsidRPr="004F469F">
              <w:rPr>
                <w:b/>
                <w:bCs/>
                <w:sz w:val="20"/>
                <w:szCs w:val="20"/>
              </w:rPr>
              <w:t>2050</w:t>
            </w:r>
          </w:p>
        </w:tc>
      </w:tr>
      <w:tr w:rsidR="002F321E" w:rsidRPr="004F469F" w14:paraId="3FE7F2CB" w14:textId="77777777" w:rsidTr="002F321E">
        <w:trPr>
          <w:trHeight w:val="320"/>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1878BF1F" w14:textId="77777777" w:rsidR="00A4283D" w:rsidRPr="004F469F" w:rsidRDefault="00A4283D" w:rsidP="008E73D1">
            <w:pPr>
              <w:jc w:val="center"/>
              <w:rPr>
                <w:b/>
                <w:bCs/>
                <w:sz w:val="20"/>
                <w:szCs w:val="20"/>
              </w:rPr>
            </w:pPr>
            <w:r w:rsidRPr="004F469F">
              <w:rPr>
                <w:b/>
                <w:bCs/>
                <w:sz w:val="20"/>
                <w:szCs w:val="20"/>
              </w:rPr>
              <w:t>County</w:t>
            </w:r>
          </w:p>
        </w:tc>
        <w:tc>
          <w:tcPr>
            <w:tcW w:w="720" w:type="dxa"/>
            <w:tcBorders>
              <w:top w:val="nil"/>
              <w:left w:val="nil"/>
              <w:bottom w:val="single" w:sz="4" w:space="0" w:color="auto"/>
              <w:right w:val="single" w:sz="4" w:space="0" w:color="auto"/>
            </w:tcBorders>
            <w:shd w:val="clear" w:color="auto" w:fill="auto"/>
            <w:noWrap/>
            <w:vAlign w:val="center"/>
            <w:hideMark/>
          </w:tcPr>
          <w:p w14:paraId="6B48CD0B" w14:textId="77777777" w:rsidR="00A4283D" w:rsidRPr="004F469F" w:rsidRDefault="00A4283D" w:rsidP="008E73D1">
            <w:pPr>
              <w:jc w:val="center"/>
              <w:rPr>
                <w:b/>
                <w:bCs/>
                <w:sz w:val="20"/>
                <w:szCs w:val="20"/>
              </w:rPr>
            </w:pPr>
            <w:r w:rsidRPr="004F469F">
              <w:rPr>
                <w:b/>
                <w:bCs/>
                <w:sz w:val="20"/>
                <w:szCs w:val="20"/>
              </w:rPr>
              <w:t>Area</w:t>
            </w:r>
          </w:p>
        </w:tc>
        <w:tc>
          <w:tcPr>
            <w:tcW w:w="1080" w:type="dxa"/>
            <w:tcBorders>
              <w:top w:val="nil"/>
              <w:left w:val="nil"/>
              <w:bottom w:val="single" w:sz="4" w:space="0" w:color="auto"/>
              <w:right w:val="single" w:sz="4" w:space="0" w:color="auto"/>
            </w:tcBorders>
            <w:shd w:val="clear" w:color="auto" w:fill="auto"/>
            <w:noWrap/>
            <w:vAlign w:val="center"/>
            <w:hideMark/>
          </w:tcPr>
          <w:p w14:paraId="62EF1575" w14:textId="77777777" w:rsidR="00A4283D" w:rsidRPr="004F469F" w:rsidRDefault="00A4283D" w:rsidP="008E73D1">
            <w:pPr>
              <w:jc w:val="center"/>
              <w:rPr>
                <w:b/>
                <w:bCs/>
                <w:sz w:val="20"/>
                <w:szCs w:val="20"/>
              </w:rPr>
            </w:pPr>
            <w:r w:rsidRPr="004F469F">
              <w:rPr>
                <w:b/>
                <w:bCs/>
                <w:sz w:val="20"/>
                <w:szCs w:val="20"/>
              </w:rPr>
              <w:t>Count</w:t>
            </w:r>
          </w:p>
        </w:tc>
        <w:tc>
          <w:tcPr>
            <w:tcW w:w="900" w:type="dxa"/>
            <w:tcBorders>
              <w:top w:val="nil"/>
              <w:left w:val="nil"/>
              <w:bottom w:val="single" w:sz="4" w:space="0" w:color="auto"/>
              <w:right w:val="single" w:sz="4" w:space="0" w:color="auto"/>
            </w:tcBorders>
            <w:shd w:val="clear" w:color="auto" w:fill="auto"/>
            <w:noWrap/>
            <w:vAlign w:val="center"/>
            <w:hideMark/>
          </w:tcPr>
          <w:p w14:paraId="09170A17" w14:textId="77777777" w:rsidR="00A4283D" w:rsidRPr="004F469F" w:rsidRDefault="00A4283D" w:rsidP="008E73D1">
            <w:pPr>
              <w:jc w:val="center"/>
              <w:rPr>
                <w:b/>
                <w:bCs/>
                <w:sz w:val="20"/>
                <w:szCs w:val="20"/>
              </w:rPr>
            </w:pPr>
            <w:r w:rsidRPr="004F469F">
              <w:rPr>
                <w:b/>
                <w:bCs/>
                <w:sz w:val="20"/>
                <w:szCs w:val="20"/>
              </w:rPr>
              <w:t>Density</w:t>
            </w:r>
          </w:p>
        </w:tc>
        <w:tc>
          <w:tcPr>
            <w:tcW w:w="3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EACD00" w14:textId="77777777" w:rsidR="00A4283D" w:rsidRPr="004F469F" w:rsidRDefault="00A4283D" w:rsidP="008E73D1">
            <w:pPr>
              <w:jc w:val="center"/>
              <w:rPr>
                <w:b/>
                <w:bCs/>
                <w:sz w:val="20"/>
                <w:szCs w:val="20"/>
              </w:rPr>
            </w:pPr>
            <w:r w:rsidRPr="004F469F">
              <w:rPr>
                <w:b/>
                <w:bCs/>
                <w:sz w:val="20"/>
                <w:szCs w:val="20"/>
              </w:rPr>
              <w:t>Land Use by Parcel</w:t>
            </w:r>
          </w:p>
        </w:tc>
        <w:tc>
          <w:tcPr>
            <w:tcW w:w="1080" w:type="dxa"/>
            <w:tcBorders>
              <w:top w:val="nil"/>
              <w:left w:val="nil"/>
              <w:bottom w:val="single" w:sz="4" w:space="0" w:color="auto"/>
              <w:right w:val="single" w:sz="4" w:space="0" w:color="auto"/>
            </w:tcBorders>
            <w:shd w:val="clear" w:color="auto" w:fill="auto"/>
            <w:noWrap/>
            <w:vAlign w:val="center"/>
            <w:hideMark/>
          </w:tcPr>
          <w:p w14:paraId="71C75F20" w14:textId="77777777" w:rsidR="00A4283D" w:rsidRPr="004F469F" w:rsidRDefault="00A4283D" w:rsidP="008E73D1">
            <w:pPr>
              <w:jc w:val="center"/>
              <w:rPr>
                <w:b/>
                <w:bCs/>
                <w:sz w:val="20"/>
                <w:szCs w:val="20"/>
              </w:rPr>
            </w:pPr>
            <w:r w:rsidRPr="004F469F">
              <w:rPr>
                <w:b/>
                <w:bCs/>
                <w:sz w:val="20"/>
                <w:szCs w:val="20"/>
              </w:rPr>
              <w:t>Count</w:t>
            </w:r>
          </w:p>
        </w:tc>
        <w:tc>
          <w:tcPr>
            <w:tcW w:w="900" w:type="dxa"/>
            <w:tcBorders>
              <w:top w:val="nil"/>
              <w:left w:val="nil"/>
              <w:bottom w:val="single" w:sz="4" w:space="0" w:color="auto"/>
              <w:right w:val="single" w:sz="4" w:space="0" w:color="auto"/>
            </w:tcBorders>
            <w:shd w:val="clear" w:color="auto" w:fill="auto"/>
            <w:noWrap/>
            <w:vAlign w:val="center"/>
            <w:hideMark/>
          </w:tcPr>
          <w:p w14:paraId="08993E92" w14:textId="77777777" w:rsidR="00A4283D" w:rsidRPr="004F469F" w:rsidRDefault="00A4283D" w:rsidP="008E73D1">
            <w:pPr>
              <w:jc w:val="center"/>
              <w:rPr>
                <w:b/>
                <w:bCs/>
                <w:sz w:val="20"/>
                <w:szCs w:val="20"/>
              </w:rPr>
            </w:pPr>
            <w:r w:rsidRPr="004F469F">
              <w:rPr>
                <w:b/>
                <w:bCs/>
                <w:sz w:val="20"/>
                <w:szCs w:val="20"/>
              </w:rPr>
              <w:t>Density</w:t>
            </w:r>
          </w:p>
        </w:tc>
        <w:tc>
          <w:tcPr>
            <w:tcW w:w="3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0228E6" w14:textId="77777777" w:rsidR="00A4283D" w:rsidRPr="004F469F" w:rsidRDefault="00A4283D" w:rsidP="008E73D1">
            <w:pPr>
              <w:jc w:val="center"/>
              <w:rPr>
                <w:b/>
                <w:bCs/>
                <w:sz w:val="20"/>
                <w:szCs w:val="20"/>
              </w:rPr>
            </w:pPr>
            <w:r w:rsidRPr="004F469F">
              <w:rPr>
                <w:b/>
                <w:bCs/>
                <w:sz w:val="20"/>
                <w:szCs w:val="20"/>
              </w:rPr>
              <w:t>Land Use by Parcel</w:t>
            </w:r>
          </w:p>
        </w:tc>
      </w:tr>
      <w:tr w:rsidR="002F321E" w:rsidRPr="004F469F" w14:paraId="0F8629E1" w14:textId="77777777" w:rsidTr="002F321E">
        <w:trPr>
          <w:trHeight w:val="320"/>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405A3DAC" w14:textId="2921CB44" w:rsidR="00A4283D" w:rsidRPr="004F469F" w:rsidRDefault="00A4283D" w:rsidP="008E73D1">
            <w:pPr>
              <w:jc w:val="center"/>
              <w:rPr>
                <w:sz w:val="20"/>
                <w:szCs w:val="20"/>
              </w:rPr>
            </w:pPr>
          </w:p>
        </w:tc>
        <w:tc>
          <w:tcPr>
            <w:tcW w:w="720" w:type="dxa"/>
            <w:tcBorders>
              <w:top w:val="nil"/>
              <w:left w:val="nil"/>
              <w:bottom w:val="single" w:sz="4" w:space="0" w:color="auto"/>
              <w:right w:val="single" w:sz="4" w:space="0" w:color="auto"/>
            </w:tcBorders>
            <w:shd w:val="clear" w:color="auto" w:fill="auto"/>
            <w:noWrap/>
            <w:vAlign w:val="center"/>
            <w:hideMark/>
          </w:tcPr>
          <w:p w14:paraId="60FCC6D9" w14:textId="39F51396" w:rsidR="00A4283D" w:rsidRPr="004F469F" w:rsidRDefault="00CD1B92" w:rsidP="008E73D1">
            <w:pPr>
              <w:jc w:val="center"/>
              <w:rPr>
                <w:i/>
                <w:iCs/>
                <w:sz w:val="20"/>
                <w:szCs w:val="20"/>
              </w:rPr>
            </w:pPr>
            <w:r w:rsidRPr="004F469F">
              <w:rPr>
                <w:i/>
                <w:iCs/>
                <w:sz w:val="20"/>
                <w:szCs w:val="20"/>
              </w:rPr>
              <w:t>km</w:t>
            </w:r>
            <w:r w:rsidRPr="004F469F">
              <w:rPr>
                <w:i/>
                <w:iCs/>
                <w:sz w:val="20"/>
                <w:szCs w:val="20"/>
                <w:vertAlign w:val="superscript"/>
              </w:rPr>
              <w:t>2</w:t>
            </w:r>
          </w:p>
        </w:tc>
        <w:tc>
          <w:tcPr>
            <w:tcW w:w="1080" w:type="dxa"/>
            <w:tcBorders>
              <w:top w:val="nil"/>
              <w:left w:val="nil"/>
              <w:bottom w:val="single" w:sz="4" w:space="0" w:color="auto"/>
              <w:right w:val="single" w:sz="4" w:space="0" w:color="auto"/>
            </w:tcBorders>
            <w:shd w:val="clear" w:color="auto" w:fill="auto"/>
            <w:noWrap/>
            <w:vAlign w:val="center"/>
            <w:hideMark/>
          </w:tcPr>
          <w:p w14:paraId="5C656B17" w14:textId="0CBAC0D7" w:rsidR="00A4283D" w:rsidRPr="004F469F" w:rsidRDefault="00A4283D" w:rsidP="008E73D1">
            <w:pPr>
              <w:jc w:val="center"/>
              <w:rPr>
                <w:i/>
                <w:iCs/>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39CA3FA7" w14:textId="6735938B" w:rsidR="00A4283D" w:rsidRPr="004F469F" w:rsidRDefault="00CD1B92" w:rsidP="008E73D1">
            <w:pPr>
              <w:jc w:val="center"/>
              <w:rPr>
                <w:i/>
                <w:iCs/>
                <w:sz w:val="20"/>
                <w:szCs w:val="20"/>
              </w:rPr>
            </w:pPr>
            <w:r w:rsidRPr="004F469F">
              <w:rPr>
                <w:i/>
                <w:iCs/>
                <w:sz w:val="20"/>
                <w:szCs w:val="20"/>
              </w:rPr>
              <w:t>persons km</w:t>
            </w:r>
            <w:r w:rsidRPr="004F469F">
              <w:rPr>
                <w:i/>
                <w:iCs/>
                <w:sz w:val="20"/>
                <w:szCs w:val="20"/>
                <w:vertAlign w:val="superscript"/>
              </w:rPr>
              <w:t>-2</w:t>
            </w:r>
          </w:p>
        </w:tc>
        <w:tc>
          <w:tcPr>
            <w:tcW w:w="900" w:type="dxa"/>
            <w:tcBorders>
              <w:top w:val="nil"/>
              <w:left w:val="nil"/>
              <w:bottom w:val="single" w:sz="4" w:space="0" w:color="auto"/>
              <w:right w:val="single" w:sz="4" w:space="0" w:color="auto"/>
            </w:tcBorders>
            <w:shd w:val="clear" w:color="auto" w:fill="auto"/>
            <w:noWrap/>
            <w:vAlign w:val="center"/>
            <w:hideMark/>
          </w:tcPr>
          <w:p w14:paraId="1EF8AB88" w14:textId="457D4C9E"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Rural</w:t>
            </w:r>
          </w:p>
        </w:tc>
        <w:tc>
          <w:tcPr>
            <w:tcW w:w="1080" w:type="dxa"/>
            <w:tcBorders>
              <w:top w:val="nil"/>
              <w:left w:val="nil"/>
              <w:bottom w:val="single" w:sz="4" w:space="0" w:color="auto"/>
              <w:right w:val="single" w:sz="4" w:space="0" w:color="auto"/>
            </w:tcBorders>
            <w:shd w:val="clear" w:color="auto" w:fill="auto"/>
            <w:noWrap/>
            <w:vAlign w:val="center"/>
            <w:hideMark/>
          </w:tcPr>
          <w:p w14:paraId="44D94D48" w14:textId="2A0F53BF"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Urban-Low</w:t>
            </w:r>
          </w:p>
        </w:tc>
        <w:tc>
          <w:tcPr>
            <w:tcW w:w="1080" w:type="dxa"/>
            <w:tcBorders>
              <w:top w:val="nil"/>
              <w:left w:val="nil"/>
              <w:bottom w:val="single" w:sz="4" w:space="0" w:color="auto"/>
              <w:right w:val="single" w:sz="4" w:space="0" w:color="auto"/>
            </w:tcBorders>
            <w:shd w:val="clear" w:color="auto" w:fill="auto"/>
            <w:vAlign w:val="center"/>
            <w:hideMark/>
          </w:tcPr>
          <w:p w14:paraId="5F76AAEE" w14:textId="5F865B20"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Urban-High</w:t>
            </w:r>
          </w:p>
        </w:tc>
        <w:tc>
          <w:tcPr>
            <w:tcW w:w="1080" w:type="dxa"/>
            <w:tcBorders>
              <w:top w:val="nil"/>
              <w:left w:val="nil"/>
              <w:bottom w:val="single" w:sz="4" w:space="0" w:color="auto"/>
              <w:right w:val="single" w:sz="4" w:space="0" w:color="auto"/>
            </w:tcBorders>
            <w:shd w:val="clear" w:color="auto" w:fill="auto"/>
            <w:noWrap/>
            <w:vAlign w:val="center"/>
            <w:hideMark/>
          </w:tcPr>
          <w:p w14:paraId="66885C40" w14:textId="46FBBF2B" w:rsidR="00A4283D" w:rsidRPr="004F469F" w:rsidRDefault="00A4283D" w:rsidP="008E73D1">
            <w:pPr>
              <w:jc w:val="center"/>
              <w:rPr>
                <w:i/>
                <w:iCs/>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184803C1" w14:textId="4FAC75F1" w:rsidR="00A4283D" w:rsidRPr="004F469F" w:rsidRDefault="00CD1B92" w:rsidP="008E73D1">
            <w:pPr>
              <w:jc w:val="center"/>
              <w:rPr>
                <w:i/>
                <w:iCs/>
                <w:sz w:val="20"/>
                <w:szCs w:val="20"/>
              </w:rPr>
            </w:pPr>
            <w:r w:rsidRPr="004F469F">
              <w:rPr>
                <w:i/>
                <w:iCs/>
                <w:sz w:val="20"/>
                <w:szCs w:val="20"/>
              </w:rPr>
              <w:t>persons km</w:t>
            </w:r>
            <w:r w:rsidR="002F321E" w:rsidRPr="004F469F">
              <w:rPr>
                <w:i/>
                <w:iCs/>
                <w:sz w:val="20"/>
                <w:szCs w:val="20"/>
                <w:vertAlign w:val="superscript"/>
              </w:rPr>
              <w:t>-2</w:t>
            </w:r>
          </w:p>
        </w:tc>
        <w:tc>
          <w:tcPr>
            <w:tcW w:w="900" w:type="dxa"/>
            <w:tcBorders>
              <w:top w:val="nil"/>
              <w:left w:val="nil"/>
              <w:bottom w:val="single" w:sz="4" w:space="0" w:color="auto"/>
              <w:right w:val="single" w:sz="4" w:space="0" w:color="auto"/>
            </w:tcBorders>
            <w:shd w:val="clear" w:color="auto" w:fill="auto"/>
            <w:noWrap/>
            <w:vAlign w:val="center"/>
            <w:hideMark/>
          </w:tcPr>
          <w:p w14:paraId="1DC4CA4C" w14:textId="2A6F1454"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Rural</w:t>
            </w:r>
          </w:p>
        </w:tc>
        <w:tc>
          <w:tcPr>
            <w:tcW w:w="1080" w:type="dxa"/>
            <w:tcBorders>
              <w:top w:val="nil"/>
              <w:left w:val="nil"/>
              <w:bottom w:val="single" w:sz="4" w:space="0" w:color="auto"/>
              <w:right w:val="single" w:sz="4" w:space="0" w:color="auto"/>
            </w:tcBorders>
            <w:shd w:val="clear" w:color="auto" w:fill="auto"/>
            <w:noWrap/>
            <w:vAlign w:val="center"/>
            <w:hideMark/>
          </w:tcPr>
          <w:p w14:paraId="21918E84" w14:textId="76F8EF7D"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Urban-Low</w:t>
            </w:r>
          </w:p>
        </w:tc>
        <w:tc>
          <w:tcPr>
            <w:tcW w:w="1080" w:type="dxa"/>
            <w:tcBorders>
              <w:top w:val="nil"/>
              <w:left w:val="nil"/>
              <w:bottom w:val="single" w:sz="4" w:space="0" w:color="auto"/>
              <w:right w:val="single" w:sz="4" w:space="0" w:color="auto"/>
            </w:tcBorders>
            <w:shd w:val="clear" w:color="auto" w:fill="auto"/>
            <w:vAlign w:val="center"/>
            <w:hideMark/>
          </w:tcPr>
          <w:p w14:paraId="68152DAD" w14:textId="2DB8CCB2" w:rsidR="00A4283D" w:rsidRPr="004F469F" w:rsidRDefault="00CD1B92" w:rsidP="008E73D1">
            <w:pPr>
              <w:jc w:val="center"/>
              <w:rPr>
                <w:i/>
                <w:iCs/>
                <w:sz w:val="20"/>
                <w:szCs w:val="20"/>
              </w:rPr>
            </w:pPr>
            <w:r w:rsidRPr="004F469F">
              <w:rPr>
                <w:i/>
                <w:iCs/>
                <w:sz w:val="20"/>
                <w:szCs w:val="20"/>
              </w:rPr>
              <w:t xml:space="preserve">% </w:t>
            </w:r>
            <w:r w:rsidR="00A4283D" w:rsidRPr="004F469F">
              <w:rPr>
                <w:i/>
                <w:iCs/>
                <w:sz w:val="20"/>
                <w:szCs w:val="20"/>
              </w:rPr>
              <w:t>Urban-High</w:t>
            </w:r>
          </w:p>
        </w:tc>
      </w:tr>
      <w:tr w:rsidR="002F321E" w:rsidRPr="004F469F" w14:paraId="534EAA57" w14:textId="77777777" w:rsidTr="002F321E">
        <w:trPr>
          <w:trHeight w:val="320"/>
        </w:trPr>
        <w:tc>
          <w:tcPr>
            <w:tcW w:w="1255" w:type="dxa"/>
            <w:tcBorders>
              <w:top w:val="nil"/>
              <w:left w:val="single" w:sz="4" w:space="0" w:color="auto"/>
              <w:bottom w:val="nil"/>
              <w:right w:val="single" w:sz="4" w:space="0" w:color="auto"/>
            </w:tcBorders>
            <w:shd w:val="clear" w:color="auto" w:fill="auto"/>
            <w:noWrap/>
            <w:vAlign w:val="center"/>
            <w:hideMark/>
          </w:tcPr>
          <w:p w14:paraId="29016306" w14:textId="77777777" w:rsidR="00A4283D" w:rsidRPr="004F469F" w:rsidRDefault="00A4283D" w:rsidP="008E73D1">
            <w:pPr>
              <w:jc w:val="center"/>
              <w:rPr>
                <w:sz w:val="20"/>
                <w:szCs w:val="20"/>
              </w:rPr>
            </w:pPr>
            <w:r w:rsidRPr="004F469F">
              <w:rPr>
                <w:sz w:val="20"/>
                <w:szCs w:val="20"/>
              </w:rPr>
              <w:t>Canadian</w:t>
            </w:r>
          </w:p>
        </w:tc>
        <w:tc>
          <w:tcPr>
            <w:tcW w:w="720" w:type="dxa"/>
            <w:tcBorders>
              <w:top w:val="nil"/>
              <w:left w:val="nil"/>
              <w:bottom w:val="nil"/>
              <w:right w:val="single" w:sz="4" w:space="0" w:color="auto"/>
            </w:tcBorders>
            <w:shd w:val="clear" w:color="auto" w:fill="auto"/>
            <w:noWrap/>
            <w:vAlign w:val="center"/>
            <w:hideMark/>
          </w:tcPr>
          <w:p w14:paraId="35409F31" w14:textId="77777777" w:rsidR="00A4283D" w:rsidRPr="004F469F" w:rsidRDefault="00A4283D" w:rsidP="008E73D1">
            <w:pPr>
              <w:jc w:val="center"/>
              <w:rPr>
                <w:sz w:val="20"/>
                <w:szCs w:val="20"/>
              </w:rPr>
            </w:pPr>
            <w:r w:rsidRPr="004F469F">
              <w:rPr>
                <w:sz w:val="20"/>
                <w:szCs w:val="20"/>
              </w:rPr>
              <w:t>2,439</w:t>
            </w:r>
          </w:p>
        </w:tc>
        <w:tc>
          <w:tcPr>
            <w:tcW w:w="1080" w:type="dxa"/>
            <w:tcBorders>
              <w:top w:val="nil"/>
              <w:left w:val="nil"/>
              <w:bottom w:val="nil"/>
              <w:right w:val="single" w:sz="4" w:space="0" w:color="auto"/>
            </w:tcBorders>
            <w:shd w:val="clear" w:color="auto" w:fill="auto"/>
            <w:noWrap/>
            <w:vAlign w:val="center"/>
            <w:hideMark/>
          </w:tcPr>
          <w:p w14:paraId="0B27F59E" w14:textId="77777777" w:rsidR="00A4283D" w:rsidRPr="004F469F" w:rsidRDefault="00A4283D" w:rsidP="008E73D1">
            <w:pPr>
              <w:jc w:val="center"/>
              <w:rPr>
                <w:sz w:val="20"/>
                <w:szCs w:val="20"/>
              </w:rPr>
            </w:pPr>
            <w:r w:rsidRPr="004F469F">
              <w:rPr>
                <w:sz w:val="20"/>
                <w:szCs w:val="20"/>
              </w:rPr>
              <w:t>138,029</w:t>
            </w:r>
          </w:p>
        </w:tc>
        <w:tc>
          <w:tcPr>
            <w:tcW w:w="900" w:type="dxa"/>
            <w:tcBorders>
              <w:top w:val="nil"/>
              <w:left w:val="nil"/>
              <w:bottom w:val="nil"/>
              <w:right w:val="single" w:sz="4" w:space="0" w:color="auto"/>
            </w:tcBorders>
            <w:shd w:val="clear" w:color="auto" w:fill="auto"/>
            <w:noWrap/>
            <w:vAlign w:val="center"/>
            <w:hideMark/>
          </w:tcPr>
          <w:p w14:paraId="17066792" w14:textId="77777777" w:rsidR="00A4283D" w:rsidRPr="004F469F" w:rsidRDefault="00A4283D" w:rsidP="008E73D1">
            <w:pPr>
              <w:jc w:val="center"/>
              <w:rPr>
                <w:sz w:val="20"/>
                <w:szCs w:val="20"/>
              </w:rPr>
            </w:pPr>
            <w:r w:rsidRPr="004F469F">
              <w:rPr>
                <w:sz w:val="20"/>
                <w:szCs w:val="20"/>
              </w:rPr>
              <w:t>57</w:t>
            </w:r>
          </w:p>
        </w:tc>
        <w:tc>
          <w:tcPr>
            <w:tcW w:w="900" w:type="dxa"/>
            <w:tcBorders>
              <w:top w:val="nil"/>
              <w:left w:val="nil"/>
              <w:bottom w:val="nil"/>
              <w:right w:val="single" w:sz="4" w:space="0" w:color="auto"/>
            </w:tcBorders>
            <w:shd w:val="clear" w:color="auto" w:fill="auto"/>
            <w:noWrap/>
            <w:vAlign w:val="center"/>
            <w:hideMark/>
          </w:tcPr>
          <w:p w14:paraId="6BC01637" w14:textId="77777777" w:rsidR="00A4283D" w:rsidRPr="004F469F" w:rsidRDefault="00A4283D" w:rsidP="008E73D1">
            <w:pPr>
              <w:jc w:val="center"/>
              <w:rPr>
                <w:sz w:val="20"/>
                <w:szCs w:val="20"/>
              </w:rPr>
            </w:pPr>
            <w:r w:rsidRPr="004F469F">
              <w:rPr>
                <w:sz w:val="20"/>
                <w:szCs w:val="20"/>
              </w:rPr>
              <w:t>55.91</w:t>
            </w:r>
          </w:p>
        </w:tc>
        <w:tc>
          <w:tcPr>
            <w:tcW w:w="1080" w:type="dxa"/>
            <w:tcBorders>
              <w:top w:val="nil"/>
              <w:left w:val="nil"/>
              <w:bottom w:val="nil"/>
              <w:right w:val="single" w:sz="4" w:space="0" w:color="auto"/>
            </w:tcBorders>
            <w:shd w:val="clear" w:color="auto" w:fill="auto"/>
            <w:noWrap/>
            <w:vAlign w:val="center"/>
            <w:hideMark/>
          </w:tcPr>
          <w:p w14:paraId="43213570" w14:textId="77777777" w:rsidR="00A4283D" w:rsidRPr="004F469F" w:rsidRDefault="00A4283D" w:rsidP="008E73D1">
            <w:pPr>
              <w:jc w:val="center"/>
              <w:rPr>
                <w:sz w:val="20"/>
                <w:szCs w:val="20"/>
              </w:rPr>
            </w:pPr>
            <w:r w:rsidRPr="004F469F">
              <w:rPr>
                <w:sz w:val="20"/>
                <w:szCs w:val="20"/>
              </w:rPr>
              <w:t>44.07</w:t>
            </w:r>
          </w:p>
        </w:tc>
        <w:tc>
          <w:tcPr>
            <w:tcW w:w="1080" w:type="dxa"/>
            <w:tcBorders>
              <w:top w:val="nil"/>
              <w:left w:val="nil"/>
              <w:bottom w:val="nil"/>
              <w:right w:val="single" w:sz="4" w:space="0" w:color="auto"/>
            </w:tcBorders>
            <w:shd w:val="clear" w:color="auto" w:fill="auto"/>
            <w:noWrap/>
            <w:vAlign w:val="center"/>
            <w:hideMark/>
          </w:tcPr>
          <w:p w14:paraId="6C0BF475" w14:textId="77777777" w:rsidR="00A4283D" w:rsidRPr="004F469F" w:rsidRDefault="00A4283D" w:rsidP="008E73D1">
            <w:pPr>
              <w:jc w:val="center"/>
              <w:rPr>
                <w:sz w:val="20"/>
                <w:szCs w:val="20"/>
              </w:rPr>
            </w:pPr>
            <w:r w:rsidRPr="004F469F">
              <w:rPr>
                <w:sz w:val="20"/>
                <w:szCs w:val="20"/>
              </w:rPr>
              <w:t>0.02</w:t>
            </w:r>
          </w:p>
        </w:tc>
        <w:tc>
          <w:tcPr>
            <w:tcW w:w="1080" w:type="dxa"/>
            <w:tcBorders>
              <w:top w:val="nil"/>
              <w:left w:val="nil"/>
              <w:bottom w:val="nil"/>
              <w:right w:val="single" w:sz="4" w:space="0" w:color="auto"/>
            </w:tcBorders>
            <w:shd w:val="clear" w:color="auto" w:fill="auto"/>
            <w:noWrap/>
            <w:vAlign w:val="center"/>
            <w:hideMark/>
          </w:tcPr>
          <w:p w14:paraId="21AE267D" w14:textId="77777777" w:rsidR="00A4283D" w:rsidRPr="004F469F" w:rsidRDefault="00A4283D" w:rsidP="008E73D1">
            <w:pPr>
              <w:jc w:val="center"/>
              <w:rPr>
                <w:sz w:val="20"/>
                <w:szCs w:val="20"/>
              </w:rPr>
            </w:pPr>
            <w:r w:rsidRPr="004F469F">
              <w:rPr>
                <w:sz w:val="20"/>
                <w:szCs w:val="20"/>
              </w:rPr>
              <w:t>498,926</w:t>
            </w:r>
          </w:p>
        </w:tc>
        <w:tc>
          <w:tcPr>
            <w:tcW w:w="900" w:type="dxa"/>
            <w:tcBorders>
              <w:top w:val="nil"/>
              <w:left w:val="nil"/>
              <w:bottom w:val="nil"/>
              <w:right w:val="single" w:sz="4" w:space="0" w:color="auto"/>
            </w:tcBorders>
            <w:shd w:val="clear" w:color="auto" w:fill="auto"/>
            <w:noWrap/>
            <w:vAlign w:val="center"/>
            <w:hideMark/>
          </w:tcPr>
          <w:p w14:paraId="31075829" w14:textId="77777777" w:rsidR="00A4283D" w:rsidRPr="004F469F" w:rsidRDefault="00A4283D" w:rsidP="008E73D1">
            <w:pPr>
              <w:jc w:val="center"/>
              <w:rPr>
                <w:sz w:val="20"/>
                <w:szCs w:val="20"/>
              </w:rPr>
            </w:pPr>
            <w:r w:rsidRPr="004F469F">
              <w:rPr>
                <w:sz w:val="20"/>
                <w:szCs w:val="20"/>
              </w:rPr>
              <w:t>205</w:t>
            </w:r>
          </w:p>
        </w:tc>
        <w:tc>
          <w:tcPr>
            <w:tcW w:w="900" w:type="dxa"/>
            <w:tcBorders>
              <w:top w:val="nil"/>
              <w:left w:val="nil"/>
              <w:bottom w:val="nil"/>
              <w:right w:val="single" w:sz="4" w:space="0" w:color="auto"/>
            </w:tcBorders>
            <w:shd w:val="clear" w:color="auto" w:fill="auto"/>
            <w:noWrap/>
            <w:vAlign w:val="center"/>
            <w:hideMark/>
          </w:tcPr>
          <w:p w14:paraId="01CDF311" w14:textId="77777777" w:rsidR="00A4283D" w:rsidRPr="004F469F" w:rsidRDefault="00A4283D" w:rsidP="008E73D1">
            <w:pPr>
              <w:jc w:val="center"/>
              <w:rPr>
                <w:sz w:val="20"/>
                <w:szCs w:val="20"/>
              </w:rPr>
            </w:pPr>
            <w:r w:rsidRPr="004F469F">
              <w:rPr>
                <w:sz w:val="20"/>
                <w:szCs w:val="20"/>
              </w:rPr>
              <w:t>47.29</w:t>
            </w:r>
          </w:p>
        </w:tc>
        <w:tc>
          <w:tcPr>
            <w:tcW w:w="1080" w:type="dxa"/>
            <w:tcBorders>
              <w:top w:val="nil"/>
              <w:left w:val="nil"/>
              <w:bottom w:val="nil"/>
              <w:right w:val="single" w:sz="4" w:space="0" w:color="auto"/>
            </w:tcBorders>
            <w:shd w:val="clear" w:color="auto" w:fill="auto"/>
            <w:noWrap/>
            <w:vAlign w:val="center"/>
            <w:hideMark/>
          </w:tcPr>
          <w:p w14:paraId="54F2824E" w14:textId="77777777" w:rsidR="00A4283D" w:rsidRPr="004F469F" w:rsidRDefault="00A4283D" w:rsidP="008E73D1">
            <w:pPr>
              <w:jc w:val="center"/>
              <w:rPr>
                <w:sz w:val="20"/>
                <w:szCs w:val="20"/>
              </w:rPr>
            </w:pPr>
            <w:r w:rsidRPr="004F469F">
              <w:rPr>
                <w:sz w:val="20"/>
                <w:szCs w:val="20"/>
              </w:rPr>
              <w:t>52.69</w:t>
            </w:r>
          </w:p>
        </w:tc>
        <w:tc>
          <w:tcPr>
            <w:tcW w:w="1080" w:type="dxa"/>
            <w:tcBorders>
              <w:top w:val="nil"/>
              <w:left w:val="nil"/>
              <w:bottom w:val="nil"/>
              <w:right w:val="single" w:sz="4" w:space="0" w:color="auto"/>
            </w:tcBorders>
            <w:shd w:val="clear" w:color="auto" w:fill="auto"/>
            <w:noWrap/>
            <w:vAlign w:val="center"/>
            <w:hideMark/>
          </w:tcPr>
          <w:p w14:paraId="767DCDD7" w14:textId="77777777" w:rsidR="00A4283D" w:rsidRPr="004F469F" w:rsidRDefault="00A4283D" w:rsidP="008E73D1">
            <w:pPr>
              <w:jc w:val="center"/>
              <w:rPr>
                <w:sz w:val="20"/>
                <w:szCs w:val="20"/>
              </w:rPr>
            </w:pPr>
            <w:r w:rsidRPr="004F469F">
              <w:rPr>
                <w:sz w:val="20"/>
                <w:szCs w:val="20"/>
              </w:rPr>
              <w:t>0.02</w:t>
            </w:r>
          </w:p>
        </w:tc>
      </w:tr>
      <w:tr w:rsidR="002F321E" w:rsidRPr="004F469F" w14:paraId="5B57E586" w14:textId="77777777" w:rsidTr="002F321E">
        <w:trPr>
          <w:trHeight w:val="320"/>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9A18D" w14:textId="77777777" w:rsidR="00A4283D" w:rsidRPr="004F469F" w:rsidRDefault="00A4283D" w:rsidP="008E73D1">
            <w:pPr>
              <w:jc w:val="center"/>
              <w:rPr>
                <w:sz w:val="20"/>
                <w:szCs w:val="20"/>
              </w:rPr>
            </w:pPr>
            <w:r w:rsidRPr="004F469F">
              <w:rPr>
                <w:sz w:val="20"/>
                <w:szCs w:val="20"/>
              </w:rPr>
              <w:t>Cleveland</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CE75ED0" w14:textId="77777777" w:rsidR="00A4283D" w:rsidRPr="004F469F" w:rsidRDefault="00A4283D" w:rsidP="008E73D1">
            <w:pPr>
              <w:jc w:val="center"/>
              <w:rPr>
                <w:sz w:val="20"/>
                <w:szCs w:val="20"/>
              </w:rPr>
            </w:pPr>
            <w:r w:rsidRPr="004F469F">
              <w:rPr>
                <w:sz w:val="20"/>
                <w:szCs w:val="20"/>
              </w:rPr>
              <w:t>1,506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32D1B10" w14:textId="77777777" w:rsidR="00A4283D" w:rsidRPr="004F469F" w:rsidRDefault="00A4283D" w:rsidP="008E73D1">
            <w:pPr>
              <w:jc w:val="center"/>
              <w:rPr>
                <w:sz w:val="20"/>
                <w:szCs w:val="20"/>
              </w:rPr>
            </w:pPr>
            <w:r w:rsidRPr="004F469F">
              <w:rPr>
                <w:sz w:val="20"/>
                <w:szCs w:val="20"/>
              </w:rPr>
              <w:t>280,521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4743C49" w14:textId="77777777" w:rsidR="00A4283D" w:rsidRPr="004F469F" w:rsidRDefault="00A4283D" w:rsidP="008E73D1">
            <w:pPr>
              <w:jc w:val="center"/>
              <w:rPr>
                <w:sz w:val="20"/>
                <w:szCs w:val="20"/>
              </w:rPr>
            </w:pPr>
            <w:r w:rsidRPr="004F469F">
              <w:rPr>
                <w:sz w:val="20"/>
                <w:szCs w:val="20"/>
              </w:rPr>
              <w:t>186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A397F95" w14:textId="77777777" w:rsidR="00A4283D" w:rsidRPr="004F469F" w:rsidRDefault="00A4283D" w:rsidP="008E73D1">
            <w:pPr>
              <w:jc w:val="center"/>
              <w:rPr>
                <w:sz w:val="20"/>
                <w:szCs w:val="20"/>
              </w:rPr>
            </w:pPr>
            <w:r w:rsidRPr="004F469F">
              <w:rPr>
                <w:sz w:val="20"/>
                <w:szCs w:val="20"/>
              </w:rPr>
              <w:t>39.91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AE04069" w14:textId="77777777" w:rsidR="00A4283D" w:rsidRPr="004F469F" w:rsidRDefault="00A4283D" w:rsidP="008E73D1">
            <w:pPr>
              <w:jc w:val="center"/>
              <w:rPr>
                <w:sz w:val="20"/>
                <w:szCs w:val="20"/>
              </w:rPr>
            </w:pPr>
            <w:r w:rsidRPr="004F469F">
              <w:rPr>
                <w:sz w:val="20"/>
                <w:szCs w:val="20"/>
              </w:rPr>
              <w:t>60.07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13C858" w14:textId="77777777" w:rsidR="00A4283D" w:rsidRPr="004F469F" w:rsidRDefault="00A4283D" w:rsidP="008E73D1">
            <w:pPr>
              <w:jc w:val="center"/>
              <w:rPr>
                <w:sz w:val="20"/>
                <w:szCs w:val="20"/>
              </w:rPr>
            </w:pPr>
            <w:r w:rsidRPr="004F469F">
              <w:rPr>
                <w:sz w:val="20"/>
                <w:szCs w:val="20"/>
              </w:rPr>
              <w:t>0.02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9F9CDC2" w14:textId="77777777" w:rsidR="00A4283D" w:rsidRPr="004F469F" w:rsidRDefault="00A4283D" w:rsidP="008E73D1">
            <w:pPr>
              <w:jc w:val="center"/>
              <w:rPr>
                <w:sz w:val="20"/>
                <w:szCs w:val="20"/>
              </w:rPr>
            </w:pPr>
            <w:r w:rsidRPr="004F469F">
              <w:rPr>
                <w:sz w:val="20"/>
                <w:szCs w:val="20"/>
              </w:rPr>
              <w:t>548,686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F5753A1" w14:textId="77777777" w:rsidR="00A4283D" w:rsidRPr="004F469F" w:rsidRDefault="00A4283D" w:rsidP="008E73D1">
            <w:pPr>
              <w:jc w:val="center"/>
              <w:rPr>
                <w:sz w:val="20"/>
                <w:szCs w:val="20"/>
              </w:rPr>
            </w:pPr>
            <w:r w:rsidRPr="004F469F">
              <w:rPr>
                <w:sz w:val="20"/>
                <w:szCs w:val="20"/>
              </w:rPr>
              <w:t>364</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430449F" w14:textId="77777777" w:rsidR="00A4283D" w:rsidRPr="004F469F" w:rsidRDefault="00A4283D" w:rsidP="008E73D1">
            <w:pPr>
              <w:jc w:val="center"/>
              <w:rPr>
                <w:sz w:val="20"/>
                <w:szCs w:val="20"/>
              </w:rPr>
            </w:pPr>
            <w:r w:rsidRPr="004F469F">
              <w:rPr>
                <w:sz w:val="20"/>
                <w:szCs w:val="20"/>
              </w:rPr>
              <w:t>29.65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C5486D" w14:textId="77777777" w:rsidR="00A4283D" w:rsidRPr="004F469F" w:rsidRDefault="00A4283D" w:rsidP="008E73D1">
            <w:pPr>
              <w:jc w:val="center"/>
              <w:rPr>
                <w:sz w:val="20"/>
                <w:szCs w:val="20"/>
              </w:rPr>
            </w:pPr>
            <w:r w:rsidRPr="004F469F">
              <w:rPr>
                <w:sz w:val="20"/>
                <w:szCs w:val="20"/>
              </w:rPr>
              <w:t>70.33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D784E13" w14:textId="77777777" w:rsidR="00A4283D" w:rsidRPr="004F469F" w:rsidRDefault="00A4283D" w:rsidP="008E73D1">
            <w:pPr>
              <w:jc w:val="center"/>
              <w:rPr>
                <w:sz w:val="20"/>
                <w:szCs w:val="20"/>
              </w:rPr>
            </w:pPr>
            <w:r w:rsidRPr="004F469F">
              <w:rPr>
                <w:sz w:val="20"/>
                <w:szCs w:val="20"/>
              </w:rPr>
              <w:t>0.02</w:t>
            </w:r>
          </w:p>
        </w:tc>
      </w:tr>
      <w:tr w:rsidR="002F321E" w:rsidRPr="004F469F" w14:paraId="0AD2CD53" w14:textId="77777777" w:rsidTr="002F321E">
        <w:trPr>
          <w:trHeight w:val="340"/>
        </w:trPr>
        <w:tc>
          <w:tcPr>
            <w:tcW w:w="1255" w:type="dxa"/>
            <w:tcBorders>
              <w:top w:val="nil"/>
              <w:left w:val="single" w:sz="4" w:space="0" w:color="auto"/>
              <w:bottom w:val="single" w:sz="12" w:space="0" w:color="auto"/>
              <w:right w:val="single" w:sz="4" w:space="0" w:color="auto"/>
            </w:tcBorders>
            <w:shd w:val="clear" w:color="auto" w:fill="auto"/>
            <w:noWrap/>
            <w:vAlign w:val="center"/>
            <w:hideMark/>
          </w:tcPr>
          <w:p w14:paraId="560D2F7A" w14:textId="77777777" w:rsidR="00A4283D" w:rsidRPr="004F469F" w:rsidRDefault="00A4283D" w:rsidP="008E73D1">
            <w:pPr>
              <w:jc w:val="center"/>
              <w:rPr>
                <w:sz w:val="20"/>
                <w:szCs w:val="20"/>
              </w:rPr>
            </w:pPr>
            <w:r w:rsidRPr="004F469F">
              <w:rPr>
                <w:sz w:val="20"/>
                <w:szCs w:val="20"/>
              </w:rPr>
              <w:t>Oklahoma</w:t>
            </w:r>
          </w:p>
        </w:tc>
        <w:tc>
          <w:tcPr>
            <w:tcW w:w="720" w:type="dxa"/>
            <w:tcBorders>
              <w:top w:val="nil"/>
              <w:left w:val="nil"/>
              <w:bottom w:val="single" w:sz="12" w:space="0" w:color="auto"/>
              <w:right w:val="single" w:sz="4" w:space="0" w:color="auto"/>
            </w:tcBorders>
            <w:shd w:val="clear" w:color="auto" w:fill="auto"/>
            <w:noWrap/>
            <w:vAlign w:val="center"/>
            <w:hideMark/>
          </w:tcPr>
          <w:p w14:paraId="52E34771" w14:textId="77777777" w:rsidR="00A4283D" w:rsidRPr="004F469F" w:rsidRDefault="00A4283D" w:rsidP="008E73D1">
            <w:pPr>
              <w:jc w:val="center"/>
              <w:rPr>
                <w:sz w:val="20"/>
                <w:szCs w:val="20"/>
              </w:rPr>
            </w:pPr>
            <w:r w:rsidRPr="004F469F">
              <w:rPr>
                <w:sz w:val="20"/>
                <w:szCs w:val="20"/>
              </w:rPr>
              <w:t>1,935</w:t>
            </w:r>
          </w:p>
        </w:tc>
        <w:tc>
          <w:tcPr>
            <w:tcW w:w="1080" w:type="dxa"/>
            <w:tcBorders>
              <w:top w:val="nil"/>
              <w:left w:val="nil"/>
              <w:bottom w:val="single" w:sz="12" w:space="0" w:color="auto"/>
              <w:right w:val="single" w:sz="4" w:space="0" w:color="auto"/>
            </w:tcBorders>
            <w:shd w:val="clear" w:color="auto" w:fill="auto"/>
            <w:noWrap/>
            <w:vAlign w:val="center"/>
            <w:hideMark/>
          </w:tcPr>
          <w:p w14:paraId="74389802" w14:textId="77777777" w:rsidR="00A4283D" w:rsidRPr="004F469F" w:rsidRDefault="00A4283D" w:rsidP="008E73D1">
            <w:pPr>
              <w:jc w:val="center"/>
              <w:rPr>
                <w:sz w:val="20"/>
                <w:szCs w:val="20"/>
              </w:rPr>
            </w:pPr>
            <w:r w:rsidRPr="004F469F">
              <w:rPr>
                <w:sz w:val="20"/>
                <w:szCs w:val="20"/>
              </w:rPr>
              <w:t>756,598</w:t>
            </w:r>
          </w:p>
        </w:tc>
        <w:tc>
          <w:tcPr>
            <w:tcW w:w="900" w:type="dxa"/>
            <w:tcBorders>
              <w:top w:val="nil"/>
              <w:left w:val="nil"/>
              <w:bottom w:val="single" w:sz="12" w:space="0" w:color="auto"/>
              <w:right w:val="single" w:sz="4" w:space="0" w:color="auto"/>
            </w:tcBorders>
            <w:shd w:val="clear" w:color="auto" w:fill="auto"/>
            <w:noWrap/>
            <w:vAlign w:val="center"/>
            <w:hideMark/>
          </w:tcPr>
          <w:p w14:paraId="3A2C7C63" w14:textId="77777777" w:rsidR="00A4283D" w:rsidRPr="004F469F" w:rsidRDefault="00A4283D" w:rsidP="008E73D1">
            <w:pPr>
              <w:jc w:val="center"/>
              <w:rPr>
                <w:sz w:val="20"/>
                <w:szCs w:val="20"/>
              </w:rPr>
            </w:pPr>
            <w:r w:rsidRPr="004F469F">
              <w:rPr>
                <w:sz w:val="20"/>
                <w:szCs w:val="20"/>
              </w:rPr>
              <w:t>391</w:t>
            </w:r>
          </w:p>
        </w:tc>
        <w:tc>
          <w:tcPr>
            <w:tcW w:w="900" w:type="dxa"/>
            <w:tcBorders>
              <w:top w:val="nil"/>
              <w:left w:val="nil"/>
              <w:bottom w:val="single" w:sz="12" w:space="0" w:color="auto"/>
              <w:right w:val="single" w:sz="4" w:space="0" w:color="auto"/>
            </w:tcBorders>
            <w:shd w:val="clear" w:color="auto" w:fill="auto"/>
            <w:noWrap/>
            <w:vAlign w:val="center"/>
            <w:hideMark/>
          </w:tcPr>
          <w:p w14:paraId="57ACBEF3" w14:textId="77777777" w:rsidR="00A4283D" w:rsidRPr="004F469F" w:rsidRDefault="00A4283D" w:rsidP="008E73D1">
            <w:pPr>
              <w:jc w:val="center"/>
              <w:rPr>
                <w:sz w:val="20"/>
                <w:szCs w:val="20"/>
              </w:rPr>
            </w:pPr>
            <w:r w:rsidRPr="004F469F">
              <w:rPr>
                <w:sz w:val="20"/>
                <w:szCs w:val="20"/>
              </w:rPr>
              <w:t>29.91</w:t>
            </w:r>
          </w:p>
        </w:tc>
        <w:tc>
          <w:tcPr>
            <w:tcW w:w="1080" w:type="dxa"/>
            <w:tcBorders>
              <w:top w:val="nil"/>
              <w:left w:val="nil"/>
              <w:bottom w:val="single" w:sz="12" w:space="0" w:color="auto"/>
              <w:right w:val="single" w:sz="4" w:space="0" w:color="auto"/>
            </w:tcBorders>
            <w:shd w:val="clear" w:color="auto" w:fill="auto"/>
            <w:noWrap/>
            <w:vAlign w:val="center"/>
            <w:hideMark/>
          </w:tcPr>
          <w:p w14:paraId="19265A14" w14:textId="77777777" w:rsidR="00A4283D" w:rsidRPr="004F469F" w:rsidRDefault="00A4283D" w:rsidP="008E73D1">
            <w:pPr>
              <w:jc w:val="center"/>
              <w:rPr>
                <w:sz w:val="20"/>
                <w:szCs w:val="20"/>
              </w:rPr>
            </w:pPr>
            <w:r w:rsidRPr="004F469F">
              <w:rPr>
                <w:sz w:val="20"/>
                <w:szCs w:val="20"/>
              </w:rPr>
              <w:t>70.04</w:t>
            </w:r>
          </w:p>
        </w:tc>
        <w:tc>
          <w:tcPr>
            <w:tcW w:w="1080" w:type="dxa"/>
            <w:tcBorders>
              <w:top w:val="nil"/>
              <w:left w:val="nil"/>
              <w:bottom w:val="single" w:sz="12" w:space="0" w:color="auto"/>
              <w:right w:val="single" w:sz="4" w:space="0" w:color="auto"/>
            </w:tcBorders>
            <w:shd w:val="clear" w:color="auto" w:fill="auto"/>
            <w:noWrap/>
            <w:vAlign w:val="center"/>
            <w:hideMark/>
          </w:tcPr>
          <w:p w14:paraId="6F5A7705" w14:textId="77777777" w:rsidR="00A4283D" w:rsidRPr="004F469F" w:rsidRDefault="00A4283D" w:rsidP="008E73D1">
            <w:pPr>
              <w:jc w:val="center"/>
              <w:rPr>
                <w:sz w:val="20"/>
                <w:szCs w:val="20"/>
              </w:rPr>
            </w:pPr>
            <w:r w:rsidRPr="004F469F">
              <w:rPr>
                <w:sz w:val="20"/>
                <w:szCs w:val="20"/>
              </w:rPr>
              <w:t>0.05</w:t>
            </w:r>
          </w:p>
        </w:tc>
        <w:tc>
          <w:tcPr>
            <w:tcW w:w="1080" w:type="dxa"/>
            <w:tcBorders>
              <w:top w:val="nil"/>
              <w:left w:val="nil"/>
              <w:bottom w:val="single" w:sz="12" w:space="0" w:color="auto"/>
              <w:right w:val="single" w:sz="4" w:space="0" w:color="auto"/>
            </w:tcBorders>
            <w:shd w:val="clear" w:color="auto" w:fill="auto"/>
            <w:noWrap/>
            <w:vAlign w:val="center"/>
            <w:hideMark/>
          </w:tcPr>
          <w:p w14:paraId="7C94FF23" w14:textId="77777777" w:rsidR="00A4283D" w:rsidRPr="004F469F" w:rsidRDefault="00A4283D" w:rsidP="008E73D1">
            <w:pPr>
              <w:jc w:val="center"/>
              <w:rPr>
                <w:sz w:val="20"/>
                <w:szCs w:val="20"/>
              </w:rPr>
            </w:pPr>
            <w:r w:rsidRPr="004F469F">
              <w:rPr>
                <w:sz w:val="20"/>
                <w:szCs w:val="20"/>
              </w:rPr>
              <w:t>1,212,823</w:t>
            </w:r>
          </w:p>
        </w:tc>
        <w:tc>
          <w:tcPr>
            <w:tcW w:w="900" w:type="dxa"/>
            <w:tcBorders>
              <w:top w:val="nil"/>
              <w:left w:val="nil"/>
              <w:bottom w:val="single" w:sz="12" w:space="0" w:color="auto"/>
              <w:right w:val="single" w:sz="4" w:space="0" w:color="auto"/>
            </w:tcBorders>
            <w:shd w:val="clear" w:color="auto" w:fill="auto"/>
            <w:noWrap/>
            <w:vAlign w:val="center"/>
            <w:hideMark/>
          </w:tcPr>
          <w:p w14:paraId="7B0CD986" w14:textId="77777777" w:rsidR="00A4283D" w:rsidRPr="004F469F" w:rsidRDefault="00A4283D" w:rsidP="008E73D1">
            <w:pPr>
              <w:jc w:val="center"/>
              <w:rPr>
                <w:sz w:val="20"/>
                <w:szCs w:val="20"/>
              </w:rPr>
            </w:pPr>
            <w:r w:rsidRPr="004F469F">
              <w:rPr>
                <w:sz w:val="20"/>
                <w:szCs w:val="20"/>
              </w:rPr>
              <w:t>627</w:t>
            </w:r>
          </w:p>
        </w:tc>
        <w:tc>
          <w:tcPr>
            <w:tcW w:w="900" w:type="dxa"/>
            <w:tcBorders>
              <w:top w:val="nil"/>
              <w:left w:val="nil"/>
              <w:bottom w:val="single" w:sz="12" w:space="0" w:color="auto"/>
              <w:right w:val="single" w:sz="4" w:space="0" w:color="auto"/>
            </w:tcBorders>
            <w:shd w:val="clear" w:color="auto" w:fill="auto"/>
            <w:noWrap/>
            <w:vAlign w:val="center"/>
            <w:hideMark/>
          </w:tcPr>
          <w:p w14:paraId="3701D49A" w14:textId="77777777" w:rsidR="00A4283D" w:rsidRPr="004F469F" w:rsidRDefault="00A4283D" w:rsidP="008E73D1">
            <w:pPr>
              <w:jc w:val="center"/>
              <w:rPr>
                <w:sz w:val="20"/>
                <w:szCs w:val="20"/>
              </w:rPr>
            </w:pPr>
            <w:r w:rsidRPr="004F469F">
              <w:rPr>
                <w:sz w:val="20"/>
                <w:szCs w:val="20"/>
              </w:rPr>
              <w:t>20.75</w:t>
            </w:r>
          </w:p>
        </w:tc>
        <w:tc>
          <w:tcPr>
            <w:tcW w:w="1080" w:type="dxa"/>
            <w:tcBorders>
              <w:top w:val="nil"/>
              <w:left w:val="nil"/>
              <w:bottom w:val="single" w:sz="12" w:space="0" w:color="auto"/>
              <w:right w:val="single" w:sz="4" w:space="0" w:color="auto"/>
            </w:tcBorders>
            <w:shd w:val="clear" w:color="auto" w:fill="auto"/>
            <w:noWrap/>
            <w:vAlign w:val="center"/>
            <w:hideMark/>
          </w:tcPr>
          <w:p w14:paraId="5C45F993" w14:textId="77777777" w:rsidR="00A4283D" w:rsidRPr="004F469F" w:rsidRDefault="00A4283D" w:rsidP="008E73D1">
            <w:pPr>
              <w:jc w:val="center"/>
              <w:rPr>
                <w:sz w:val="20"/>
                <w:szCs w:val="20"/>
              </w:rPr>
            </w:pPr>
            <w:r w:rsidRPr="004F469F">
              <w:rPr>
                <w:sz w:val="20"/>
                <w:szCs w:val="20"/>
              </w:rPr>
              <w:t>79.20</w:t>
            </w:r>
          </w:p>
        </w:tc>
        <w:tc>
          <w:tcPr>
            <w:tcW w:w="1080" w:type="dxa"/>
            <w:tcBorders>
              <w:top w:val="nil"/>
              <w:left w:val="nil"/>
              <w:bottom w:val="single" w:sz="12" w:space="0" w:color="auto"/>
              <w:right w:val="single" w:sz="4" w:space="0" w:color="auto"/>
            </w:tcBorders>
            <w:shd w:val="clear" w:color="auto" w:fill="auto"/>
            <w:noWrap/>
            <w:vAlign w:val="center"/>
            <w:hideMark/>
          </w:tcPr>
          <w:p w14:paraId="0384703F" w14:textId="77777777" w:rsidR="00A4283D" w:rsidRPr="004F469F" w:rsidRDefault="00A4283D" w:rsidP="008E73D1">
            <w:pPr>
              <w:jc w:val="center"/>
              <w:rPr>
                <w:sz w:val="20"/>
                <w:szCs w:val="20"/>
              </w:rPr>
            </w:pPr>
            <w:r w:rsidRPr="004F469F">
              <w:rPr>
                <w:sz w:val="20"/>
                <w:szCs w:val="20"/>
              </w:rPr>
              <w:t>0.05</w:t>
            </w:r>
          </w:p>
        </w:tc>
      </w:tr>
      <w:tr w:rsidR="002F321E" w:rsidRPr="004F469F" w14:paraId="56FE547B" w14:textId="77777777" w:rsidTr="002F321E">
        <w:trPr>
          <w:trHeight w:val="320"/>
        </w:trPr>
        <w:tc>
          <w:tcPr>
            <w:tcW w:w="125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41B919D" w14:textId="77777777" w:rsidR="00A4283D" w:rsidRPr="004F469F" w:rsidRDefault="00A4283D" w:rsidP="008E73D1">
            <w:pPr>
              <w:jc w:val="center"/>
              <w:rPr>
                <w:i/>
                <w:iCs/>
                <w:sz w:val="20"/>
                <w:szCs w:val="20"/>
              </w:rPr>
            </w:pPr>
            <w:r w:rsidRPr="004F469F">
              <w:rPr>
                <w:i/>
                <w:iCs/>
                <w:sz w:val="20"/>
                <w:szCs w:val="20"/>
              </w:rPr>
              <w:t>OKC Metro</w:t>
            </w:r>
          </w:p>
        </w:tc>
        <w:tc>
          <w:tcPr>
            <w:tcW w:w="720" w:type="dxa"/>
            <w:tcBorders>
              <w:top w:val="single" w:sz="12" w:space="0" w:color="auto"/>
              <w:left w:val="nil"/>
              <w:bottom w:val="single" w:sz="12" w:space="0" w:color="auto"/>
              <w:right w:val="single" w:sz="4" w:space="0" w:color="auto"/>
            </w:tcBorders>
            <w:shd w:val="clear" w:color="auto" w:fill="auto"/>
            <w:noWrap/>
            <w:vAlign w:val="center"/>
            <w:hideMark/>
          </w:tcPr>
          <w:p w14:paraId="40AE112C" w14:textId="77777777" w:rsidR="00A4283D" w:rsidRPr="004F469F" w:rsidRDefault="00A4283D" w:rsidP="008E73D1">
            <w:pPr>
              <w:jc w:val="center"/>
              <w:rPr>
                <w:i/>
                <w:iCs/>
                <w:sz w:val="20"/>
                <w:szCs w:val="20"/>
              </w:rPr>
            </w:pPr>
            <w:r w:rsidRPr="004F469F">
              <w:rPr>
                <w:i/>
                <w:iCs/>
                <w:sz w:val="20"/>
                <w:szCs w:val="20"/>
              </w:rPr>
              <w:t>5,944</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70D5965B" w14:textId="77777777" w:rsidR="00A4283D" w:rsidRPr="004F469F" w:rsidRDefault="00A4283D" w:rsidP="008E73D1">
            <w:pPr>
              <w:jc w:val="center"/>
              <w:rPr>
                <w:i/>
                <w:iCs/>
                <w:sz w:val="20"/>
                <w:szCs w:val="20"/>
              </w:rPr>
            </w:pPr>
            <w:r w:rsidRPr="004F469F">
              <w:rPr>
                <w:i/>
                <w:iCs/>
                <w:sz w:val="20"/>
                <w:szCs w:val="20"/>
              </w:rPr>
              <w:t>1,171,185</w:t>
            </w:r>
          </w:p>
        </w:tc>
        <w:tc>
          <w:tcPr>
            <w:tcW w:w="900" w:type="dxa"/>
            <w:tcBorders>
              <w:top w:val="single" w:sz="12" w:space="0" w:color="auto"/>
              <w:left w:val="nil"/>
              <w:bottom w:val="single" w:sz="12" w:space="0" w:color="auto"/>
              <w:right w:val="single" w:sz="4" w:space="0" w:color="auto"/>
            </w:tcBorders>
            <w:shd w:val="clear" w:color="auto" w:fill="auto"/>
            <w:noWrap/>
            <w:vAlign w:val="center"/>
            <w:hideMark/>
          </w:tcPr>
          <w:p w14:paraId="4CF604F0" w14:textId="77777777" w:rsidR="00A4283D" w:rsidRPr="004F469F" w:rsidRDefault="00A4283D" w:rsidP="008E73D1">
            <w:pPr>
              <w:jc w:val="center"/>
              <w:rPr>
                <w:i/>
                <w:iCs/>
                <w:sz w:val="20"/>
                <w:szCs w:val="20"/>
              </w:rPr>
            </w:pPr>
            <w:r w:rsidRPr="004F469F">
              <w:rPr>
                <w:i/>
                <w:iCs/>
                <w:sz w:val="20"/>
                <w:szCs w:val="20"/>
              </w:rPr>
              <w:t>197</w:t>
            </w:r>
          </w:p>
        </w:tc>
        <w:tc>
          <w:tcPr>
            <w:tcW w:w="900" w:type="dxa"/>
            <w:tcBorders>
              <w:top w:val="single" w:sz="12" w:space="0" w:color="auto"/>
              <w:left w:val="nil"/>
              <w:bottom w:val="single" w:sz="12" w:space="0" w:color="auto"/>
              <w:right w:val="single" w:sz="4" w:space="0" w:color="auto"/>
            </w:tcBorders>
            <w:shd w:val="clear" w:color="auto" w:fill="auto"/>
            <w:noWrap/>
            <w:vAlign w:val="center"/>
            <w:hideMark/>
          </w:tcPr>
          <w:p w14:paraId="152849FA" w14:textId="77777777" w:rsidR="00A4283D" w:rsidRPr="004F469F" w:rsidRDefault="00A4283D" w:rsidP="008E73D1">
            <w:pPr>
              <w:jc w:val="center"/>
              <w:rPr>
                <w:i/>
                <w:iCs/>
                <w:sz w:val="20"/>
                <w:szCs w:val="20"/>
              </w:rPr>
            </w:pPr>
            <w:r w:rsidRPr="004F469F">
              <w:rPr>
                <w:i/>
                <w:iCs/>
                <w:sz w:val="20"/>
                <w:szCs w:val="20"/>
              </w:rPr>
              <w:t>35.95</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45AAA6AE" w14:textId="77777777" w:rsidR="00A4283D" w:rsidRPr="004F469F" w:rsidRDefault="00A4283D" w:rsidP="008E73D1">
            <w:pPr>
              <w:jc w:val="center"/>
              <w:rPr>
                <w:i/>
                <w:iCs/>
                <w:sz w:val="20"/>
                <w:szCs w:val="20"/>
              </w:rPr>
            </w:pPr>
            <w:r w:rsidRPr="004F469F">
              <w:rPr>
                <w:i/>
                <w:iCs/>
                <w:sz w:val="20"/>
                <w:szCs w:val="20"/>
              </w:rPr>
              <w:t>64.02</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3EC93727" w14:textId="77777777" w:rsidR="00A4283D" w:rsidRPr="004F469F" w:rsidRDefault="00A4283D" w:rsidP="008E73D1">
            <w:pPr>
              <w:jc w:val="center"/>
              <w:rPr>
                <w:i/>
                <w:iCs/>
                <w:sz w:val="20"/>
                <w:szCs w:val="20"/>
              </w:rPr>
            </w:pPr>
            <w:r w:rsidRPr="004F469F">
              <w:rPr>
                <w:i/>
                <w:iCs/>
                <w:sz w:val="20"/>
                <w:szCs w:val="20"/>
              </w:rPr>
              <w:t>0.04</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4855BA1F" w14:textId="77777777" w:rsidR="00A4283D" w:rsidRPr="004F469F" w:rsidRDefault="00A4283D" w:rsidP="008E73D1">
            <w:pPr>
              <w:jc w:val="center"/>
              <w:rPr>
                <w:i/>
                <w:iCs/>
                <w:sz w:val="20"/>
                <w:szCs w:val="20"/>
              </w:rPr>
            </w:pPr>
            <w:r w:rsidRPr="004F469F">
              <w:rPr>
                <w:i/>
                <w:iCs/>
                <w:sz w:val="20"/>
                <w:szCs w:val="20"/>
              </w:rPr>
              <w:t>2,252,564</w:t>
            </w:r>
          </w:p>
        </w:tc>
        <w:tc>
          <w:tcPr>
            <w:tcW w:w="900" w:type="dxa"/>
            <w:tcBorders>
              <w:top w:val="single" w:sz="12" w:space="0" w:color="auto"/>
              <w:left w:val="nil"/>
              <w:bottom w:val="single" w:sz="12" w:space="0" w:color="auto"/>
              <w:right w:val="single" w:sz="4" w:space="0" w:color="auto"/>
            </w:tcBorders>
            <w:shd w:val="clear" w:color="auto" w:fill="auto"/>
            <w:noWrap/>
            <w:vAlign w:val="center"/>
            <w:hideMark/>
          </w:tcPr>
          <w:p w14:paraId="1BD200C5" w14:textId="77777777" w:rsidR="00A4283D" w:rsidRPr="004F469F" w:rsidRDefault="00A4283D" w:rsidP="008E73D1">
            <w:pPr>
              <w:jc w:val="center"/>
              <w:rPr>
                <w:i/>
                <w:iCs/>
                <w:sz w:val="20"/>
                <w:szCs w:val="20"/>
              </w:rPr>
            </w:pPr>
            <w:r w:rsidRPr="004F469F">
              <w:rPr>
                <w:i/>
                <w:iCs/>
                <w:sz w:val="20"/>
                <w:szCs w:val="20"/>
              </w:rPr>
              <w:t>379</w:t>
            </w:r>
          </w:p>
        </w:tc>
        <w:tc>
          <w:tcPr>
            <w:tcW w:w="900" w:type="dxa"/>
            <w:tcBorders>
              <w:top w:val="single" w:sz="12" w:space="0" w:color="auto"/>
              <w:left w:val="nil"/>
              <w:bottom w:val="single" w:sz="12" w:space="0" w:color="auto"/>
              <w:right w:val="single" w:sz="4" w:space="0" w:color="auto"/>
            </w:tcBorders>
            <w:shd w:val="clear" w:color="auto" w:fill="auto"/>
            <w:noWrap/>
            <w:vAlign w:val="center"/>
            <w:hideMark/>
          </w:tcPr>
          <w:p w14:paraId="6274404F" w14:textId="77777777" w:rsidR="00A4283D" w:rsidRPr="004F469F" w:rsidRDefault="00A4283D" w:rsidP="008E73D1">
            <w:pPr>
              <w:jc w:val="center"/>
              <w:rPr>
                <w:i/>
                <w:iCs/>
                <w:sz w:val="20"/>
                <w:szCs w:val="20"/>
              </w:rPr>
            </w:pPr>
            <w:r w:rsidRPr="004F469F">
              <w:rPr>
                <w:i/>
                <w:iCs/>
                <w:sz w:val="20"/>
                <w:szCs w:val="20"/>
              </w:rPr>
              <w:t>26.62</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20D40020" w14:textId="77777777" w:rsidR="00A4283D" w:rsidRPr="004F469F" w:rsidRDefault="00A4283D" w:rsidP="008E73D1">
            <w:pPr>
              <w:jc w:val="center"/>
              <w:rPr>
                <w:i/>
                <w:iCs/>
                <w:sz w:val="20"/>
                <w:szCs w:val="20"/>
              </w:rPr>
            </w:pPr>
            <w:r w:rsidRPr="004F469F">
              <w:rPr>
                <w:i/>
                <w:iCs/>
                <w:sz w:val="20"/>
                <w:szCs w:val="20"/>
              </w:rPr>
              <w:t>73.34</w:t>
            </w:r>
          </w:p>
        </w:tc>
        <w:tc>
          <w:tcPr>
            <w:tcW w:w="1080" w:type="dxa"/>
            <w:tcBorders>
              <w:top w:val="single" w:sz="12" w:space="0" w:color="auto"/>
              <w:left w:val="nil"/>
              <w:bottom w:val="single" w:sz="12" w:space="0" w:color="auto"/>
              <w:right w:val="single" w:sz="4" w:space="0" w:color="auto"/>
            </w:tcBorders>
            <w:shd w:val="clear" w:color="auto" w:fill="auto"/>
            <w:noWrap/>
            <w:vAlign w:val="center"/>
            <w:hideMark/>
          </w:tcPr>
          <w:p w14:paraId="001594E9" w14:textId="77777777" w:rsidR="00A4283D" w:rsidRPr="004F469F" w:rsidRDefault="00A4283D" w:rsidP="008E73D1">
            <w:pPr>
              <w:jc w:val="center"/>
              <w:rPr>
                <w:i/>
                <w:iCs/>
                <w:sz w:val="20"/>
                <w:szCs w:val="20"/>
              </w:rPr>
            </w:pPr>
            <w:r w:rsidRPr="004F469F">
              <w:rPr>
                <w:i/>
                <w:iCs/>
                <w:sz w:val="20"/>
                <w:szCs w:val="20"/>
              </w:rPr>
              <w:t>0.04</w:t>
            </w:r>
          </w:p>
        </w:tc>
      </w:tr>
    </w:tbl>
    <w:p w14:paraId="75FBE878" w14:textId="77777777" w:rsidR="00A4283D" w:rsidRPr="004F469F" w:rsidRDefault="00A4283D" w:rsidP="00A4283D">
      <w:pPr>
        <w:widowControl w:val="0"/>
        <w:autoSpaceDE w:val="0"/>
        <w:autoSpaceDN w:val="0"/>
        <w:adjustRightInd w:val="0"/>
        <w:ind w:left="480" w:hanging="480"/>
        <w:rPr>
          <w:sz w:val="20"/>
          <w:szCs w:val="20"/>
        </w:rPr>
      </w:pPr>
    </w:p>
    <w:p w14:paraId="5C123FC0" w14:textId="77777777" w:rsidR="00A4283D" w:rsidRPr="004F469F" w:rsidRDefault="00A4283D" w:rsidP="00A4283D">
      <w:pPr>
        <w:widowControl w:val="0"/>
        <w:autoSpaceDE w:val="0"/>
        <w:autoSpaceDN w:val="0"/>
        <w:adjustRightInd w:val="0"/>
        <w:rPr>
          <w:sz w:val="20"/>
          <w:szCs w:val="20"/>
        </w:rPr>
      </w:pPr>
    </w:p>
    <w:p w14:paraId="432481D7" w14:textId="77777777" w:rsidR="00A4283D" w:rsidRPr="004F469F" w:rsidRDefault="00A4283D" w:rsidP="00A4283D">
      <w:pPr>
        <w:widowControl w:val="0"/>
        <w:autoSpaceDE w:val="0"/>
        <w:autoSpaceDN w:val="0"/>
        <w:adjustRightInd w:val="0"/>
        <w:rPr>
          <w:sz w:val="20"/>
          <w:szCs w:val="20"/>
        </w:rPr>
      </w:pPr>
    </w:p>
    <w:p w14:paraId="6EA18540" w14:textId="77777777" w:rsidR="00A4283D" w:rsidRPr="004F469F" w:rsidRDefault="00A4283D" w:rsidP="00A4283D">
      <w:pPr>
        <w:rPr>
          <w:sz w:val="20"/>
          <w:szCs w:val="20"/>
        </w:rPr>
      </w:pPr>
    </w:p>
    <w:p w14:paraId="23B11C9C" w14:textId="77777777" w:rsidR="00A4283D" w:rsidRPr="004F469F" w:rsidRDefault="00A4283D" w:rsidP="00A4283D">
      <w:pPr>
        <w:rPr>
          <w:sz w:val="20"/>
          <w:szCs w:val="20"/>
        </w:rPr>
      </w:pPr>
    </w:p>
    <w:p w14:paraId="02FCA8A3" w14:textId="77777777" w:rsidR="00A4283D" w:rsidRPr="004F469F" w:rsidRDefault="00A4283D" w:rsidP="00A4283D">
      <w:pPr>
        <w:rPr>
          <w:sz w:val="20"/>
          <w:szCs w:val="20"/>
        </w:rPr>
      </w:pPr>
    </w:p>
    <w:p w14:paraId="336FB89B" w14:textId="77777777" w:rsidR="00A4283D" w:rsidRPr="004F469F" w:rsidRDefault="00A4283D" w:rsidP="00A4283D">
      <w:pPr>
        <w:rPr>
          <w:sz w:val="20"/>
          <w:szCs w:val="20"/>
        </w:rPr>
      </w:pPr>
    </w:p>
    <w:p w14:paraId="74A1A2E9" w14:textId="77777777" w:rsidR="00A4283D" w:rsidRPr="004F469F" w:rsidRDefault="00A4283D" w:rsidP="00A4283D">
      <w:pPr>
        <w:rPr>
          <w:sz w:val="20"/>
          <w:szCs w:val="20"/>
        </w:rPr>
      </w:pPr>
    </w:p>
    <w:p w14:paraId="5A80B0DC" w14:textId="77777777" w:rsidR="00A4283D" w:rsidRPr="004F469F" w:rsidRDefault="00A4283D" w:rsidP="00A4283D">
      <w:pPr>
        <w:rPr>
          <w:sz w:val="20"/>
          <w:szCs w:val="20"/>
        </w:rPr>
      </w:pPr>
    </w:p>
    <w:p w14:paraId="28A12995" w14:textId="77777777" w:rsidR="00A4283D" w:rsidRPr="004F469F" w:rsidRDefault="00A4283D" w:rsidP="00A4283D">
      <w:pPr>
        <w:rPr>
          <w:sz w:val="20"/>
          <w:szCs w:val="20"/>
        </w:rPr>
      </w:pPr>
    </w:p>
    <w:p w14:paraId="26C6592B" w14:textId="77777777" w:rsidR="00A4283D" w:rsidRPr="004F469F" w:rsidRDefault="00A4283D" w:rsidP="00A4283D">
      <w:pPr>
        <w:rPr>
          <w:sz w:val="20"/>
          <w:szCs w:val="20"/>
        </w:rPr>
      </w:pPr>
    </w:p>
    <w:p w14:paraId="11895C08" w14:textId="77777777" w:rsidR="00A4283D" w:rsidRPr="004F469F" w:rsidRDefault="00A4283D" w:rsidP="00A4283D">
      <w:pPr>
        <w:rPr>
          <w:sz w:val="20"/>
          <w:szCs w:val="20"/>
        </w:rPr>
      </w:pPr>
    </w:p>
    <w:p w14:paraId="536170A2" w14:textId="77777777" w:rsidR="00A4283D" w:rsidRPr="004F469F" w:rsidRDefault="00A4283D" w:rsidP="00A4283D">
      <w:pPr>
        <w:rPr>
          <w:sz w:val="20"/>
          <w:szCs w:val="20"/>
        </w:rPr>
      </w:pPr>
    </w:p>
    <w:p w14:paraId="70C5F148" w14:textId="77777777" w:rsidR="00A4283D" w:rsidRPr="004F469F" w:rsidRDefault="00A4283D" w:rsidP="00A4283D">
      <w:pPr>
        <w:rPr>
          <w:sz w:val="20"/>
          <w:szCs w:val="20"/>
        </w:rPr>
      </w:pPr>
    </w:p>
    <w:p w14:paraId="767A0888" w14:textId="77777777" w:rsidR="00A4283D" w:rsidRPr="004F469F" w:rsidRDefault="00A4283D" w:rsidP="00A4283D">
      <w:pPr>
        <w:rPr>
          <w:sz w:val="20"/>
          <w:szCs w:val="20"/>
        </w:rPr>
      </w:pPr>
    </w:p>
    <w:p w14:paraId="7D159D70" w14:textId="77777777" w:rsidR="00A4283D" w:rsidRPr="004F469F" w:rsidRDefault="00A4283D" w:rsidP="00A4283D">
      <w:pPr>
        <w:rPr>
          <w:sz w:val="20"/>
          <w:szCs w:val="20"/>
        </w:rPr>
      </w:pPr>
    </w:p>
    <w:p w14:paraId="2D24D9ED" w14:textId="77777777" w:rsidR="00A4283D" w:rsidRPr="004F469F" w:rsidRDefault="00A4283D" w:rsidP="00A4283D">
      <w:pPr>
        <w:rPr>
          <w:sz w:val="20"/>
          <w:szCs w:val="20"/>
        </w:rPr>
      </w:pPr>
    </w:p>
    <w:p w14:paraId="3494AB4E" w14:textId="77777777" w:rsidR="00A4283D" w:rsidRPr="004F469F" w:rsidRDefault="00A4283D" w:rsidP="00A4283D">
      <w:pPr>
        <w:rPr>
          <w:sz w:val="20"/>
          <w:szCs w:val="20"/>
        </w:rPr>
      </w:pPr>
    </w:p>
    <w:p w14:paraId="336263D6" w14:textId="77777777" w:rsidR="00A4283D" w:rsidRPr="004F469F" w:rsidRDefault="00A4283D" w:rsidP="00A4283D">
      <w:pPr>
        <w:rPr>
          <w:sz w:val="20"/>
          <w:szCs w:val="20"/>
        </w:rPr>
      </w:pPr>
    </w:p>
    <w:p w14:paraId="7CF54813" w14:textId="77777777" w:rsidR="00A4283D" w:rsidRPr="004F469F" w:rsidRDefault="00A4283D" w:rsidP="00A4283D">
      <w:pPr>
        <w:rPr>
          <w:sz w:val="20"/>
          <w:szCs w:val="20"/>
        </w:rPr>
      </w:pPr>
    </w:p>
    <w:p w14:paraId="33FD039C" w14:textId="77777777" w:rsidR="00A4283D" w:rsidRPr="004F469F" w:rsidRDefault="00A4283D" w:rsidP="00A4283D">
      <w:pPr>
        <w:rPr>
          <w:sz w:val="20"/>
          <w:szCs w:val="20"/>
        </w:rPr>
      </w:pPr>
    </w:p>
    <w:p w14:paraId="13D80A62" w14:textId="77777777" w:rsidR="008E73D1" w:rsidRPr="004F469F" w:rsidRDefault="008E73D1" w:rsidP="00A4283D">
      <w:pPr>
        <w:rPr>
          <w:sz w:val="20"/>
          <w:szCs w:val="20"/>
        </w:rPr>
        <w:sectPr w:rsidR="008E73D1" w:rsidRPr="004F469F" w:rsidSect="008E73D1">
          <w:pgSz w:w="15840" w:h="12240" w:orient="landscape"/>
          <w:pgMar w:top="1440" w:right="1440" w:bottom="1440" w:left="1440" w:header="720" w:footer="720" w:gutter="0"/>
          <w:cols w:space="720"/>
          <w:docGrid w:linePitch="360"/>
        </w:sectPr>
      </w:pPr>
    </w:p>
    <w:p w14:paraId="578C8D48" w14:textId="3D2E2B5C" w:rsidR="008E73D1" w:rsidRPr="004F469F" w:rsidRDefault="008E73D1" w:rsidP="008E73D1">
      <w:bookmarkStart w:id="95" w:name="_Toc22035002"/>
      <w:r w:rsidRPr="004F469F">
        <w:lastRenderedPageBreak/>
        <w:t xml:space="preserve">Table </w:t>
      </w:r>
      <w:fldSimple w:instr=" STYLEREF 1 \s ">
        <w:r w:rsidR="00F95F7F">
          <w:rPr>
            <w:noProof/>
          </w:rPr>
          <w:t>4</w:t>
        </w:r>
      </w:fldSimple>
      <w:r w:rsidR="00783C30">
        <w:t>.</w:t>
      </w:r>
      <w:fldSimple w:instr=" SEQ Table \* ARABIC \s 1 ">
        <w:r w:rsidR="00F95F7F">
          <w:rPr>
            <w:noProof/>
          </w:rPr>
          <w:t>2</w:t>
        </w:r>
      </w:fldSimple>
      <w:r w:rsidRPr="004F469F">
        <w:t>. Rules for allocation of population density at each time step for the urbanization scenarios</w:t>
      </w:r>
      <w:bookmarkEnd w:id="95"/>
    </w:p>
    <w:p w14:paraId="0B8B4F5D" w14:textId="77777777" w:rsidR="008E73D1" w:rsidRPr="004F469F" w:rsidRDefault="008E73D1" w:rsidP="008E73D1">
      <w:pPr>
        <w:rPr>
          <w:sz w:val="20"/>
          <w:szCs w:val="20"/>
        </w:rPr>
      </w:pPr>
    </w:p>
    <w:tbl>
      <w:tblPr>
        <w:tblW w:w="6160" w:type="dxa"/>
        <w:tblLook w:val="04A0" w:firstRow="1" w:lastRow="0" w:firstColumn="1" w:lastColumn="0" w:noHBand="0" w:noVBand="1"/>
      </w:tblPr>
      <w:tblGrid>
        <w:gridCol w:w="4860"/>
        <w:gridCol w:w="1300"/>
      </w:tblGrid>
      <w:tr w:rsidR="00494669" w:rsidRPr="004F469F" w14:paraId="1BB321BC" w14:textId="77777777" w:rsidTr="00A4283D">
        <w:trPr>
          <w:trHeight w:val="20"/>
        </w:trPr>
        <w:tc>
          <w:tcPr>
            <w:tcW w:w="4860" w:type="dxa"/>
            <w:tcBorders>
              <w:top w:val="single" w:sz="18" w:space="0" w:color="auto"/>
              <w:left w:val="single" w:sz="18" w:space="0" w:color="auto"/>
              <w:bottom w:val="single" w:sz="2" w:space="0" w:color="auto"/>
              <w:right w:val="single" w:sz="2" w:space="0" w:color="auto"/>
            </w:tcBorders>
            <w:shd w:val="clear" w:color="auto" w:fill="auto"/>
            <w:vAlign w:val="bottom"/>
            <w:hideMark/>
          </w:tcPr>
          <w:p w14:paraId="41639E86" w14:textId="77777777" w:rsidR="00A4283D" w:rsidRPr="004F469F" w:rsidRDefault="00A4283D" w:rsidP="00A4283D">
            <w:pPr>
              <w:rPr>
                <w:b/>
                <w:bCs/>
                <w:sz w:val="20"/>
                <w:szCs w:val="20"/>
              </w:rPr>
            </w:pPr>
            <w:r w:rsidRPr="004F469F">
              <w:rPr>
                <w:b/>
                <w:bCs/>
                <w:sz w:val="20"/>
                <w:szCs w:val="20"/>
              </w:rPr>
              <w:t>Rule</w:t>
            </w:r>
          </w:p>
        </w:tc>
        <w:tc>
          <w:tcPr>
            <w:tcW w:w="1300" w:type="dxa"/>
            <w:tcBorders>
              <w:top w:val="single" w:sz="18" w:space="0" w:color="auto"/>
              <w:left w:val="single" w:sz="2" w:space="0" w:color="auto"/>
              <w:bottom w:val="single" w:sz="2" w:space="0" w:color="auto"/>
              <w:right w:val="single" w:sz="18" w:space="0" w:color="auto"/>
            </w:tcBorders>
            <w:shd w:val="clear" w:color="auto" w:fill="auto"/>
            <w:noWrap/>
            <w:vAlign w:val="bottom"/>
            <w:hideMark/>
          </w:tcPr>
          <w:p w14:paraId="25C5434A" w14:textId="77777777" w:rsidR="00A4283D" w:rsidRPr="004F469F" w:rsidRDefault="00A4283D" w:rsidP="00A4283D">
            <w:pPr>
              <w:rPr>
                <w:b/>
                <w:bCs/>
                <w:sz w:val="20"/>
                <w:szCs w:val="20"/>
              </w:rPr>
            </w:pPr>
            <w:r w:rsidRPr="004F469F">
              <w:rPr>
                <w:b/>
                <w:bCs/>
                <w:sz w:val="20"/>
                <w:szCs w:val="20"/>
              </w:rPr>
              <w:t>Percent Allocation</w:t>
            </w:r>
          </w:p>
        </w:tc>
      </w:tr>
      <w:tr w:rsidR="00494669" w:rsidRPr="004F469F" w14:paraId="320E5369" w14:textId="77777777" w:rsidTr="00A4283D">
        <w:trPr>
          <w:trHeight w:val="20"/>
        </w:trPr>
        <w:tc>
          <w:tcPr>
            <w:tcW w:w="4860" w:type="dxa"/>
            <w:tcBorders>
              <w:top w:val="single" w:sz="2" w:space="0" w:color="auto"/>
              <w:left w:val="single" w:sz="18" w:space="0" w:color="auto"/>
              <w:bottom w:val="single" w:sz="2" w:space="0" w:color="auto"/>
              <w:right w:val="single" w:sz="2" w:space="0" w:color="auto"/>
            </w:tcBorders>
            <w:shd w:val="clear" w:color="auto" w:fill="auto"/>
            <w:vAlign w:val="bottom"/>
            <w:hideMark/>
          </w:tcPr>
          <w:p w14:paraId="4221F773" w14:textId="77777777" w:rsidR="00A4283D" w:rsidRPr="004F469F" w:rsidRDefault="00A4283D" w:rsidP="00A4283D">
            <w:pPr>
              <w:rPr>
                <w:sz w:val="20"/>
                <w:szCs w:val="20"/>
              </w:rPr>
            </w:pPr>
            <w:r w:rsidRPr="004F469F">
              <w:rPr>
                <w:sz w:val="20"/>
                <w:szCs w:val="20"/>
              </w:rPr>
              <w:t>Nearest population center with a density of greater than 2000 persons km</w:t>
            </w:r>
            <w:r w:rsidRPr="004F469F">
              <w:rPr>
                <w:sz w:val="20"/>
                <w:szCs w:val="20"/>
                <w:vertAlign w:val="superscript"/>
              </w:rPr>
              <w:t>-2</w:t>
            </w:r>
            <w:r w:rsidRPr="004F469F">
              <w:rPr>
                <w:sz w:val="20"/>
                <w:szCs w:val="20"/>
              </w:rPr>
              <w:t xml:space="preserve"> is within 500 m</w:t>
            </w:r>
          </w:p>
        </w:tc>
        <w:tc>
          <w:tcPr>
            <w:tcW w:w="1300"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2C1EBB90" w14:textId="77777777" w:rsidR="00A4283D" w:rsidRPr="004F469F" w:rsidRDefault="00A4283D" w:rsidP="00A4283D">
            <w:pPr>
              <w:jc w:val="right"/>
              <w:rPr>
                <w:sz w:val="20"/>
                <w:szCs w:val="20"/>
              </w:rPr>
            </w:pPr>
            <w:r w:rsidRPr="004F469F">
              <w:rPr>
                <w:sz w:val="20"/>
                <w:szCs w:val="20"/>
              </w:rPr>
              <w:t>20</w:t>
            </w:r>
          </w:p>
        </w:tc>
      </w:tr>
      <w:tr w:rsidR="00494669" w:rsidRPr="004F469F" w14:paraId="779FCB00" w14:textId="77777777" w:rsidTr="00A4283D">
        <w:trPr>
          <w:trHeight w:val="20"/>
        </w:trPr>
        <w:tc>
          <w:tcPr>
            <w:tcW w:w="4860" w:type="dxa"/>
            <w:tcBorders>
              <w:top w:val="single" w:sz="2" w:space="0" w:color="auto"/>
              <w:left w:val="single" w:sz="18" w:space="0" w:color="auto"/>
              <w:bottom w:val="single" w:sz="2" w:space="0" w:color="auto"/>
              <w:right w:val="single" w:sz="2" w:space="0" w:color="auto"/>
            </w:tcBorders>
            <w:shd w:val="clear" w:color="auto" w:fill="auto"/>
            <w:vAlign w:val="bottom"/>
            <w:hideMark/>
          </w:tcPr>
          <w:p w14:paraId="6AA2C3A6" w14:textId="77777777" w:rsidR="00A4283D" w:rsidRPr="004F469F" w:rsidRDefault="00A4283D" w:rsidP="00A4283D">
            <w:pPr>
              <w:rPr>
                <w:sz w:val="20"/>
                <w:szCs w:val="20"/>
              </w:rPr>
            </w:pPr>
            <w:r w:rsidRPr="004F469F">
              <w:rPr>
                <w:sz w:val="20"/>
                <w:szCs w:val="20"/>
              </w:rPr>
              <w:t>Nearest population center with a density of greater than 1000 persons km</w:t>
            </w:r>
            <w:r w:rsidRPr="004F469F">
              <w:rPr>
                <w:sz w:val="20"/>
                <w:szCs w:val="20"/>
                <w:vertAlign w:val="superscript"/>
              </w:rPr>
              <w:t>-2</w:t>
            </w:r>
            <w:r w:rsidRPr="004F469F">
              <w:rPr>
                <w:sz w:val="20"/>
                <w:szCs w:val="20"/>
              </w:rPr>
              <w:t xml:space="preserve"> is within 1000 m</w:t>
            </w:r>
          </w:p>
        </w:tc>
        <w:tc>
          <w:tcPr>
            <w:tcW w:w="1300"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0138B5B6" w14:textId="77777777" w:rsidR="00A4283D" w:rsidRPr="004F469F" w:rsidRDefault="00A4283D" w:rsidP="00A4283D">
            <w:pPr>
              <w:jc w:val="right"/>
              <w:rPr>
                <w:sz w:val="20"/>
                <w:szCs w:val="20"/>
              </w:rPr>
            </w:pPr>
            <w:r w:rsidRPr="004F469F">
              <w:rPr>
                <w:sz w:val="20"/>
                <w:szCs w:val="20"/>
              </w:rPr>
              <w:t>20</w:t>
            </w:r>
          </w:p>
        </w:tc>
      </w:tr>
      <w:tr w:rsidR="00494669" w:rsidRPr="004F469F" w14:paraId="3560C8EE" w14:textId="77777777" w:rsidTr="00A4283D">
        <w:trPr>
          <w:trHeight w:val="20"/>
        </w:trPr>
        <w:tc>
          <w:tcPr>
            <w:tcW w:w="4860" w:type="dxa"/>
            <w:tcBorders>
              <w:top w:val="single" w:sz="2" w:space="0" w:color="auto"/>
              <w:left w:val="single" w:sz="18" w:space="0" w:color="auto"/>
              <w:bottom w:val="single" w:sz="2" w:space="0" w:color="auto"/>
              <w:right w:val="single" w:sz="2" w:space="0" w:color="auto"/>
            </w:tcBorders>
            <w:shd w:val="clear" w:color="auto" w:fill="auto"/>
            <w:vAlign w:val="bottom"/>
            <w:hideMark/>
          </w:tcPr>
          <w:p w14:paraId="483BAE92" w14:textId="77777777" w:rsidR="00A4283D" w:rsidRPr="004F469F" w:rsidRDefault="00A4283D" w:rsidP="00A4283D">
            <w:pPr>
              <w:rPr>
                <w:sz w:val="20"/>
                <w:szCs w:val="20"/>
              </w:rPr>
            </w:pPr>
            <w:r w:rsidRPr="004F469F">
              <w:rPr>
                <w:sz w:val="20"/>
                <w:szCs w:val="20"/>
              </w:rPr>
              <w:t>Nearest population center is within 100 m</w:t>
            </w:r>
          </w:p>
        </w:tc>
        <w:tc>
          <w:tcPr>
            <w:tcW w:w="1300"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34A4E7E3" w14:textId="77777777" w:rsidR="00A4283D" w:rsidRPr="004F469F" w:rsidRDefault="00A4283D" w:rsidP="00A4283D">
            <w:pPr>
              <w:jc w:val="right"/>
              <w:rPr>
                <w:sz w:val="20"/>
                <w:szCs w:val="20"/>
              </w:rPr>
            </w:pPr>
            <w:r w:rsidRPr="004F469F">
              <w:rPr>
                <w:sz w:val="20"/>
                <w:szCs w:val="20"/>
              </w:rPr>
              <w:t>25</w:t>
            </w:r>
          </w:p>
        </w:tc>
      </w:tr>
      <w:tr w:rsidR="00494669" w:rsidRPr="004F469F" w14:paraId="0122891D" w14:textId="77777777" w:rsidTr="00A4283D">
        <w:trPr>
          <w:trHeight w:val="20"/>
        </w:trPr>
        <w:tc>
          <w:tcPr>
            <w:tcW w:w="4860" w:type="dxa"/>
            <w:tcBorders>
              <w:top w:val="single" w:sz="2" w:space="0" w:color="auto"/>
              <w:left w:val="single" w:sz="18" w:space="0" w:color="auto"/>
              <w:bottom w:val="single" w:sz="2" w:space="0" w:color="auto"/>
              <w:right w:val="single" w:sz="2" w:space="0" w:color="auto"/>
            </w:tcBorders>
            <w:shd w:val="clear" w:color="auto" w:fill="auto"/>
            <w:vAlign w:val="bottom"/>
            <w:hideMark/>
          </w:tcPr>
          <w:p w14:paraId="5D0927A7" w14:textId="77777777" w:rsidR="00A4283D" w:rsidRPr="004F469F" w:rsidRDefault="00A4283D" w:rsidP="00A4283D">
            <w:pPr>
              <w:rPr>
                <w:sz w:val="20"/>
                <w:szCs w:val="20"/>
              </w:rPr>
            </w:pPr>
            <w:r w:rsidRPr="004F469F">
              <w:rPr>
                <w:sz w:val="20"/>
                <w:szCs w:val="20"/>
              </w:rPr>
              <w:t>Nearest population center is within 101 to 500 m</w:t>
            </w:r>
          </w:p>
        </w:tc>
        <w:tc>
          <w:tcPr>
            <w:tcW w:w="1300"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43431FAA" w14:textId="77777777" w:rsidR="00A4283D" w:rsidRPr="004F469F" w:rsidRDefault="00A4283D" w:rsidP="00A4283D">
            <w:pPr>
              <w:jc w:val="right"/>
              <w:rPr>
                <w:sz w:val="20"/>
                <w:szCs w:val="20"/>
              </w:rPr>
            </w:pPr>
            <w:r w:rsidRPr="004F469F">
              <w:rPr>
                <w:sz w:val="20"/>
                <w:szCs w:val="20"/>
              </w:rPr>
              <w:t>10</w:t>
            </w:r>
          </w:p>
        </w:tc>
      </w:tr>
      <w:tr w:rsidR="00494669" w:rsidRPr="004F469F" w14:paraId="5BF45B97" w14:textId="77777777" w:rsidTr="00A4283D">
        <w:trPr>
          <w:trHeight w:val="20"/>
        </w:trPr>
        <w:tc>
          <w:tcPr>
            <w:tcW w:w="4860" w:type="dxa"/>
            <w:tcBorders>
              <w:top w:val="single" w:sz="2" w:space="0" w:color="auto"/>
              <w:left w:val="single" w:sz="18" w:space="0" w:color="auto"/>
              <w:bottom w:val="single" w:sz="2" w:space="0" w:color="auto"/>
              <w:right w:val="single" w:sz="2" w:space="0" w:color="auto"/>
            </w:tcBorders>
            <w:shd w:val="clear" w:color="auto" w:fill="auto"/>
            <w:vAlign w:val="bottom"/>
            <w:hideMark/>
          </w:tcPr>
          <w:p w14:paraId="24F2D489" w14:textId="77777777" w:rsidR="00A4283D" w:rsidRPr="004F469F" w:rsidRDefault="00A4283D" w:rsidP="00A4283D">
            <w:pPr>
              <w:rPr>
                <w:sz w:val="20"/>
                <w:szCs w:val="20"/>
              </w:rPr>
            </w:pPr>
            <w:r w:rsidRPr="004F469F">
              <w:rPr>
                <w:sz w:val="20"/>
                <w:szCs w:val="20"/>
              </w:rPr>
              <w:t>Nearest population center is within 501 to 1000 m</w:t>
            </w:r>
          </w:p>
        </w:tc>
        <w:tc>
          <w:tcPr>
            <w:tcW w:w="1300" w:type="dxa"/>
            <w:tcBorders>
              <w:top w:val="single" w:sz="2" w:space="0" w:color="auto"/>
              <w:left w:val="single" w:sz="2" w:space="0" w:color="auto"/>
              <w:bottom w:val="single" w:sz="2" w:space="0" w:color="auto"/>
              <w:right w:val="single" w:sz="18" w:space="0" w:color="auto"/>
            </w:tcBorders>
            <w:shd w:val="clear" w:color="auto" w:fill="auto"/>
            <w:noWrap/>
            <w:vAlign w:val="bottom"/>
            <w:hideMark/>
          </w:tcPr>
          <w:p w14:paraId="12D04BB0" w14:textId="77777777" w:rsidR="00A4283D" w:rsidRPr="004F469F" w:rsidRDefault="00A4283D" w:rsidP="00A4283D">
            <w:pPr>
              <w:jc w:val="right"/>
              <w:rPr>
                <w:sz w:val="20"/>
                <w:szCs w:val="20"/>
              </w:rPr>
            </w:pPr>
            <w:r w:rsidRPr="004F469F">
              <w:rPr>
                <w:sz w:val="20"/>
                <w:szCs w:val="20"/>
              </w:rPr>
              <w:t>5</w:t>
            </w:r>
          </w:p>
        </w:tc>
      </w:tr>
      <w:tr w:rsidR="00A4283D" w:rsidRPr="004F469F" w14:paraId="3BB97872" w14:textId="77777777" w:rsidTr="00A4283D">
        <w:trPr>
          <w:trHeight w:val="20"/>
        </w:trPr>
        <w:tc>
          <w:tcPr>
            <w:tcW w:w="4860" w:type="dxa"/>
            <w:tcBorders>
              <w:top w:val="single" w:sz="2" w:space="0" w:color="auto"/>
              <w:left w:val="single" w:sz="18" w:space="0" w:color="auto"/>
              <w:bottom w:val="single" w:sz="18" w:space="0" w:color="auto"/>
              <w:right w:val="single" w:sz="2" w:space="0" w:color="auto"/>
            </w:tcBorders>
            <w:shd w:val="clear" w:color="auto" w:fill="auto"/>
            <w:vAlign w:val="bottom"/>
            <w:hideMark/>
          </w:tcPr>
          <w:p w14:paraId="486A9E56" w14:textId="77777777" w:rsidR="00A4283D" w:rsidRPr="004F469F" w:rsidRDefault="00A4283D" w:rsidP="00A4283D">
            <w:pPr>
              <w:rPr>
                <w:sz w:val="20"/>
                <w:szCs w:val="20"/>
              </w:rPr>
            </w:pPr>
            <w:r w:rsidRPr="004F469F">
              <w:rPr>
                <w:sz w:val="20"/>
                <w:szCs w:val="20"/>
              </w:rPr>
              <w:t>Parcel density is no greater than 1,000 persons km</w:t>
            </w:r>
            <w:r w:rsidRPr="004F469F">
              <w:rPr>
                <w:sz w:val="20"/>
                <w:szCs w:val="20"/>
                <w:vertAlign w:val="superscript"/>
              </w:rPr>
              <w:t>-2</w:t>
            </w:r>
          </w:p>
        </w:tc>
        <w:tc>
          <w:tcPr>
            <w:tcW w:w="1300" w:type="dxa"/>
            <w:tcBorders>
              <w:top w:val="single" w:sz="2" w:space="0" w:color="auto"/>
              <w:left w:val="single" w:sz="2" w:space="0" w:color="auto"/>
              <w:bottom w:val="single" w:sz="18" w:space="0" w:color="auto"/>
              <w:right w:val="single" w:sz="18" w:space="0" w:color="auto"/>
            </w:tcBorders>
            <w:shd w:val="clear" w:color="auto" w:fill="auto"/>
            <w:noWrap/>
            <w:vAlign w:val="bottom"/>
            <w:hideMark/>
          </w:tcPr>
          <w:p w14:paraId="3D492FBF" w14:textId="77777777" w:rsidR="00A4283D" w:rsidRPr="004F469F" w:rsidRDefault="00A4283D" w:rsidP="00A4283D">
            <w:pPr>
              <w:jc w:val="right"/>
              <w:rPr>
                <w:sz w:val="20"/>
                <w:szCs w:val="20"/>
              </w:rPr>
            </w:pPr>
            <w:r w:rsidRPr="004F469F">
              <w:rPr>
                <w:sz w:val="20"/>
                <w:szCs w:val="20"/>
              </w:rPr>
              <w:t>10</w:t>
            </w:r>
          </w:p>
        </w:tc>
      </w:tr>
    </w:tbl>
    <w:p w14:paraId="554E80E2" w14:textId="77777777" w:rsidR="00A4283D" w:rsidRPr="004F469F" w:rsidRDefault="00A4283D" w:rsidP="00A4283D">
      <w:pPr>
        <w:widowControl w:val="0"/>
        <w:autoSpaceDE w:val="0"/>
        <w:autoSpaceDN w:val="0"/>
        <w:adjustRightInd w:val="0"/>
        <w:rPr>
          <w:sz w:val="20"/>
          <w:szCs w:val="20"/>
        </w:rPr>
      </w:pPr>
    </w:p>
    <w:p w14:paraId="3FB34547" w14:textId="77777777" w:rsidR="00A4283D" w:rsidRPr="004F469F" w:rsidRDefault="00A4283D" w:rsidP="00A4283D">
      <w:pPr>
        <w:widowControl w:val="0"/>
        <w:autoSpaceDE w:val="0"/>
        <w:autoSpaceDN w:val="0"/>
        <w:adjustRightInd w:val="0"/>
        <w:rPr>
          <w:sz w:val="20"/>
          <w:szCs w:val="20"/>
        </w:rPr>
      </w:pPr>
    </w:p>
    <w:p w14:paraId="5B759334" w14:textId="77777777" w:rsidR="00A4283D" w:rsidRPr="004F469F" w:rsidRDefault="00A4283D" w:rsidP="00A4283D">
      <w:pPr>
        <w:widowControl w:val="0"/>
        <w:autoSpaceDE w:val="0"/>
        <w:autoSpaceDN w:val="0"/>
        <w:adjustRightInd w:val="0"/>
        <w:rPr>
          <w:sz w:val="20"/>
          <w:szCs w:val="20"/>
        </w:rPr>
      </w:pPr>
    </w:p>
    <w:p w14:paraId="489D06A2" w14:textId="77777777" w:rsidR="00A4283D" w:rsidRPr="004F469F" w:rsidRDefault="00A4283D" w:rsidP="00A4283D">
      <w:pPr>
        <w:widowControl w:val="0"/>
        <w:autoSpaceDE w:val="0"/>
        <w:autoSpaceDN w:val="0"/>
        <w:adjustRightInd w:val="0"/>
        <w:rPr>
          <w:sz w:val="20"/>
          <w:szCs w:val="20"/>
        </w:rPr>
      </w:pPr>
    </w:p>
    <w:p w14:paraId="4B145F66" w14:textId="77777777" w:rsidR="00A4283D" w:rsidRPr="004F469F" w:rsidRDefault="00A4283D" w:rsidP="00A4283D">
      <w:pPr>
        <w:widowControl w:val="0"/>
        <w:autoSpaceDE w:val="0"/>
        <w:autoSpaceDN w:val="0"/>
        <w:adjustRightInd w:val="0"/>
        <w:rPr>
          <w:sz w:val="20"/>
          <w:szCs w:val="20"/>
        </w:rPr>
      </w:pPr>
    </w:p>
    <w:p w14:paraId="679CB122" w14:textId="77777777" w:rsidR="00A4283D" w:rsidRPr="004F469F" w:rsidRDefault="00A4283D" w:rsidP="00A4283D">
      <w:pPr>
        <w:widowControl w:val="0"/>
        <w:autoSpaceDE w:val="0"/>
        <w:autoSpaceDN w:val="0"/>
        <w:adjustRightInd w:val="0"/>
        <w:rPr>
          <w:sz w:val="20"/>
          <w:szCs w:val="20"/>
        </w:rPr>
      </w:pPr>
    </w:p>
    <w:p w14:paraId="01444078" w14:textId="77777777" w:rsidR="00A4283D" w:rsidRPr="004F469F" w:rsidRDefault="00A4283D" w:rsidP="00A4283D">
      <w:pPr>
        <w:widowControl w:val="0"/>
        <w:autoSpaceDE w:val="0"/>
        <w:autoSpaceDN w:val="0"/>
        <w:adjustRightInd w:val="0"/>
        <w:rPr>
          <w:sz w:val="20"/>
          <w:szCs w:val="20"/>
        </w:rPr>
      </w:pPr>
    </w:p>
    <w:p w14:paraId="3269EA46" w14:textId="77777777" w:rsidR="00A4283D" w:rsidRPr="004F469F" w:rsidRDefault="00A4283D" w:rsidP="00A4283D">
      <w:pPr>
        <w:widowControl w:val="0"/>
        <w:autoSpaceDE w:val="0"/>
        <w:autoSpaceDN w:val="0"/>
        <w:adjustRightInd w:val="0"/>
        <w:rPr>
          <w:sz w:val="20"/>
          <w:szCs w:val="20"/>
        </w:rPr>
      </w:pPr>
    </w:p>
    <w:p w14:paraId="5E8A1128" w14:textId="77777777" w:rsidR="00A4283D" w:rsidRPr="004F469F" w:rsidRDefault="00A4283D" w:rsidP="00A4283D">
      <w:pPr>
        <w:widowControl w:val="0"/>
        <w:autoSpaceDE w:val="0"/>
        <w:autoSpaceDN w:val="0"/>
        <w:adjustRightInd w:val="0"/>
        <w:rPr>
          <w:sz w:val="20"/>
          <w:szCs w:val="20"/>
        </w:rPr>
      </w:pPr>
    </w:p>
    <w:p w14:paraId="1761E362" w14:textId="77777777" w:rsidR="00A4283D" w:rsidRPr="004F469F" w:rsidRDefault="00A4283D" w:rsidP="00A4283D">
      <w:pPr>
        <w:widowControl w:val="0"/>
        <w:autoSpaceDE w:val="0"/>
        <w:autoSpaceDN w:val="0"/>
        <w:adjustRightInd w:val="0"/>
        <w:rPr>
          <w:sz w:val="20"/>
          <w:szCs w:val="20"/>
        </w:rPr>
      </w:pPr>
    </w:p>
    <w:p w14:paraId="018BC9ED" w14:textId="77777777" w:rsidR="00A4283D" w:rsidRPr="004F469F" w:rsidRDefault="00A4283D" w:rsidP="00A4283D">
      <w:pPr>
        <w:widowControl w:val="0"/>
        <w:autoSpaceDE w:val="0"/>
        <w:autoSpaceDN w:val="0"/>
        <w:adjustRightInd w:val="0"/>
        <w:rPr>
          <w:sz w:val="20"/>
          <w:szCs w:val="20"/>
        </w:rPr>
      </w:pPr>
    </w:p>
    <w:p w14:paraId="03C0330C" w14:textId="77777777" w:rsidR="00A4283D" w:rsidRPr="004F469F" w:rsidRDefault="00A4283D" w:rsidP="00A4283D">
      <w:pPr>
        <w:widowControl w:val="0"/>
        <w:autoSpaceDE w:val="0"/>
        <w:autoSpaceDN w:val="0"/>
        <w:adjustRightInd w:val="0"/>
        <w:rPr>
          <w:sz w:val="20"/>
          <w:szCs w:val="20"/>
        </w:rPr>
      </w:pPr>
    </w:p>
    <w:p w14:paraId="7A3918A7" w14:textId="77777777" w:rsidR="00A4283D" w:rsidRPr="004F469F" w:rsidRDefault="00A4283D" w:rsidP="00A4283D">
      <w:pPr>
        <w:widowControl w:val="0"/>
        <w:autoSpaceDE w:val="0"/>
        <w:autoSpaceDN w:val="0"/>
        <w:adjustRightInd w:val="0"/>
        <w:rPr>
          <w:sz w:val="20"/>
          <w:szCs w:val="20"/>
        </w:rPr>
      </w:pPr>
    </w:p>
    <w:p w14:paraId="2279C23E" w14:textId="77777777" w:rsidR="00A4283D" w:rsidRPr="004F469F" w:rsidRDefault="00A4283D" w:rsidP="00A4283D">
      <w:pPr>
        <w:widowControl w:val="0"/>
        <w:autoSpaceDE w:val="0"/>
        <w:autoSpaceDN w:val="0"/>
        <w:adjustRightInd w:val="0"/>
        <w:rPr>
          <w:sz w:val="20"/>
          <w:szCs w:val="20"/>
        </w:rPr>
      </w:pPr>
    </w:p>
    <w:p w14:paraId="6DD5B887" w14:textId="77777777" w:rsidR="00A4283D" w:rsidRPr="004F469F" w:rsidRDefault="00A4283D" w:rsidP="00A4283D">
      <w:pPr>
        <w:widowControl w:val="0"/>
        <w:autoSpaceDE w:val="0"/>
        <w:autoSpaceDN w:val="0"/>
        <w:adjustRightInd w:val="0"/>
        <w:rPr>
          <w:sz w:val="20"/>
          <w:szCs w:val="20"/>
        </w:rPr>
      </w:pPr>
    </w:p>
    <w:p w14:paraId="2DC7A0BA" w14:textId="77777777" w:rsidR="00A4283D" w:rsidRPr="004F469F" w:rsidRDefault="00A4283D" w:rsidP="00A4283D">
      <w:pPr>
        <w:widowControl w:val="0"/>
        <w:autoSpaceDE w:val="0"/>
        <w:autoSpaceDN w:val="0"/>
        <w:adjustRightInd w:val="0"/>
        <w:rPr>
          <w:sz w:val="20"/>
          <w:szCs w:val="20"/>
        </w:rPr>
      </w:pPr>
    </w:p>
    <w:p w14:paraId="36D5C758" w14:textId="77777777" w:rsidR="00A4283D" w:rsidRPr="004F469F" w:rsidRDefault="00A4283D" w:rsidP="00A4283D">
      <w:pPr>
        <w:widowControl w:val="0"/>
        <w:autoSpaceDE w:val="0"/>
        <w:autoSpaceDN w:val="0"/>
        <w:adjustRightInd w:val="0"/>
        <w:rPr>
          <w:sz w:val="20"/>
          <w:szCs w:val="20"/>
        </w:rPr>
      </w:pPr>
    </w:p>
    <w:p w14:paraId="2A488B8E" w14:textId="77777777" w:rsidR="00A4283D" w:rsidRPr="004F469F" w:rsidRDefault="00A4283D" w:rsidP="00A4283D">
      <w:pPr>
        <w:widowControl w:val="0"/>
        <w:autoSpaceDE w:val="0"/>
        <w:autoSpaceDN w:val="0"/>
        <w:adjustRightInd w:val="0"/>
        <w:rPr>
          <w:sz w:val="20"/>
          <w:szCs w:val="20"/>
        </w:rPr>
      </w:pPr>
    </w:p>
    <w:p w14:paraId="7D1A317C" w14:textId="77777777" w:rsidR="00A4283D" w:rsidRPr="004F469F" w:rsidRDefault="00A4283D" w:rsidP="00A4283D">
      <w:pPr>
        <w:widowControl w:val="0"/>
        <w:autoSpaceDE w:val="0"/>
        <w:autoSpaceDN w:val="0"/>
        <w:adjustRightInd w:val="0"/>
        <w:rPr>
          <w:sz w:val="20"/>
          <w:szCs w:val="20"/>
        </w:rPr>
      </w:pPr>
    </w:p>
    <w:p w14:paraId="4165C5DC" w14:textId="77777777" w:rsidR="00A4283D" w:rsidRPr="004F469F" w:rsidRDefault="00A4283D" w:rsidP="00A4283D">
      <w:pPr>
        <w:widowControl w:val="0"/>
        <w:autoSpaceDE w:val="0"/>
        <w:autoSpaceDN w:val="0"/>
        <w:adjustRightInd w:val="0"/>
        <w:rPr>
          <w:sz w:val="20"/>
          <w:szCs w:val="20"/>
        </w:rPr>
      </w:pPr>
    </w:p>
    <w:p w14:paraId="3F9D93F5" w14:textId="77777777" w:rsidR="00A4283D" w:rsidRPr="004F469F" w:rsidRDefault="00A4283D" w:rsidP="00A4283D">
      <w:pPr>
        <w:widowControl w:val="0"/>
        <w:autoSpaceDE w:val="0"/>
        <w:autoSpaceDN w:val="0"/>
        <w:adjustRightInd w:val="0"/>
        <w:rPr>
          <w:sz w:val="20"/>
          <w:szCs w:val="20"/>
        </w:rPr>
      </w:pPr>
    </w:p>
    <w:p w14:paraId="4E325B1B" w14:textId="77777777" w:rsidR="00A4283D" w:rsidRPr="004F469F" w:rsidRDefault="00A4283D" w:rsidP="00A4283D">
      <w:pPr>
        <w:widowControl w:val="0"/>
        <w:autoSpaceDE w:val="0"/>
        <w:autoSpaceDN w:val="0"/>
        <w:adjustRightInd w:val="0"/>
        <w:rPr>
          <w:sz w:val="20"/>
          <w:szCs w:val="20"/>
        </w:rPr>
      </w:pPr>
    </w:p>
    <w:p w14:paraId="6816ABF6" w14:textId="77777777" w:rsidR="00A4283D" w:rsidRPr="004F469F" w:rsidRDefault="00A4283D" w:rsidP="00A4283D">
      <w:pPr>
        <w:widowControl w:val="0"/>
        <w:autoSpaceDE w:val="0"/>
        <w:autoSpaceDN w:val="0"/>
        <w:adjustRightInd w:val="0"/>
        <w:rPr>
          <w:sz w:val="20"/>
          <w:szCs w:val="20"/>
        </w:rPr>
      </w:pPr>
    </w:p>
    <w:p w14:paraId="69C9705F" w14:textId="77777777" w:rsidR="00A4283D" w:rsidRPr="004F469F" w:rsidRDefault="00A4283D" w:rsidP="00A4283D">
      <w:pPr>
        <w:widowControl w:val="0"/>
        <w:autoSpaceDE w:val="0"/>
        <w:autoSpaceDN w:val="0"/>
        <w:adjustRightInd w:val="0"/>
        <w:rPr>
          <w:sz w:val="20"/>
          <w:szCs w:val="20"/>
        </w:rPr>
      </w:pPr>
    </w:p>
    <w:p w14:paraId="516CEC97" w14:textId="77777777" w:rsidR="00A4283D" w:rsidRPr="004F469F" w:rsidRDefault="00A4283D" w:rsidP="00A4283D">
      <w:pPr>
        <w:widowControl w:val="0"/>
        <w:autoSpaceDE w:val="0"/>
        <w:autoSpaceDN w:val="0"/>
        <w:adjustRightInd w:val="0"/>
        <w:rPr>
          <w:sz w:val="20"/>
          <w:szCs w:val="20"/>
        </w:rPr>
      </w:pPr>
    </w:p>
    <w:p w14:paraId="273BA419" w14:textId="77777777" w:rsidR="00A4283D" w:rsidRPr="004F469F" w:rsidRDefault="00A4283D" w:rsidP="00A4283D">
      <w:pPr>
        <w:widowControl w:val="0"/>
        <w:autoSpaceDE w:val="0"/>
        <w:autoSpaceDN w:val="0"/>
        <w:adjustRightInd w:val="0"/>
        <w:rPr>
          <w:sz w:val="20"/>
          <w:szCs w:val="20"/>
        </w:rPr>
      </w:pPr>
    </w:p>
    <w:p w14:paraId="156D90EA" w14:textId="77777777" w:rsidR="00A4283D" w:rsidRPr="004F469F" w:rsidRDefault="00A4283D" w:rsidP="00A4283D">
      <w:pPr>
        <w:widowControl w:val="0"/>
        <w:autoSpaceDE w:val="0"/>
        <w:autoSpaceDN w:val="0"/>
        <w:adjustRightInd w:val="0"/>
        <w:rPr>
          <w:sz w:val="20"/>
          <w:szCs w:val="20"/>
        </w:rPr>
      </w:pPr>
    </w:p>
    <w:p w14:paraId="39B6A168" w14:textId="77777777" w:rsidR="00A4283D" w:rsidRPr="004F469F" w:rsidRDefault="00A4283D" w:rsidP="00A4283D">
      <w:pPr>
        <w:widowControl w:val="0"/>
        <w:autoSpaceDE w:val="0"/>
        <w:autoSpaceDN w:val="0"/>
        <w:adjustRightInd w:val="0"/>
        <w:rPr>
          <w:sz w:val="20"/>
          <w:szCs w:val="20"/>
        </w:rPr>
      </w:pPr>
    </w:p>
    <w:p w14:paraId="72AA109E" w14:textId="77777777" w:rsidR="00A4283D" w:rsidRPr="004F469F" w:rsidRDefault="00A4283D" w:rsidP="00A4283D">
      <w:pPr>
        <w:widowControl w:val="0"/>
        <w:autoSpaceDE w:val="0"/>
        <w:autoSpaceDN w:val="0"/>
        <w:adjustRightInd w:val="0"/>
        <w:rPr>
          <w:sz w:val="20"/>
          <w:szCs w:val="20"/>
        </w:rPr>
      </w:pPr>
    </w:p>
    <w:p w14:paraId="6E9DCD23" w14:textId="77777777" w:rsidR="00A4283D" w:rsidRPr="004F469F" w:rsidRDefault="00A4283D" w:rsidP="00A4283D">
      <w:pPr>
        <w:widowControl w:val="0"/>
        <w:autoSpaceDE w:val="0"/>
        <w:autoSpaceDN w:val="0"/>
        <w:adjustRightInd w:val="0"/>
        <w:rPr>
          <w:sz w:val="20"/>
          <w:szCs w:val="20"/>
        </w:rPr>
      </w:pPr>
    </w:p>
    <w:p w14:paraId="72943778" w14:textId="77777777" w:rsidR="00A4283D" w:rsidRPr="004F469F" w:rsidRDefault="00A4283D" w:rsidP="00A4283D">
      <w:pPr>
        <w:widowControl w:val="0"/>
        <w:autoSpaceDE w:val="0"/>
        <w:autoSpaceDN w:val="0"/>
        <w:adjustRightInd w:val="0"/>
        <w:rPr>
          <w:sz w:val="20"/>
          <w:szCs w:val="20"/>
        </w:rPr>
      </w:pPr>
    </w:p>
    <w:p w14:paraId="7A4360F4" w14:textId="0C333F22" w:rsidR="00A4283D" w:rsidRPr="004F469F" w:rsidRDefault="00A4283D" w:rsidP="00A4283D">
      <w:pPr>
        <w:widowControl w:val="0"/>
        <w:autoSpaceDE w:val="0"/>
        <w:autoSpaceDN w:val="0"/>
        <w:adjustRightInd w:val="0"/>
        <w:ind w:left="480" w:hanging="480"/>
        <w:rPr>
          <w:sz w:val="20"/>
          <w:szCs w:val="20"/>
        </w:rPr>
      </w:pPr>
    </w:p>
    <w:p w14:paraId="2509BCB1" w14:textId="019894C4" w:rsidR="00E85563" w:rsidRPr="004F469F" w:rsidRDefault="00E85563" w:rsidP="00A4283D">
      <w:pPr>
        <w:widowControl w:val="0"/>
        <w:autoSpaceDE w:val="0"/>
        <w:autoSpaceDN w:val="0"/>
        <w:adjustRightInd w:val="0"/>
        <w:ind w:left="480" w:hanging="480"/>
        <w:rPr>
          <w:sz w:val="20"/>
          <w:szCs w:val="20"/>
        </w:rPr>
      </w:pPr>
    </w:p>
    <w:p w14:paraId="558FDB19" w14:textId="0AD53B42" w:rsidR="00E85563" w:rsidRPr="004F469F" w:rsidRDefault="00E85563" w:rsidP="00A4283D">
      <w:pPr>
        <w:widowControl w:val="0"/>
        <w:autoSpaceDE w:val="0"/>
        <w:autoSpaceDN w:val="0"/>
        <w:adjustRightInd w:val="0"/>
        <w:ind w:left="480" w:hanging="480"/>
        <w:rPr>
          <w:sz w:val="20"/>
          <w:szCs w:val="20"/>
        </w:rPr>
      </w:pPr>
    </w:p>
    <w:p w14:paraId="314F0481" w14:textId="3F6CA52D" w:rsidR="00E85563" w:rsidRPr="004F469F" w:rsidRDefault="00E85563" w:rsidP="00A4283D">
      <w:pPr>
        <w:widowControl w:val="0"/>
        <w:autoSpaceDE w:val="0"/>
        <w:autoSpaceDN w:val="0"/>
        <w:adjustRightInd w:val="0"/>
        <w:ind w:left="480" w:hanging="480"/>
        <w:rPr>
          <w:sz w:val="20"/>
          <w:szCs w:val="20"/>
        </w:rPr>
      </w:pPr>
    </w:p>
    <w:p w14:paraId="460980CB" w14:textId="759ED697" w:rsidR="00E85563" w:rsidRPr="004F469F" w:rsidRDefault="00E85563" w:rsidP="00A4283D">
      <w:pPr>
        <w:widowControl w:val="0"/>
        <w:autoSpaceDE w:val="0"/>
        <w:autoSpaceDN w:val="0"/>
        <w:adjustRightInd w:val="0"/>
        <w:ind w:left="480" w:hanging="480"/>
        <w:rPr>
          <w:sz w:val="20"/>
          <w:szCs w:val="20"/>
        </w:rPr>
      </w:pPr>
    </w:p>
    <w:p w14:paraId="699B5FCE" w14:textId="08B752E8" w:rsidR="00E85563" w:rsidRPr="004F469F" w:rsidRDefault="00E85563" w:rsidP="00A4283D">
      <w:pPr>
        <w:widowControl w:val="0"/>
        <w:autoSpaceDE w:val="0"/>
        <w:autoSpaceDN w:val="0"/>
        <w:adjustRightInd w:val="0"/>
        <w:ind w:left="480" w:hanging="480"/>
        <w:rPr>
          <w:sz w:val="20"/>
          <w:szCs w:val="20"/>
        </w:rPr>
      </w:pPr>
    </w:p>
    <w:p w14:paraId="7BF4456D" w14:textId="65185ACF" w:rsidR="00E85563" w:rsidRPr="004F469F" w:rsidRDefault="00E85563" w:rsidP="00A4283D">
      <w:pPr>
        <w:widowControl w:val="0"/>
        <w:autoSpaceDE w:val="0"/>
        <w:autoSpaceDN w:val="0"/>
        <w:adjustRightInd w:val="0"/>
        <w:ind w:left="480" w:hanging="480"/>
        <w:rPr>
          <w:sz w:val="20"/>
          <w:szCs w:val="20"/>
        </w:rPr>
      </w:pPr>
    </w:p>
    <w:p w14:paraId="7260ACE9" w14:textId="01D64E33" w:rsidR="00E85563" w:rsidRPr="004F469F" w:rsidRDefault="00E85563" w:rsidP="00A4283D">
      <w:pPr>
        <w:widowControl w:val="0"/>
        <w:autoSpaceDE w:val="0"/>
        <w:autoSpaceDN w:val="0"/>
        <w:adjustRightInd w:val="0"/>
        <w:ind w:left="480" w:hanging="480"/>
        <w:rPr>
          <w:sz w:val="20"/>
          <w:szCs w:val="20"/>
        </w:rPr>
      </w:pPr>
    </w:p>
    <w:p w14:paraId="1582AF34" w14:textId="1C46CE51" w:rsidR="00E85563" w:rsidRDefault="00E85563" w:rsidP="00A4283D">
      <w:pPr>
        <w:widowControl w:val="0"/>
        <w:autoSpaceDE w:val="0"/>
        <w:autoSpaceDN w:val="0"/>
        <w:adjustRightInd w:val="0"/>
        <w:ind w:left="480" w:hanging="480"/>
        <w:rPr>
          <w:sz w:val="20"/>
          <w:szCs w:val="20"/>
        </w:rPr>
      </w:pPr>
    </w:p>
    <w:p w14:paraId="6365B2E5" w14:textId="4F8CE13E" w:rsidR="000140C4" w:rsidRDefault="000140C4" w:rsidP="00A4283D">
      <w:pPr>
        <w:widowControl w:val="0"/>
        <w:autoSpaceDE w:val="0"/>
        <w:autoSpaceDN w:val="0"/>
        <w:adjustRightInd w:val="0"/>
        <w:ind w:left="480" w:hanging="480"/>
        <w:rPr>
          <w:sz w:val="20"/>
          <w:szCs w:val="20"/>
        </w:rPr>
      </w:pPr>
    </w:p>
    <w:p w14:paraId="68DE1AB2" w14:textId="77777777" w:rsidR="00E5297C" w:rsidRDefault="00E5297C" w:rsidP="00783C30">
      <w:pPr>
        <w:pStyle w:val="Caption"/>
        <w:rPr>
          <w:rFonts w:ascii="Times New Roman" w:hAnsi="Times New Roman" w:cs="Times New Roman"/>
          <w:i w:val="0"/>
          <w:iCs w:val="0"/>
          <w:color w:val="auto"/>
          <w:sz w:val="24"/>
          <w:szCs w:val="24"/>
        </w:rPr>
      </w:pPr>
    </w:p>
    <w:p w14:paraId="5AE26FE8" w14:textId="3629D513" w:rsidR="000140C4" w:rsidRDefault="00783C30" w:rsidP="00783C30">
      <w:pPr>
        <w:pStyle w:val="Caption"/>
        <w:rPr>
          <w:rFonts w:ascii="Times New Roman" w:hAnsi="Times New Roman" w:cs="Times New Roman"/>
          <w:i w:val="0"/>
          <w:iCs w:val="0"/>
          <w:color w:val="auto"/>
          <w:sz w:val="24"/>
          <w:szCs w:val="24"/>
        </w:rPr>
      </w:pPr>
      <w:bookmarkStart w:id="96" w:name="_Toc22035003"/>
      <w:r w:rsidRPr="00783C30">
        <w:rPr>
          <w:rFonts w:ascii="Times New Roman" w:hAnsi="Times New Roman" w:cs="Times New Roman"/>
          <w:i w:val="0"/>
          <w:iCs w:val="0"/>
          <w:color w:val="auto"/>
          <w:sz w:val="24"/>
          <w:szCs w:val="24"/>
        </w:rPr>
        <w:lastRenderedPageBreak/>
        <w:t xml:space="preserve">Table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STYLEREF 1 \s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Table \* ARABIC \s 1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w:t>
      </w:r>
      <w:r w:rsidRPr="004F469F">
        <w:rPr>
          <w:rFonts w:ascii="Times New Roman" w:hAnsi="Times New Roman" w:cs="Times New Roman"/>
          <w:i w:val="0"/>
          <w:iCs w:val="0"/>
          <w:color w:val="auto"/>
          <w:sz w:val="24"/>
          <w:szCs w:val="24"/>
        </w:rPr>
        <w:t>Number of simulated significant tornadoes impacting each county by land use class. The land use class represents the land use of the most densely populated parcel the simulated tornado impacted (</w:t>
      </w:r>
      <w:r w:rsidRPr="002614B3">
        <w:rPr>
          <w:rFonts w:ascii="Times New Roman" w:hAnsi="Times New Roman" w:cs="Times New Roman"/>
          <w:color w:val="auto"/>
          <w:sz w:val="24"/>
          <w:szCs w:val="24"/>
        </w:rPr>
        <w:t>i.e.</w:t>
      </w:r>
      <w:r w:rsidRPr="004F469F">
        <w:rPr>
          <w:rFonts w:ascii="Times New Roman" w:hAnsi="Times New Roman" w:cs="Times New Roman"/>
          <w:i w:val="0"/>
          <w:iCs w:val="0"/>
          <w:color w:val="auto"/>
          <w:sz w:val="24"/>
          <w:szCs w:val="24"/>
        </w:rPr>
        <w:t>, a tornado hitting mostly rural parcels but a single urban-high parcel would be classified as urban-high). Counts are normalized by county area (per 2,500 km</w:t>
      </w:r>
      <w:r w:rsidRPr="004F469F">
        <w:rPr>
          <w:rFonts w:ascii="Times New Roman" w:hAnsi="Times New Roman" w:cs="Times New Roman"/>
          <w:i w:val="0"/>
          <w:iCs w:val="0"/>
          <w:color w:val="auto"/>
          <w:sz w:val="24"/>
          <w:szCs w:val="24"/>
          <w:vertAlign w:val="superscript"/>
        </w:rPr>
        <w:t>2</w:t>
      </w:r>
      <w:r w:rsidRPr="004F469F">
        <w:rPr>
          <w:rFonts w:ascii="Times New Roman" w:hAnsi="Times New Roman" w:cs="Times New Roman"/>
          <w:i w:val="0"/>
          <w:iCs w:val="0"/>
          <w:color w:val="auto"/>
          <w:sz w:val="24"/>
          <w:szCs w:val="24"/>
        </w:rPr>
        <w:t>). Counts are averaged between scenarios using the same population estimates (baseline with CC and UD with CCUD) as climate change did not significantly alter tornado counts.</w:t>
      </w:r>
      <w:bookmarkEnd w:id="96"/>
    </w:p>
    <w:p w14:paraId="40C844C5" w14:textId="77777777" w:rsidR="00783C30" w:rsidRPr="00783C30" w:rsidRDefault="00783C30" w:rsidP="00783C30"/>
    <w:tbl>
      <w:tblPr>
        <w:tblW w:w="0" w:type="auto"/>
        <w:tblLook w:val="04A0" w:firstRow="1" w:lastRow="0" w:firstColumn="1" w:lastColumn="0" w:noHBand="0" w:noVBand="1"/>
      </w:tblPr>
      <w:tblGrid>
        <w:gridCol w:w="1525"/>
        <w:gridCol w:w="1170"/>
        <w:gridCol w:w="672"/>
        <w:gridCol w:w="917"/>
        <w:gridCol w:w="872"/>
        <w:gridCol w:w="801"/>
        <w:gridCol w:w="913"/>
        <w:gridCol w:w="808"/>
        <w:gridCol w:w="897"/>
      </w:tblGrid>
      <w:tr w:rsidR="000140C4" w:rsidRPr="004F469F" w14:paraId="163938D0" w14:textId="77777777" w:rsidTr="00DE5691">
        <w:trPr>
          <w:trHeight w:val="320"/>
        </w:trPr>
        <w:tc>
          <w:tcPr>
            <w:tcW w:w="33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BF9D0" w14:textId="77777777" w:rsidR="000140C4" w:rsidRPr="004F469F" w:rsidRDefault="000140C4" w:rsidP="00DE5691">
            <w:pPr>
              <w:jc w:val="center"/>
              <w:rPr>
                <w:sz w:val="20"/>
                <w:szCs w:val="20"/>
              </w:rPr>
            </w:pPr>
          </w:p>
        </w:tc>
        <w:tc>
          <w:tcPr>
            <w:tcW w:w="1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DB74EE" w14:textId="77777777" w:rsidR="000140C4" w:rsidRPr="004F469F" w:rsidRDefault="000140C4" w:rsidP="00DE5691">
            <w:pPr>
              <w:jc w:val="center"/>
              <w:rPr>
                <w:b/>
                <w:bCs/>
                <w:sz w:val="20"/>
                <w:szCs w:val="20"/>
              </w:rPr>
            </w:pPr>
            <w:r w:rsidRPr="004F469F">
              <w:rPr>
                <w:b/>
                <w:bCs/>
                <w:sz w:val="20"/>
                <w:szCs w:val="20"/>
              </w:rPr>
              <w:t>Rural</w:t>
            </w:r>
          </w:p>
        </w:tc>
        <w:tc>
          <w:tcPr>
            <w:tcW w:w="17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1BC89" w14:textId="77777777" w:rsidR="000140C4" w:rsidRPr="004F469F" w:rsidRDefault="000140C4" w:rsidP="00DE5691">
            <w:pPr>
              <w:jc w:val="center"/>
              <w:rPr>
                <w:b/>
                <w:bCs/>
                <w:sz w:val="20"/>
                <w:szCs w:val="20"/>
              </w:rPr>
            </w:pPr>
            <w:r w:rsidRPr="004F469F">
              <w:rPr>
                <w:b/>
                <w:bCs/>
                <w:sz w:val="20"/>
                <w:szCs w:val="20"/>
              </w:rPr>
              <w:t>Urban - Low</w:t>
            </w:r>
          </w:p>
        </w:tc>
        <w:tc>
          <w:tcPr>
            <w:tcW w:w="17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4A80BB" w14:textId="77777777" w:rsidR="000140C4" w:rsidRPr="004F469F" w:rsidRDefault="000140C4" w:rsidP="00DE5691">
            <w:pPr>
              <w:jc w:val="center"/>
              <w:rPr>
                <w:b/>
                <w:bCs/>
                <w:sz w:val="20"/>
                <w:szCs w:val="20"/>
              </w:rPr>
            </w:pPr>
            <w:r w:rsidRPr="004F469F">
              <w:rPr>
                <w:b/>
                <w:bCs/>
                <w:sz w:val="20"/>
                <w:szCs w:val="20"/>
              </w:rPr>
              <w:t>Urban - High</w:t>
            </w:r>
          </w:p>
        </w:tc>
      </w:tr>
      <w:tr w:rsidR="000140C4" w:rsidRPr="004F469F" w14:paraId="3757D0DC" w14:textId="77777777" w:rsidTr="00DE5691">
        <w:trPr>
          <w:trHeight w:val="320"/>
        </w:trPr>
        <w:tc>
          <w:tcPr>
            <w:tcW w:w="1525" w:type="dxa"/>
            <w:tcBorders>
              <w:top w:val="nil"/>
              <w:left w:val="single" w:sz="4" w:space="0" w:color="auto"/>
              <w:bottom w:val="single" w:sz="18" w:space="0" w:color="auto"/>
              <w:right w:val="single" w:sz="4" w:space="0" w:color="auto"/>
            </w:tcBorders>
            <w:shd w:val="clear" w:color="auto" w:fill="auto"/>
            <w:noWrap/>
            <w:vAlign w:val="center"/>
            <w:hideMark/>
          </w:tcPr>
          <w:p w14:paraId="2C4543DA" w14:textId="77777777" w:rsidR="000140C4" w:rsidRPr="004F469F" w:rsidRDefault="000140C4" w:rsidP="00DE5691">
            <w:pPr>
              <w:jc w:val="center"/>
              <w:rPr>
                <w:b/>
                <w:bCs/>
                <w:sz w:val="20"/>
                <w:szCs w:val="20"/>
              </w:rPr>
            </w:pPr>
            <w:r w:rsidRPr="004F469F">
              <w:rPr>
                <w:b/>
                <w:bCs/>
                <w:sz w:val="20"/>
                <w:szCs w:val="20"/>
              </w:rPr>
              <w:t>Scenario</w:t>
            </w:r>
          </w:p>
        </w:tc>
        <w:tc>
          <w:tcPr>
            <w:tcW w:w="1170" w:type="dxa"/>
            <w:tcBorders>
              <w:top w:val="nil"/>
              <w:left w:val="nil"/>
              <w:bottom w:val="single" w:sz="18" w:space="0" w:color="auto"/>
              <w:right w:val="single" w:sz="4" w:space="0" w:color="auto"/>
            </w:tcBorders>
            <w:shd w:val="clear" w:color="auto" w:fill="auto"/>
            <w:noWrap/>
            <w:vAlign w:val="center"/>
            <w:hideMark/>
          </w:tcPr>
          <w:p w14:paraId="7848D630" w14:textId="77777777" w:rsidR="000140C4" w:rsidRPr="004F469F" w:rsidRDefault="000140C4" w:rsidP="00DE5691">
            <w:pPr>
              <w:jc w:val="center"/>
              <w:rPr>
                <w:b/>
                <w:bCs/>
                <w:sz w:val="20"/>
                <w:szCs w:val="20"/>
              </w:rPr>
            </w:pPr>
            <w:r w:rsidRPr="004F469F">
              <w:rPr>
                <w:b/>
                <w:bCs/>
                <w:sz w:val="20"/>
                <w:szCs w:val="20"/>
              </w:rPr>
              <w:t>County</w:t>
            </w:r>
          </w:p>
        </w:tc>
        <w:tc>
          <w:tcPr>
            <w:tcW w:w="616" w:type="dxa"/>
            <w:tcBorders>
              <w:top w:val="nil"/>
              <w:left w:val="nil"/>
              <w:bottom w:val="single" w:sz="18" w:space="0" w:color="auto"/>
              <w:right w:val="single" w:sz="4" w:space="0" w:color="auto"/>
            </w:tcBorders>
            <w:shd w:val="clear" w:color="auto" w:fill="auto"/>
            <w:noWrap/>
            <w:vAlign w:val="center"/>
            <w:hideMark/>
          </w:tcPr>
          <w:p w14:paraId="1D4DE108" w14:textId="77777777" w:rsidR="000140C4" w:rsidRPr="004F469F" w:rsidRDefault="000140C4" w:rsidP="00DE5691">
            <w:pPr>
              <w:jc w:val="center"/>
              <w:rPr>
                <w:b/>
                <w:bCs/>
                <w:sz w:val="20"/>
                <w:szCs w:val="20"/>
              </w:rPr>
            </w:pPr>
            <w:r w:rsidRPr="004F469F">
              <w:rPr>
                <w:b/>
                <w:bCs/>
                <w:sz w:val="20"/>
                <w:szCs w:val="20"/>
              </w:rPr>
              <w:t>Total</w:t>
            </w:r>
          </w:p>
        </w:tc>
        <w:tc>
          <w:tcPr>
            <w:tcW w:w="917" w:type="dxa"/>
            <w:tcBorders>
              <w:top w:val="nil"/>
              <w:left w:val="nil"/>
              <w:bottom w:val="single" w:sz="18" w:space="0" w:color="auto"/>
              <w:right w:val="single" w:sz="4" w:space="0" w:color="auto"/>
            </w:tcBorders>
            <w:shd w:val="clear" w:color="auto" w:fill="auto"/>
            <w:noWrap/>
            <w:vAlign w:val="center"/>
            <w:hideMark/>
          </w:tcPr>
          <w:p w14:paraId="4FBEB178" w14:textId="77777777" w:rsidR="000140C4" w:rsidRPr="004F469F" w:rsidRDefault="000140C4" w:rsidP="00DE5691">
            <w:pPr>
              <w:jc w:val="center"/>
              <w:rPr>
                <w:b/>
                <w:bCs/>
                <w:sz w:val="20"/>
                <w:szCs w:val="20"/>
              </w:rPr>
            </w:pPr>
            <w:r w:rsidRPr="004F469F">
              <w:rPr>
                <w:b/>
                <w:bCs/>
                <w:sz w:val="20"/>
                <w:szCs w:val="20"/>
              </w:rPr>
              <w:t>Count</w:t>
            </w:r>
          </w:p>
        </w:tc>
        <w:tc>
          <w:tcPr>
            <w:tcW w:w="872" w:type="dxa"/>
            <w:tcBorders>
              <w:top w:val="nil"/>
              <w:left w:val="nil"/>
              <w:bottom w:val="single" w:sz="18" w:space="0" w:color="auto"/>
              <w:right w:val="single" w:sz="4" w:space="0" w:color="auto"/>
            </w:tcBorders>
            <w:shd w:val="clear" w:color="auto" w:fill="auto"/>
            <w:noWrap/>
            <w:vAlign w:val="center"/>
            <w:hideMark/>
          </w:tcPr>
          <w:p w14:paraId="61AB1FF5" w14:textId="77777777" w:rsidR="000140C4" w:rsidRPr="004F469F" w:rsidRDefault="000140C4" w:rsidP="00DE5691">
            <w:pPr>
              <w:jc w:val="center"/>
              <w:rPr>
                <w:b/>
                <w:bCs/>
                <w:sz w:val="20"/>
                <w:szCs w:val="20"/>
              </w:rPr>
            </w:pPr>
            <w:r w:rsidRPr="004F469F">
              <w:rPr>
                <w:b/>
                <w:bCs/>
                <w:sz w:val="20"/>
                <w:szCs w:val="20"/>
              </w:rPr>
              <w:t>Percent</w:t>
            </w:r>
          </w:p>
        </w:tc>
        <w:tc>
          <w:tcPr>
            <w:tcW w:w="801" w:type="dxa"/>
            <w:tcBorders>
              <w:top w:val="nil"/>
              <w:left w:val="nil"/>
              <w:bottom w:val="single" w:sz="18" w:space="0" w:color="auto"/>
              <w:right w:val="single" w:sz="4" w:space="0" w:color="auto"/>
            </w:tcBorders>
            <w:shd w:val="clear" w:color="auto" w:fill="auto"/>
            <w:noWrap/>
            <w:vAlign w:val="center"/>
            <w:hideMark/>
          </w:tcPr>
          <w:p w14:paraId="7CF5F243" w14:textId="77777777" w:rsidR="000140C4" w:rsidRPr="004F469F" w:rsidRDefault="000140C4" w:rsidP="00DE5691">
            <w:pPr>
              <w:jc w:val="center"/>
              <w:rPr>
                <w:b/>
                <w:bCs/>
                <w:sz w:val="20"/>
                <w:szCs w:val="20"/>
              </w:rPr>
            </w:pPr>
            <w:r w:rsidRPr="004F469F">
              <w:rPr>
                <w:b/>
                <w:bCs/>
                <w:sz w:val="20"/>
                <w:szCs w:val="20"/>
              </w:rPr>
              <w:t>Count</w:t>
            </w:r>
          </w:p>
        </w:tc>
        <w:tc>
          <w:tcPr>
            <w:tcW w:w="913" w:type="dxa"/>
            <w:tcBorders>
              <w:top w:val="nil"/>
              <w:left w:val="nil"/>
              <w:bottom w:val="single" w:sz="18" w:space="0" w:color="auto"/>
              <w:right w:val="single" w:sz="4" w:space="0" w:color="auto"/>
            </w:tcBorders>
            <w:shd w:val="clear" w:color="auto" w:fill="auto"/>
            <w:noWrap/>
            <w:vAlign w:val="center"/>
            <w:hideMark/>
          </w:tcPr>
          <w:p w14:paraId="025BE2A3" w14:textId="77777777" w:rsidR="000140C4" w:rsidRPr="004F469F" w:rsidRDefault="000140C4" w:rsidP="00DE5691">
            <w:pPr>
              <w:jc w:val="center"/>
              <w:rPr>
                <w:b/>
                <w:bCs/>
                <w:sz w:val="20"/>
                <w:szCs w:val="20"/>
              </w:rPr>
            </w:pPr>
            <w:r w:rsidRPr="004F469F">
              <w:rPr>
                <w:b/>
                <w:bCs/>
                <w:sz w:val="20"/>
                <w:szCs w:val="20"/>
              </w:rPr>
              <w:t>Percent</w:t>
            </w:r>
          </w:p>
        </w:tc>
        <w:tc>
          <w:tcPr>
            <w:tcW w:w="808" w:type="dxa"/>
            <w:tcBorders>
              <w:top w:val="nil"/>
              <w:left w:val="nil"/>
              <w:bottom w:val="single" w:sz="18" w:space="0" w:color="auto"/>
              <w:right w:val="single" w:sz="4" w:space="0" w:color="auto"/>
            </w:tcBorders>
            <w:shd w:val="clear" w:color="auto" w:fill="auto"/>
            <w:noWrap/>
            <w:vAlign w:val="center"/>
            <w:hideMark/>
          </w:tcPr>
          <w:p w14:paraId="1A124914" w14:textId="77777777" w:rsidR="000140C4" w:rsidRPr="004F469F" w:rsidRDefault="000140C4" w:rsidP="00DE5691">
            <w:pPr>
              <w:jc w:val="center"/>
              <w:rPr>
                <w:b/>
                <w:bCs/>
                <w:sz w:val="20"/>
                <w:szCs w:val="20"/>
              </w:rPr>
            </w:pPr>
            <w:r w:rsidRPr="004F469F">
              <w:rPr>
                <w:b/>
                <w:bCs/>
                <w:sz w:val="20"/>
                <w:szCs w:val="20"/>
              </w:rPr>
              <w:t>Count</w:t>
            </w:r>
          </w:p>
        </w:tc>
        <w:tc>
          <w:tcPr>
            <w:tcW w:w="897" w:type="dxa"/>
            <w:tcBorders>
              <w:top w:val="nil"/>
              <w:left w:val="nil"/>
              <w:bottom w:val="single" w:sz="18" w:space="0" w:color="auto"/>
              <w:right w:val="single" w:sz="4" w:space="0" w:color="auto"/>
            </w:tcBorders>
            <w:shd w:val="clear" w:color="auto" w:fill="auto"/>
            <w:noWrap/>
            <w:vAlign w:val="center"/>
            <w:hideMark/>
          </w:tcPr>
          <w:p w14:paraId="4A8A5125" w14:textId="77777777" w:rsidR="000140C4" w:rsidRPr="004F469F" w:rsidRDefault="000140C4" w:rsidP="00DE5691">
            <w:pPr>
              <w:jc w:val="center"/>
              <w:rPr>
                <w:b/>
                <w:bCs/>
                <w:sz w:val="20"/>
                <w:szCs w:val="20"/>
              </w:rPr>
            </w:pPr>
            <w:r w:rsidRPr="004F469F">
              <w:rPr>
                <w:b/>
                <w:bCs/>
                <w:sz w:val="20"/>
                <w:szCs w:val="20"/>
              </w:rPr>
              <w:t>Percent</w:t>
            </w:r>
          </w:p>
        </w:tc>
      </w:tr>
      <w:tr w:rsidR="000140C4" w:rsidRPr="004F469F" w14:paraId="4B12518C" w14:textId="77777777" w:rsidTr="00DE5691">
        <w:trPr>
          <w:trHeight w:val="320"/>
        </w:trPr>
        <w:tc>
          <w:tcPr>
            <w:tcW w:w="152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3EF44849" w14:textId="77777777" w:rsidR="000140C4" w:rsidRPr="004F469F" w:rsidRDefault="000140C4" w:rsidP="00DE5691">
            <w:pPr>
              <w:jc w:val="center"/>
              <w:rPr>
                <w:sz w:val="20"/>
                <w:szCs w:val="20"/>
              </w:rPr>
            </w:pPr>
            <w:r w:rsidRPr="004F469F">
              <w:rPr>
                <w:sz w:val="20"/>
                <w:szCs w:val="20"/>
              </w:rPr>
              <w:t>No Urban Development</w:t>
            </w:r>
          </w:p>
        </w:tc>
        <w:tc>
          <w:tcPr>
            <w:tcW w:w="1170" w:type="dxa"/>
            <w:tcBorders>
              <w:top w:val="single" w:sz="18" w:space="0" w:color="auto"/>
              <w:left w:val="nil"/>
              <w:bottom w:val="single" w:sz="4" w:space="0" w:color="auto"/>
              <w:right w:val="single" w:sz="4" w:space="0" w:color="auto"/>
            </w:tcBorders>
            <w:shd w:val="clear" w:color="auto" w:fill="auto"/>
            <w:noWrap/>
            <w:vAlign w:val="center"/>
            <w:hideMark/>
          </w:tcPr>
          <w:p w14:paraId="3C85F37C" w14:textId="77777777" w:rsidR="000140C4" w:rsidRPr="004F469F" w:rsidRDefault="000140C4" w:rsidP="00DE5691">
            <w:pPr>
              <w:jc w:val="center"/>
              <w:rPr>
                <w:sz w:val="20"/>
                <w:szCs w:val="20"/>
              </w:rPr>
            </w:pPr>
            <w:r w:rsidRPr="004F469F">
              <w:rPr>
                <w:sz w:val="20"/>
                <w:szCs w:val="20"/>
              </w:rPr>
              <w:t>Canadian</w:t>
            </w:r>
          </w:p>
        </w:tc>
        <w:tc>
          <w:tcPr>
            <w:tcW w:w="616" w:type="dxa"/>
            <w:tcBorders>
              <w:top w:val="single" w:sz="18" w:space="0" w:color="auto"/>
              <w:left w:val="nil"/>
              <w:bottom w:val="single" w:sz="4" w:space="0" w:color="auto"/>
              <w:right w:val="single" w:sz="4" w:space="0" w:color="auto"/>
            </w:tcBorders>
            <w:shd w:val="clear" w:color="auto" w:fill="auto"/>
            <w:noWrap/>
            <w:vAlign w:val="center"/>
            <w:hideMark/>
          </w:tcPr>
          <w:p w14:paraId="79DAA327" w14:textId="77777777" w:rsidR="000140C4" w:rsidRPr="004F469F" w:rsidRDefault="000140C4" w:rsidP="00DE5691">
            <w:pPr>
              <w:jc w:val="center"/>
              <w:rPr>
                <w:sz w:val="20"/>
                <w:szCs w:val="20"/>
              </w:rPr>
            </w:pPr>
            <w:r w:rsidRPr="004F469F">
              <w:rPr>
                <w:sz w:val="20"/>
                <w:szCs w:val="20"/>
              </w:rPr>
              <w:t>1,857</w:t>
            </w:r>
          </w:p>
        </w:tc>
        <w:tc>
          <w:tcPr>
            <w:tcW w:w="917" w:type="dxa"/>
            <w:tcBorders>
              <w:top w:val="single" w:sz="18" w:space="0" w:color="auto"/>
              <w:left w:val="nil"/>
              <w:bottom w:val="single" w:sz="4" w:space="0" w:color="auto"/>
              <w:right w:val="single" w:sz="4" w:space="0" w:color="auto"/>
            </w:tcBorders>
            <w:shd w:val="clear" w:color="auto" w:fill="auto"/>
            <w:noWrap/>
            <w:vAlign w:val="center"/>
            <w:hideMark/>
          </w:tcPr>
          <w:p w14:paraId="53B1F778" w14:textId="77777777" w:rsidR="000140C4" w:rsidRPr="004F469F" w:rsidRDefault="000140C4" w:rsidP="00DE5691">
            <w:pPr>
              <w:jc w:val="center"/>
              <w:rPr>
                <w:sz w:val="20"/>
                <w:szCs w:val="20"/>
              </w:rPr>
            </w:pPr>
            <w:r w:rsidRPr="004F469F">
              <w:rPr>
                <w:sz w:val="20"/>
                <w:szCs w:val="20"/>
              </w:rPr>
              <w:t>1,197</w:t>
            </w:r>
          </w:p>
        </w:tc>
        <w:tc>
          <w:tcPr>
            <w:tcW w:w="872" w:type="dxa"/>
            <w:tcBorders>
              <w:top w:val="single" w:sz="18" w:space="0" w:color="auto"/>
              <w:left w:val="nil"/>
              <w:bottom w:val="single" w:sz="4" w:space="0" w:color="auto"/>
              <w:right w:val="single" w:sz="4" w:space="0" w:color="auto"/>
            </w:tcBorders>
            <w:shd w:val="clear" w:color="auto" w:fill="auto"/>
            <w:noWrap/>
            <w:vAlign w:val="center"/>
            <w:hideMark/>
          </w:tcPr>
          <w:p w14:paraId="6D6F8A70" w14:textId="77777777" w:rsidR="000140C4" w:rsidRPr="004F469F" w:rsidRDefault="000140C4" w:rsidP="00DE5691">
            <w:pPr>
              <w:jc w:val="center"/>
              <w:rPr>
                <w:sz w:val="20"/>
                <w:szCs w:val="20"/>
              </w:rPr>
            </w:pPr>
            <w:r w:rsidRPr="004F469F">
              <w:rPr>
                <w:sz w:val="20"/>
                <w:szCs w:val="20"/>
              </w:rPr>
              <w:t>64.4</w:t>
            </w:r>
          </w:p>
        </w:tc>
        <w:tc>
          <w:tcPr>
            <w:tcW w:w="801" w:type="dxa"/>
            <w:tcBorders>
              <w:top w:val="single" w:sz="18" w:space="0" w:color="auto"/>
              <w:left w:val="nil"/>
              <w:bottom w:val="single" w:sz="4" w:space="0" w:color="auto"/>
              <w:right w:val="single" w:sz="4" w:space="0" w:color="auto"/>
            </w:tcBorders>
            <w:shd w:val="clear" w:color="auto" w:fill="auto"/>
            <w:noWrap/>
            <w:vAlign w:val="center"/>
            <w:hideMark/>
          </w:tcPr>
          <w:p w14:paraId="6B1ECE57" w14:textId="77777777" w:rsidR="000140C4" w:rsidRPr="004F469F" w:rsidRDefault="000140C4" w:rsidP="00DE5691">
            <w:pPr>
              <w:jc w:val="center"/>
              <w:rPr>
                <w:sz w:val="20"/>
                <w:szCs w:val="20"/>
              </w:rPr>
            </w:pPr>
            <w:r w:rsidRPr="004F469F">
              <w:rPr>
                <w:sz w:val="20"/>
                <w:szCs w:val="20"/>
              </w:rPr>
              <w:t>633</w:t>
            </w:r>
          </w:p>
        </w:tc>
        <w:tc>
          <w:tcPr>
            <w:tcW w:w="913" w:type="dxa"/>
            <w:tcBorders>
              <w:top w:val="single" w:sz="18" w:space="0" w:color="auto"/>
              <w:left w:val="nil"/>
              <w:bottom w:val="single" w:sz="4" w:space="0" w:color="auto"/>
              <w:right w:val="single" w:sz="4" w:space="0" w:color="auto"/>
            </w:tcBorders>
            <w:shd w:val="clear" w:color="auto" w:fill="auto"/>
            <w:noWrap/>
            <w:vAlign w:val="center"/>
            <w:hideMark/>
          </w:tcPr>
          <w:p w14:paraId="17DECFED" w14:textId="77777777" w:rsidR="000140C4" w:rsidRPr="004F469F" w:rsidRDefault="000140C4" w:rsidP="00DE5691">
            <w:pPr>
              <w:jc w:val="center"/>
              <w:rPr>
                <w:sz w:val="20"/>
                <w:szCs w:val="20"/>
              </w:rPr>
            </w:pPr>
            <w:r w:rsidRPr="004F469F">
              <w:rPr>
                <w:sz w:val="20"/>
                <w:szCs w:val="20"/>
              </w:rPr>
              <w:t>34.1</w:t>
            </w:r>
          </w:p>
        </w:tc>
        <w:tc>
          <w:tcPr>
            <w:tcW w:w="808" w:type="dxa"/>
            <w:tcBorders>
              <w:top w:val="single" w:sz="18" w:space="0" w:color="auto"/>
              <w:left w:val="nil"/>
              <w:bottom w:val="single" w:sz="4" w:space="0" w:color="auto"/>
              <w:right w:val="single" w:sz="4" w:space="0" w:color="auto"/>
            </w:tcBorders>
            <w:shd w:val="clear" w:color="auto" w:fill="auto"/>
            <w:noWrap/>
            <w:vAlign w:val="center"/>
            <w:hideMark/>
          </w:tcPr>
          <w:p w14:paraId="59DB755D" w14:textId="77777777" w:rsidR="000140C4" w:rsidRPr="004F469F" w:rsidRDefault="000140C4" w:rsidP="00DE5691">
            <w:pPr>
              <w:jc w:val="center"/>
              <w:rPr>
                <w:sz w:val="20"/>
                <w:szCs w:val="20"/>
              </w:rPr>
            </w:pPr>
            <w:r w:rsidRPr="004F469F">
              <w:rPr>
                <w:sz w:val="20"/>
                <w:szCs w:val="20"/>
              </w:rPr>
              <w:t>28</w:t>
            </w:r>
          </w:p>
        </w:tc>
        <w:tc>
          <w:tcPr>
            <w:tcW w:w="897" w:type="dxa"/>
            <w:tcBorders>
              <w:top w:val="single" w:sz="18" w:space="0" w:color="auto"/>
              <w:left w:val="nil"/>
              <w:bottom w:val="single" w:sz="4" w:space="0" w:color="auto"/>
              <w:right w:val="single" w:sz="18" w:space="0" w:color="auto"/>
            </w:tcBorders>
            <w:shd w:val="clear" w:color="auto" w:fill="auto"/>
            <w:noWrap/>
            <w:vAlign w:val="center"/>
            <w:hideMark/>
          </w:tcPr>
          <w:p w14:paraId="53324873" w14:textId="77777777" w:rsidR="000140C4" w:rsidRPr="004F469F" w:rsidRDefault="000140C4" w:rsidP="00DE5691">
            <w:pPr>
              <w:jc w:val="center"/>
              <w:rPr>
                <w:sz w:val="20"/>
                <w:szCs w:val="20"/>
              </w:rPr>
            </w:pPr>
            <w:r w:rsidRPr="004F469F">
              <w:rPr>
                <w:sz w:val="20"/>
                <w:szCs w:val="20"/>
              </w:rPr>
              <w:t>1.5</w:t>
            </w:r>
          </w:p>
        </w:tc>
      </w:tr>
      <w:tr w:rsidR="000140C4" w:rsidRPr="004F469F" w14:paraId="3E12567A" w14:textId="77777777" w:rsidTr="00DE5691">
        <w:trPr>
          <w:trHeight w:val="320"/>
        </w:trPr>
        <w:tc>
          <w:tcPr>
            <w:tcW w:w="1525" w:type="dxa"/>
            <w:vMerge/>
            <w:tcBorders>
              <w:top w:val="nil"/>
              <w:left w:val="single" w:sz="18" w:space="0" w:color="auto"/>
              <w:bottom w:val="single" w:sz="4" w:space="0" w:color="auto"/>
              <w:right w:val="single" w:sz="4" w:space="0" w:color="auto"/>
            </w:tcBorders>
            <w:vAlign w:val="center"/>
            <w:hideMark/>
          </w:tcPr>
          <w:p w14:paraId="18CF45AC" w14:textId="77777777" w:rsidR="000140C4" w:rsidRPr="004F469F" w:rsidRDefault="000140C4" w:rsidP="00DE5691">
            <w:pPr>
              <w:jc w:val="center"/>
              <w:rPr>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62B09AD8" w14:textId="77777777" w:rsidR="000140C4" w:rsidRPr="004F469F" w:rsidRDefault="000140C4" w:rsidP="00DE5691">
            <w:pPr>
              <w:jc w:val="center"/>
              <w:rPr>
                <w:sz w:val="20"/>
                <w:szCs w:val="20"/>
              </w:rPr>
            </w:pPr>
            <w:r w:rsidRPr="004F469F">
              <w:rPr>
                <w:sz w:val="20"/>
                <w:szCs w:val="20"/>
              </w:rPr>
              <w:t>Cleveland</w:t>
            </w:r>
          </w:p>
        </w:tc>
        <w:tc>
          <w:tcPr>
            <w:tcW w:w="616" w:type="dxa"/>
            <w:tcBorders>
              <w:top w:val="nil"/>
              <w:left w:val="nil"/>
              <w:bottom w:val="single" w:sz="4" w:space="0" w:color="auto"/>
              <w:right w:val="single" w:sz="4" w:space="0" w:color="auto"/>
            </w:tcBorders>
            <w:shd w:val="clear" w:color="auto" w:fill="auto"/>
            <w:noWrap/>
            <w:vAlign w:val="center"/>
            <w:hideMark/>
          </w:tcPr>
          <w:p w14:paraId="2C3135A0" w14:textId="77777777" w:rsidR="000140C4" w:rsidRPr="004F469F" w:rsidRDefault="000140C4" w:rsidP="00DE5691">
            <w:pPr>
              <w:jc w:val="center"/>
              <w:rPr>
                <w:sz w:val="20"/>
                <w:szCs w:val="20"/>
              </w:rPr>
            </w:pPr>
            <w:r w:rsidRPr="004F469F">
              <w:rPr>
                <w:sz w:val="20"/>
                <w:szCs w:val="20"/>
              </w:rPr>
              <w:t>2,083</w:t>
            </w:r>
          </w:p>
        </w:tc>
        <w:tc>
          <w:tcPr>
            <w:tcW w:w="917" w:type="dxa"/>
            <w:tcBorders>
              <w:top w:val="nil"/>
              <w:left w:val="nil"/>
              <w:bottom w:val="single" w:sz="4" w:space="0" w:color="auto"/>
              <w:right w:val="single" w:sz="4" w:space="0" w:color="auto"/>
            </w:tcBorders>
            <w:shd w:val="clear" w:color="auto" w:fill="auto"/>
            <w:noWrap/>
            <w:vAlign w:val="center"/>
            <w:hideMark/>
          </w:tcPr>
          <w:p w14:paraId="76E2F6D7" w14:textId="77777777" w:rsidR="000140C4" w:rsidRPr="004F469F" w:rsidRDefault="000140C4" w:rsidP="00DE5691">
            <w:pPr>
              <w:jc w:val="center"/>
              <w:rPr>
                <w:sz w:val="20"/>
                <w:szCs w:val="20"/>
              </w:rPr>
            </w:pPr>
            <w:r w:rsidRPr="004F469F">
              <w:rPr>
                <w:sz w:val="20"/>
                <w:szCs w:val="20"/>
              </w:rPr>
              <w:t>1,044</w:t>
            </w:r>
          </w:p>
        </w:tc>
        <w:tc>
          <w:tcPr>
            <w:tcW w:w="872" w:type="dxa"/>
            <w:tcBorders>
              <w:top w:val="nil"/>
              <w:left w:val="nil"/>
              <w:bottom w:val="single" w:sz="4" w:space="0" w:color="auto"/>
              <w:right w:val="single" w:sz="4" w:space="0" w:color="auto"/>
            </w:tcBorders>
            <w:shd w:val="clear" w:color="auto" w:fill="auto"/>
            <w:noWrap/>
            <w:vAlign w:val="center"/>
            <w:hideMark/>
          </w:tcPr>
          <w:p w14:paraId="7C248D63" w14:textId="77777777" w:rsidR="000140C4" w:rsidRPr="004F469F" w:rsidRDefault="000140C4" w:rsidP="00DE5691">
            <w:pPr>
              <w:jc w:val="center"/>
              <w:rPr>
                <w:sz w:val="20"/>
                <w:szCs w:val="20"/>
              </w:rPr>
            </w:pPr>
            <w:r w:rsidRPr="004F469F">
              <w:rPr>
                <w:sz w:val="20"/>
                <w:szCs w:val="20"/>
              </w:rPr>
              <w:t>50.1</w:t>
            </w:r>
          </w:p>
        </w:tc>
        <w:tc>
          <w:tcPr>
            <w:tcW w:w="801" w:type="dxa"/>
            <w:tcBorders>
              <w:top w:val="nil"/>
              <w:left w:val="nil"/>
              <w:bottom w:val="single" w:sz="4" w:space="0" w:color="auto"/>
              <w:right w:val="single" w:sz="4" w:space="0" w:color="auto"/>
            </w:tcBorders>
            <w:shd w:val="clear" w:color="auto" w:fill="auto"/>
            <w:noWrap/>
            <w:vAlign w:val="center"/>
            <w:hideMark/>
          </w:tcPr>
          <w:p w14:paraId="215115C3" w14:textId="77777777" w:rsidR="000140C4" w:rsidRPr="004F469F" w:rsidRDefault="000140C4" w:rsidP="00DE5691">
            <w:pPr>
              <w:jc w:val="center"/>
              <w:rPr>
                <w:sz w:val="20"/>
                <w:szCs w:val="20"/>
              </w:rPr>
            </w:pPr>
            <w:r w:rsidRPr="004F469F">
              <w:rPr>
                <w:sz w:val="20"/>
                <w:szCs w:val="20"/>
              </w:rPr>
              <w:t>977</w:t>
            </w:r>
          </w:p>
        </w:tc>
        <w:tc>
          <w:tcPr>
            <w:tcW w:w="913" w:type="dxa"/>
            <w:tcBorders>
              <w:top w:val="nil"/>
              <w:left w:val="nil"/>
              <w:bottom w:val="single" w:sz="4" w:space="0" w:color="auto"/>
              <w:right w:val="single" w:sz="4" w:space="0" w:color="auto"/>
            </w:tcBorders>
            <w:shd w:val="clear" w:color="auto" w:fill="auto"/>
            <w:noWrap/>
            <w:vAlign w:val="center"/>
            <w:hideMark/>
          </w:tcPr>
          <w:p w14:paraId="3EBCAAFD" w14:textId="77777777" w:rsidR="000140C4" w:rsidRPr="004F469F" w:rsidRDefault="000140C4" w:rsidP="00DE5691">
            <w:pPr>
              <w:jc w:val="center"/>
              <w:rPr>
                <w:sz w:val="20"/>
                <w:szCs w:val="20"/>
              </w:rPr>
            </w:pPr>
            <w:r w:rsidRPr="004F469F">
              <w:rPr>
                <w:sz w:val="20"/>
                <w:szCs w:val="20"/>
              </w:rPr>
              <w:t>46.9</w:t>
            </w:r>
          </w:p>
        </w:tc>
        <w:tc>
          <w:tcPr>
            <w:tcW w:w="808" w:type="dxa"/>
            <w:tcBorders>
              <w:top w:val="nil"/>
              <w:left w:val="nil"/>
              <w:bottom w:val="single" w:sz="4" w:space="0" w:color="auto"/>
              <w:right w:val="single" w:sz="4" w:space="0" w:color="auto"/>
            </w:tcBorders>
            <w:shd w:val="clear" w:color="auto" w:fill="auto"/>
            <w:noWrap/>
            <w:vAlign w:val="center"/>
            <w:hideMark/>
          </w:tcPr>
          <w:p w14:paraId="66F87AE2" w14:textId="77777777" w:rsidR="000140C4" w:rsidRPr="004F469F" w:rsidRDefault="000140C4" w:rsidP="00DE5691">
            <w:pPr>
              <w:jc w:val="center"/>
              <w:rPr>
                <w:sz w:val="20"/>
                <w:szCs w:val="20"/>
              </w:rPr>
            </w:pPr>
            <w:r w:rsidRPr="004F469F">
              <w:rPr>
                <w:sz w:val="20"/>
                <w:szCs w:val="20"/>
              </w:rPr>
              <w:t>62</w:t>
            </w:r>
          </w:p>
        </w:tc>
        <w:tc>
          <w:tcPr>
            <w:tcW w:w="897" w:type="dxa"/>
            <w:tcBorders>
              <w:top w:val="nil"/>
              <w:left w:val="nil"/>
              <w:bottom w:val="single" w:sz="4" w:space="0" w:color="auto"/>
              <w:right w:val="single" w:sz="18" w:space="0" w:color="auto"/>
            </w:tcBorders>
            <w:shd w:val="clear" w:color="auto" w:fill="auto"/>
            <w:noWrap/>
            <w:vAlign w:val="center"/>
            <w:hideMark/>
          </w:tcPr>
          <w:p w14:paraId="658F1B2C" w14:textId="77777777" w:rsidR="000140C4" w:rsidRPr="004F469F" w:rsidRDefault="000140C4" w:rsidP="00DE5691">
            <w:pPr>
              <w:jc w:val="center"/>
              <w:rPr>
                <w:sz w:val="20"/>
                <w:szCs w:val="20"/>
              </w:rPr>
            </w:pPr>
            <w:r w:rsidRPr="004F469F">
              <w:rPr>
                <w:sz w:val="20"/>
                <w:szCs w:val="20"/>
              </w:rPr>
              <w:t>3.0</w:t>
            </w:r>
          </w:p>
        </w:tc>
      </w:tr>
      <w:tr w:rsidR="000140C4" w:rsidRPr="004F469F" w14:paraId="3F887C86" w14:textId="77777777" w:rsidTr="00DE5691">
        <w:trPr>
          <w:trHeight w:val="320"/>
        </w:trPr>
        <w:tc>
          <w:tcPr>
            <w:tcW w:w="1525" w:type="dxa"/>
            <w:vMerge/>
            <w:tcBorders>
              <w:top w:val="nil"/>
              <w:left w:val="single" w:sz="18" w:space="0" w:color="auto"/>
              <w:bottom w:val="single" w:sz="4" w:space="0" w:color="auto"/>
              <w:right w:val="single" w:sz="4" w:space="0" w:color="auto"/>
            </w:tcBorders>
            <w:vAlign w:val="center"/>
            <w:hideMark/>
          </w:tcPr>
          <w:p w14:paraId="608C6AF3" w14:textId="77777777" w:rsidR="000140C4" w:rsidRPr="004F469F" w:rsidRDefault="000140C4" w:rsidP="00DE5691">
            <w:pPr>
              <w:jc w:val="center"/>
              <w:rPr>
                <w:sz w:val="20"/>
                <w:szCs w:val="20"/>
              </w:rPr>
            </w:pPr>
          </w:p>
        </w:tc>
        <w:tc>
          <w:tcPr>
            <w:tcW w:w="1170" w:type="dxa"/>
            <w:tcBorders>
              <w:top w:val="nil"/>
              <w:left w:val="nil"/>
              <w:bottom w:val="single" w:sz="12" w:space="0" w:color="auto"/>
              <w:right w:val="single" w:sz="4" w:space="0" w:color="auto"/>
            </w:tcBorders>
            <w:shd w:val="clear" w:color="auto" w:fill="auto"/>
            <w:noWrap/>
            <w:vAlign w:val="center"/>
            <w:hideMark/>
          </w:tcPr>
          <w:p w14:paraId="05EFC3F3" w14:textId="77777777" w:rsidR="000140C4" w:rsidRPr="004F469F" w:rsidRDefault="000140C4" w:rsidP="00DE5691">
            <w:pPr>
              <w:jc w:val="center"/>
              <w:rPr>
                <w:sz w:val="20"/>
                <w:szCs w:val="20"/>
              </w:rPr>
            </w:pPr>
            <w:r w:rsidRPr="004F469F">
              <w:rPr>
                <w:sz w:val="20"/>
                <w:szCs w:val="20"/>
              </w:rPr>
              <w:t>Oklahoma</w:t>
            </w:r>
          </w:p>
        </w:tc>
        <w:tc>
          <w:tcPr>
            <w:tcW w:w="616" w:type="dxa"/>
            <w:tcBorders>
              <w:top w:val="nil"/>
              <w:left w:val="nil"/>
              <w:bottom w:val="single" w:sz="12" w:space="0" w:color="auto"/>
              <w:right w:val="single" w:sz="4" w:space="0" w:color="auto"/>
            </w:tcBorders>
            <w:shd w:val="clear" w:color="auto" w:fill="auto"/>
            <w:noWrap/>
            <w:vAlign w:val="center"/>
            <w:hideMark/>
          </w:tcPr>
          <w:p w14:paraId="5A3CE252" w14:textId="77777777" w:rsidR="000140C4" w:rsidRPr="004F469F" w:rsidRDefault="000140C4" w:rsidP="00DE5691">
            <w:pPr>
              <w:jc w:val="center"/>
              <w:rPr>
                <w:sz w:val="20"/>
                <w:szCs w:val="20"/>
              </w:rPr>
            </w:pPr>
            <w:r w:rsidRPr="004F469F">
              <w:rPr>
                <w:sz w:val="20"/>
                <w:szCs w:val="20"/>
              </w:rPr>
              <w:t>1,748</w:t>
            </w:r>
          </w:p>
        </w:tc>
        <w:tc>
          <w:tcPr>
            <w:tcW w:w="917" w:type="dxa"/>
            <w:tcBorders>
              <w:top w:val="nil"/>
              <w:left w:val="nil"/>
              <w:bottom w:val="single" w:sz="12" w:space="0" w:color="auto"/>
              <w:right w:val="single" w:sz="4" w:space="0" w:color="auto"/>
            </w:tcBorders>
            <w:shd w:val="clear" w:color="auto" w:fill="auto"/>
            <w:noWrap/>
            <w:vAlign w:val="center"/>
            <w:hideMark/>
          </w:tcPr>
          <w:p w14:paraId="6CC34199" w14:textId="77777777" w:rsidR="000140C4" w:rsidRPr="004F469F" w:rsidRDefault="000140C4" w:rsidP="00DE5691">
            <w:pPr>
              <w:jc w:val="center"/>
              <w:rPr>
                <w:sz w:val="20"/>
                <w:szCs w:val="20"/>
              </w:rPr>
            </w:pPr>
            <w:r w:rsidRPr="004F469F">
              <w:rPr>
                <w:sz w:val="20"/>
                <w:szCs w:val="20"/>
              </w:rPr>
              <w:t>549</w:t>
            </w:r>
          </w:p>
        </w:tc>
        <w:tc>
          <w:tcPr>
            <w:tcW w:w="872" w:type="dxa"/>
            <w:tcBorders>
              <w:top w:val="nil"/>
              <w:left w:val="nil"/>
              <w:bottom w:val="single" w:sz="12" w:space="0" w:color="auto"/>
              <w:right w:val="single" w:sz="4" w:space="0" w:color="auto"/>
            </w:tcBorders>
            <w:shd w:val="clear" w:color="auto" w:fill="auto"/>
            <w:noWrap/>
            <w:vAlign w:val="center"/>
            <w:hideMark/>
          </w:tcPr>
          <w:p w14:paraId="19B8744F" w14:textId="77777777" w:rsidR="000140C4" w:rsidRPr="004F469F" w:rsidRDefault="000140C4" w:rsidP="00DE5691">
            <w:pPr>
              <w:jc w:val="center"/>
              <w:rPr>
                <w:sz w:val="20"/>
                <w:szCs w:val="20"/>
              </w:rPr>
            </w:pPr>
            <w:r w:rsidRPr="004F469F">
              <w:rPr>
                <w:sz w:val="20"/>
                <w:szCs w:val="20"/>
              </w:rPr>
              <w:t>31.4</w:t>
            </w:r>
          </w:p>
        </w:tc>
        <w:tc>
          <w:tcPr>
            <w:tcW w:w="801" w:type="dxa"/>
            <w:tcBorders>
              <w:top w:val="nil"/>
              <w:left w:val="nil"/>
              <w:bottom w:val="single" w:sz="12" w:space="0" w:color="auto"/>
              <w:right w:val="single" w:sz="4" w:space="0" w:color="auto"/>
            </w:tcBorders>
            <w:shd w:val="clear" w:color="auto" w:fill="auto"/>
            <w:noWrap/>
            <w:vAlign w:val="center"/>
            <w:hideMark/>
          </w:tcPr>
          <w:p w14:paraId="5452B990" w14:textId="77777777" w:rsidR="000140C4" w:rsidRPr="004F469F" w:rsidRDefault="000140C4" w:rsidP="00DE5691">
            <w:pPr>
              <w:jc w:val="center"/>
              <w:rPr>
                <w:sz w:val="20"/>
                <w:szCs w:val="20"/>
              </w:rPr>
            </w:pPr>
            <w:r w:rsidRPr="004F469F">
              <w:rPr>
                <w:sz w:val="20"/>
                <w:szCs w:val="20"/>
              </w:rPr>
              <w:t>928</w:t>
            </w:r>
          </w:p>
        </w:tc>
        <w:tc>
          <w:tcPr>
            <w:tcW w:w="913" w:type="dxa"/>
            <w:tcBorders>
              <w:top w:val="nil"/>
              <w:left w:val="nil"/>
              <w:bottom w:val="single" w:sz="12" w:space="0" w:color="auto"/>
              <w:right w:val="single" w:sz="4" w:space="0" w:color="auto"/>
            </w:tcBorders>
            <w:shd w:val="clear" w:color="auto" w:fill="auto"/>
            <w:noWrap/>
            <w:vAlign w:val="center"/>
            <w:hideMark/>
          </w:tcPr>
          <w:p w14:paraId="04A5B25E" w14:textId="77777777" w:rsidR="000140C4" w:rsidRPr="004F469F" w:rsidRDefault="000140C4" w:rsidP="00DE5691">
            <w:pPr>
              <w:jc w:val="center"/>
              <w:rPr>
                <w:sz w:val="20"/>
                <w:szCs w:val="20"/>
              </w:rPr>
            </w:pPr>
            <w:r w:rsidRPr="004F469F">
              <w:rPr>
                <w:sz w:val="20"/>
                <w:szCs w:val="20"/>
              </w:rPr>
              <w:t>53.1</w:t>
            </w:r>
          </w:p>
        </w:tc>
        <w:tc>
          <w:tcPr>
            <w:tcW w:w="808" w:type="dxa"/>
            <w:tcBorders>
              <w:top w:val="nil"/>
              <w:left w:val="nil"/>
              <w:bottom w:val="single" w:sz="12" w:space="0" w:color="auto"/>
              <w:right w:val="single" w:sz="4" w:space="0" w:color="auto"/>
            </w:tcBorders>
            <w:shd w:val="clear" w:color="auto" w:fill="auto"/>
            <w:noWrap/>
            <w:vAlign w:val="center"/>
            <w:hideMark/>
          </w:tcPr>
          <w:p w14:paraId="63B86696" w14:textId="77777777" w:rsidR="000140C4" w:rsidRPr="004F469F" w:rsidRDefault="000140C4" w:rsidP="00DE5691">
            <w:pPr>
              <w:jc w:val="center"/>
              <w:rPr>
                <w:sz w:val="20"/>
                <w:szCs w:val="20"/>
              </w:rPr>
            </w:pPr>
            <w:r w:rsidRPr="004F469F">
              <w:rPr>
                <w:sz w:val="20"/>
                <w:szCs w:val="20"/>
              </w:rPr>
              <w:t>271</w:t>
            </w:r>
          </w:p>
        </w:tc>
        <w:tc>
          <w:tcPr>
            <w:tcW w:w="897" w:type="dxa"/>
            <w:tcBorders>
              <w:top w:val="nil"/>
              <w:left w:val="nil"/>
              <w:bottom w:val="single" w:sz="12" w:space="0" w:color="auto"/>
              <w:right w:val="single" w:sz="18" w:space="0" w:color="auto"/>
            </w:tcBorders>
            <w:shd w:val="clear" w:color="auto" w:fill="auto"/>
            <w:noWrap/>
            <w:vAlign w:val="center"/>
            <w:hideMark/>
          </w:tcPr>
          <w:p w14:paraId="3444694D" w14:textId="77777777" w:rsidR="000140C4" w:rsidRPr="004F469F" w:rsidRDefault="000140C4" w:rsidP="00DE5691">
            <w:pPr>
              <w:jc w:val="center"/>
              <w:rPr>
                <w:sz w:val="20"/>
                <w:szCs w:val="20"/>
              </w:rPr>
            </w:pPr>
            <w:r w:rsidRPr="004F469F">
              <w:rPr>
                <w:sz w:val="20"/>
                <w:szCs w:val="20"/>
              </w:rPr>
              <w:t>15.5</w:t>
            </w:r>
          </w:p>
        </w:tc>
      </w:tr>
      <w:tr w:rsidR="000140C4" w:rsidRPr="004F469F" w14:paraId="71CDBC7D" w14:textId="77777777" w:rsidTr="00DE5691">
        <w:trPr>
          <w:trHeight w:val="320"/>
        </w:trPr>
        <w:tc>
          <w:tcPr>
            <w:tcW w:w="1525" w:type="dxa"/>
            <w:vMerge/>
            <w:tcBorders>
              <w:top w:val="nil"/>
              <w:left w:val="single" w:sz="18" w:space="0" w:color="auto"/>
              <w:bottom w:val="single" w:sz="18" w:space="0" w:color="auto"/>
              <w:right w:val="single" w:sz="4" w:space="0" w:color="auto"/>
            </w:tcBorders>
            <w:vAlign w:val="center"/>
            <w:hideMark/>
          </w:tcPr>
          <w:p w14:paraId="721DFA71" w14:textId="77777777" w:rsidR="000140C4" w:rsidRPr="004F469F" w:rsidRDefault="000140C4" w:rsidP="00DE5691">
            <w:pPr>
              <w:jc w:val="center"/>
              <w:rPr>
                <w:sz w:val="20"/>
                <w:szCs w:val="20"/>
              </w:rPr>
            </w:pPr>
          </w:p>
        </w:tc>
        <w:tc>
          <w:tcPr>
            <w:tcW w:w="1170" w:type="dxa"/>
            <w:tcBorders>
              <w:top w:val="single" w:sz="12" w:space="0" w:color="auto"/>
              <w:left w:val="nil"/>
              <w:bottom w:val="single" w:sz="18" w:space="0" w:color="auto"/>
              <w:right w:val="single" w:sz="4" w:space="0" w:color="auto"/>
            </w:tcBorders>
            <w:shd w:val="clear" w:color="auto" w:fill="auto"/>
            <w:noWrap/>
            <w:vAlign w:val="center"/>
            <w:hideMark/>
          </w:tcPr>
          <w:p w14:paraId="031DB21F" w14:textId="77777777" w:rsidR="000140C4" w:rsidRPr="004F469F" w:rsidRDefault="000140C4" w:rsidP="00DE5691">
            <w:pPr>
              <w:jc w:val="center"/>
              <w:rPr>
                <w:i/>
                <w:iCs/>
                <w:sz w:val="20"/>
                <w:szCs w:val="20"/>
              </w:rPr>
            </w:pPr>
            <w:r w:rsidRPr="004F469F">
              <w:rPr>
                <w:i/>
                <w:iCs/>
                <w:sz w:val="20"/>
                <w:szCs w:val="20"/>
              </w:rPr>
              <w:t>OKC Metro</w:t>
            </w:r>
          </w:p>
        </w:tc>
        <w:tc>
          <w:tcPr>
            <w:tcW w:w="616" w:type="dxa"/>
            <w:tcBorders>
              <w:top w:val="single" w:sz="12" w:space="0" w:color="auto"/>
              <w:left w:val="nil"/>
              <w:bottom w:val="single" w:sz="18" w:space="0" w:color="auto"/>
              <w:right w:val="single" w:sz="4" w:space="0" w:color="auto"/>
            </w:tcBorders>
            <w:shd w:val="clear" w:color="auto" w:fill="auto"/>
            <w:noWrap/>
            <w:vAlign w:val="center"/>
            <w:hideMark/>
          </w:tcPr>
          <w:p w14:paraId="2547067C" w14:textId="77777777" w:rsidR="000140C4" w:rsidRPr="004F469F" w:rsidRDefault="000140C4" w:rsidP="00DE5691">
            <w:pPr>
              <w:jc w:val="center"/>
              <w:rPr>
                <w:i/>
                <w:iCs/>
                <w:sz w:val="20"/>
                <w:szCs w:val="20"/>
              </w:rPr>
            </w:pPr>
            <w:r w:rsidRPr="004F469F">
              <w:rPr>
                <w:i/>
                <w:iCs/>
                <w:sz w:val="20"/>
                <w:szCs w:val="20"/>
              </w:rPr>
              <w:t>1,618</w:t>
            </w:r>
          </w:p>
        </w:tc>
        <w:tc>
          <w:tcPr>
            <w:tcW w:w="917" w:type="dxa"/>
            <w:tcBorders>
              <w:top w:val="single" w:sz="12" w:space="0" w:color="auto"/>
              <w:left w:val="nil"/>
              <w:bottom w:val="single" w:sz="18" w:space="0" w:color="auto"/>
              <w:right w:val="single" w:sz="4" w:space="0" w:color="auto"/>
            </w:tcBorders>
            <w:shd w:val="clear" w:color="auto" w:fill="auto"/>
            <w:noWrap/>
            <w:vAlign w:val="center"/>
            <w:hideMark/>
          </w:tcPr>
          <w:p w14:paraId="30D097DF" w14:textId="77777777" w:rsidR="000140C4" w:rsidRPr="004F469F" w:rsidRDefault="000140C4" w:rsidP="00DE5691">
            <w:pPr>
              <w:jc w:val="center"/>
              <w:rPr>
                <w:i/>
                <w:iCs/>
                <w:sz w:val="20"/>
                <w:szCs w:val="20"/>
              </w:rPr>
            </w:pPr>
            <w:r w:rsidRPr="004F469F">
              <w:rPr>
                <w:i/>
                <w:iCs/>
                <w:sz w:val="20"/>
                <w:szCs w:val="20"/>
              </w:rPr>
              <w:t>829</w:t>
            </w:r>
          </w:p>
        </w:tc>
        <w:tc>
          <w:tcPr>
            <w:tcW w:w="872" w:type="dxa"/>
            <w:tcBorders>
              <w:top w:val="single" w:sz="12" w:space="0" w:color="auto"/>
              <w:left w:val="nil"/>
              <w:bottom w:val="single" w:sz="18" w:space="0" w:color="auto"/>
              <w:right w:val="single" w:sz="4" w:space="0" w:color="auto"/>
            </w:tcBorders>
            <w:shd w:val="clear" w:color="auto" w:fill="auto"/>
            <w:noWrap/>
            <w:vAlign w:val="center"/>
            <w:hideMark/>
          </w:tcPr>
          <w:p w14:paraId="4D5F01CE" w14:textId="77777777" w:rsidR="000140C4" w:rsidRPr="004F469F" w:rsidRDefault="000140C4" w:rsidP="00DE5691">
            <w:pPr>
              <w:jc w:val="center"/>
              <w:rPr>
                <w:i/>
                <w:iCs/>
                <w:sz w:val="20"/>
                <w:szCs w:val="20"/>
              </w:rPr>
            </w:pPr>
            <w:r w:rsidRPr="004F469F">
              <w:rPr>
                <w:i/>
                <w:iCs/>
                <w:sz w:val="20"/>
                <w:szCs w:val="20"/>
              </w:rPr>
              <w:t>51.2</w:t>
            </w:r>
          </w:p>
        </w:tc>
        <w:tc>
          <w:tcPr>
            <w:tcW w:w="801" w:type="dxa"/>
            <w:tcBorders>
              <w:top w:val="single" w:sz="12" w:space="0" w:color="auto"/>
              <w:left w:val="nil"/>
              <w:bottom w:val="single" w:sz="18" w:space="0" w:color="auto"/>
              <w:right w:val="single" w:sz="4" w:space="0" w:color="auto"/>
            </w:tcBorders>
            <w:shd w:val="clear" w:color="auto" w:fill="auto"/>
            <w:noWrap/>
            <w:vAlign w:val="center"/>
            <w:hideMark/>
          </w:tcPr>
          <w:p w14:paraId="50D513BA" w14:textId="77777777" w:rsidR="000140C4" w:rsidRPr="004F469F" w:rsidRDefault="000140C4" w:rsidP="00DE5691">
            <w:pPr>
              <w:jc w:val="center"/>
              <w:rPr>
                <w:i/>
                <w:iCs/>
                <w:sz w:val="20"/>
                <w:szCs w:val="20"/>
              </w:rPr>
            </w:pPr>
            <w:r w:rsidRPr="004F469F">
              <w:rPr>
                <w:i/>
                <w:iCs/>
                <w:sz w:val="20"/>
                <w:szCs w:val="20"/>
              </w:rPr>
              <w:t>675</w:t>
            </w:r>
          </w:p>
        </w:tc>
        <w:tc>
          <w:tcPr>
            <w:tcW w:w="913" w:type="dxa"/>
            <w:tcBorders>
              <w:top w:val="single" w:sz="12" w:space="0" w:color="auto"/>
              <w:left w:val="nil"/>
              <w:bottom w:val="single" w:sz="18" w:space="0" w:color="auto"/>
              <w:right w:val="single" w:sz="4" w:space="0" w:color="auto"/>
            </w:tcBorders>
            <w:shd w:val="clear" w:color="auto" w:fill="auto"/>
            <w:noWrap/>
            <w:vAlign w:val="center"/>
            <w:hideMark/>
          </w:tcPr>
          <w:p w14:paraId="1962A2E2" w14:textId="77777777" w:rsidR="000140C4" w:rsidRPr="004F469F" w:rsidRDefault="000140C4" w:rsidP="00DE5691">
            <w:pPr>
              <w:jc w:val="center"/>
              <w:rPr>
                <w:i/>
                <w:iCs/>
                <w:sz w:val="20"/>
                <w:szCs w:val="20"/>
              </w:rPr>
            </w:pPr>
            <w:r w:rsidRPr="004F469F">
              <w:rPr>
                <w:i/>
                <w:iCs/>
                <w:sz w:val="20"/>
                <w:szCs w:val="20"/>
              </w:rPr>
              <w:t>41.7</w:t>
            </w:r>
          </w:p>
        </w:tc>
        <w:tc>
          <w:tcPr>
            <w:tcW w:w="808" w:type="dxa"/>
            <w:tcBorders>
              <w:top w:val="single" w:sz="12" w:space="0" w:color="auto"/>
              <w:left w:val="nil"/>
              <w:bottom w:val="single" w:sz="18" w:space="0" w:color="auto"/>
              <w:right w:val="single" w:sz="4" w:space="0" w:color="auto"/>
            </w:tcBorders>
            <w:shd w:val="clear" w:color="auto" w:fill="auto"/>
            <w:noWrap/>
            <w:vAlign w:val="center"/>
            <w:hideMark/>
          </w:tcPr>
          <w:p w14:paraId="780F898C" w14:textId="77777777" w:rsidR="000140C4" w:rsidRPr="004F469F" w:rsidRDefault="000140C4" w:rsidP="00DE5691">
            <w:pPr>
              <w:jc w:val="center"/>
              <w:rPr>
                <w:i/>
                <w:iCs/>
                <w:sz w:val="20"/>
                <w:szCs w:val="20"/>
              </w:rPr>
            </w:pPr>
            <w:r w:rsidRPr="004F469F">
              <w:rPr>
                <w:i/>
                <w:iCs/>
                <w:sz w:val="20"/>
                <w:szCs w:val="20"/>
              </w:rPr>
              <w:t>114</w:t>
            </w:r>
          </w:p>
        </w:tc>
        <w:tc>
          <w:tcPr>
            <w:tcW w:w="897" w:type="dxa"/>
            <w:tcBorders>
              <w:top w:val="single" w:sz="12" w:space="0" w:color="auto"/>
              <w:left w:val="nil"/>
              <w:bottom w:val="single" w:sz="18" w:space="0" w:color="auto"/>
              <w:right w:val="single" w:sz="18" w:space="0" w:color="auto"/>
            </w:tcBorders>
            <w:shd w:val="clear" w:color="auto" w:fill="auto"/>
            <w:noWrap/>
            <w:vAlign w:val="center"/>
            <w:hideMark/>
          </w:tcPr>
          <w:p w14:paraId="071CAAB6" w14:textId="77777777" w:rsidR="000140C4" w:rsidRPr="004F469F" w:rsidRDefault="000140C4" w:rsidP="00DE5691">
            <w:pPr>
              <w:jc w:val="center"/>
              <w:rPr>
                <w:i/>
                <w:iCs/>
                <w:sz w:val="20"/>
                <w:szCs w:val="20"/>
              </w:rPr>
            </w:pPr>
            <w:r w:rsidRPr="004F469F">
              <w:rPr>
                <w:i/>
                <w:iCs/>
                <w:sz w:val="20"/>
                <w:szCs w:val="20"/>
              </w:rPr>
              <w:t>7.0</w:t>
            </w:r>
          </w:p>
        </w:tc>
      </w:tr>
      <w:tr w:rsidR="000140C4" w:rsidRPr="004F469F" w14:paraId="362BE003" w14:textId="77777777" w:rsidTr="00DE5691">
        <w:trPr>
          <w:trHeight w:val="320"/>
        </w:trPr>
        <w:tc>
          <w:tcPr>
            <w:tcW w:w="152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7CC50656" w14:textId="77777777" w:rsidR="000140C4" w:rsidRPr="004F469F" w:rsidRDefault="000140C4" w:rsidP="00DE5691">
            <w:pPr>
              <w:jc w:val="center"/>
              <w:rPr>
                <w:sz w:val="20"/>
                <w:szCs w:val="20"/>
              </w:rPr>
            </w:pPr>
            <w:r w:rsidRPr="004F469F">
              <w:rPr>
                <w:sz w:val="20"/>
                <w:szCs w:val="20"/>
              </w:rPr>
              <w:t>Urban Development</w:t>
            </w:r>
          </w:p>
        </w:tc>
        <w:tc>
          <w:tcPr>
            <w:tcW w:w="1170" w:type="dxa"/>
            <w:tcBorders>
              <w:top w:val="single" w:sz="18" w:space="0" w:color="auto"/>
              <w:left w:val="nil"/>
              <w:bottom w:val="single" w:sz="4" w:space="0" w:color="auto"/>
              <w:right w:val="single" w:sz="4" w:space="0" w:color="auto"/>
            </w:tcBorders>
            <w:shd w:val="clear" w:color="auto" w:fill="auto"/>
            <w:noWrap/>
            <w:vAlign w:val="center"/>
            <w:hideMark/>
          </w:tcPr>
          <w:p w14:paraId="2D91060F" w14:textId="77777777" w:rsidR="000140C4" w:rsidRPr="004F469F" w:rsidRDefault="000140C4" w:rsidP="00DE5691">
            <w:pPr>
              <w:jc w:val="center"/>
              <w:rPr>
                <w:sz w:val="20"/>
                <w:szCs w:val="20"/>
              </w:rPr>
            </w:pPr>
            <w:r w:rsidRPr="004F469F">
              <w:rPr>
                <w:sz w:val="20"/>
                <w:szCs w:val="20"/>
              </w:rPr>
              <w:t>Canadian</w:t>
            </w:r>
          </w:p>
        </w:tc>
        <w:tc>
          <w:tcPr>
            <w:tcW w:w="616" w:type="dxa"/>
            <w:tcBorders>
              <w:top w:val="single" w:sz="18" w:space="0" w:color="auto"/>
              <w:left w:val="nil"/>
              <w:bottom w:val="single" w:sz="4" w:space="0" w:color="auto"/>
              <w:right w:val="single" w:sz="4" w:space="0" w:color="auto"/>
            </w:tcBorders>
            <w:shd w:val="clear" w:color="auto" w:fill="auto"/>
            <w:noWrap/>
            <w:vAlign w:val="center"/>
            <w:hideMark/>
          </w:tcPr>
          <w:p w14:paraId="2FA227D2" w14:textId="77777777" w:rsidR="000140C4" w:rsidRPr="004F469F" w:rsidRDefault="000140C4" w:rsidP="00DE5691">
            <w:pPr>
              <w:jc w:val="center"/>
              <w:rPr>
                <w:sz w:val="20"/>
                <w:szCs w:val="20"/>
              </w:rPr>
            </w:pPr>
            <w:r w:rsidRPr="004F469F">
              <w:rPr>
                <w:sz w:val="20"/>
                <w:szCs w:val="20"/>
              </w:rPr>
              <w:t>1,837</w:t>
            </w:r>
          </w:p>
        </w:tc>
        <w:tc>
          <w:tcPr>
            <w:tcW w:w="917" w:type="dxa"/>
            <w:tcBorders>
              <w:top w:val="single" w:sz="18" w:space="0" w:color="auto"/>
              <w:left w:val="nil"/>
              <w:bottom w:val="single" w:sz="4" w:space="0" w:color="auto"/>
              <w:right w:val="single" w:sz="4" w:space="0" w:color="auto"/>
            </w:tcBorders>
            <w:shd w:val="clear" w:color="auto" w:fill="auto"/>
            <w:noWrap/>
            <w:vAlign w:val="center"/>
            <w:hideMark/>
          </w:tcPr>
          <w:p w14:paraId="7ADE69DE" w14:textId="77777777" w:rsidR="000140C4" w:rsidRPr="004F469F" w:rsidRDefault="000140C4" w:rsidP="00DE5691">
            <w:pPr>
              <w:jc w:val="center"/>
              <w:rPr>
                <w:sz w:val="20"/>
                <w:szCs w:val="20"/>
              </w:rPr>
            </w:pPr>
            <w:r w:rsidRPr="004F469F">
              <w:rPr>
                <w:sz w:val="20"/>
                <w:szCs w:val="20"/>
              </w:rPr>
              <w:t>998</w:t>
            </w:r>
          </w:p>
        </w:tc>
        <w:tc>
          <w:tcPr>
            <w:tcW w:w="872" w:type="dxa"/>
            <w:tcBorders>
              <w:top w:val="single" w:sz="18" w:space="0" w:color="auto"/>
              <w:left w:val="nil"/>
              <w:bottom w:val="single" w:sz="4" w:space="0" w:color="auto"/>
              <w:right w:val="single" w:sz="4" w:space="0" w:color="auto"/>
            </w:tcBorders>
            <w:shd w:val="clear" w:color="auto" w:fill="auto"/>
            <w:noWrap/>
            <w:vAlign w:val="center"/>
            <w:hideMark/>
          </w:tcPr>
          <w:p w14:paraId="41906DE6" w14:textId="77777777" w:rsidR="000140C4" w:rsidRPr="004F469F" w:rsidRDefault="000140C4" w:rsidP="00DE5691">
            <w:pPr>
              <w:jc w:val="center"/>
              <w:rPr>
                <w:sz w:val="20"/>
                <w:szCs w:val="20"/>
              </w:rPr>
            </w:pPr>
            <w:r w:rsidRPr="004F469F">
              <w:rPr>
                <w:sz w:val="20"/>
                <w:szCs w:val="20"/>
              </w:rPr>
              <w:t>54.3</w:t>
            </w:r>
          </w:p>
        </w:tc>
        <w:tc>
          <w:tcPr>
            <w:tcW w:w="801" w:type="dxa"/>
            <w:tcBorders>
              <w:top w:val="single" w:sz="18" w:space="0" w:color="auto"/>
              <w:left w:val="nil"/>
              <w:bottom w:val="single" w:sz="4" w:space="0" w:color="auto"/>
              <w:right w:val="single" w:sz="4" w:space="0" w:color="auto"/>
            </w:tcBorders>
            <w:shd w:val="clear" w:color="auto" w:fill="auto"/>
            <w:noWrap/>
            <w:vAlign w:val="center"/>
            <w:hideMark/>
          </w:tcPr>
          <w:p w14:paraId="5CD4DAF5" w14:textId="77777777" w:rsidR="000140C4" w:rsidRPr="004F469F" w:rsidRDefault="000140C4" w:rsidP="00DE5691">
            <w:pPr>
              <w:jc w:val="center"/>
              <w:rPr>
                <w:sz w:val="20"/>
                <w:szCs w:val="20"/>
              </w:rPr>
            </w:pPr>
            <w:r w:rsidRPr="004F469F">
              <w:rPr>
                <w:sz w:val="20"/>
                <w:szCs w:val="20"/>
              </w:rPr>
              <w:t>808</w:t>
            </w:r>
          </w:p>
        </w:tc>
        <w:tc>
          <w:tcPr>
            <w:tcW w:w="913" w:type="dxa"/>
            <w:tcBorders>
              <w:top w:val="single" w:sz="18" w:space="0" w:color="auto"/>
              <w:left w:val="nil"/>
              <w:bottom w:val="single" w:sz="4" w:space="0" w:color="auto"/>
              <w:right w:val="single" w:sz="4" w:space="0" w:color="auto"/>
            </w:tcBorders>
            <w:shd w:val="clear" w:color="auto" w:fill="auto"/>
            <w:noWrap/>
            <w:vAlign w:val="center"/>
            <w:hideMark/>
          </w:tcPr>
          <w:p w14:paraId="6CE0D101" w14:textId="77777777" w:rsidR="000140C4" w:rsidRPr="004F469F" w:rsidRDefault="000140C4" w:rsidP="00DE5691">
            <w:pPr>
              <w:jc w:val="center"/>
              <w:rPr>
                <w:sz w:val="20"/>
                <w:szCs w:val="20"/>
              </w:rPr>
            </w:pPr>
            <w:r w:rsidRPr="004F469F">
              <w:rPr>
                <w:sz w:val="20"/>
                <w:szCs w:val="20"/>
              </w:rPr>
              <w:t>44.0</w:t>
            </w:r>
          </w:p>
        </w:tc>
        <w:tc>
          <w:tcPr>
            <w:tcW w:w="808" w:type="dxa"/>
            <w:tcBorders>
              <w:top w:val="single" w:sz="18" w:space="0" w:color="auto"/>
              <w:left w:val="nil"/>
              <w:bottom w:val="single" w:sz="4" w:space="0" w:color="auto"/>
              <w:right w:val="single" w:sz="4" w:space="0" w:color="auto"/>
            </w:tcBorders>
            <w:shd w:val="clear" w:color="auto" w:fill="auto"/>
            <w:noWrap/>
            <w:vAlign w:val="center"/>
            <w:hideMark/>
          </w:tcPr>
          <w:p w14:paraId="07BEF1B4" w14:textId="77777777" w:rsidR="000140C4" w:rsidRPr="004F469F" w:rsidRDefault="000140C4" w:rsidP="00DE5691">
            <w:pPr>
              <w:jc w:val="center"/>
              <w:rPr>
                <w:sz w:val="20"/>
                <w:szCs w:val="20"/>
              </w:rPr>
            </w:pPr>
            <w:r w:rsidRPr="004F469F">
              <w:rPr>
                <w:sz w:val="20"/>
                <w:szCs w:val="20"/>
              </w:rPr>
              <w:t>31</w:t>
            </w:r>
          </w:p>
        </w:tc>
        <w:tc>
          <w:tcPr>
            <w:tcW w:w="897" w:type="dxa"/>
            <w:tcBorders>
              <w:top w:val="single" w:sz="18" w:space="0" w:color="auto"/>
              <w:left w:val="nil"/>
              <w:bottom w:val="single" w:sz="4" w:space="0" w:color="auto"/>
              <w:right w:val="single" w:sz="18" w:space="0" w:color="auto"/>
            </w:tcBorders>
            <w:shd w:val="clear" w:color="auto" w:fill="auto"/>
            <w:noWrap/>
            <w:vAlign w:val="center"/>
            <w:hideMark/>
          </w:tcPr>
          <w:p w14:paraId="434B2DE1" w14:textId="77777777" w:rsidR="000140C4" w:rsidRPr="004F469F" w:rsidRDefault="000140C4" w:rsidP="00DE5691">
            <w:pPr>
              <w:jc w:val="center"/>
              <w:rPr>
                <w:sz w:val="20"/>
                <w:szCs w:val="20"/>
              </w:rPr>
            </w:pPr>
            <w:r w:rsidRPr="004F469F">
              <w:rPr>
                <w:sz w:val="20"/>
                <w:szCs w:val="20"/>
              </w:rPr>
              <w:t>1.7</w:t>
            </w:r>
          </w:p>
        </w:tc>
      </w:tr>
      <w:tr w:rsidR="000140C4" w:rsidRPr="004F469F" w14:paraId="3BFDCED5" w14:textId="77777777" w:rsidTr="00DE5691">
        <w:trPr>
          <w:trHeight w:val="320"/>
        </w:trPr>
        <w:tc>
          <w:tcPr>
            <w:tcW w:w="1525" w:type="dxa"/>
            <w:vMerge/>
            <w:tcBorders>
              <w:top w:val="nil"/>
              <w:left w:val="single" w:sz="18" w:space="0" w:color="auto"/>
              <w:bottom w:val="single" w:sz="4" w:space="0" w:color="auto"/>
              <w:right w:val="single" w:sz="4" w:space="0" w:color="auto"/>
            </w:tcBorders>
            <w:vAlign w:val="center"/>
            <w:hideMark/>
          </w:tcPr>
          <w:p w14:paraId="4C3DB3AC" w14:textId="77777777" w:rsidR="000140C4" w:rsidRPr="004F469F" w:rsidRDefault="000140C4" w:rsidP="00DE5691">
            <w:pPr>
              <w:jc w:val="center"/>
              <w:rPr>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7622AC7E" w14:textId="77777777" w:rsidR="000140C4" w:rsidRPr="004F469F" w:rsidRDefault="000140C4" w:rsidP="00DE5691">
            <w:pPr>
              <w:jc w:val="center"/>
              <w:rPr>
                <w:sz w:val="20"/>
                <w:szCs w:val="20"/>
              </w:rPr>
            </w:pPr>
            <w:r w:rsidRPr="004F469F">
              <w:rPr>
                <w:sz w:val="20"/>
                <w:szCs w:val="20"/>
              </w:rPr>
              <w:t>Cleveland</w:t>
            </w:r>
          </w:p>
        </w:tc>
        <w:tc>
          <w:tcPr>
            <w:tcW w:w="616" w:type="dxa"/>
            <w:tcBorders>
              <w:top w:val="nil"/>
              <w:left w:val="nil"/>
              <w:bottom w:val="single" w:sz="4" w:space="0" w:color="auto"/>
              <w:right w:val="single" w:sz="4" w:space="0" w:color="auto"/>
            </w:tcBorders>
            <w:shd w:val="clear" w:color="auto" w:fill="auto"/>
            <w:noWrap/>
            <w:vAlign w:val="center"/>
            <w:hideMark/>
          </w:tcPr>
          <w:p w14:paraId="2B4043E7" w14:textId="77777777" w:rsidR="000140C4" w:rsidRPr="004F469F" w:rsidRDefault="000140C4" w:rsidP="00DE5691">
            <w:pPr>
              <w:jc w:val="center"/>
              <w:rPr>
                <w:sz w:val="20"/>
                <w:szCs w:val="20"/>
              </w:rPr>
            </w:pPr>
            <w:r w:rsidRPr="004F469F">
              <w:rPr>
                <w:sz w:val="20"/>
                <w:szCs w:val="20"/>
              </w:rPr>
              <w:t>2,047</w:t>
            </w:r>
          </w:p>
        </w:tc>
        <w:tc>
          <w:tcPr>
            <w:tcW w:w="917" w:type="dxa"/>
            <w:tcBorders>
              <w:top w:val="nil"/>
              <w:left w:val="nil"/>
              <w:bottom w:val="single" w:sz="4" w:space="0" w:color="auto"/>
              <w:right w:val="single" w:sz="4" w:space="0" w:color="auto"/>
            </w:tcBorders>
            <w:shd w:val="clear" w:color="auto" w:fill="auto"/>
            <w:noWrap/>
            <w:vAlign w:val="center"/>
            <w:hideMark/>
          </w:tcPr>
          <w:p w14:paraId="5B79BE92" w14:textId="77777777" w:rsidR="000140C4" w:rsidRPr="004F469F" w:rsidRDefault="000140C4" w:rsidP="00DE5691">
            <w:pPr>
              <w:jc w:val="center"/>
              <w:rPr>
                <w:sz w:val="20"/>
                <w:szCs w:val="20"/>
              </w:rPr>
            </w:pPr>
            <w:r w:rsidRPr="004F469F">
              <w:rPr>
                <w:sz w:val="20"/>
                <w:szCs w:val="20"/>
              </w:rPr>
              <w:t>816</w:t>
            </w:r>
          </w:p>
        </w:tc>
        <w:tc>
          <w:tcPr>
            <w:tcW w:w="872" w:type="dxa"/>
            <w:tcBorders>
              <w:top w:val="nil"/>
              <w:left w:val="nil"/>
              <w:bottom w:val="single" w:sz="4" w:space="0" w:color="auto"/>
              <w:right w:val="single" w:sz="4" w:space="0" w:color="auto"/>
            </w:tcBorders>
            <w:shd w:val="clear" w:color="auto" w:fill="auto"/>
            <w:noWrap/>
            <w:vAlign w:val="center"/>
            <w:hideMark/>
          </w:tcPr>
          <w:p w14:paraId="6890D615" w14:textId="77777777" w:rsidR="000140C4" w:rsidRPr="004F469F" w:rsidRDefault="000140C4" w:rsidP="00DE5691">
            <w:pPr>
              <w:jc w:val="center"/>
              <w:rPr>
                <w:sz w:val="20"/>
                <w:szCs w:val="20"/>
              </w:rPr>
            </w:pPr>
            <w:r w:rsidRPr="004F469F">
              <w:rPr>
                <w:sz w:val="20"/>
                <w:szCs w:val="20"/>
              </w:rPr>
              <w:t>39.9</w:t>
            </w:r>
          </w:p>
        </w:tc>
        <w:tc>
          <w:tcPr>
            <w:tcW w:w="801" w:type="dxa"/>
            <w:tcBorders>
              <w:top w:val="nil"/>
              <w:left w:val="nil"/>
              <w:bottom w:val="single" w:sz="4" w:space="0" w:color="auto"/>
              <w:right w:val="single" w:sz="4" w:space="0" w:color="auto"/>
            </w:tcBorders>
            <w:shd w:val="clear" w:color="auto" w:fill="auto"/>
            <w:noWrap/>
            <w:vAlign w:val="center"/>
            <w:hideMark/>
          </w:tcPr>
          <w:p w14:paraId="1771C4D0" w14:textId="77777777" w:rsidR="000140C4" w:rsidRPr="004F469F" w:rsidRDefault="000140C4" w:rsidP="00DE5691">
            <w:pPr>
              <w:jc w:val="center"/>
              <w:rPr>
                <w:sz w:val="20"/>
                <w:szCs w:val="20"/>
              </w:rPr>
            </w:pPr>
            <w:r w:rsidRPr="004F469F">
              <w:rPr>
                <w:sz w:val="20"/>
                <w:szCs w:val="20"/>
              </w:rPr>
              <w:t>1,164</w:t>
            </w:r>
          </w:p>
        </w:tc>
        <w:tc>
          <w:tcPr>
            <w:tcW w:w="913" w:type="dxa"/>
            <w:tcBorders>
              <w:top w:val="nil"/>
              <w:left w:val="nil"/>
              <w:bottom w:val="single" w:sz="4" w:space="0" w:color="auto"/>
              <w:right w:val="single" w:sz="4" w:space="0" w:color="auto"/>
            </w:tcBorders>
            <w:shd w:val="clear" w:color="auto" w:fill="auto"/>
            <w:noWrap/>
            <w:vAlign w:val="center"/>
            <w:hideMark/>
          </w:tcPr>
          <w:p w14:paraId="02982999" w14:textId="77777777" w:rsidR="000140C4" w:rsidRPr="004F469F" w:rsidRDefault="000140C4" w:rsidP="00DE5691">
            <w:pPr>
              <w:jc w:val="center"/>
              <w:rPr>
                <w:sz w:val="20"/>
                <w:szCs w:val="20"/>
              </w:rPr>
            </w:pPr>
            <w:r w:rsidRPr="004F469F">
              <w:rPr>
                <w:sz w:val="20"/>
                <w:szCs w:val="20"/>
              </w:rPr>
              <w:t>56.9</w:t>
            </w:r>
          </w:p>
        </w:tc>
        <w:tc>
          <w:tcPr>
            <w:tcW w:w="808" w:type="dxa"/>
            <w:tcBorders>
              <w:top w:val="nil"/>
              <w:left w:val="nil"/>
              <w:bottom w:val="single" w:sz="4" w:space="0" w:color="auto"/>
              <w:right w:val="single" w:sz="4" w:space="0" w:color="auto"/>
            </w:tcBorders>
            <w:shd w:val="clear" w:color="auto" w:fill="auto"/>
            <w:noWrap/>
            <w:vAlign w:val="center"/>
            <w:hideMark/>
          </w:tcPr>
          <w:p w14:paraId="22807161" w14:textId="77777777" w:rsidR="000140C4" w:rsidRPr="004F469F" w:rsidRDefault="000140C4" w:rsidP="00DE5691">
            <w:pPr>
              <w:jc w:val="center"/>
              <w:rPr>
                <w:sz w:val="20"/>
                <w:szCs w:val="20"/>
              </w:rPr>
            </w:pPr>
            <w:r w:rsidRPr="004F469F">
              <w:rPr>
                <w:sz w:val="20"/>
                <w:szCs w:val="20"/>
              </w:rPr>
              <w:t>67</w:t>
            </w:r>
          </w:p>
        </w:tc>
        <w:tc>
          <w:tcPr>
            <w:tcW w:w="897" w:type="dxa"/>
            <w:tcBorders>
              <w:top w:val="nil"/>
              <w:left w:val="nil"/>
              <w:bottom w:val="single" w:sz="4" w:space="0" w:color="auto"/>
              <w:right w:val="single" w:sz="18" w:space="0" w:color="auto"/>
            </w:tcBorders>
            <w:shd w:val="clear" w:color="auto" w:fill="auto"/>
            <w:noWrap/>
            <w:vAlign w:val="center"/>
            <w:hideMark/>
          </w:tcPr>
          <w:p w14:paraId="348A62D2" w14:textId="77777777" w:rsidR="000140C4" w:rsidRPr="004F469F" w:rsidRDefault="000140C4" w:rsidP="00DE5691">
            <w:pPr>
              <w:jc w:val="center"/>
              <w:rPr>
                <w:sz w:val="20"/>
                <w:szCs w:val="20"/>
              </w:rPr>
            </w:pPr>
            <w:r w:rsidRPr="004F469F">
              <w:rPr>
                <w:sz w:val="20"/>
                <w:szCs w:val="20"/>
              </w:rPr>
              <w:t>3.3</w:t>
            </w:r>
          </w:p>
        </w:tc>
      </w:tr>
      <w:tr w:rsidR="000140C4" w:rsidRPr="004F469F" w14:paraId="6A1785F8" w14:textId="77777777" w:rsidTr="00DE5691">
        <w:trPr>
          <w:trHeight w:val="320"/>
        </w:trPr>
        <w:tc>
          <w:tcPr>
            <w:tcW w:w="1525" w:type="dxa"/>
            <w:vMerge/>
            <w:tcBorders>
              <w:top w:val="nil"/>
              <w:left w:val="single" w:sz="18" w:space="0" w:color="auto"/>
              <w:bottom w:val="single" w:sz="4" w:space="0" w:color="auto"/>
              <w:right w:val="single" w:sz="4" w:space="0" w:color="auto"/>
            </w:tcBorders>
            <w:vAlign w:val="center"/>
            <w:hideMark/>
          </w:tcPr>
          <w:p w14:paraId="12F4923B" w14:textId="77777777" w:rsidR="000140C4" w:rsidRPr="004F469F" w:rsidRDefault="000140C4" w:rsidP="00DE5691">
            <w:pPr>
              <w:jc w:val="center"/>
              <w:rPr>
                <w:sz w:val="20"/>
                <w:szCs w:val="20"/>
              </w:rPr>
            </w:pPr>
          </w:p>
        </w:tc>
        <w:tc>
          <w:tcPr>
            <w:tcW w:w="1170" w:type="dxa"/>
            <w:tcBorders>
              <w:top w:val="nil"/>
              <w:left w:val="nil"/>
              <w:bottom w:val="single" w:sz="12" w:space="0" w:color="auto"/>
              <w:right w:val="single" w:sz="4" w:space="0" w:color="auto"/>
            </w:tcBorders>
            <w:shd w:val="clear" w:color="auto" w:fill="auto"/>
            <w:noWrap/>
            <w:vAlign w:val="center"/>
            <w:hideMark/>
          </w:tcPr>
          <w:p w14:paraId="4B9A9489" w14:textId="77777777" w:rsidR="000140C4" w:rsidRPr="004F469F" w:rsidRDefault="000140C4" w:rsidP="00DE5691">
            <w:pPr>
              <w:jc w:val="center"/>
              <w:rPr>
                <w:sz w:val="20"/>
                <w:szCs w:val="20"/>
              </w:rPr>
            </w:pPr>
            <w:r w:rsidRPr="004F469F">
              <w:rPr>
                <w:sz w:val="20"/>
                <w:szCs w:val="20"/>
              </w:rPr>
              <w:t>Oklahoma</w:t>
            </w:r>
          </w:p>
        </w:tc>
        <w:tc>
          <w:tcPr>
            <w:tcW w:w="616" w:type="dxa"/>
            <w:tcBorders>
              <w:top w:val="nil"/>
              <w:left w:val="nil"/>
              <w:bottom w:val="single" w:sz="12" w:space="0" w:color="auto"/>
              <w:right w:val="single" w:sz="4" w:space="0" w:color="auto"/>
            </w:tcBorders>
            <w:shd w:val="clear" w:color="auto" w:fill="auto"/>
            <w:noWrap/>
            <w:vAlign w:val="center"/>
            <w:hideMark/>
          </w:tcPr>
          <w:p w14:paraId="044120F8" w14:textId="77777777" w:rsidR="000140C4" w:rsidRPr="004F469F" w:rsidRDefault="000140C4" w:rsidP="00DE5691">
            <w:pPr>
              <w:jc w:val="center"/>
              <w:rPr>
                <w:sz w:val="20"/>
                <w:szCs w:val="20"/>
              </w:rPr>
            </w:pPr>
            <w:r w:rsidRPr="004F469F">
              <w:rPr>
                <w:sz w:val="20"/>
                <w:szCs w:val="20"/>
              </w:rPr>
              <w:t>1,710</w:t>
            </w:r>
          </w:p>
        </w:tc>
        <w:tc>
          <w:tcPr>
            <w:tcW w:w="917" w:type="dxa"/>
            <w:tcBorders>
              <w:top w:val="nil"/>
              <w:left w:val="nil"/>
              <w:bottom w:val="single" w:sz="12" w:space="0" w:color="auto"/>
              <w:right w:val="single" w:sz="4" w:space="0" w:color="auto"/>
            </w:tcBorders>
            <w:shd w:val="clear" w:color="auto" w:fill="auto"/>
            <w:noWrap/>
            <w:vAlign w:val="center"/>
            <w:hideMark/>
          </w:tcPr>
          <w:p w14:paraId="519A6B5C" w14:textId="77777777" w:rsidR="000140C4" w:rsidRPr="004F469F" w:rsidRDefault="000140C4" w:rsidP="00DE5691">
            <w:pPr>
              <w:jc w:val="center"/>
              <w:rPr>
                <w:sz w:val="20"/>
                <w:szCs w:val="20"/>
              </w:rPr>
            </w:pPr>
            <w:r w:rsidRPr="004F469F">
              <w:rPr>
                <w:sz w:val="20"/>
                <w:szCs w:val="20"/>
              </w:rPr>
              <w:t>369</w:t>
            </w:r>
          </w:p>
        </w:tc>
        <w:tc>
          <w:tcPr>
            <w:tcW w:w="872" w:type="dxa"/>
            <w:tcBorders>
              <w:top w:val="nil"/>
              <w:left w:val="nil"/>
              <w:bottom w:val="single" w:sz="12" w:space="0" w:color="auto"/>
              <w:right w:val="single" w:sz="4" w:space="0" w:color="auto"/>
            </w:tcBorders>
            <w:shd w:val="clear" w:color="auto" w:fill="auto"/>
            <w:noWrap/>
            <w:vAlign w:val="center"/>
            <w:hideMark/>
          </w:tcPr>
          <w:p w14:paraId="2C159B23" w14:textId="77777777" w:rsidR="000140C4" w:rsidRPr="004F469F" w:rsidRDefault="000140C4" w:rsidP="00DE5691">
            <w:pPr>
              <w:jc w:val="center"/>
              <w:rPr>
                <w:sz w:val="20"/>
                <w:szCs w:val="20"/>
              </w:rPr>
            </w:pPr>
            <w:r w:rsidRPr="004F469F">
              <w:rPr>
                <w:sz w:val="20"/>
                <w:szCs w:val="20"/>
              </w:rPr>
              <w:t>21.6</w:t>
            </w:r>
          </w:p>
        </w:tc>
        <w:tc>
          <w:tcPr>
            <w:tcW w:w="801" w:type="dxa"/>
            <w:tcBorders>
              <w:top w:val="nil"/>
              <w:left w:val="nil"/>
              <w:bottom w:val="single" w:sz="12" w:space="0" w:color="auto"/>
              <w:right w:val="single" w:sz="4" w:space="0" w:color="auto"/>
            </w:tcBorders>
            <w:shd w:val="clear" w:color="auto" w:fill="auto"/>
            <w:noWrap/>
            <w:vAlign w:val="center"/>
            <w:hideMark/>
          </w:tcPr>
          <w:p w14:paraId="53ED6B13" w14:textId="77777777" w:rsidR="000140C4" w:rsidRPr="004F469F" w:rsidRDefault="000140C4" w:rsidP="00DE5691">
            <w:pPr>
              <w:jc w:val="center"/>
              <w:rPr>
                <w:sz w:val="20"/>
                <w:szCs w:val="20"/>
              </w:rPr>
            </w:pPr>
            <w:r w:rsidRPr="004F469F">
              <w:rPr>
                <w:sz w:val="20"/>
                <w:szCs w:val="20"/>
              </w:rPr>
              <w:t>1,051</w:t>
            </w:r>
          </w:p>
        </w:tc>
        <w:tc>
          <w:tcPr>
            <w:tcW w:w="913" w:type="dxa"/>
            <w:tcBorders>
              <w:top w:val="nil"/>
              <w:left w:val="nil"/>
              <w:bottom w:val="single" w:sz="12" w:space="0" w:color="auto"/>
              <w:right w:val="single" w:sz="4" w:space="0" w:color="auto"/>
            </w:tcBorders>
            <w:shd w:val="clear" w:color="auto" w:fill="auto"/>
            <w:noWrap/>
            <w:vAlign w:val="center"/>
            <w:hideMark/>
          </w:tcPr>
          <w:p w14:paraId="56319E2E" w14:textId="77777777" w:rsidR="000140C4" w:rsidRPr="004F469F" w:rsidRDefault="000140C4" w:rsidP="00DE5691">
            <w:pPr>
              <w:jc w:val="center"/>
              <w:rPr>
                <w:sz w:val="20"/>
                <w:szCs w:val="20"/>
              </w:rPr>
            </w:pPr>
            <w:r w:rsidRPr="004F469F">
              <w:rPr>
                <w:sz w:val="20"/>
                <w:szCs w:val="20"/>
              </w:rPr>
              <w:t>61.5</w:t>
            </w:r>
          </w:p>
        </w:tc>
        <w:tc>
          <w:tcPr>
            <w:tcW w:w="808" w:type="dxa"/>
            <w:tcBorders>
              <w:top w:val="nil"/>
              <w:left w:val="nil"/>
              <w:bottom w:val="single" w:sz="12" w:space="0" w:color="auto"/>
              <w:right w:val="single" w:sz="4" w:space="0" w:color="auto"/>
            </w:tcBorders>
            <w:shd w:val="clear" w:color="auto" w:fill="auto"/>
            <w:noWrap/>
            <w:vAlign w:val="center"/>
            <w:hideMark/>
          </w:tcPr>
          <w:p w14:paraId="488E223A" w14:textId="77777777" w:rsidR="000140C4" w:rsidRPr="004F469F" w:rsidRDefault="000140C4" w:rsidP="00DE5691">
            <w:pPr>
              <w:jc w:val="center"/>
              <w:rPr>
                <w:sz w:val="20"/>
                <w:szCs w:val="20"/>
              </w:rPr>
            </w:pPr>
            <w:r w:rsidRPr="004F469F">
              <w:rPr>
                <w:sz w:val="20"/>
                <w:szCs w:val="20"/>
              </w:rPr>
              <w:t>290</w:t>
            </w:r>
          </w:p>
        </w:tc>
        <w:tc>
          <w:tcPr>
            <w:tcW w:w="897" w:type="dxa"/>
            <w:tcBorders>
              <w:top w:val="nil"/>
              <w:left w:val="nil"/>
              <w:bottom w:val="single" w:sz="12" w:space="0" w:color="auto"/>
              <w:right w:val="single" w:sz="18" w:space="0" w:color="auto"/>
            </w:tcBorders>
            <w:shd w:val="clear" w:color="auto" w:fill="auto"/>
            <w:noWrap/>
            <w:vAlign w:val="center"/>
            <w:hideMark/>
          </w:tcPr>
          <w:p w14:paraId="0FC3EAE8" w14:textId="77777777" w:rsidR="000140C4" w:rsidRPr="004F469F" w:rsidRDefault="000140C4" w:rsidP="00DE5691">
            <w:pPr>
              <w:jc w:val="center"/>
              <w:rPr>
                <w:sz w:val="20"/>
                <w:szCs w:val="20"/>
              </w:rPr>
            </w:pPr>
            <w:r w:rsidRPr="004F469F">
              <w:rPr>
                <w:sz w:val="20"/>
                <w:szCs w:val="20"/>
              </w:rPr>
              <w:t>17.0</w:t>
            </w:r>
          </w:p>
        </w:tc>
      </w:tr>
      <w:tr w:rsidR="000140C4" w:rsidRPr="004F469F" w14:paraId="17B90D69" w14:textId="77777777" w:rsidTr="00DE5691">
        <w:trPr>
          <w:trHeight w:val="320"/>
        </w:trPr>
        <w:tc>
          <w:tcPr>
            <w:tcW w:w="1525" w:type="dxa"/>
            <w:vMerge/>
            <w:tcBorders>
              <w:top w:val="nil"/>
              <w:left w:val="single" w:sz="18" w:space="0" w:color="auto"/>
              <w:bottom w:val="single" w:sz="18" w:space="0" w:color="auto"/>
              <w:right w:val="single" w:sz="4" w:space="0" w:color="auto"/>
            </w:tcBorders>
            <w:vAlign w:val="center"/>
            <w:hideMark/>
          </w:tcPr>
          <w:p w14:paraId="237B6412" w14:textId="77777777" w:rsidR="000140C4" w:rsidRPr="004F469F" w:rsidRDefault="000140C4" w:rsidP="00DE5691">
            <w:pPr>
              <w:jc w:val="center"/>
              <w:rPr>
                <w:sz w:val="20"/>
                <w:szCs w:val="20"/>
              </w:rPr>
            </w:pPr>
          </w:p>
        </w:tc>
        <w:tc>
          <w:tcPr>
            <w:tcW w:w="1170" w:type="dxa"/>
            <w:tcBorders>
              <w:top w:val="single" w:sz="12" w:space="0" w:color="auto"/>
              <w:left w:val="nil"/>
              <w:bottom w:val="single" w:sz="18" w:space="0" w:color="auto"/>
              <w:right w:val="single" w:sz="4" w:space="0" w:color="auto"/>
            </w:tcBorders>
            <w:shd w:val="clear" w:color="auto" w:fill="auto"/>
            <w:noWrap/>
            <w:vAlign w:val="center"/>
            <w:hideMark/>
          </w:tcPr>
          <w:p w14:paraId="4FBACC5F" w14:textId="77777777" w:rsidR="000140C4" w:rsidRPr="004F469F" w:rsidRDefault="000140C4" w:rsidP="00DE5691">
            <w:pPr>
              <w:jc w:val="center"/>
              <w:rPr>
                <w:i/>
                <w:iCs/>
                <w:sz w:val="20"/>
                <w:szCs w:val="20"/>
              </w:rPr>
            </w:pPr>
            <w:r w:rsidRPr="004F469F">
              <w:rPr>
                <w:i/>
                <w:iCs/>
                <w:sz w:val="20"/>
                <w:szCs w:val="20"/>
              </w:rPr>
              <w:t>OKC Metro</w:t>
            </w:r>
          </w:p>
        </w:tc>
        <w:tc>
          <w:tcPr>
            <w:tcW w:w="616" w:type="dxa"/>
            <w:tcBorders>
              <w:top w:val="single" w:sz="12" w:space="0" w:color="auto"/>
              <w:left w:val="nil"/>
              <w:bottom w:val="single" w:sz="18" w:space="0" w:color="auto"/>
              <w:right w:val="single" w:sz="4" w:space="0" w:color="auto"/>
            </w:tcBorders>
            <w:shd w:val="clear" w:color="auto" w:fill="auto"/>
            <w:noWrap/>
            <w:vAlign w:val="center"/>
            <w:hideMark/>
          </w:tcPr>
          <w:p w14:paraId="4C3F3D71" w14:textId="77777777" w:rsidR="000140C4" w:rsidRPr="004F469F" w:rsidRDefault="000140C4" w:rsidP="00DE5691">
            <w:pPr>
              <w:jc w:val="center"/>
              <w:rPr>
                <w:i/>
                <w:iCs/>
                <w:sz w:val="20"/>
                <w:szCs w:val="20"/>
              </w:rPr>
            </w:pPr>
            <w:r w:rsidRPr="004F469F">
              <w:rPr>
                <w:i/>
                <w:iCs/>
                <w:sz w:val="20"/>
                <w:szCs w:val="20"/>
              </w:rPr>
              <w:t>1,596</w:t>
            </w:r>
          </w:p>
        </w:tc>
        <w:tc>
          <w:tcPr>
            <w:tcW w:w="917" w:type="dxa"/>
            <w:tcBorders>
              <w:top w:val="single" w:sz="12" w:space="0" w:color="auto"/>
              <w:left w:val="nil"/>
              <w:bottom w:val="single" w:sz="18" w:space="0" w:color="auto"/>
              <w:right w:val="single" w:sz="4" w:space="0" w:color="auto"/>
            </w:tcBorders>
            <w:shd w:val="clear" w:color="auto" w:fill="auto"/>
            <w:noWrap/>
            <w:vAlign w:val="center"/>
            <w:hideMark/>
          </w:tcPr>
          <w:p w14:paraId="3124E53A" w14:textId="77777777" w:rsidR="000140C4" w:rsidRPr="004F469F" w:rsidRDefault="000140C4" w:rsidP="00DE5691">
            <w:pPr>
              <w:jc w:val="center"/>
              <w:rPr>
                <w:i/>
                <w:iCs/>
                <w:sz w:val="20"/>
                <w:szCs w:val="20"/>
              </w:rPr>
            </w:pPr>
            <w:r w:rsidRPr="004F469F">
              <w:rPr>
                <w:i/>
                <w:iCs/>
                <w:sz w:val="20"/>
                <w:szCs w:val="20"/>
              </w:rPr>
              <w:t>668</w:t>
            </w:r>
          </w:p>
        </w:tc>
        <w:tc>
          <w:tcPr>
            <w:tcW w:w="872" w:type="dxa"/>
            <w:tcBorders>
              <w:top w:val="single" w:sz="12" w:space="0" w:color="auto"/>
              <w:left w:val="nil"/>
              <w:bottom w:val="single" w:sz="18" w:space="0" w:color="auto"/>
              <w:right w:val="single" w:sz="4" w:space="0" w:color="auto"/>
            </w:tcBorders>
            <w:shd w:val="clear" w:color="auto" w:fill="auto"/>
            <w:noWrap/>
            <w:vAlign w:val="center"/>
            <w:hideMark/>
          </w:tcPr>
          <w:p w14:paraId="6F7ABF5A" w14:textId="77777777" w:rsidR="000140C4" w:rsidRPr="004F469F" w:rsidRDefault="000140C4" w:rsidP="00DE5691">
            <w:pPr>
              <w:jc w:val="center"/>
              <w:rPr>
                <w:i/>
                <w:iCs/>
                <w:sz w:val="20"/>
                <w:szCs w:val="20"/>
              </w:rPr>
            </w:pPr>
            <w:r w:rsidRPr="004F469F">
              <w:rPr>
                <w:i/>
                <w:iCs/>
                <w:sz w:val="20"/>
                <w:szCs w:val="20"/>
              </w:rPr>
              <w:t>41.8</w:t>
            </w:r>
          </w:p>
        </w:tc>
        <w:tc>
          <w:tcPr>
            <w:tcW w:w="801" w:type="dxa"/>
            <w:tcBorders>
              <w:top w:val="single" w:sz="12" w:space="0" w:color="auto"/>
              <w:left w:val="nil"/>
              <w:bottom w:val="single" w:sz="18" w:space="0" w:color="auto"/>
              <w:right w:val="single" w:sz="4" w:space="0" w:color="auto"/>
            </w:tcBorders>
            <w:shd w:val="clear" w:color="auto" w:fill="auto"/>
            <w:noWrap/>
            <w:vAlign w:val="center"/>
            <w:hideMark/>
          </w:tcPr>
          <w:p w14:paraId="530BE55E" w14:textId="77777777" w:rsidR="000140C4" w:rsidRPr="004F469F" w:rsidRDefault="000140C4" w:rsidP="00DE5691">
            <w:pPr>
              <w:jc w:val="center"/>
              <w:rPr>
                <w:i/>
                <w:iCs/>
                <w:sz w:val="20"/>
                <w:szCs w:val="20"/>
              </w:rPr>
            </w:pPr>
            <w:r w:rsidRPr="004F469F">
              <w:rPr>
                <w:i/>
                <w:iCs/>
                <w:sz w:val="20"/>
                <w:szCs w:val="20"/>
              </w:rPr>
              <w:t>807</w:t>
            </w:r>
          </w:p>
        </w:tc>
        <w:tc>
          <w:tcPr>
            <w:tcW w:w="913" w:type="dxa"/>
            <w:tcBorders>
              <w:top w:val="single" w:sz="12" w:space="0" w:color="auto"/>
              <w:left w:val="nil"/>
              <w:bottom w:val="single" w:sz="18" w:space="0" w:color="auto"/>
              <w:right w:val="single" w:sz="4" w:space="0" w:color="auto"/>
            </w:tcBorders>
            <w:shd w:val="clear" w:color="auto" w:fill="auto"/>
            <w:noWrap/>
            <w:vAlign w:val="center"/>
            <w:hideMark/>
          </w:tcPr>
          <w:p w14:paraId="0A6B22CA" w14:textId="77777777" w:rsidR="000140C4" w:rsidRPr="004F469F" w:rsidRDefault="000140C4" w:rsidP="00DE5691">
            <w:pPr>
              <w:jc w:val="center"/>
              <w:rPr>
                <w:i/>
                <w:iCs/>
                <w:sz w:val="20"/>
                <w:szCs w:val="20"/>
              </w:rPr>
            </w:pPr>
            <w:r w:rsidRPr="004F469F">
              <w:rPr>
                <w:i/>
                <w:iCs/>
                <w:sz w:val="20"/>
                <w:szCs w:val="20"/>
              </w:rPr>
              <w:t>50.6</w:t>
            </w:r>
          </w:p>
        </w:tc>
        <w:tc>
          <w:tcPr>
            <w:tcW w:w="808" w:type="dxa"/>
            <w:tcBorders>
              <w:top w:val="single" w:sz="12" w:space="0" w:color="auto"/>
              <w:left w:val="nil"/>
              <w:bottom w:val="single" w:sz="18" w:space="0" w:color="auto"/>
              <w:right w:val="single" w:sz="4" w:space="0" w:color="auto"/>
            </w:tcBorders>
            <w:shd w:val="clear" w:color="auto" w:fill="auto"/>
            <w:noWrap/>
            <w:vAlign w:val="center"/>
            <w:hideMark/>
          </w:tcPr>
          <w:p w14:paraId="4B22587A" w14:textId="77777777" w:rsidR="000140C4" w:rsidRPr="004F469F" w:rsidRDefault="000140C4" w:rsidP="00DE5691">
            <w:pPr>
              <w:jc w:val="center"/>
              <w:rPr>
                <w:i/>
                <w:iCs/>
                <w:sz w:val="20"/>
                <w:szCs w:val="20"/>
              </w:rPr>
            </w:pPr>
            <w:r w:rsidRPr="004F469F">
              <w:rPr>
                <w:i/>
                <w:iCs/>
                <w:sz w:val="20"/>
                <w:szCs w:val="20"/>
              </w:rPr>
              <w:t>121</w:t>
            </w:r>
          </w:p>
        </w:tc>
        <w:tc>
          <w:tcPr>
            <w:tcW w:w="897" w:type="dxa"/>
            <w:tcBorders>
              <w:top w:val="single" w:sz="12" w:space="0" w:color="auto"/>
              <w:left w:val="nil"/>
              <w:bottom w:val="single" w:sz="18" w:space="0" w:color="auto"/>
              <w:right w:val="single" w:sz="18" w:space="0" w:color="auto"/>
            </w:tcBorders>
            <w:shd w:val="clear" w:color="auto" w:fill="auto"/>
            <w:noWrap/>
            <w:vAlign w:val="center"/>
            <w:hideMark/>
          </w:tcPr>
          <w:p w14:paraId="7FA929E4" w14:textId="77777777" w:rsidR="000140C4" w:rsidRPr="004F469F" w:rsidRDefault="000140C4" w:rsidP="00DE5691">
            <w:pPr>
              <w:jc w:val="center"/>
              <w:rPr>
                <w:i/>
                <w:iCs/>
                <w:sz w:val="20"/>
                <w:szCs w:val="20"/>
              </w:rPr>
            </w:pPr>
            <w:r w:rsidRPr="004F469F">
              <w:rPr>
                <w:i/>
                <w:iCs/>
                <w:sz w:val="20"/>
                <w:szCs w:val="20"/>
              </w:rPr>
              <w:t>7.6</w:t>
            </w:r>
          </w:p>
        </w:tc>
      </w:tr>
    </w:tbl>
    <w:p w14:paraId="3144391B" w14:textId="77777777" w:rsidR="000140C4" w:rsidRPr="004F469F" w:rsidRDefault="000140C4" w:rsidP="000140C4">
      <w:pPr>
        <w:spacing w:after="120" w:line="480" w:lineRule="auto"/>
      </w:pPr>
    </w:p>
    <w:p w14:paraId="214F90FC" w14:textId="77777777" w:rsidR="000140C4" w:rsidRPr="004F469F" w:rsidRDefault="000140C4" w:rsidP="000140C4">
      <w:pPr>
        <w:spacing w:after="120" w:line="480" w:lineRule="auto"/>
      </w:pPr>
    </w:p>
    <w:p w14:paraId="0479D4AA" w14:textId="77777777" w:rsidR="000140C4" w:rsidRPr="004F469F" w:rsidRDefault="000140C4" w:rsidP="000140C4">
      <w:pPr>
        <w:spacing w:after="120" w:line="480" w:lineRule="auto"/>
      </w:pPr>
    </w:p>
    <w:p w14:paraId="5BBBA74F" w14:textId="50E02B50" w:rsidR="000140C4" w:rsidRDefault="000140C4" w:rsidP="00A4283D">
      <w:pPr>
        <w:widowControl w:val="0"/>
        <w:autoSpaceDE w:val="0"/>
        <w:autoSpaceDN w:val="0"/>
        <w:adjustRightInd w:val="0"/>
        <w:ind w:left="480" w:hanging="480"/>
        <w:rPr>
          <w:sz w:val="20"/>
          <w:szCs w:val="20"/>
        </w:rPr>
      </w:pPr>
    </w:p>
    <w:p w14:paraId="42EA86B0" w14:textId="35092E88" w:rsidR="000140C4" w:rsidRDefault="000140C4" w:rsidP="00A4283D">
      <w:pPr>
        <w:widowControl w:val="0"/>
        <w:autoSpaceDE w:val="0"/>
        <w:autoSpaceDN w:val="0"/>
        <w:adjustRightInd w:val="0"/>
        <w:ind w:left="480" w:hanging="480"/>
        <w:rPr>
          <w:sz w:val="20"/>
          <w:szCs w:val="20"/>
        </w:rPr>
      </w:pPr>
    </w:p>
    <w:p w14:paraId="3C4AF3F1" w14:textId="51C57121" w:rsidR="000140C4" w:rsidRDefault="000140C4" w:rsidP="00A4283D">
      <w:pPr>
        <w:widowControl w:val="0"/>
        <w:autoSpaceDE w:val="0"/>
        <w:autoSpaceDN w:val="0"/>
        <w:adjustRightInd w:val="0"/>
        <w:ind w:left="480" w:hanging="480"/>
        <w:rPr>
          <w:sz w:val="20"/>
          <w:szCs w:val="20"/>
        </w:rPr>
      </w:pPr>
    </w:p>
    <w:p w14:paraId="1E91E56B" w14:textId="313CB9CF" w:rsidR="000140C4" w:rsidRDefault="000140C4" w:rsidP="00A4283D">
      <w:pPr>
        <w:widowControl w:val="0"/>
        <w:autoSpaceDE w:val="0"/>
        <w:autoSpaceDN w:val="0"/>
        <w:adjustRightInd w:val="0"/>
        <w:ind w:left="480" w:hanging="480"/>
        <w:rPr>
          <w:sz w:val="20"/>
          <w:szCs w:val="20"/>
        </w:rPr>
      </w:pPr>
    </w:p>
    <w:p w14:paraId="01B0F5C5" w14:textId="7E19F4E1" w:rsidR="000140C4" w:rsidRDefault="000140C4" w:rsidP="00A4283D">
      <w:pPr>
        <w:widowControl w:val="0"/>
        <w:autoSpaceDE w:val="0"/>
        <w:autoSpaceDN w:val="0"/>
        <w:adjustRightInd w:val="0"/>
        <w:ind w:left="480" w:hanging="480"/>
        <w:rPr>
          <w:sz w:val="20"/>
          <w:szCs w:val="20"/>
        </w:rPr>
      </w:pPr>
    </w:p>
    <w:p w14:paraId="44D44816" w14:textId="1C581D5C" w:rsidR="000140C4" w:rsidRDefault="000140C4" w:rsidP="00A4283D">
      <w:pPr>
        <w:widowControl w:val="0"/>
        <w:autoSpaceDE w:val="0"/>
        <w:autoSpaceDN w:val="0"/>
        <w:adjustRightInd w:val="0"/>
        <w:ind w:left="480" w:hanging="480"/>
        <w:rPr>
          <w:sz w:val="20"/>
          <w:szCs w:val="20"/>
        </w:rPr>
      </w:pPr>
    </w:p>
    <w:p w14:paraId="7B6B0512" w14:textId="5C2D76BB" w:rsidR="000140C4" w:rsidRDefault="000140C4" w:rsidP="00A4283D">
      <w:pPr>
        <w:widowControl w:val="0"/>
        <w:autoSpaceDE w:val="0"/>
        <w:autoSpaceDN w:val="0"/>
        <w:adjustRightInd w:val="0"/>
        <w:ind w:left="480" w:hanging="480"/>
        <w:rPr>
          <w:sz w:val="20"/>
          <w:szCs w:val="20"/>
        </w:rPr>
      </w:pPr>
    </w:p>
    <w:p w14:paraId="5730D24D" w14:textId="58437806" w:rsidR="000140C4" w:rsidRDefault="000140C4" w:rsidP="00A4283D">
      <w:pPr>
        <w:widowControl w:val="0"/>
        <w:autoSpaceDE w:val="0"/>
        <w:autoSpaceDN w:val="0"/>
        <w:adjustRightInd w:val="0"/>
        <w:ind w:left="480" w:hanging="480"/>
        <w:rPr>
          <w:sz w:val="20"/>
          <w:szCs w:val="20"/>
        </w:rPr>
      </w:pPr>
    </w:p>
    <w:p w14:paraId="2F606A74" w14:textId="7B46ED93" w:rsidR="000140C4" w:rsidRDefault="000140C4" w:rsidP="00A4283D">
      <w:pPr>
        <w:widowControl w:val="0"/>
        <w:autoSpaceDE w:val="0"/>
        <w:autoSpaceDN w:val="0"/>
        <w:adjustRightInd w:val="0"/>
        <w:ind w:left="480" w:hanging="480"/>
        <w:rPr>
          <w:sz w:val="20"/>
          <w:szCs w:val="20"/>
        </w:rPr>
      </w:pPr>
    </w:p>
    <w:p w14:paraId="6B15228D" w14:textId="56DA65A9" w:rsidR="000140C4" w:rsidRDefault="000140C4" w:rsidP="00A4283D">
      <w:pPr>
        <w:widowControl w:val="0"/>
        <w:autoSpaceDE w:val="0"/>
        <w:autoSpaceDN w:val="0"/>
        <w:adjustRightInd w:val="0"/>
        <w:ind w:left="480" w:hanging="480"/>
        <w:rPr>
          <w:sz w:val="20"/>
          <w:szCs w:val="20"/>
        </w:rPr>
      </w:pPr>
    </w:p>
    <w:p w14:paraId="137AE3EE" w14:textId="2B4E4242" w:rsidR="000140C4" w:rsidRDefault="000140C4" w:rsidP="00A4283D">
      <w:pPr>
        <w:widowControl w:val="0"/>
        <w:autoSpaceDE w:val="0"/>
        <w:autoSpaceDN w:val="0"/>
        <w:adjustRightInd w:val="0"/>
        <w:ind w:left="480" w:hanging="480"/>
        <w:rPr>
          <w:sz w:val="20"/>
          <w:szCs w:val="20"/>
        </w:rPr>
      </w:pPr>
    </w:p>
    <w:p w14:paraId="7450B198" w14:textId="66E3F9B9" w:rsidR="000140C4" w:rsidRDefault="000140C4" w:rsidP="00A4283D">
      <w:pPr>
        <w:widowControl w:val="0"/>
        <w:autoSpaceDE w:val="0"/>
        <w:autoSpaceDN w:val="0"/>
        <w:adjustRightInd w:val="0"/>
        <w:ind w:left="480" w:hanging="480"/>
        <w:rPr>
          <w:sz w:val="20"/>
          <w:szCs w:val="20"/>
        </w:rPr>
      </w:pPr>
    </w:p>
    <w:p w14:paraId="52F00D97" w14:textId="2119F2D7" w:rsidR="000140C4" w:rsidRDefault="000140C4" w:rsidP="00A4283D">
      <w:pPr>
        <w:widowControl w:val="0"/>
        <w:autoSpaceDE w:val="0"/>
        <w:autoSpaceDN w:val="0"/>
        <w:adjustRightInd w:val="0"/>
        <w:ind w:left="480" w:hanging="480"/>
        <w:rPr>
          <w:sz w:val="20"/>
          <w:szCs w:val="20"/>
        </w:rPr>
      </w:pPr>
    </w:p>
    <w:p w14:paraId="7B85F5CC" w14:textId="5EA486B3" w:rsidR="000140C4" w:rsidRDefault="000140C4" w:rsidP="00A4283D">
      <w:pPr>
        <w:widowControl w:val="0"/>
        <w:autoSpaceDE w:val="0"/>
        <w:autoSpaceDN w:val="0"/>
        <w:adjustRightInd w:val="0"/>
        <w:ind w:left="480" w:hanging="480"/>
        <w:rPr>
          <w:sz w:val="20"/>
          <w:szCs w:val="20"/>
        </w:rPr>
      </w:pPr>
    </w:p>
    <w:p w14:paraId="68D06102" w14:textId="04A82291" w:rsidR="000140C4" w:rsidRDefault="000140C4" w:rsidP="00A4283D">
      <w:pPr>
        <w:widowControl w:val="0"/>
        <w:autoSpaceDE w:val="0"/>
        <w:autoSpaceDN w:val="0"/>
        <w:adjustRightInd w:val="0"/>
        <w:ind w:left="480" w:hanging="480"/>
        <w:rPr>
          <w:sz w:val="20"/>
          <w:szCs w:val="20"/>
        </w:rPr>
      </w:pPr>
    </w:p>
    <w:p w14:paraId="4142CC33" w14:textId="47178750" w:rsidR="000140C4" w:rsidRDefault="000140C4" w:rsidP="00A4283D">
      <w:pPr>
        <w:widowControl w:val="0"/>
        <w:autoSpaceDE w:val="0"/>
        <w:autoSpaceDN w:val="0"/>
        <w:adjustRightInd w:val="0"/>
        <w:ind w:left="480" w:hanging="480"/>
        <w:rPr>
          <w:sz w:val="20"/>
          <w:szCs w:val="20"/>
        </w:rPr>
      </w:pPr>
    </w:p>
    <w:p w14:paraId="6CAED576" w14:textId="77FD1B73" w:rsidR="000140C4" w:rsidRDefault="000140C4" w:rsidP="00A4283D">
      <w:pPr>
        <w:widowControl w:val="0"/>
        <w:autoSpaceDE w:val="0"/>
        <w:autoSpaceDN w:val="0"/>
        <w:adjustRightInd w:val="0"/>
        <w:ind w:left="480" w:hanging="480"/>
        <w:rPr>
          <w:sz w:val="20"/>
          <w:szCs w:val="20"/>
        </w:rPr>
      </w:pPr>
    </w:p>
    <w:p w14:paraId="44130609" w14:textId="709B4702" w:rsidR="000140C4" w:rsidRDefault="000140C4" w:rsidP="00A4283D">
      <w:pPr>
        <w:widowControl w:val="0"/>
        <w:autoSpaceDE w:val="0"/>
        <w:autoSpaceDN w:val="0"/>
        <w:adjustRightInd w:val="0"/>
        <w:ind w:left="480" w:hanging="480"/>
        <w:rPr>
          <w:sz w:val="20"/>
          <w:szCs w:val="20"/>
        </w:rPr>
      </w:pPr>
    </w:p>
    <w:p w14:paraId="10000C78" w14:textId="0A42FB4E" w:rsidR="000140C4" w:rsidRDefault="000140C4" w:rsidP="00A4283D">
      <w:pPr>
        <w:widowControl w:val="0"/>
        <w:autoSpaceDE w:val="0"/>
        <w:autoSpaceDN w:val="0"/>
        <w:adjustRightInd w:val="0"/>
        <w:ind w:left="480" w:hanging="480"/>
        <w:rPr>
          <w:sz w:val="20"/>
          <w:szCs w:val="20"/>
        </w:rPr>
      </w:pPr>
    </w:p>
    <w:p w14:paraId="46AF8BFE" w14:textId="579A7300" w:rsidR="00783C30" w:rsidRDefault="00783C30" w:rsidP="00A4283D">
      <w:pPr>
        <w:widowControl w:val="0"/>
        <w:autoSpaceDE w:val="0"/>
        <w:autoSpaceDN w:val="0"/>
        <w:adjustRightInd w:val="0"/>
        <w:ind w:left="480" w:hanging="480"/>
        <w:rPr>
          <w:sz w:val="20"/>
          <w:szCs w:val="20"/>
        </w:rPr>
      </w:pPr>
    </w:p>
    <w:p w14:paraId="5B3ABE22" w14:textId="779D1735" w:rsidR="00783C30" w:rsidRDefault="00783C30" w:rsidP="00A4283D">
      <w:pPr>
        <w:widowControl w:val="0"/>
        <w:autoSpaceDE w:val="0"/>
        <w:autoSpaceDN w:val="0"/>
        <w:adjustRightInd w:val="0"/>
        <w:ind w:left="480" w:hanging="480"/>
        <w:rPr>
          <w:sz w:val="20"/>
          <w:szCs w:val="20"/>
        </w:rPr>
      </w:pPr>
    </w:p>
    <w:p w14:paraId="60904BEE" w14:textId="1ABDD715" w:rsidR="00783C30" w:rsidRDefault="00783C30" w:rsidP="00A4283D">
      <w:pPr>
        <w:widowControl w:val="0"/>
        <w:autoSpaceDE w:val="0"/>
        <w:autoSpaceDN w:val="0"/>
        <w:adjustRightInd w:val="0"/>
        <w:ind w:left="480" w:hanging="480"/>
        <w:rPr>
          <w:sz w:val="20"/>
          <w:szCs w:val="20"/>
        </w:rPr>
      </w:pPr>
    </w:p>
    <w:p w14:paraId="7FF11080" w14:textId="77777777" w:rsidR="00783C30" w:rsidRPr="004F469F" w:rsidRDefault="00783C30" w:rsidP="00A4283D">
      <w:pPr>
        <w:widowControl w:val="0"/>
        <w:autoSpaceDE w:val="0"/>
        <w:autoSpaceDN w:val="0"/>
        <w:adjustRightInd w:val="0"/>
        <w:ind w:left="480" w:hanging="480"/>
        <w:rPr>
          <w:sz w:val="20"/>
          <w:szCs w:val="20"/>
        </w:rPr>
      </w:pPr>
    </w:p>
    <w:p w14:paraId="6414A28F" w14:textId="17867623" w:rsidR="008E73D1" w:rsidRPr="004F469F" w:rsidRDefault="00783C30" w:rsidP="00783C30">
      <w:pPr>
        <w:pStyle w:val="Caption"/>
        <w:rPr>
          <w:rFonts w:ascii="Times New Roman" w:hAnsi="Times New Roman" w:cs="Times New Roman"/>
          <w:i w:val="0"/>
          <w:iCs w:val="0"/>
          <w:color w:val="auto"/>
          <w:sz w:val="24"/>
          <w:szCs w:val="24"/>
        </w:rPr>
      </w:pPr>
      <w:bookmarkStart w:id="97" w:name="_Toc22035004"/>
      <w:r w:rsidRPr="00783C30">
        <w:rPr>
          <w:rFonts w:ascii="Times New Roman" w:hAnsi="Times New Roman" w:cs="Times New Roman"/>
          <w:i w:val="0"/>
          <w:iCs w:val="0"/>
          <w:color w:val="auto"/>
          <w:sz w:val="24"/>
          <w:szCs w:val="24"/>
        </w:rPr>
        <w:lastRenderedPageBreak/>
        <w:t xml:space="preserve">Table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STYLEREF 1 \s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Table \* ARABIC \s 1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w:t>
      </w:r>
      <w:r w:rsidRPr="004F469F">
        <w:rPr>
          <w:rFonts w:ascii="Times New Roman" w:hAnsi="Times New Roman" w:cs="Times New Roman"/>
          <w:i w:val="0"/>
          <w:iCs w:val="0"/>
          <w:color w:val="auto"/>
          <w:sz w:val="24"/>
          <w:szCs w:val="24"/>
        </w:rPr>
        <w:t>Normalized (per 2,500 km</w:t>
      </w:r>
      <w:r w:rsidRPr="004F469F">
        <w:rPr>
          <w:rFonts w:ascii="Times New Roman" w:hAnsi="Times New Roman" w:cs="Times New Roman"/>
          <w:i w:val="0"/>
          <w:iCs w:val="0"/>
          <w:color w:val="auto"/>
          <w:sz w:val="24"/>
          <w:szCs w:val="24"/>
          <w:vertAlign w:val="superscript"/>
        </w:rPr>
        <w:t>2</w:t>
      </w:r>
      <w:r w:rsidRPr="004F469F">
        <w:rPr>
          <w:rFonts w:ascii="Times New Roman" w:hAnsi="Times New Roman" w:cs="Times New Roman"/>
          <w:i w:val="0"/>
          <w:iCs w:val="0"/>
          <w:color w:val="auto"/>
          <w:sz w:val="24"/>
          <w:szCs w:val="24"/>
        </w:rPr>
        <w:t>) number of simulated significant (EF2+) tornadoes and significant tornado days using the 1990 – 1999 atmospheric environment and the projected 2045 – 2054 environment.</w:t>
      </w:r>
      <w:bookmarkEnd w:id="97"/>
    </w:p>
    <w:tbl>
      <w:tblPr>
        <w:tblStyle w:val="TableTheme"/>
        <w:tblW w:w="6500" w:type="dxa"/>
        <w:tblLook w:val="04A0" w:firstRow="1" w:lastRow="0" w:firstColumn="1" w:lastColumn="0" w:noHBand="0" w:noVBand="1"/>
      </w:tblPr>
      <w:tblGrid>
        <w:gridCol w:w="1300"/>
        <w:gridCol w:w="1300"/>
        <w:gridCol w:w="1300"/>
        <w:gridCol w:w="1300"/>
        <w:gridCol w:w="1300"/>
      </w:tblGrid>
      <w:tr w:rsidR="00494669" w:rsidRPr="004F469F" w14:paraId="70511199" w14:textId="77777777" w:rsidTr="00E85563">
        <w:trPr>
          <w:trHeight w:val="320"/>
        </w:trPr>
        <w:tc>
          <w:tcPr>
            <w:tcW w:w="1300" w:type="dxa"/>
            <w:vMerge w:val="restart"/>
            <w:noWrap/>
            <w:vAlign w:val="center"/>
            <w:hideMark/>
          </w:tcPr>
          <w:p w14:paraId="05EB6DDA" w14:textId="77777777" w:rsidR="00A4283D" w:rsidRPr="004F469F" w:rsidRDefault="00A4283D" w:rsidP="00E85563">
            <w:pPr>
              <w:jc w:val="center"/>
              <w:rPr>
                <w:b/>
                <w:bCs/>
                <w:sz w:val="20"/>
                <w:szCs w:val="20"/>
              </w:rPr>
            </w:pPr>
            <w:r w:rsidRPr="004F469F">
              <w:rPr>
                <w:b/>
                <w:bCs/>
                <w:sz w:val="20"/>
                <w:szCs w:val="20"/>
              </w:rPr>
              <w:t>County</w:t>
            </w:r>
          </w:p>
        </w:tc>
        <w:tc>
          <w:tcPr>
            <w:tcW w:w="2600" w:type="dxa"/>
            <w:gridSpan w:val="2"/>
            <w:noWrap/>
            <w:vAlign w:val="center"/>
            <w:hideMark/>
          </w:tcPr>
          <w:p w14:paraId="33E1E564" w14:textId="77777777" w:rsidR="00A4283D" w:rsidRPr="004F469F" w:rsidRDefault="00A4283D" w:rsidP="00E85563">
            <w:pPr>
              <w:jc w:val="center"/>
              <w:rPr>
                <w:b/>
                <w:bCs/>
                <w:sz w:val="20"/>
                <w:szCs w:val="20"/>
              </w:rPr>
            </w:pPr>
            <w:r w:rsidRPr="004F469F">
              <w:rPr>
                <w:b/>
                <w:bCs/>
                <w:sz w:val="20"/>
                <w:szCs w:val="20"/>
              </w:rPr>
              <w:t># of Tornadoes</w:t>
            </w:r>
          </w:p>
        </w:tc>
        <w:tc>
          <w:tcPr>
            <w:tcW w:w="2600" w:type="dxa"/>
            <w:gridSpan w:val="2"/>
            <w:noWrap/>
            <w:vAlign w:val="center"/>
            <w:hideMark/>
          </w:tcPr>
          <w:p w14:paraId="7C29F2B5" w14:textId="77777777" w:rsidR="00A4283D" w:rsidRPr="004F469F" w:rsidRDefault="00A4283D" w:rsidP="00E85563">
            <w:pPr>
              <w:jc w:val="center"/>
              <w:rPr>
                <w:b/>
                <w:bCs/>
                <w:sz w:val="20"/>
                <w:szCs w:val="20"/>
              </w:rPr>
            </w:pPr>
            <w:r w:rsidRPr="004F469F">
              <w:rPr>
                <w:b/>
                <w:bCs/>
                <w:sz w:val="20"/>
                <w:szCs w:val="20"/>
              </w:rPr>
              <w:t># of Tornado Days</w:t>
            </w:r>
          </w:p>
        </w:tc>
      </w:tr>
      <w:tr w:rsidR="00494669" w:rsidRPr="004F469F" w14:paraId="426CD79E" w14:textId="77777777" w:rsidTr="00E85563">
        <w:trPr>
          <w:trHeight w:val="320"/>
        </w:trPr>
        <w:tc>
          <w:tcPr>
            <w:tcW w:w="1300" w:type="dxa"/>
            <w:vMerge/>
            <w:vAlign w:val="center"/>
            <w:hideMark/>
          </w:tcPr>
          <w:p w14:paraId="711D008F" w14:textId="77777777" w:rsidR="00A4283D" w:rsidRPr="004F469F" w:rsidRDefault="00A4283D" w:rsidP="00E85563">
            <w:pPr>
              <w:jc w:val="center"/>
              <w:rPr>
                <w:b/>
                <w:bCs/>
                <w:sz w:val="20"/>
                <w:szCs w:val="20"/>
              </w:rPr>
            </w:pPr>
          </w:p>
        </w:tc>
        <w:tc>
          <w:tcPr>
            <w:tcW w:w="1300" w:type="dxa"/>
            <w:noWrap/>
            <w:vAlign w:val="center"/>
            <w:hideMark/>
          </w:tcPr>
          <w:p w14:paraId="00AB5009" w14:textId="77777777" w:rsidR="00A4283D" w:rsidRPr="004F469F" w:rsidRDefault="00A4283D" w:rsidP="00E85563">
            <w:pPr>
              <w:jc w:val="center"/>
              <w:rPr>
                <w:sz w:val="20"/>
                <w:szCs w:val="20"/>
              </w:rPr>
            </w:pPr>
            <w:r w:rsidRPr="004F469F">
              <w:rPr>
                <w:sz w:val="20"/>
                <w:szCs w:val="20"/>
              </w:rPr>
              <w:t>1990 - 1999</w:t>
            </w:r>
          </w:p>
        </w:tc>
        <w:tc>
          <w:tcPr>
            <w:tcW w:w="1300" w:type="dxa"/>
            <w:noWrap/>
            <w:vAlign w:val="center"/>
            <w:hideMark/>
          </w:tcPr>
          <w:p w14:paraId="472A13E7" w14:textId="77777777" w:rsidR="00A4283D" w:rsidRPr="004F469F" w:rsidRDefault="00A4283D" w:rsidP="00E85563">
            <w:pPr>
              <w:jc w:val="center"/>
              <w:rPr>
                <w:sz w:val="20"/>
                <w:szCs w:val="20"/>
              </w:rPr>
            </w:pPr>
            <w:r w:rsidRPr="004F469F">
              <w:rPr>
                <w:sz w:val="20"/>
                <w:szCs w:val="20"/>
              </w:rPr>
              <w:t>2045 - 2054</w:t>
            </w:r>
          </w:p>
        </w:tc>
        <w:tc>
          <w:tcPr>
            <w:tcW w:w="1300" w:type="dxa"/>
            <w:noWrap/>
            <w:vAlign w:val="center"/>
            <w:hideMark/>
          </w:tcPr>
          <w:p w14:paraId="344A6C52" w14:textId="77777777" w:rsidR="00A4283D" w:rsidRPr="004F469F" w:rsidRDefault="00A4283D" w:rsidP="00E85563">
            <w:pPr>
              <w:jc w:val="center"/>
              <w:rPr>
                <w:sz w:val="20"/>
                <w:szCs w:val="20"/>
              </w:rPr>
            </w:pPr>
            <w:r w:rsidRPr="004F469F">
              <w:rPr>
                <w:sz w:val="20"/>
                <w:szCs w:val="20"/>
              </w:rPr>
              <w:t>1990 - 1999</w:t>
            </w:r>
          </w:p>
        </w:tc>
        <w:tc>
          <w:tcPr>
            <w:tcW w:w="1300" w:type="dxa"/>
            <w:noWrap/>
            <w:vAlign w:val="center"/>
            <w:hideMark/>
          </w:tcPr>
          <w:p w14:paraId="262A5E35" w14:textId="77777777" w:rsidR="00A4283D" w:rsidRPr="004F469F" w:rsidRDefault="00A4283D" w:rsidP="00E85563">
            <w:pPr>
              <w:jc w:val="center"/>
              <w:rPr>
                <w:sz w:val="20"/>
                <w:szCs w:val="20"/>
              </w:rPr>
            </w:pPr>
            <w:r w:rsidRPr="004F469F">
              <w:rPr>
                <w:sz w:val="20"/>
                <w:szCs w:val="20"/>
              </w:rPr>
              <w:t>2045 - 2054</w:t>
            </w:r>
          </w:p>
        </w:tc>
      </w:tr>
      <w:tr w:rsidR="00494669" w:rsidRPr="004F469F" w14:paraId="1642DF14" w14:textId="77777777" w:rsidTr="00E85563">
        <w:trPr>
          <w:trHeight w:val="320"/>
        </w:trPr>
        <w:tc>
          <w:tcPr>
            <w:tcW w:w="1300" w:type="dxa"/>
            <w:noWrap/>
            <w:vAlign w:val="center"/>
            <w:hideMark/>
          </w:tcPr>
          <w:p w14:paraId="6498A35C" w14:textId="77777777" w:rsidR="00A4283D" w:rsidRPr="004F469F" w:rsidRDefault="00A4283D" w:rsidP="00E85563">
            <w:pPr>
              <w:jc w:val="center"/>
              <w:rPr>
                <w:sz w:val="20"/>
                <w:szCs w:val="20"/>
              </w:rPr>
            </w:pPr>
            <w:r w:rsidRPr="004F469F">
              <w:rPr>
                <w:sz w:val="20"/>
                <w:szCs w:val="20"/>
              </w:rPr>
              <w:t>Canadian</w:t>
            </w:r>
          </w:p>
        </w:tc>
        <w:tc>
          <w:tcPr>
            <w:tcW w:w="1300" w:type="dxa"/>
            <w:noWrap/>
            <w:vAlign w:val="center"/>
            <w:hideMark/>
          </w:tcPr>
          <w:p w14:paraId="4EBFEDE4" w14:textId="77777777" w:rsidR="00A4283D" w:rsidRPr="004F469F" w:rsidRDefault="00A4283D" w:rsidP="00E85563">
            <w:pPr>
              <w:jc w:val="center"/>
              <w:rPr>
                <w:sz w:val="20"/>
                <w:szCs w:val="20"/>
              </w:rPr>
            </w:pPr>
            <w:r w:rsidRPr="004F469F">
              <w:rPr>
                <w:sz w:val="20"/>
                <w:szCs w:val="20"/>
              </w:rPr>
              <w:t>1.8</w:t>
            </w:r>
          </w:p>
        </w:tc>
        <w:tc>
          <w:tcPr>
            <w:tcW w:w="1300" w:type="dxa"/>
            <w:noWrap/>
            <w:vAlign w:val="center"/>
            <w:hideMark/>
          </w:tcPr>
          <w:p w14:paraId="34162C21" w14:textId="77777777" w:rsidR="00A4283D" w:rsidRPr="004F469F" w:rsidRDefault="00A4283D" w:rsidP="00E85563">
            <w:pPr>
              <w:jc w:val="center"/>
              <w:rPr>
                <w:sz w:val="20"/>
                <w:szCs w:val="20"/>
              </w:rPr>
            </w:pPr>
            <w:r w:rsidRPr="004F469F">
              <w:rPr>
                <w:sz w:val="20"/>
                <w:szCs w:val="20"/>
              </w:rPr>
              <w:t>1.7</w:t>
            </w:r>
          </w:p>
        </w:tc>
        <w:tc>
          <w:tcPr>
            <w:tcW w:w="1300" w:type="dxa"/>
            <w:noWrap/>
            <w:vAlign w:val="center"/>
            <w:hideMark/>
          </w:tcPr>
          <w:p w14:paraId="51A7C1D5" w14:textId="77777777" w:rsidR="00A4283D" w:rsidRPr="004F469F" w:rsidRDefault="00A4283D" w:rsidP="00E85563">
            <w:pPr>
              <w:jc w:val="center"/>
              <w:rPr>
                <w:sz w:val="20"/>
                <w:szCs w:val="20"/>
              </w:rPr>
            </w:pPr>
            <w:r w:rsidRPr="004F469F">
              <w:rPr>
                <w:sz w:val="20"/>
                <w:szCs w:val="20"/>
              </w:rPr>
              <w:t>1.4</w:t>
            </w:r>
          </w:p>
        </w:tc>
        <w:tc>
          <w:tcPr>
            <w:tcW w:w="1300" w:type="dxa"/>
            <w:noWrap/>
            <w:vAlign w:val="center"/>
            <w:hideMark/>
          </w:tcPr>
          <w:p w14:paraId="2BC3EC09" w14:textId="77777777" w:rsidR="00A4283D" w:rsidRPr="004F469F" w:rsidRDefault="00A4283D" w:rsidP="00E85563">
            <w:pPr>
              <w:jc w:val="center"/>
              <w:rPr>
                <w:sz w:val="20"/>
                <w:szCs w:val="20"/>
              </w:rPr>
            </w:pPr>
            <w:r w:rsidRPr="004F469F">
              <w:rPr>
                <w:sz w:val="20"/>
                <w:szCs w:val="20"/>
              </w:rPr>
              <w:t>1.3</w:t>
            </w:r>
          </w:p>
        </w:tc>
      </w:tr>
      <w:tr w:rsidR="00494669" w:rsidRPr="004F469F" w14:paraId="3D6354B5" w14:textId="77777777" w:rsidTr="00E85563">
        <w:trPr>
          <w:trHeight w:val="320"/>
        </w:trPr>
        <w:tc>
          <w:tcPr>
            <w:tcW w:w="1300" w:type="dxa"/>
            <w:noWrap/>
            <w:vAlign w:val="center"/>
            <w:hideMark/>
          </w:tcPr>
          <w:p w14:paraId="1E74B286" w14:textId="77777777" w:rsidR="00A4283D" w:rsidRPr="004F469F" w:rsidRDefault="00A4283D" w:rsidP="00E85563">
            <w:pPr>
              <w:jc w:val="center"/>
              <w:rPr>
                <w:sz w:val="20"/>
                <w:szCs w:val="20"/>
              </w:rPr>
            </w:pPr>
            <w:r w:rsidRPr="004F469F">
              <w:rPr>
                <w:sz w:val="20"/>
                <w:szCs w:val="20"/>
              </w:rPr>
              <w:t>Cleveland</w:t>
            </w:r>
          </w:p>
        </w:tc>
        <w:tc>
          <w:tcPr>
            <w:tcW w:w="1300" w:type="dxa"/>
            <w:noWrap/>
            <w:vAlign w:val="center"/>
            <w:hideMark/>
          </w:tcPr>
          <w:p w14:paraId="7DF17141" w14:textId="77777777" w:rsidR="00A4283D" w:rsidRPr="004F469F" w:rsidRDefault="00A4283D" w:rsidP="00E85563">
            <w:pPr>
              <w:jc w:val="center"/>
              <w:rPr>
                <w:sz w:val="20"/>
                <w:szCs w:val="20"/>
              </w:rPr>
            </w:pPr>
            <w:r w:rsidRPr="004F469F">
              <w:rPr>
                <w:sz w:val="20"/>
                <w:szCs w:val="20"/>
              </w:rPr>
              <w:t>2.0</w:t>
            </w:r>
          </w:p>
        </w:tc>
        <w:tc>
          <w:tcPr>
            <w:tcW w:w="1300" w:type="dxa"/>
            <w:noWrap/>
            <w:vAlign w:val="center"/>
            <w:hideMark/>
          </w:tcPr>
          <w:p w14:paraId="3292BBC2" w14:textId="77777777" w:rsidR="00A4283D" w:rsidRPr="004F469F" w:rsidRDefault="00A4283D" w:rsidP="00E85563">
            <w:pPr>
              <w:jc w:val="center"/>
              <w:rPr>
                <w:sz w:val="20"/>
                <w:szCs w:val="20"/>
              </w:rPr>
            </w:pPr>
            <w:r w:rsidRPr="004F469F">
              <w:rPr>
                <w:sz w:val="20"/>
                <w:szCs w:val="20"/>
              </w:rPr>
              <w:t>1.9</w:t>
            </w:r>
          </w:p>
        </w:tc>
        <w:tc>
          <w:tcPr>
            <w:tcW w:w="1300" w:type="dxa"/>
            <w:noWrap/>
            <w:vAlign w:val="center"/>
            <w:hideMark/>
          </w:tcPr>
          <w:p w14:paraId="4239BFBE" w14:textId="77777777" w:rsidR="00A4283D" w:rsidRPr="004F469F" w:rsidRDefault="00A4283D" w:rsidP="00E85563">
            <w:pPr>
              <w:jc w:val="center"/>
              <w:rPr>
                <w:sz w:val="20"/>
                <w:szCs w:val="20"/>
              </w:rPr>
            </w:pPr>
            <w:r w:rsidRPr="004F469F">
              <w:rPr>
                <w:sz w:val="20"/>
                <w:szCs w:val="20"/>
              </w:rPr>
              <w:t>1.4</w:t>
            </w:r>
          </w:p>
        </w:tc>
        <w:tc>
          <w:tcPr>
            <w:tcW w:w="1300" w:type="dxa"/>
            <w:noWrap/>
            <w:vAlign w:val="center"/>
            <w:hideMark/>
          </w:tcPr>
          <w:p w14:paraId="3C7DB3B1" w14:textId="77777777" w:rsidR="00A4283D" w:rsidRPr="004F469F" w:rsidRDefault="00A4283D" w:rsidP="00E85563">
            <w:pPr>
              <w:jc w:val="center"/>
              <w:rPr>
                <w:sz w:val="20"/>
                <w:szCs w:val="20"/>
              </w:rPr>
            </w:pPr>
            <w:r w:rsidRPr="004F469F">
              <w:rPr>
                <w:sz w:val="20"/>
                <w:szCs w:val="20"/>
              </w:rPr>
              <w:t>1.3</w:t>
            </w:r>
          </w:p>
        </w:tc>
      </w:tr>
      <w:tr w:rsidR="00494669" w:rsidRPr="004F469F" w14:paraId="6E18B4C3" w14:textId="77777777" w:rsidTr="00E85563">
        <w:trPr>
          <w:trHeight w:val="340"/>
        </w:trPr>
        <w:tc>
          <w:tcPr>
            <w:tcW w:w="1300" w:type="dxa"/>
            <w:tcBorders>
              <w:bottom w:val="single" w:sz="12" w:space="0" w:color="auto"/>
            </w:tcBorders>
            <w:noWrap/>
            <w:vAlign w:val="center"/>
            <w:hideMark/>
          </w:tcPr>
          <w:p w14:paraId="26B58191" w14:textId="77777777" w:rsidR="00A4283D" w:rsidRPr="004F469F" w:rsidRDefault="00A4283D" w:rsidP="00E85563">
            <w:pPr>
              <w:jc w:val="center"/>
              <w:rPr>
                <w:sz w:val="20"/>
                <w:szCs w:val="20"/>
              </w:rPr>
            </w:pPr>
            <w:r w:rsidRPr="004F469F">
              <w:rPr>
                <w:sz w:val="20"/>
                <w:szCs w:val="20"/>
              </w:rPr>
              <w:t>Oklahoma</w:t>
            </w:r>
          </w:p>
        </w:tc>
        <w:tc>
          <w:tcPr>
            <w:tcW w:w="1300" w:type="dxa"/>
            <w:tcBorders>
              <w:bottom w:val="single" w:sz="12" w:space="0" w:color="auto"/>
            </w:tcBorders>
            <w:noWrap/>
            <w:vAlign w:val="center"/>
            <w:hideMark/>
          </w:tcPr>
          <w:p w14:paraId="1C385B0A" w14:textId="77777777" w:rsidR="00A4283D" w:rsidRPr="004F469F" w:rsidRDefault="00A4283D" w:rsidP="00E85563">
            <w:pPr>
              <w:jc w:val="center"/>
              <w:rPr>
                <w:sz w:val="20"/>
                <w:szCs w:val="20"/>
              </w:rPr>
            </w:pPr>
            <w:r w:rsidRPr="004F469F">
              <w:rPr>
                <w:sz w:val="20"/>
                <w:szCs w:val="20"/>
              </w:rPr>
              <w:t>1.7</w:t>
            </w:r>
          </w:p>
        </w:tc>
        <w:tc>
          <w:tcPr>
            <w:tcW w:w="1300" w:type="dxa"/>
            <w:tcBorders>
              <w:bottom w:val="single" w:sz="12" w:space="0" w:color="auto"/>
            </w:tcBorders>
            <w:noWrap/>
            <w:vAlign w:val="center"/>
            <w:hideMark/>
          </w:tcPr>
          <w:p w14:paraId="39094D6C" w14:textId="77777777" w:rsidR="00A4283D" w:rsidRPr="004F469F" w:rsidRDefault="00A4283D" w:rsidP="00E85563">
            <w:pPr>
              <w:jc w:val="center"/>
              <w:rPr>
                <w:sz w:val="20"/>
                <w:szCs w:val="20"/>
              </w:rPr>
            </w:pPr>
            <w:r w:rsidRPr="004F469F">
              <w:rPr>
                <w:sz w:val="20"/>
                <w:szCs w:val="20"/>
              </w:rPr>
              <w:t>1.6</w:t>
            </w:r>
          </w:p>
        </w:tc>
        <w:tc>
          <w:tcPr>
            <w:tcW w:w="1300" w:type="dxa"/>
            <w:tcBorders>
              <w:bottom w:val="single" w:sz="12" w:space="0" w:color="auto"/>
            </w:tcBorders>
            <w:noWrap/>
            <w:vAlign w:val="center"/>
            <w:hideMark/>
          </w:tcPr>
          <w:p w14:paraId="34EC0A51" w14:textId="77777777" w:rsidR="00A4283D" w:rsidRPr="004F469F" w:rsidRDefault="00A4283D" w:rsidP="00E85563">
            <w:pPr>
              <w:jc w:val="center"/>
              <w:rPr>
                <w:sz w:val="20"/>
                <w:szCs w:val="20"/>
              </w:rPr>
            </w:pPr>
            <w:r w:rsidRPr="004F469F">
              <w:rPr>
                <w:sz w:val="20"/>
                <w:szCs w:val="20"/>
              </w:rPr>
              <w:t>1.2</w:t>
            </w:r>
          </w:p>
        </w:tc>
        <w:tc>
          <w:tcPr>
            <w:tcW w:w="1300" w:type="dxa"/>
            <w:tcBorders>
              <w:bottom w:val="single" w:sz="12" w:space="0" w:color="auto"/>
            </w:tcBorders>
            <w:noWrap/>
            <w:vAlign w:val="center"/>
            <w:hideMark/>
          </w:tcPr>
          <w:p w14:paraId="5E549659" w14:textId="77777777" w:rsidR="00A4283D" w:rsidRPr="004F469F" w:rsidRDefault="00A4283D" w:rsidP="00E85563">
            <w:pPr>
              <w:jc w:val="center"/>
              <w:rPr>
                <w:sz w:val="20"/>
                <w:szCs w:val="20"/>
              </w:rPr>
            </w:pPr>
            <w:r w:rsidRPr="004F469F">
              <w:rPr>
                <w:sz w:val="20"/>
                <w:szCs w:val="20"/>
              </w:rPr>
              <w:t>1.1</w:t>
            </w:r>
          </w:p>
        </w:tc>
      </w:tr>
      <w:tr w:rsidR="00A4283D" w:rsidRPr="004F469F" w14:paraId="62FF86DF" w14:textId="77777777" w:rsidTr="00E85563">
        <w:trPr>
          <w:trHeight w:val="320"/>
        </w:trPr>
        <w:tc>
          <w:tcPr>
            <w:tcW w:w="1300" w:type="dxa"/>
            <w:tcBorders>
              <w:top w:val="single" w:sz="12" w:space="0" w:color="auto"/>
              <w:bottom w:val="single" w:sz="12" w:space="0" w:color="auto"/>
            </w:tcBorders>
            <w:noWrap/>
            <w:vAlign w:val="center"/>
            <w:hideMark/>
          </w:tcPr>
          <w:p w14:paraId="44DB9447" w14:textId="77777777" w:rsidR="00A4283D" w:rsidRPr="004F469F" w:rsidRDefault="00A4283D" w:rsidP="00E85563">
            <w:pPr>
              <w:jc w:val="center"/>
              <w:rPr>
                <w:i/>
                <w:iCs/>
                <w:sz w:val="20"/>
                <w:szCs w:val="20"/>
              </w:rPr>
            </w:pPr>
            <w:r w:rsidRPr="004F469F">
              <w:rPr>
                <w:i/>
                <w:iCs/>
                <w:sz w:val="20"/>
                <w:szCs w:val="20"/>
              </w:rPr>
              <w:t>OKC Metro</w:t>
            </w:r>
          </w:p>
        </w:tc>
        <w:tc>
          <w:tcPr>
            <w:tcW w:w="1300" w:type="dxa"/>
            <w:tcBorders>
              <w:top w:val="single" w:sz="12" w:space="0" w:color="auto"/>
              <w:bottom w:val="single" w:sz="12" w:space="0" w:color="auto"/>
            </w:tcBorders>
            <w:noWrap/>
            <w:vAlign w:val="center"/>
            <w:hideMark/>
          </w:tcPr>
          <w:p w14:paraId="36D42FF3" w14:textId="77777777" w:rsidR="00A4283D" w:rsidRPr="004F469F" w:rsidRDefault="00A4283D" w:rsidP="00E85563">
            <w:pPr>
              <w:jc w:val="center"/>
              <w:rPr>
                <w:i/>
                <w:iCs/>
                <w:sz w:val="20"/>
                <w:szCs w:val="20"/>
              </w:rPr>
            </w:pPr>
            <w:r w:rsidRPr="004F469F">
              <w:rPr>
                <w:i/>
                <w:iCs/>
                <w:sz w:val="20"/>
                <w:szCs w:val="20"/>
              </w:rPr>
              <w:t>1.5</w:t>
            </w:r>
          </w:p>
        </w:tc>
        <w:tc>
          <w:tcPr>
            <w:tcW w:w="1300" w:type="dxa"/>
            <w:tcBorders>
              <w:top w:val="single" w:sz="12" w:space="0" w:color="auto"/>
              <w:bottom w:val="single" w:sz="12" w:space="0" w:color="auto"/>
            </w:tcBorders>
            <w:noWrap/>
            <w:vAlign w:val="center"/>
            <w:hideMark/>
          </w:tcPr>
          <w:p w14:paraId="0540540C" w14:textId="77777777" w:rsidR="00A4283D" w:rsidRPr="004F469F" w:rsidRDefault="00A4283D" w:rsidP="00E85563">
            <w:pPr>
              <w:jc w:val="center"/>
              <w:rPr>
                <w:i/>
                <w:iCs/>
                <w:sz w:val="20"/>
                <w:szCs w:val="20"/>
              </w:rPr>
            </w:pPr>
            <w:r w:rsidRPr="004F469F">
              <w:rPr>
                <w:i/>
                <w:iCs/>
                <w:sz w:val="20"/>
                <w:szCs w:val="20"/>
              </w:rPr>
              <w:t>1.5</w:t>
            </w:r>
          </w:p>
        </w:tc>
        <w:tc>
          <w:tcPr>
            <w:tcW w:w="1300" w:type="dxa"/>
            <w:tcBorders>
              <w:top w:val="single" w:sz="12" w:space="0" w:color="auto"/>
              <w:bottom w:val="single" w:sz="12" w:space="0" w:color="auto"/>
            </w:tcBorders>
            <w:noWrap/>
            <w:vAlign w:val="center"/>
            <w:hideMark/>
          </w:tcPr>
          <w:p w14:paraId="0FE510E0" w14:textId="77777777" w:rsidR="00A4283D" w:rsidRPr="004F469F" w:rsidRDefault="00A4283D" w:rsidP="00E85563">
            <w:pPr>
              <w:jc w:val="center"/>
              <w:rPr>
                <w:i/>
                <w:iCs/>
                <w:sz w:val="20"/>
                <w:szCs w:val="20"/>
              </w:rPr>
            </w:pPr>
            <w:r w:rsidRPr="004F469F">
              <w:rPr>
                <w:i/>
                <w:iCs/>
                <w:sz w:val="20"/>
                <w:szCs w:val="20"/>
              </w:rPr>
              <w:t>1.3</w:t>
            </w:r>
          </w:p>
        </w:tc>
        <w:tc>
          <w:tcPr>
            <w:tcW w:w="1300" w:type="dxa"/>
            <w:tcBorders>
              <w:top w:val="single" w:sz="12" w:space="0" w:color="auto"/>
              <w:bottom w:val="single" w:sz="12" w:space="0" w:color="auto"/>
            </w:tcBorders>
            <w:noWrap/>
            <w:vAlign w:val="center"/>
            <w:hideMark/>
          </w:tcPr>
          <w:p w14:paraId="61C523E9" w14:textId="77777777" w:rsidR="00A4283D" w:rsidRPr="004F469F" w:rsidRDefault="00A4283D" w:rsidP="00E85563">
            <w:pPr>
              <w:jc w:val="center"/>
              <w:rPr>
                <w:i/>
                <w:iCs/>
                <w:sz w:val="20"/>
                <w:szCs w:val="20"/>
              </w:rPr>
            </w:pPr>
            <w:r w:rsidRPr="004F469F">
              <w:rPr>
                <w:i/>
                <w:iCs/>
                <w:sz w:val="20"/>
                <w:szCs w:val="20"/>
              </w:rPr>
              <w:t>1.3</w:t>
            </w:r>
          </w:p>
        </w:tc>
      </w:tr>
    </w:tbl>
    <w:p w14:paraId="7FE6020F" w14:textId="77777777" w:rsidR="00A4283D" w:rsidRPr="004F469F" w:rsidRDefault="00A4283D" w:rsidP="00A4283D">
      <w:pPr>
        <w:widowControl w:val="0"/>
        <w:autoSpaceDE w:val="0"/>
        <w:autoSpaceDN w:val="0"/>
        <w:adjustRightInd w:val="0"/>
        <w:ind w:left="480" w:hanging="480"/>
        <w:rPr>
          <w:sz w:val="20"/>
          <w:szCs w:val="20"/>
        </w:rPr>
      </w:pPr>
    </w:p>
    <w:p w14:paraId="60183F06" w14:textId="77777777" w:rsidR="00A4283D" w:rsidRPr="004F469F" w:rsidRDefault="00A4283D" w:rsidP="00A4283D">
      <w:pPr>
        <w:widowControl w:val="0"/>
        <w:autoSpaceDE w:val="0"/>
        <w:autoSpaceDN w:val="0"/>
        <w:adjustRightInd w:val="0"/>
        <w:rPr>
          <w:sz w:val="20"/>
          <w:szCs w:val="20"/>
        </w:rPr>
      </w:pPr>
    </w:p>
    <w:p w14:paraId="59208E8D" w14:textId="77777777" w:rsidR="00A4283D" w:rsidRPr="004F469F" w:rsidRDefault="00A4283D" w:rsidP="00A4283D">
      <w:pPr>
        <w:widowControl w:val="0"/>
        <w:autoSpaceDE w:val="0"/>
        <w:autoSpaceDN w:val="0"/>
        <w:adjustRightInd w:val="0"/>
        <w:rPr>
          <w:sz w:val="20"/>
          <w:szCs w:val="20"/>
        </w:rPr>
      </w:pPr>
    </w:p>
    <w:p w14:paraId="7645AD89" w14:textId="77777777" w:rsidR="00A4283D" w:rsidRPr="004F469F" w:rsidRDefault="00A4283D" w:rsidP="00A4283D">
      <w:pPr>
        <w:widowControl w:val="0"/>
        <w:autoSpaceDE w:val="0"/>
        <w:autoSpaceDN w:val="0"/>
        <w:adjustRightInd w:val="0"/>
        <w:rPr>
          <w:sz w:val="20"/>
          <w:szCs w:val="20"/>
        </w:rPr>
      </w:pPr>
    </w:p>
    <w:p w14:paraId="4E03A2CB" w14:textId="77777777" w:rsidR="00A4283D" w:rsidRPr="004F469F" w:rsidRDefault="00A4283D" w:rsidP="00A4283D">
      <w:pPr>
        <w:widowControl w:val="0"/>
        <w:autoSpaceDE w:val="0"/>
        <w:autoSpaceDN w:val="0"/>
        <w:adjustRightInd w:val="0"/>
        <w:rPr>
          <w:sz w:val="20"/>
          <w:szCs w:val="20"/>
        </w:rPr>
      </w:pPr>
    </w:p>
    <w:p w14:paraId="34EF1F42" w14:textId="77777777" w:rsidR="00A4283D" w:rsidRPr="004F469F" w:rsidRDefault="00A4283D" w:rsidP="00A4283D">
      <w:pPr>
        <w:widowControl w:val="0"/>
        <w:autoSpaceDE w:val="0"/>
        <w:autoSpaceDN w:val="0"/>
        <w:adjustRightInd w:val="0"/>
        <w:rPr>
          <w:sz w:val="20"/>
          <w:szCs w:val="20"/>
        </w:rPr>
      </w:pPr>
    </w:p>
    <w:p w14:paraId="0BD77258" w14:textId="77777777" w:rsidR="00A4283D" w:rsidRPr="004F469F" w:rsidRDefault="00A4283D" w:rsidP="00A4283D">
      <w:pPr>
        <w:widowControl w:val="0"/>
        <w:autoSpaceDE w:val="0"/>
        <w:autoSpaceDN w:val="0"/>
        <w:adjustRightInd w:val="0"/>
        <w:rPr>
          <w:sz w:val="20"/>
          <w:szCs w:val="20"/>
        </w:rPr>
      </w:pPr>
    </w:p>
    <w:p w14:paraId="35E2D091" w14:textId="77777777" w:rsidR="00A4283D" w:rsidRPr="004F469F" w:rsidRDefault="00A4283D" w:rsidP="00A4283D">
      <w:pPr>
        <w:widowControl w:val="0"/>
        <w:autoSpaceDE w:val="0"/>
        <w:autoSpaceDN w:val="0"/>
        <w:adjustRightInd w:val="0"/>
        <w:rPr>
          <w:sz w:val="20"/>
          <w:szCs w:val="20"/>
        </w:rPr>
      </w:pPr>
    </w:p>
    <w:p w14:paraId="0BDD672A" w14:textId="77777777" w:rsidR="00A4283D" w:rsidRPr="004F469F" w:rsidRDefault="00A4283D" w:rsidP="00A4283D">
      <w:pPr>
        <w:widowControl w:val="0"/>
        <w:autoSpaceDE w:val="0"/>
        <w:autoSpaceDN w:val="0"/>
        <w:adjustRightInd w:val="0"/>
        <w:rPr>
          <w:sz w:val="20"/>
          <w:szCs w:val="20"/>
        </w:rPr>
      </w:pPr>
    </w:p>
    <w:p w14:paraId="5F70BC51" w14:textId="77777777" w:rsidR="00A4283D" w:rsidRPr="004F469F" w:rsidRDefault="00A4283D" w:rsidP="00A4283D">
      <w:pPr>
        <w:widowControl w:val="0"/>
        <w:autoSpaceDE w:val="0"/>
        <w:autoSpaceDN w:val="0"/>
        <w:adjustRightInd w:val="0"/>
        <w:rPr>
          <w:sz w:val="20"/>
          <w:szCs w:val="20"/>
        </w:rPr>
      </w:pPr>
    </w:p>
    <w:p w14:paraId="1747C488" w14:textId="77777777" w:rsidR="00A4283D" w:rsidRPr="004F469F" w:rsidRDefault="00A4283D" w:rsidP="00A4283D">
      <w:pPr>
        <w:widowControl w:val="0"/>
        <w:autoSpaceDE w:val="0"/>
        <w:autoSpaceDN w:val="0"/>
        <w:adjustRightInd w:val="0"/>
        <w:rPr>
          <w:sz w:val="20"/>
          <w:szCs w:val="20"/>
        </w:rPr>
      </w:pPr>
    </w:p>
    <w:p w14:paraId="61CFC564" w14:textId="77777777" w:rsidR="00A4283D" w:rsidRPr="004F469F" w:rsidRDefault="00A4283D" w:rsidP="00A4283D">
      <w:pPr>
        <w:widowControl w:val="0"/>
        <w:autoSpaceDE w:val="0"/>
        <w:autoSpaceDN w:val="0"/>
        <w:adjustRightInd w:val="0"/>
        <w:rPr>
          <w:sz w:val="20"/>
          <w:szCs w:val="20"/>
        </w:rPr>
      </w:pPr>
    </w:p>
    <w:p w14:paraId="43B17555" w14:textId="77777777" w:rsidR="00A4283D" w:rsidRPr="004F469F" w:rsidRDefault="00A4283D" w:rsidP="00A4283D">
      <w:pPr>
        <w:widowControl w:val="0"/>
        <w:autoSpaceDE w:val="0"/>
        <w:autoSpaceDN w:val="0"/>
        <w:adjustRightInd w:val="0"/>
        <w:rPr>
          <w:sz w:val="20"/>
          <w:szCs w:val="20"/>
        </w:rPr>
      </w:pPr>
    </w:p>
    <w:p w14:paraId="35E92E72" w14:textId="77777777" w:rsidR="00A4283D" w:rsidRPr="004F469F" w:rsidRDefault="00A4283D" w:rsidP="00A4283D">
      <w:pPr>
        <w:widowControl w:val="0"/>
        <w:autoSpaceDE w:val="0"/>
        <w:autoSpaceDN w:val="0"/>
        <w:adjustRightInd w:val="0"/>
        <w:rPr>
          <w:sz w:val="20"/>
          <w:szCs w:val="20"/>
        </w:rPr>
      </w:pPr>
    </w:p>
    <w:p w14:paraId="3261CCF6" w14:textId="77777777" w:rsidR="00A4283D" w:rsidRPr="004F469F" w:rsidRDefault="00A4283D" w:rsidP="00A4283D">
      <w:pPr>
        <w:widowControl w:val="0"/>
        <w:autoSpaceDE w:val="0"/>
        <w:autoSpaceDN w:val="0"/>
        <w:adjustRightInd w:val="0"/>
        <w:rPr>
          <w:sz w:val="20"/>
          <w:szCs w:val="20"/>
        </w:rPr>
      </w:pPr>
    </w:p>
    <w:p w14:paraId="50EA89FF" w14:textId="77777777" w:rsidR="00A4283D" w:rsidRPr="004F469F" w:rsidRDefault="00A4283D" w:rsidP="00A4283D">
      <w:pPr>
        <w:widowControl w:val="0"/>
        <w:autoSpaceDE w:val="0"/>
        <w:autoSpaceDN w:val="0"/>
        <w:adjustRightInd w:val="0"/>
        <w:rPr>
          <w:sz w:val="20"/>
          <w:szCs w:val="20"/>
        </w:rPr>
      </w:pPr>
    </w:p>
    <w:p w14:paraId="7AF9D116" w14:textId="77777777" w:rsidR="00A4283D" w:rsidRPr="004F469F" w:rsidRDefault="00A4283D" w:rsidP="00A4283D">
      <w:pPr>
        <w:widowControl w:val="0"/>
        <w:autoSpaceDE w:val="0"/>
        <w:autoSpaceDN w:val="0"/>
        <w:adjustRightInd w:val="0"/>
        <w:rPr>
          <w:sz w:val="20"/>
          <w:szCs w:val="20"/>
        </w:rPr>
      </w:pPr>
    </w:p>
    <w:p w14:paraId="48C838C1" w14:textId="77777777" w:rsidR="00A4283D" w:rsidRPr="004F469F" w:rsidRDefault="00A4283D" w:rsidP="00A4283D">
      <w:pPr>
        <w:widowControl w:val="0"/>
        <w:autoSpaceDE w:val="0"/>
        <w:autoSpaceDN w:val="0"/>
        <w:adjustRightInd w:val="0"/>
        <w:rPr>
          <w:sz w:val="20"/>
          <w:szCs w:val="20"/>
        </w:rPr>
      </w:pPr>
    </w:p>
    <w:p w14:paraId="6B924686" w14:textId="77777777" w:rsidR="00A4283D" w:rsidRPr="004F469F" w:rsidRDefault="00A4283D" w:rsidP="00A4283D">
      <w:pPr>
        <w:widowControl w:val="0"/>
        <w:autoSpaceDE w:val="0"/>
        <w:autoSpaceDN w:val="0"/>
        <w:adjustRightInd w:val="0"/>
        <w:rPr>
          <w:sz w:val="20"/>
          <w:szCs w:val="20"/>
        </w:rPr>
      </w:pPr>
    </w:p>
    <w:p w14:paraId="0CC60905" w14:textId="77777777" w:rsidR="00A4283D" w:rsidRPr="004F469F" w:rsidRDefault="00A4283D" w:rsidP="00A4283D">
      <w:pPr>
        <w:widowControl w:val="0"/>
        <w:autoSpaceDE w:val="0"/>
        <w:autoSpaceDN w:val="0"/>
        <w:adjustRightInd w:val="0"/>
        <w:rPr>
          <w:sz w:val="20"/>
          <w:szCs w:val="20"/>
        </w:rPr>
      </w:pPr>
    </w:p>
    <w:p w14:paraId="64A15F37" w14:textId="77777777" w:rsidR="00A4283D" w:rsidRPr="004F469F" w:rsidRDefault="00A4283D" w:rsidP="00A4283D">
      <w:pPr>
        <w:widowControl w:val="0"/>
        <w:autoSpaceDE w:val="0"/>
        <w:autoSpaceDN w:val="0"/>
        <w:adjustRightInd w:val="0"/>
        <w:rPr>
          <w:sz w:val="20"/>
          <w:szCs w:val="20"/>
        </w:rPr>
      </w:pPr>
    </w:p>
    <w:p w14:paraId="1A249B51" w14:textId="77777777" w:rsidR="00A4283D" w:rsidRPr="004F469F" w:rsidRDefault="00A4283D" w:rsidP="00A4283D">
      <w:pPr>
        <w:widowControl w:val="0"/>
        <w:autoSpaceDE w:val="0"/>
        <w:autoSpaceDN w:val="0"/>
        <w:adjustRightInd w:val="0"/>
        <w:rPr>
          <w:sz w:val="20"/>
          <w:szCs w:val="20"/>
        </w:rPr>
      </w:pPr>
    </w:p>
    <w:p w14:paraId="57BDE2B7" w14:textId="77777777" w:rsidR="00A4283D" w:rsidRPr="004F469F" w:rsidRDefault="00A4283D" w:rsidP="00A4283D">
      <w:pPr>
        <w:widowControl w:val="0"/>
        <w:autoSpaceDE w:val="0"/>
        <w:autoSpaceDN w:val="0"/>
        <w:adjustRightInd w:val="0"/>
        <w:rPr>
          <w:sz w:val="20"/>
          <w:szCs w:val="20"/>
        </w:rPr>
      </w:pPr>
    </w:p>
    <w:p w14:paraId="260ECFF4" w14:textId="77777777" w:rsidR="00A4283D" w:rsidRPr="004F469F" w:rsidRDefault="00A4283D" w:rsidP="00A4283D">
      <w:pPr>
        <w:widowControl w:val="0"/>
        <w:autoSpaceDE w:val="0"/>
        <w:autoSpaceDN w:val="0"/>
        <w:adjustRightInd w:val="0"/>
        <w:rPr>
          <w:sz w:val="20"/>
          <w:szCs w:val="20"/>
        </w:rPr>
      </w:pPr>
    </w:p>
    <w:p w14:paraId="0FF80F40" w14:textId="77777777" w:rsidR="00A4283D" w:rsidRPr="004F469F" w:rsidRDefault="00A4283D" w:rsidP="00A4283D">
      <w:pPr>
        <w:widowControl w:val="0"/>
        <w:autoSpaceDE w:val="0"/>
        <w:autoSpaceDN w:val="0"/>
        <w:adjustRightInd w:val="0"/>
        <w:rPr>
          <w:sz w:val="20"/>
          <w:szCs w:val="20"/>
        </w:rPr>
      </w:pPr>
    </w:p>
    <w:p w14:paraId="21BD9B98" w14:textId="77777777" w:rsidR="00A4283D" w:rsidRPr="004F469F" w:rsidRDefault="00A4283D" w:rsidP="00A4283D">
      <w:pPr>
        <w:widowControl w:val="0"/>
        <w:autoSpaceDE w:val="0"/>
        <w:autoSpaceDN w:val="0"/>
        <w:adjustRightInd w:val="0"/>
        <w:rPr>
          <w:sz w:val="20"/>
          <w:szCs w:val="20"/>
        </w:rPr>
      </w:pPr>
    </w:p>
    <w:p w14:paraId="5C7F804A" w14:textId="77777777" w:rsidR="00A4283D" w:rsidRPr="004F469F" w:rsidRDefault="00A4283D" w:rsidP="00A4283D">
      <w:pPr>
        <w:widowControl w:val="0"/>
        <w:autoSpaceDE w:val="0"/>
        <w:autoSpaceDN w:val="0"/>
        <w:adjustRightInd w:val="0"/>
        <w:rPr>
          <w:sz w:val="20"/>
          <w:szCs w:val="20"/>
        </w:rPr>
      </w:pPr>
    </w:p>
    <w:p w14:paraId="41613A08" w14:textId="77777777" w:rsidR="00A4283D" w:rsidRPr="004F469F" w:rsidRDefault="00A4283D" w:rsidP="00A4283D">
      <w:pPr>
        <w:widowControl w:val="0"/>
        <w:autoSpaceDE w:val="0"/>
        <w:autoSpaceDN w:val="0"/>
        <w:adjustRightInd w:val="0"/>
        <w:rPr>
          <w:sz w:val="20"/>
          <w:szCs w:val="20"/>
        </w:rPr>
      </w:pPr>
    </w:p>
    <w:p w14:paraId="657136DF" w14:textId="77777777" w:rsidR="00A4283D" w:rsidRPr="004F469F" w:rsidRDefault="00A4283D" w:rsidP="00A4283D">
      <w:pPr>
        <w:widowControl w:val="0"/>
        <w:autoSpaceDE w:val="0"/>
        <w:autoSpaceDN w:val="0"/>
        <w:adjustRightInd w:val="0"/>
        <w:rPr>
          <w:sz w:val="20"/>
          <w:szCs w:val="20"/>
        </w:rPr>
      </w:pPr>
    </w:p>
    <w:p w14:paraId="6036FB73" w14:textId="5B8D32C1" w:rsidR="00A4283D" w:rsidRPr="004F469F" w:rsidRDefault="00A4283D" w:rsidP="00A4283D">
      <w:pPr>
        <w:widowControl w:val="0"/>
        <w:autoSpaceDE w:val="0"/>
        <w:autoSpaceDN w:val="0"/>
        <w:adjustRightInd w:val="0"/>
        <w:rPr>
          <w:sz w:val="20"/>
          <w:szCs w:val="20"/>
        </w:rPr>
      </w:pPr>
    </w:p>
    <w:p w14:paraId="52E10621" w14:textId="77777777" w:rsidR="00E85563" w:rsidRPr="004F469F" w:rsidRDefault="00E85563" w:rsidP="00A4283D">
      <w:pPr>
        <w:widowControl w:val="0"/>
        <w:autoSpaceDE w:val="0"/>
        <w:autoSpaceDN w:val="0"/>
        <w:adjustRightInd w:val="0"/>
        <w:rPr>
          <w:sz w:val="20"/>
          <w:szCs w:val="20"/>
        </w:rPr>
      </w:pPr>
    </w:p>
    <w:p w14:paraId="54E664D8" w14:textId="77777777" w:rsidR="00A4283D" w:rsidRPr="004F469F" w:rsidRDefault="00A4283D" w:rsidP="00A4283D">
      <w:pPr>
        <w:widowControl w:val="0"/>
        <w:autoSpaceDE w:val="0"/>
        <w:autoSpaceDN w:val="0"/>
        <w:adjustRightInd w:val="0"/>
        <w:rPr>
          <w:sz w:val="20"/>
          <w:szCs w:val="20"/>
        </w:rPr>
      </w:pPr>
    </w:p>
    <w:p w14:paraId="78BEB254" w14:textId="77777777" w:rsidR="00E85563" w:rsidRPr="004F469F" w:rsidRDefault="00E85563" w:rsidP="008E73D1">
      <w:pPr>
        <w:pStyle w:val="Caption"/>
        <w:keepNext/>
        <w:rPr>
          <w:rFonts w:ascii="Times New Roman" w:hAnsi="Times New Roman" w:cs="Times New Roman"/>
          <w:color w:val="auto"/>
          <w:sz w:val="20"/>
          <w:szCs w:val="20"/>
        </w:rPr>
      </w:pPr>
    </w:p>
    <w:p w14:paraId="25573F1B" w14:textId="71BBFA30" w:rsidR="00E85563" w:rsidRPr="004F469F" w:rsidRDefault="00E85563" w:rsidP="008E73D1">
      <w:pPr>
        <w:pStyle w:val="Caption"/>
        <w:keepNext/>
        <w:rPr>
          <w:rFonts w:ascii="Times New Roman" w:hAnsi="Times New Roman" w:cs="Times New Roman"/>
          <w:color w:val="auto"/>
          <w:sz w:val="20"/>
          <w:szCs w:val="20"/>
        </w:rPr>
      </w:pPr>
    </w:p>
    <w:p w14:paraId="5379EB10" w14:textId="073BA6BF" w:rsidR="00E85563" w:rsidRPr="004F469F" w:rsidRDefault="00E85563" w:rsidP="00E85563"/>
    <w:p w14:paraId="1678B060" w14:textId="2F131530" w:rsidR="00E85563" w:rsidRPr="004F469F" w:rsidRDefault="00E85563" w:rsidP="00E85563"/>
    <w:p w14:paraId="0A20A2C4" w14:textId="2110E1E4" w:rsidR="00E85563" w:rsidRPr="004F469F" w:rsidRDefault="00E85563" w:rsidP="00E85563"/>
    <w:p w14:paraId="2C9B4405" w14:textId="1DB50F09" w:rsidR="00E85563" w:rsidRPr="004F469F" w:rsidRDefault="00E85563" w:rsidP="008E73D1">
      <w:pPr>
        <w:pStyle w:val="Caption"/>
        <w:keepNext/>
        <w:rPr>
          <w:rFonts w:ascii="Times New Roman" w:hAnsi="Times New Roman" w:cs="Times New Roman"/>
          <w:color w:val="auto"/>
          <w:sz w:val="20"/>
          <w:szCs w:val="20"/>
        </w:rPr>
      </w:pPr>
    </w:p>
    <w:p w14:paraId="460E8717" w14:textId="77777777" w:rsidR="00E85563" w:rsidRPr="004F469F" w:rsidRDefault="00E85563" w:rsidP="00E85563"/>
    <w:p w14:paraId="6E5ABAC0" w14:textId="3D0CF75B" w:rsidR="00E85563" w:rsidRPr="004F469F" w:rsidRDefault="00783C30" w:rsidP="00783C30">
      <w:pPr>
        <w:pStyle w:val="Caption"/>
        <w:rPr>
          <w:rFonts w:ascii="Times New Roman" w:hAnsi="Times New Roman" w:cs="Times New Roman"/>
          <w:i w:val="0"/>
          <w:iCs w:val="0"/>
          <w:color w:val="auto"/>
          <w:sz w:val="24"/>
          <w:szCs w:val="24"/>
        </w:rPr>
      </w:pPr>
      <w:bookmarkStart w:id="98" w:name="_Toc22035005"/>
      <w:r w:rsidRPr="00783C30">
        <w:rPr>
          <w:rFonts w:ascii="Times New Roman" w:hAnsi="Times New Roman" w:cs="Times New Roman"/>
          <w:i w:val="0"/>
          <w:iCs w:val="0"/>
          <w:color w:val="auto"/>
          <w:sz w:val="24"/>
          <w:szCs w:val="24"/>
        </w:rPr>
        <w:lastRenderedPageBreak/>
        <w:t xml:space="preserve">Table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STYLEREF 1 \s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Table \* ARABIC \s 1 </w:instrText>
      </w:r>
      <w:r>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w:t>
      </w:r>
      <w:r w:rsidRPr="004F469F">
        <w:rPr>
          <w:rFonts w:ascii="Times New Roman" w:hAnsi="Times New Roman" w:cs="Times New Roman"/>
          <w:i w:val="0"/>
          <w:iCs w:val="0"/>
          <w:color w:val="auto"/>
          <w:sz w:val="24"/>
          <w:szCs w:val="24"/>
        </w:rPr>
        <w:t>Summary statistics for the normalized (by county per 2,500 km</w:t>
      </w:r>
      <w:r w:rsidRPr="004F469F">
        <w:rPr>
          <w:rFonts w:ascii="Times New Roman" w:hAnsi="Times New Roman" w:cs="Times New Roman"/>
          <w:i w:val="0"/>
          <w:iCs w:val="0"/>
          <w:color w:val="auto"/>
          <w:sz w:val="24"/>
          <w:szCs w:val="24"/>
          <w:vertAlign w:val="superscript"/>
        </w:rPr>
        <w:t>2</w:t>
      </w:r>
      <w:r w:rsidRPr="004F469F">
        <w:rPr>
          <w:rFonts w:ascii="Times New Roman" w:hAnsi="Times New Roman" w:cs="Times New Roman"/>
          <w:i w:val="0"/>
          <w:iCs w:val="0"/>
          <w:color w:val="auto"/>
          <w:sz w:val="24"/>
          <w:szCs w:val="24"/>
        </w:rPr>
        <w:t>) annual number of persons exposed to significant tornado damage paths for each scenario by county and for the entire Oklahoma City Metropolitan Area. Statistics include median, mean, 95th and 99th percentiles, and maximum. Also included are the probability that the normalized annual exposure total will exceed 5,000 or 20,000 persons.</w:t>
      </w:r>
      <w:bookmarkEnd w:id="98"/>
    </w:p>
    <w:tbl>
      <w:tblPr>
        <w:tblW w:w="8785" w:type="dxa"/>
        <w:tblLook w:val="04A0" w:firstRow="1" w:lastRow="0" w:firstColumn="1" w:lastColumn="0" w:noHBand="0" w:noVBand="1"/>
      </w:tblPr>
      <w:tblGrid>
        <w:gridCol w:w="1705"/>
        <w:gridCol w:w="1440"/>
        <w:gridCol w:w="900"/>
        <w:gridCol w:w="810"/>
        <w:gridCol w:w="766"/>
        <w:gridCol w:w="866"/>
        <w:gridCol w:w="866"/>
        <w:gridCol w:w="752"/>
        <w:gridCol w:w="766"/>
      </w:tblGrid>
      <w:tr w:rsidR="00494669" w:rsidRPr="004F469F" w14:paraId="60DC0B6B" w14:textId="77777777" w:rsidTr="00CD1B92">
        <w:trPr>
          <w:trHeight w:val="860"/>
        </w:trPr>
        <w:tc>
          <w:tcPr>
            <w:tcW w:w="1705" w:type="dxa"/>
            <w:tcBorders>
              <w:top w:val="single" w:sz="18" w:space="0" w:color="auto"/>
              <w:left w:val="single" w:sz="18" w:space="0" w:color="auto"/>
              <w:bottom w:val="single" w:sz="4" w:space="0" w:color="auto"/>
            </w:tcBorders>
            <w:shd w:val="clear" w:color="auto" w:fill="auto"/>
            <w:noWrap/>
            <w:vAlign w:val="bottom"/>
            <w:hideMark/>
          </w:tcPr>
          <w:p w14:paraId="7A99C2E3" w14:textId="77777777" w:rsidR="00A4283D" w:rsidRPr="004F469F" w:rsidRDefault="00A4283D" w:rsidP="00A4283D">
            <w:pPr>
              <w:rPr>
                <w:sz w:val="20"/>
                <w:szCs w:val="20"/>
              </w:rPr>
            </w:pPr>
            <w:r w:rsidRPr="004F469F">
              <w:rPr>
                <w:sz w:val="20"/>
                <w:szCs w:val="20"/>
              </w:rPr>
              <w:t> </w:t>
            </w:r>
          </w:p>
        </w:tc>
        <w:tc>
          <w:tcPr>
            <w:tcW w:w="1440" w:type="dxa"/>
            <w:tcBorders>
              <w:top w:val="single" w:sz="18" w:space="0" w:color="auto"/>
              <w:bottom w:val="single" w:sz="4" w:space="0" w:color="auto"/>
              <w:right w:val="single" w:sz="4" w:space="0" w:color="auto"/>
            </w:tcBorders>
            <w:shd w:val="clear" w:color="auto" w:fill="auto"/>
            <w:noWrap/>
            <w:vAlign w:val="bottom"/>
            <w:hideMark/>
          </w:tcPr>
          <w:p w14:paraId="77D67A78" w14:textId="77777777" w:rsidR="00A4283D" w:rsidRPr="004F469F" w:rsidRDefault="00A4283D" w:rsidP="00A4283D">
            <w:pPr>
              <w:rPr>
                <w:sz w:val="20"/>
                <w:szCs w:val="20"/>
              </w:rPr>
            </w:pPr>
            <w:r w:rsidRPr="004F469F">
              <w:rPr>
                <w:sz w:val="20"/>
                <w:szCs w:val="20"/>
              </w:rPr>
              <w:t> </w:t>
            </w:r>
          </w:p>
        </w:tc>
        <w:tc>
          <w:tcPr>
            <w:tcW w:w="4122" w:type="dxa"/>
            <w:gridSpan w:val="5"/>
            <w:tcBorders>
              <w:top w:val="single" w:sz="18" w:space="0" w:color="auto"/>
              <w:left w:val="nil"/>
              <w:bottom w:val="single" w:sz="4" w:space="0" w:color="auto"/>
              <w:right w:val="single" w:sz="4" w:space="0" w:color="auto"/>
            </w:tcBorders>
            <w:shd w:val="clear" w:color="auto" w:fill="auto"/>
            <w:noWrap/>
            <w:vAlign w:val="bottom"/>
            <w:hideMark/>
          </w:tcPr>
          <w:p w14:paraId="7A253F1B" w14:textId="77777777" w:rsidR="00A4283D" w:rsidRPr="004F469F" w:rsidRDefault="00A4283D" w:rsidP="00A4283D">
            <w:pPr>
              <w:jc w:val="center"/>
              <w:rPr>
                <w:b/>
                <w:bCs/>
                <w:sz w:val="20"/>
                <w:szCs w:val="20"/>
              </w:rPr>
            </w:pPr>
            <w:r w:rsidRPr="004F469F">
              <w:rPr>
                <w:b/>
                <w:bCs/>
                <w:sz w:val="20"/>
                <w:szCs w:val="20"/>
              </w:rPr>
              <w:t>Population Exposed</w:t>
            </w:r>
          </w:p>
        </w:tc>
        <w:tc>
          <w:tcPr>
            <w:tcW w:w="1518" w:type="dxa"/>
            <w:gridSpan w:val="2"/>
            <w:tcBorders>
              <w:top w:val="single" w:sz="18" w:space="0" w:color="auto"/>
              <w:left w:val="nil"/>
              <w:bottom w:val="single" w:sz="4" w:space="0" w:color="auto"/>
              <w:right w:val="single" w:sz="18" w:space="0" w:color="auto"/>
            </w:tcBorders>
            <w:shd w:val="clear" w:color="auto" w:fill="auto"/>
            <w:vAlign w:val="bottom"/>
            <w:hideMark/>
          </w:tcPr>
          <w:p w14:paraId="01F2F635" w14:textId="139A7B82" w:rsidR="00A4283D" w:rsidRPr="004F469F" w:rsidRDefault="00A4283D" w:rsidP="00A4283D">
            <w:pPr>
              <w:jc w:val="center"/>
              <w:rPr>
                <w:b/>
                <w:bCs/>
                <w:sz w:val="20"/>
                <w:szCs w:val="20"/>
              </w:rPr>
            </w:pPr>
            <w:r w:rsidRPr="004F469F">
              <w:rPr>
                <w:b/>
                <w:bCs/>
                <w:sz w:val="20"/>
                <w:szCs w:val="20"/>
              </w:rPr>
              <w:t>POE for Threshold</w:t>
            </w:r>
            <w:r w:rsidR="00CD1B92" w:rsidRPr="004F469F">
              <w:rPr>
                <w:b/>
                <w:bCs/>
                <w:sz w:val="20"/>
                <w:szCs w:val="20"/>
              </w:rPr>
              <w:t xml:space="preserve"> (%)</w:t>
            </w:r>
          </w:p>
        </w:tc>
      </w:tr>
      <w:tr w:rsidR="00494669" w:rsidRPr="004F469F" w14:paraId="2F409356" w14:textId="77777777" w:rsidTr="00CD1B92">
        <w:trPr>
          <w:trHeight w:val="320"/>
        </w:trPr>
        <w:tc>
          <w:tcPr>
            <w:tcW w:w="1705" w:type="dxa"/>
            <w:tcBorders>
              <w:top w:val="nil"/>
              <w:left w:val="single" w:sz="18" w:space="0" w:color="auto"/>
              <w:bottom w:val="single" w:sz="18" w:space="0" w:color="auto"/>
              <w:right w:val="single" w:sz="4" w:space="0" w:color="auto"/>
            </w:tcBorders>
            <w:shd w:val="clear" w:color="auto" w:fill="auto"/>
            <w:noWrap/>
            <w:vAlign w:val="center"/>
            <w:hideMark/>
          </w:tcPr>
          <w:p w14:paraId="74AF029A" w14:textId="77777777" w:rsidR="00A4283D" w:rsidRPr="004F469F" w:rsidRDefault="00A4283D" w:rsidP="00A4283D">
            <w:pPr>
              <w:jc w:val="center"/>
              <w:rPr>
                <w:b/>
                <w:bCs/>
                <w:sz w:val="20"/>
                <w:szCs w:val="20"/>
              </w:rPr>
            </w:pPr>
            <w:r w:rsidRPr="004F469F">
              <w:rPr>
                <w:b/>
                <w:bCs/>
                <w:sz w:val="20"/>
                <w:szCs w:val="20"/>
              </w:rPr>
              <w:t>Scenario</w:t>
            </w:r>
          </w:p>
        </w:tc>
        <w:tc>
          <w:tcPr>
            <w:tcW w:w="1440" w:type="dxa"/>
            <w:tcBorders>
              <w:top w:val="nil"/>
              <w:left w:val="nil"/>
              <w:bottom w:val="single" w:sz="18" w:space="0" w:color="auto"/>
              <w:right w:val="single" w:sz="4" w:space="0" w:color="auto"/>
            </w:tcBorders>
            <w:shd w:val="clear" w:color="auto" w:fill="auto"/>
            <w:noWrap/>
            <w:vAlign w:val="center"/>
            <w:hideMark/>
          </w:tcPr>
          <w:p w14:paraId="7903D304" w14:textId="77777777" w:rsidR="00A4283D" w:rsidRPr="004F469F" w:rsidRDefault="00A4283D" w:rsidP="00A4283D">
            <w:pPr>
              <w:jc w:val="center"/>
              <w:rPr>
                <w:b/>
                <w:bCs/>
                <w:sz w:val="20"/>
                <w:szCs w:val="20"/>
              </w:rPr>
            </w:pPr>
            <w:r w:rsidRPr="004F469F">
              <w:rPr>
                <w:b/>
                <w:bCs/>
                <w:sz w:val="20"/>
                <w:szCs w:val="20"/>
              </w:rPr>
              <w:t>County</w:t>
            </w:r>
          </w:p>
        </w:tc>
        <w:tc>
          <w:tcPr>
            <w:tcW w:w="900" w:type="dxa"/>
            <w:tcBorders>
              <w:top w:val="nil"/>
              <w:left w:val="nil"/>
              <w:bottom w:val="single" w:sz="18" w:space="0" w:color="auto"/>
              <w:right w:val="single" w:sz="4" w:space="0" w:color="auto"/>
            </w:tcBorders>
            <w:shd w:val="clear" w:color="auto" w:fill="auto"/>
            <w:noWrap/>
            <w:vAlign w:val="center"/>
            <w:hideMark/>
          </w:tcPr>
          <w:p w14:paraId="22C33113" w14:textId="77777777" w:rsidR="00A4283D" w:rsidRPr="004F469F" w:rsidRDefault="00A4283D" w:rsidP="00A4283D">
            <w:pPr>
              <w:jc w:val="center"/>
              <w:rPr>
                <w:b/>
                <w:bCs/>
                <w:sz w:val="20"/>
                <w:szCs w:val="20"/>
              </w:rPr>
            </w:pPr>
            <w:r w:rsidRPr="004F469F">
              <w:rPr>
                <w:b/>
                <w:bCs/>
                <w:sz w:val="20"/>
                <w:szCs w:val="20"/>
              </w:rPr>
              <w:t>Median</w:t>
            </w:r>
          </w:p>
        </w:tc>
        <w:tc>
          <w:tcPr>
            <w:tcW w:w="810" w:type="dxa"/>
            <w:tcBorders>
              <w:top w:val="nil"/>
              <w:left w:val="nil"/>
              <w:bottom w:val="single" w:sz="18" w:space="0" w:color="auto"/>
              <w:right w:val="single" w:sz="4" w:space="0" w:color="auto"/>
            </w:tcBorders>
            <w:shd w:val="clear" w:color="auto" w:fill="auto"/>
            <w:noWrap/>
            <w:vAlign w:val="center"/>
            <w:hideMark/>
          </w:tcPr>
          <w:p w14:paraId="353E59AE" w14:textId="77777777" w:rsidR="00A4283D" w:rsidRPr="004F469F" w:rsidRDefault="00A4283D" w:rsidP="00A4283D">
            <w:pPr>
              <w:jc w:val="center"/>
              <w:rPr>
                <w:b/>
                <w:bCs/>
                <w:sz w:val="20"/>
                <w:szCs w:val="20"/>
              </w:rPr>
            </w:pPr>
            <w:r w:rsidRPr="004F469F">
              <w:rPr>
                <w:b/>
                <w:bCs/>
                <w:sz w:val="20"/>
                <w:szCs w:val="20"/>
              </w:rPr>
              <w:t>Mean</w:t>
            </w:r>
          </w:p>
        </w:tc>
        <w:tc>
          <w:tcPr>
            <w:tcW w:w="766" w:type="dxa"/>
            <w:tcBorders>
              <w:top w:val="nil"/>
              <w:left w:val="nil"/>
              <w:bottom w:val="single" w:sz="18" w:space="0" w:color="auto"/>
              <w:right w:val="single" w:sz="4" w:space="0" w:color="auto"/>
            </w:tcBorders>
            <w:shd w:val="clear" w:color="auto" w:fill="auto"/>
            <w:noWrap/>
            <w:vAlign w:val="center"/>
            <w:hideMark/>
          </w:tcPr>
          <w:p w14:paraId="34032F65" w14:textId="77777777" w:rsidR="00A4283D" w:rsidRPr="004F469F" w:rsidRDefault="00A4283D" w:rsidP="00A4283D">
            <w:pPr>
              <w:jc w:val="center"/>
              <w:rPr>
                <w:b/>
                <w:bCs/>
                <w:sz w:val="20"/>
                <w:szCs w:val="20"/>
              </w:rPr>
            </w:pPr>
            <w:r w:rsidRPr="004F469F">
              <w:rPr>
                <w:b/>
                <w:bCs/>
                <w:sz w:val="20"/>
                <w:szCs w:val="20"/>
              </w:rPr>
              <w:t>95%</w:t>
            </w:r>
          </w:p>
        </w:tc>
        <w:tc>
          <w:tcPr>
            <w:tcW w:w="866" w:type="dxa"/>
            <w:tcBorders>
              <w:top w:val="nil"/>
              <w:left w:val="nil"/>
              <w:bottom w:val="single" w:sz="18" w:space="0" w:color="auto"/>
              <w:right w:val="single" w:sz="4" w:space="0" w:color="auto"/>
            </w:tcBorders>
            <w:shd w:val="clear" w:color="auto" w:fill="auto"/>
            <w:noWrap/>
            <w:vAlign w:val="center"/>
            <w:hideMark/>
          </w:tcPr>
          <w:p w14:paraId="793DFE98" w14:textId="77777777" w:rsidR="00A4283D" w:rsidRPr="004F469F" w:rsidRDefault="00A4283D" w:rsidP="00A4283D">
            <w:pPr>
              <w:jc w:val="center"/>
              <w:rPr>
                <w:b/>
                <w:bCs/>
                <w:sz w:val="20"/>
                <w:szCs w:val="20"/>
              </w:rPr>
            </w:pPr>
            <w:r w:rsidRPr="004F469F">
              <w:rPr>
                <w:b/>
                <w:bCs/>
                <w:sz w:val="20"/>
                <w:szCs w:val="20"/>
              </w:rPr>
              <w:t>99%</w:t>
            </w:r>
          </w:p>
        </w:tc>
        <w:tc>
          <w:tcPr>
            <w:tcW w:w="780" w:type="dxa"/>
            <w:tcBorders>
              <w:top w:val="nil"/>
              <w:left w:val="nil"/>
              <w:bottom w:val="single" w:sz="18" w:space="0" w:color="auto"/>
              <w:right w:val="single" w:sz="4" w:space="0" w:color="auto"/>
            </w:tcBorders>
            <w:shd w:val="clear" w:color="auto" w:fill="auto"/>
            <w:noWrap/>
            <w:vAlign w:val="center"/>
            <w:hideMark/>
          </w:tcPr>
          <w:p w14:paraId="5A5D034E" w14:textId="77777777" w:rsidR="00A4283D" w:rsidRPr="004F469F" w:rsidRDefault="00A4283D" w:rsidP="00A4283D">
            <w:pPr>
              <w:jc w:val="center"/>
              <w:rPr>
                <w:b/>
                <w:bCs/>
                <w:sz w:val="20"/>
                <w:szCs w:val="20"/>
              </w:rPr>
            </w:pPr>
            <w:r w:rsidRPr="004F469F">
              <w:rPr>
                <w:b/>
                <w:bCs/>
                <w:sz w:val="20"/>
                <w:szCs w:val="20"/>
              </w:rPr>
              <w:t>Max</w:t>
            </w:r>
          </w:p>
        </w:tc>
        <w:tc>
          <w:tcPr>
            <w:tcW w:w="752" w:type="dxa"/>
            <w:tcBorders>
              <w:top w:val="nil"/>
              <w:left w:val="nil"/>
              <w:bottom w:val="single" w:sz="18" w:space="0" w:color="auto"/>
              <w:right w:val="single" w:sz="4" w:space="0" w:color="auto"/>
            </w:tcBorders>
            <w:shd w:val="clear" w:color="auto" w:fill="auto"/>
            <w:noWrap/>
            <w:vAlign w:val="center"/>
            <w:hideMark/>
          </w:tcPr>
          <w:p w14:paraId="3D54AB5E" w14:textId="77777777" w:rsidR="00A4283D" w:rsidRPr="004F469F" w:rsidRDefault="00A4283D" w:rsidP="00A4283D">
            <w:pPr>
              <w:jc w:val="center"/>
              <w:rPr>
                <w:b/>
                <w:bCs/>
                <w:sz w:val="20"/>
                <w:szCs w:val="20"/>
              </w:rPr>
            </w:pPr>
            <w:r w:rsidRPr="004F469F">
              <w:rPr>
                <w:b/>
                <w:bCs/>
                <w:sz w:val="20"/>
                <w:szCs w:val="20"/>
              </w:rPr>
              <w:t>5,000</w:t>
            </w:r>
          </w:p>
        </w:tc>
        <w:tc>
          <w:tcPr>
            <w:tcW w:w="766" w:type="dxa"/>
            <w:tcBorders>
              <w:top w:val="nil"/>
              <w:left w:val="nil"/>
              <w:bottom w:val="single" w:sz="18" w:space="0" w:color="auto"/>
              <w:right w:val="single" w:sz="18" w:space="0" w:color="auto"/>
            </w:tcBorders>
            <w:shd w:val="clear" w:color="auto" w:fill="auto"/>
            <w:noWrap/>
            <w:vAlign w:val="center"/>
            <w:hideMark/>
          </w:tcPr>
          <w:p w14:paraId="743EFB6E" w14:textId="77777777" w:rsidR="00A4283D" w:rsidRPr="004F469F" w:rsidRDefault="00A4283D" w:rsidP="00A4283D">
            <w:pPr>
              <w:jc w:val="center"/>
              <w:rPr>
                <w:b/>
                <w:bCs/>
                <w:sz w:val="20"/>
                <w:szCs w:val="20"/>
              </w:rPr>
            </w:pPr>
            <w:r w:rsidRPr="004F469F">
              <w:rPr>
                <w:b/>
                <w:bCs/>
                <w:sz w:val="20"/>
                <w:szCs w:val="20"/>
              </w:rPr>
              <w:t>20,000</w:t>
            </w:r>
          </w:p>
        </w:tc>
      </w:tr>
      <w:tr w:rsidR="00494669" w:rsidRPr="004F469F" w14:paraId="39A59996" w14:textId="77777777" w:rsidTr="00CD1B92">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5B612521" w14:textId="77777777" w:rsidR="00A4283D" w:rsidRPr="004F469F" w:rsidRDefault="00A4283D" w:rsidP="00A4283D">
            <w:pPr>
              <w:jc w:val="center"/>
              <w:rPr>
                <w:sz w:val="20"/>
                <w:szCs w:val="20"/>
              </w:rPr>
            </w:pPr>
            <w:r w:rsidRPr="004F469F">
              <w:rPr>
                <w:sz w:val="20"/>
                <w:szCs w:val="20"/>
              </w:rPr>
              <w:t>Baseline</w:t>
            </w:r>
          </w:p>
        </w:tc>
        <w:tc>
          <w:tcPr>
            <w:tcW w:w="1440" w:type="dxa"/>
            <w:tcBorders>
              <w:top w:val="single" w:sz="18" w:space="0" w:color="auto"/>
              <w:left w:val="nil"/>
              <w:bottom w:val="single" w:sz="4" w:space="0" w:color="auto"/>
              <w:right w:val="single" w:sz="4" w:space="0" w:color="auto"/>
            </w:tcBorders>
            <w:shd w:val="clear" w:color="auto" w:fill="auto"/>
            <w:noWrap/>
            <w:vAlign w:val="center"/>
            <w:hideMark/>
          </w:tcPr>
          <w:p w14:paraId="38DA497E"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29422CD5" w14:textId="77777777" w:rsidR="00A4283D" w:rsidRPr="004F469F" w:rsidRDefault="00A4283D" w:rsidP="00A4283D">
            <w:pPr>
              <w:jc w:val="center"/>
              <w:rPr>
                <w:sz w:val="20"/>
                <w:szCs w:val="20"/>
              </w:rPr>
            </w:pPr>
            <w:r w:rsidRPr="004F469F">
              <w:rPr>
                <w:sz w:val="20"/>
                <w:szCs w:val="20"/>
              </w:rPr>
              <w:t>345</w:t>
            </w:r>
          </w:p>
        </w:tc>
        <w:tc>
          <w:tcPr>
            <w:tcW w:w="810" w:type="dxa"/>
            <w:tcBorders>
              <w:top w:val="single" w:sz="18" w:space="0" w:color="auto"/>
              <w:left w:val="nil"/>
              <w:bottom w:val="single" w:sz="4" w:space="0" w:color="auto"/>
              <w:right w:val="single" w:sz="4" w:space="0" w:color="auto"/>
            </w:tcBorders>
            <w:shd w:val="clear" w:color="auto" w:fill="auto"/>
            <w:noWrap/>
            <w:vAlign w:val="center"/>
            <w:hideMark/>
          </w:tcPr>
          <w:p w14:paraId="6ABEBAD9" w14:textId="77777777" w:rsidR="00A4283D" w:rsidRPr="004F469F" w:rsidRDefault="00A4283D" w:rsidP="00A4283D">
            <w:pPr>
              <w:jc w:val="center"/>
              <w:rPr>
                <w:sz w:val="20"/>
                <w:szCs w:val="20"/>
              </w:rPr>
            </w:pPr>
            <w:r w:rsidRPr="004F469F">
              <w:rPr>
                <w:sz w:val="20"/>
                <w:szCs w:val="20"/>
              </w:rPr>
              <w:t>1,688</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3212FE02" w14:textId="77777777" w:rsidR="00A4283D" w:rsidRPr="004F469F" w:rsidRDefault="00A4283D" w:rsidP="00A4283D">
            <w:pPr>
              <w:jc w:val="center"/>
              <w:rPr>
                <w:sz w:val="20"/>
                <w:szCs w:val="20"/>
              </w:rPr>
            </w:pPr>
            <w:r w:rsidRPr="004F469F">
              <w:rPr>
                <w:sz w:val="20"/>
                <w:szCs w:val="20"/>
              </w:rPr>
              <w:t>8,138</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1DA77123" w14:textId="77777777" w:rsidR="00A4283D" w:rsidRPr="004F469F" w:rsidRDefault="00A4283D" w:rsidP="00A4283D">
            <w:pPr>
              <w:jc w:val="center"/>
              <w:rPr>
                <w:sz w:val="20"/>
                <w:szCs w:val="20"/>
              </w:rPr>
            </w:pPr>
            <w:r w:rsidRPr="004F469F">
              <w:rPr>
                <w:sz w:val="20"/>
                <w:szCs w:val="20"/>
              </w:rPr>
              <w:t>17,305</w:t>
            </w:r>
          </w:p>
        </w:tc>
        <w:tc>
          <w:tcPr>
            <w:tcW w:w="780" w:type="dxa"/>
            <w:tcBorders>
              <w:top w:val="single" w:sz="18" w:space="0" w:color="auto"/>
              <w:left w:val="nil"/>
              <w:bottom w:val="single" w:sz="4" w:space="0" w:color="auto"/>
              <w:right w:val="single" w:sz="4" w:space="0" w:color="auto"/>
            </w:tcBorders>
            <w:shd w:val="clear" w:color="auto" w:fill="auto"/>
            <w:noWrap/>
            <w:vAlign w:val="center"/>
            <w:hideMark/>
          </w:tcPr>
          <w:p w14:paraId="3BAC2076" w14:textId="77777777" w:rsidR="00A4283D" w:rsidRPr="004F469F" w:rsidRDefault="00A4283D" w:rsidP="00A4283D">
            <w:pPr>
              <w:jc w:val="center"/>
              <w:rPr>
                <w:sz w:val="20"/>
                <w:szCs w:val="20"/>
              </w:rPr>
            </w:pPr>
            <w:r w:rsidRPr="004F469F">
              <w:rPr>
                <w:sz w:val="20"/>
                <w:szCs w:val="20"/>
              </w:rPr>
              <w:t>23,607</w:t>
            </w:r>
          </w:p>
        </w:tc>
        <w:tc>
          <w:tcPr>
            <w:tcW w:w="752" w:type="dxa"/>
            <w:tcBorders>
              <w:top w:val="single" w:sz="18" w:space="0" w:color="auto"/>
              <w:left w:val="nil"/>
              <w:bottom w:val="single" w:sz="4" w:space="0" w:color="auto"/>
              <w:right w:val="single" w:sz="4" w:space="0" w:color="auto"/>
            </w:tcBorders>
            <w:shd w:val="clear" w:color="auto" w:fill="auto"/>
            <w:noWrap/>
            <w:vAlign w:val="center"/>
            <w:hideMark/>
          </w:tcPr>
          <w:p w14:paraId="5566130D" w14:textId="77777777" w:rsidR="00A4283D" w:rsidRPr="004F469F" w:rsidRDefault="00A4283D" w:rsidP="00A4283D">
            <w:pPr>
              <w:jc w:val="center"/>
              <w:rPr>
                <w:sz w:val="20"/>
                <w:szCs w:val="20"/>
              </w:rPr>
            </w:pPr>
            <w:r w:rsidRPr="004F469F">
              <w:rPr>
                <w:sz w:val="20"/>
                <w:szCs w:val="20"/>
              </w:rPr>
              <w:t>10.36</w:t>
            </w:r>
          </w:p>
        </w:tc>
        <w:tc>
          <w:tcPr>
            <w:tcW w:w="766" w:type="dxa"/>
            <w:tcBorders>
              <w:top w:val="single" w:sz="18" w:space="0" w:color="auto"/>
              <w:left w:val="nil"/>
              <w:bottom w:val="single" w:sz="4" w:space="0" w:color="auto"/>
              <w:right w:val="single" w:sz="18" w:space="0" w:color="auto"/>
            </w:tcBorders>
            <w:shd w:val="clear" w:color="auto" w:fill="auto"/>
            <w:noWrap/>
            <w:vAlign w:val="center"/>
            <w:hideMark/>
          </w:tcPr>
          <w:p w14:paraId="47F5BECD" w14:textId="77777777" w:rsidR="00A4283D" w:rsidRPr="004F469F" w:rsidRDefault="00A4283D" w:rsidP="00A4283D">
            <w:pPr>
              <w:jc w:val="center"/>
              <w:rPr>
                <w:sz w:val="20"/>
                <w:szCs w:val="20"/>
              </w:rPr>
            </w:pPr>
            <w:r w:rsidRPr="004F469F">
              <w:rPr>
                <w:sz w:val="20"/>
                <w:szCs w:val="20"/>
              </w:rPr>
              <w:t>0.59</w:t>
            </w:r>
          </w:p>
        </w:tc>
      </w:tr>
      <w:tr w:rsidR="00494669" w:rsidRPr="004F469F" w14:paraId="74F8C453"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2101E48A" w14:textId="77777777" w:rsidR="00A4283D" w:rsidRPr="004F469F" w:rsidRDefault="00A4283D" w:rsidP="00A4283D">
            <w:pPr>
              <w:jc w:val="center"/>
              <w:rPr>
                <w:sz w:val="20"/>
                <w:szCs w:val="20"/>
              </w:rPr>
            </w:pP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0A93BD3"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769089C" w14:textId="77777777" w:rsidR="00A4283D" w:rsidRPr="004F469F" w:rsidRDefault="00A4283D" w:rsidP="00A4283D">
            <w:pPr>
              <w:jc w:val="center"/>
              <w:rPr>
                <w:sz w:val="20"/>
                <w:szCs w:val="20"/>
              </w:rPr>
            </w:pPr>
            <w:r w:rsidRPr="004F469F">
              <w:rPr>
                <w:sz w:val="20"/>
                <w:szCs w:val="20"/>
              </w:rPr>
              <w:t>1,403</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737C2548" w14:textId="77777777" w:rsidR="00A4283D" w:rsidRPr="004F469F" w:rsidRDefault="00A4283D" w:rsidP="00A4283D">
            <w:pPr>
              <w:jc w:val="center"/>
              <w:rPr>
                <w:sz w:val="20"/>
                <w:szCs w:val="20"/>
              </w:rPr>
            </w:pPr>
            <w:r w:rsidRPr="004F469F">
              <w:rPr>
                <w:sz w:val="20"/>
                <w:szCs w:val="20"/>
              </w:rPr>
              <w:t>6,010</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7CAF2879" w14:textId="77777777" w:rsidR="00A4283D" w:rsidRPr="004F469F" w:rsidRDefault="00A4283D" w:rsidP="00A4283D">
            <w:pPr>
              <w:jc w:val="center"/>
              <w:rPr>
                <w:sz w:val="20"/>
                <w:szCs w:val="20"/>
              </w:rPr>
            </w:pPr>
            <w:r w:rsidRPr="004F469F">
              <w:rPr>
                <w:sz w:val="20"/>
                <w:szCs w:val="20"/>
              </w:rPr>
              <w:t>26,835</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66B0AAC2" w14:textId="77777777" w:rsidR="00A4283D" w:rsidRPr="004F469F" w:rsidRDefault="00A4283D" w:rsidP="00A4283D">
            <w:pPr>
              <w:jc w:val="center"/>
              <w:rPr>
                <w:sz w:val="20"/>
                <w:szCs w:val="20"/>
              </w:rPr>
            </w:pPr>
            <w:r w:rsidRPr="004F469F">
              <w:rPr>
                <w:sz w:val="20"/>
                <w:szCs w:val="20"/>
              </w:rPr>
              <w:t>54,201</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2293B79C" w14:textId="77777777" w:rsidR="00A4283D" w:rsidRPr="004F469F" w:rsidRDefault="00A4283D" w:rsidP="00A4283D">
            <w:pPr>
              <w:jc w:val="center"/>
              <w:rPr>
                <w:sz w:val="20"/>
                <w:szCs w:val="20"/>
              </w:rPr>
            </w:pPr>
            <w:r w:rsidRPr="004F469F">
              <w:rPr>
                <w:sz w:val="20"/>
                <w:szCs w:val="20"/>
              </w:rPr>
              <w:t>84,235</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14:paraId="17F79B10" w14:textId="77777777" w:rsidR="00A4283D" w:rsidRPr="004F469F" w:rsidRDefault="00A4283D" w:rsidP="00A4283D">
            <w:pPr>
              <w:jc w:val="center"/>
              <w:rPr>
                <w:sz w:val="20"/>
                <w:szCs w:val="20"/>
              </w:rPr>
            </w:pPr>
            <w:r w:rsidRPr="004F469F">
              <w:rPr>
                <w:sz w:val="20"/>
                <w:szCs w:val="20"/>
              </w:rPr>
              <w:t>30.67</w:t>
            </w:r>
          </w:p>
        </w:tc>
        <w:tc>
          <w:tcPr>
            <w:tcW w:w="766" w:type="dxa"/>
            <w:tcBorders>
              <w:top w:val="single" w:sz="4" w:space="0" w:color="auto"/>
              <w:left w:val="nil"/>
              <w:bottom w:val="single" w:sz="4" w:space="0" w:color="auto"/>
              <w:right w:val="single" w:sz="18" w:space="0" w:color="auto"/>
            </w:tcBorders>
            <w:shd w:val="clear" w:color="auto" w:fill="auto"/>
            <w:noWrap/>
            <w:vAlign w:val="center"/>
            <w:hideMark/>
          </w:tcPr>
          <w:p w14:paraId="110481EB" w14:textId="77777777" w:rsidR="00A4283D" w:rsidRPr="004F469F" w:rsidRDefault="00A4283D" w:rsidP="00A4283D">
            <w:pPr>
              <w:jc w:val="center"/>
              <w:rPr>
                <w:sz w:val="20"/>
                <w:szCs w:val="20"/>
              </w:rPr>
            </w:pPr>
            <w:r w:rsidRPr="004F469F">
              <w:rPr>
                <w:sz w:val="20"/>
                <w:szCs w:val="20"/>
              </w:rPr>
              <w:t>7.98</w:t>
            </w:r>
          </w:p>
        </w:tc>
      </w:tr>
      <w:tr w:rsidR="00494669" w:rsidRPr="004F469F" w14:paraId="086695EF"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06908796" w14:textId="77777777" w:rsidR="00A4283D" w:rsidRPr="004F469F" w:rsidRDefault="00A4283D" w:rsidP="00A4283D">
            <w:pPr>
              <w:jc w:val="center"/>
              <w:rPr>
                <w:sz w:val="20"/>
                <w:szCs w:val="20"/>
              </w:rPr>
            </w:pPr>
          </w:p>
        </w:tc>
        <w:tc>
          <w:tcPr>
            <w:tcW w:w="1440" w:type="dxa"/>
            <w:tcBorders>
              <w:top w:val="single" w:sz="4" w:space="0" w:color="auto"/>
              <w:left w:val="nil"/>
              <w:bottom w:val="single" w:sz="12" w:space="0" w:color="auto"/>
              <w:right w:val="single" w:sz="4" w:space="0" w:color="auto"/>
            </w:tcBorders>
            <w:shd w:val="clear" w:color="auto" w:fill="auto"/>
            <w:noWrap/>
            <w:vAlign w:val="center"/>
            <w:hideMark/>
          </w:tcPr>
          <w:p w14:paraId="71AE3A77"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4405D12E" w14:textId="77777777" w:rsidR="00A4283D" w:rsidRPr="004F469F" w:rsidRDefault="00A4283D" w:rsidP="00A4283D">
            <w:pPr>
              <w:jc w:val="center"/>
              <w:rPr>
                <w:sz w:val="20"/>
                <w:szCs w:val="20"/>
              </w:rPr>
            </w:pPr>
            <w:r w:rsidRPr="004F469F">
              <w:rPr>
                <w:sz w:val="20"/>
                <w:szCs w:val="20"/>
              </w:rPr>
              <w:t>3,929</w:t>
            </w:r>
          </w:p>
        </w:tc>
        <w:tc>
          <w:tcPr>
            <w:tcW w:w="810" w:type="dxa"/>
            <w:tcBorders>
              <w:top w:val="single" w:sz="4" w:space="0" w:color="auto"/>
              <w:left w:val="nil"/>
              <w:bottom w:val="single" w:sz="12" w:space="0" w:color="auto"/>
              <w:right w:val="single" w:sz="4" w:space="0" w:color="auto"/>
            </w:tcBorders>
            <w:shd w:val="clear" w:color="auto" w:fill="auto"/>
            <w:noWrap/>
            <w:vAlign w:val="center"/>
            <w:hideMark/>
          </w:tcPr>
          <w:p w14:paraId="2E36A58F" w14:textId="77777777" w:rsidR="00A4283D" w:rsidRPr="004F469F" w:rsidRDefault="00A4283D" w:rsidP="00A4283D">
            <w:pPr>
              <w:jc w:val="center"/>
              <w:rPr>
                <w:sz w:val="20"/>
                <w:szCs w:val="20"/>
              </w:rPr>
            </w:pPr>
            <w:r w:rsidRPr="004F469F">
              <w:rPr>
                <w:sz w:val="20"/>
                <w:szCs w:val="20"/>
              </w:rPr>
              <w:t>12,506</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017A1C3F" w14:textId="77777777" w:rsidR="00A4283D" w:rsidRPr="004F469F" w:rsidRDefault="00A4283D" w:rsidP="00A4283D">
            <w:pPr>
              <w:jc w:val="center"/>
              <w:rPr>
                <w:sz w:val="20"/>
                <w:szCs w:val="20"/>
              </w:rPr>
            </w:pPr>
            <w:r w:rsidRPr="004F469F">
              <w:rPr>
                <w:sz w:val="20"/>
                <w:szCs w:val="20"/>
              </w:rPr>
              <w:t>55,730</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449A4054" w14:textId="77777777" w:rsidR="00A4283D" w:rsidRPr="004F469F" w:rsidRDefault="00A4283D" w:rsidP="00A4283D">
            <w:pPr>
              <w:jc w:val="center"/>
              <w:rPr>
                <w:sz w:val="20"/>
                <w:szCs w:val="20"/>
              </w:rPr>
            </w:pPr>
            <w:r w:rsidRPr="004F469F">
              <w:rPr>
                <w:sz w:val="20"/>
                <w:szCs w:val="20"/>
              </w:rPr>
              <w:t>98,130</w:t>
            </w:r>
          </w:p>
        </w:tc>
        <w:tc>
          <w:tcPr>
            <w:tcW w:w="780" w:type="dxa"/>
            <w:tcBorders>
              <w:top w:val="single" w:sz="4" w:space="0" w:color="auto"/>
              <w:left w:val="nil"/>
              <w:bottom w:val="single" w:sz="12" w:space="0" w:color="auto"/>
              <w:right w:val="single" w:sz="4" w:space="0" w:color="auto"/>
            </w:tcBorders>
            <w:shd w:val="clear" w:color="auto" w:fill="auto"/>
            <w:noWrap/>
            <w:vAlign w:val="center"/>
            <w:hideMark/>
          </w:tcPr>
          <w:p w14:paraId="6CA2AD22" w14:textId="77777777" w:rsidR="00A4283D" w:rsidRPr="004F469F" w:rsidRDefault="00A4283D" w:rsidP="00A4283D">
            <w:pPr>
              <w:jc w:val="center"/>
              <w:rPr>
                <w:sz w:val="20"/>
                <w:szCs w:val="20"/>
              </w:rPr>
            </w:pPr>
            <w:r w:rsidRPr="004F469F">
              <w:rPr>
                <w:sz w:val="20"/>
                <w:szCs w:val="20"/>
              </w:rPr>
              <w:t>117,080</w:t>
            </w:r>
          </w:p>
        </w:tc>
        <w:tc>
          <w:tcPr>
            <w:tcW w:w="752" w:type="dxa"/>
            <w:tcBorders>
              <w:top w:val="single" w:sz="4" w:space="0" w:color="auto"/>
              <w:left w:val="nil"/>
              <w:bottom w:val="single" w:sz="12" w:space="0" w:color="auto"/>
              <w:right w:val="single" w:sz="4" w:space="0" w:color="auto"/>
            </w:tcBorders>
            <w:shd w:val="clear" w:color="auto" w:fill="auto"/>
            <w:noWrap/>
            <w:vAlign w:val="center"/>
            <w:hideMark/>
          </w:tcPr>
          <w:p w14:paraId="37D8D5C2" w14:textId="77777777" w:rsidR="00A4283D" w:rsidRPr="004F469F" w:rsidRDefault="00A4283D" w:rsidP="00A4283D">
            <w:pPr>
              <w:jc w:val="center"/>
              <w:rPr>
                <w:sz w:val="20"/>
                <w:szCs w:val="20"/>
              </w:rPr>
            </w:pPr>
            <w:r w:rsidRPr="004F469F">
              <w:rPr>
                <w:sz w:val="20"/>
                <w:szCs w:val="20"/>
              </w:rPr>
              <w:t>46.07</w:t>
            </w:r>
          </w:p>
        </w:tc>
        <w:tc>
          <w:tcPr>
            <w:tcW w:w="766" w:type="dxa"/>
            <w:tcBorders>
              <w:top w:val="single" w:sz="4" w:space="0" w:color="auto"/>
              <w:left w:val="nil"/>
              <w:bottom w:val="single" w:sz="12" w:space="0" w:color="auto"/>
              <w:right w:val="single" w:sz="18" w:space="0" w:color="auto"/>
            </w:tcBorders>
            <w:shd w:val="clear" w:color="auto" w:fill="auto"/>
            <w:noWrap/>
            <w:vAlign w:val="center"/>
            <w:hideMark/>
          </w:tcPr>
          <w:p w14:paraId="148D363E" w14:textId="77777777" w:rsidR="00A4283D" w:rsidRPr="004F469F" w:rsidRDefault="00A4283D" w:rsidP="00A4283D">
            <w:pPr>
              <w:jc w:val="center"/>
              <w:rPr>
                <w:sz w:val="20"/>
                <w:szCs w:val="20"/>
              </w:rPr>
            </w:pPr>
            <w:r w:rsidRPr="004F469F">
              <w:rPr>
                <w:sz w:val="20"/>
                <w:szCs w:val="20"/>
              </w:rPr>
              <w:t>21.03</w:t>
            </w:r>
          </w:p>
        </w:tc>
      </w:tr>
      <w:tr w:rsidR="00494669" w:rsidRPr="004F469F" w14:paraId="5BD76719" w14:textId="77777777" w:rsidTr="00CD1B92">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6292A825" w14:textId="77777777" w:rsidR="00A4283D" w:rsidRPr="004F469F" w:rsidRDefault="00A4283D" w:rsidP="00A4283D">
            <w:pPr>
              <w:jc w:val="center"/>
              <w:rPr>
                <w:sz w:val="20"/>
                <w:szCs w:val="20"/>
              </w:rPr>
            </w:pPr>
          </w:p>
        </w:tc>
        <w:tc>
          <w:tcPr>
            <w:tcW w:w="1440" w:type="dxa"/>
            <w:tcBorders>
              <w:top w:val="single" w:sz="12" w:space="0" w:color="auto"/>
              <w:left w:val="nil"/>
              <w:bottom w:val="single" w:sz="18" w:space="0" w:color="auto"/>
              <w:right w:val="single" w:sz="4" w:space="0" w:color="auto"/>
            </w:tcBorders>
            <w:shd w:val="clear" w:color="auto" w:fill="auto"/>
            <w:noWrap/>
            <w:vAlign w:val="center"/>
            <w:hideMark/>
          </w:tcPr>
          <w:p w14:paraId="2F4987BB"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32E8E72D" w14:textId="77777777" w:rsidR="00A4283D" w:rsidRPr="004F469F" w:rsidRDefault="00A4283D" w:rsidP="00A4283D">
            <w:pPr>
              <w:jc w:val="center"/>
              <w:rPr>
                <w:i/>
                <w:iCs/>
                <w:sz w:val="20"/>
                <w:szCs w:val="20"/>
              </w:rPr>
            </w:pPr>
            <w:r w:rsidRPr="004F469F">
              <w:rPr>
                <w:i/>
                <w:iCs/>
                <w:sz w:val="20"/>
                <w:szCs w:val="20"/>
              </w:rPr>
              <w:t>1,328</w:t>
            </w:r>
          </w:p>
        </w:tc>
        <w:tc>
          <w:tcPr>
            <w:tcW w:w="810" w:type="dxa"/>
            <w:tcBorders>
              <w:top w:val="single" w:sz="12" w:space="0" w:color="auto"/>
              <w:left w:val="nil"/>
              <w:bottom w:val="single" w:sz="18" w:space="0" w:color="auto"/>
              <w:right w:val="single" w:sz="4" w:space="0" w:color="auto"/>
            </w:tcBorders>
            <w:shd w:val="clear" w:color="auto" w:fill="auto"/>
            <w:noWrap/>
            <w:vAlign w:val="center"/>
            <w:hideMark/>
          </w:tcPr>
          <w:p w14:paraId="2BF985D0" w14:textId="77777777" w:rsidR="00A4283D" w:rsidRPr="004F469F" w:rsidRDefault="00A4283D" w:rsidP="00A4283D">
            <w:pPr>
              <w:jc w:val="center"/>
              <w:rPr>
                <w:i/>
                <w:iCs/>
                <w:sz w:val="20"/>
                <w:szCs w:val="20"/>
              </w:rPr>
            </w:pPr>
            <w:r w:rsidRPr="004F469F">
              <w:rPr>
                <w:i/>
                <w:iCs/>
                <w:sz w:val="20"/>
                <w:szCs w:val="20"/>
              </w:rPr>
              <w:t>4,541</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1E8F3596" w14:textId="77777777" w:rsidR="00A4283D" w:rsidRPr="004F469F" w:rsidRDefault="00A4283D" w:rsidP="00A4283D">
            <w:pPr>
              <w:jc w:val="center"/>
              <w:rPr>
                <w:i/>
                <w:iCs/>
                <w:sz w:val="20"/>
                <w:szCs w:val="20"/>
              </w:rPr>
            </w:pPr>
            <w:r w:rsidRPr="004F469F">
              <w:rPr>
                <w:i/>
                <w:iCs/>
                <w:sz w:val="20"/>
                <w:szCs w:val="20"/>
              </w:rPr>
              <w:t>21,284</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770777BB" w14:textId="77777777" w:rsidR="00A4283D" w:rsidRPr="004F469F" w:rsidRDefault="00A4283D" w:rsidP="00A4283D">
            <w:pPr>
              <w:jc w:val="center"/>
              <w:rPr>
                <w:i/>
                <w:iCs/>
                <w:sz w:val="20"/>
                <w:szCs w:val="20"/>
              </w:rPr>
            </w:pPr>
            <w:r w:rsidRPr="004F469F">
              <w:rPr>
                <w:i/>
                <w:iCs/>
                <w:sz w:val="20"/>
                <w:szCs w:val="20"/>
              </w:rPr>
              <w:t>33,322</w:t>
            </w:r>
          </w:p>
        </w:tc>
        <w:tc>
          <w:tcPr>
            <w:tcW w:w="780" w:type="dxa"/>
            <w:tcBorders>
              <w:top w:val="single" w:sz="12" w:space="0" w:color="auto"/>
              <w:left w:val="nil"/>
              <w:bottom w:val="single" w:sz="18" w:space="0" w:color="auto"/>
              <w:right w:val="single" w:sz="4" w:space="0" w:color="auto"/>
            </w:tcBorders>
            <w:shd w:val="clear" w:color="auto" w:fill="auto"/>
            <w:noWrap/>
            <w:vAlign w:val="center"/>
            <w:hideMark/>
          </w:tcPr>
          <w:p w14:paraId="748942A2" w14:textId="77777777" w:rsidR="00A4283D" w:rsidRPr="004F469F" w:rsidRDefault="00A4283D" w:rsidP="00A4283D">
            <w:pPr>
              <w:jc w:val="center"/>
              <w:rPr>
                <w:i/>
                <w:iCs/>
                <w:sz w:val="20"/>
                <w:szCs w:val="20"/>
              </w:rPr>
            </w:pPr>
            <w:r w:rsidRPr="004F469F">
              <w:rPr>
                <w:i/>
                <w:iCs/>
                <w:sz w:val="20"/>
                <w:szCs w:val="20"/>
              </w:rPr>
              <w:t>42,014</w:t>
            </w:r>
          </w:p>
        </w:tc>
        <w:tc>
          <w:tcPr>
            <w:tcW w:w="752" w:type="dxa"/>
            <w:tcBorders>
              <w:top w:val="single" w:sz="12" w:space="0" w:color="auto"/>
              <w:left w:val="nil"/>
              <w:bottom w:val="single" w:sz="18" w:space="0" w:color="auto"/>
              <w:right w:val="single" w:sz="4" w:space="0" w:color="auto"/>
            </w:tcBorders>
            <w:shd w:val="clear" w:color="auto" w:fill="auto"/>
            <w:noWrap/>
            <w:vAlign w:val="center"/>
            <w:hideMark/>
          </w:tcPr>
          <w:p w14:paraId="50CE2AE0" w14:textId="77777777" w:rsidR="00A4283D" w:rsidRPr="004F469F" w:rsidRDefault="00A4283D" w:rsidP="00A4283D">
            <w:pPr>
              <w:jc w:val="center"/>
              <w:rPr>
                <w:i/>
                <w:iCs/>
                <w:sz w:val="20"/>
                <w:szCs w:val="20"/>
              </w:rPr>
            </w:pPr>
            <w:r w:rsidRPr="004F469F">
              <w:rPr>
                <w:i/>
                <w:iCs/>
                <w:sz w:val="20"/>
                <w:szCs w:val="20"/>
              </w:rPr>
              <w:t>28.02</w:t>
            </w:r>
          </w:p>
        </w:tc>
        <w:tc>
          <w:tcPr>
            <w:tcW w:w="766" w:type="dxa"/>
            <w:tcBorders>
              <w:top w:val="single" w:sz="12" w:space="0" w:color="auto"/>
              <w:left w:val="nil"/>
              <w:bottom w:val="single" w:sz="18" w:space="0" w:color="auto"/>
              <w:right w:val="single" w:sz="18" w:space="0" w:color="auto"/>
            </w:tcBorders>
            <w:shd w:val="clear" w:color="auto" w:fill="auto"/>
            <w:noWrap/>
            <w:vAlign w:val="center"/>
            <w:hideMark/>
          </w:tcPr>
          <w:p w14:paraId="104FAE1E" w14:textId="77777777" w:rsidR="00A4283D" w:rsidRPr="004F469F" w:rsidRDefault="00A4283D" w:rsidP="00A4283D">
            <w:pPr>
              <w:jc w:val="center"/>
              <w:rPr>
                <w:i/>
                <w:iCs/>
                <w:sz w:val="20"/>
                <w:szCs w:val="20"/>
              </w:rPr>
            </w:pPr>
            <w:r w:rsidRPr="004F469F">
              <w:rPr>
                <w:i/>
                <w:iCs/>
                <w:sz w:val="20"/>
                <w:szCs w:val="20"/>
              </w:rPr>
              <w:t>5.81</w:t>
            </w:r>
          </w:p>
        </w:tc>
      </w:tr>
      <w:tr w:rsidR="00494669" w:rsidRPr="004F469F" w14:paraId="7EAD10D8" w14:textId="77777777" w:rsidTr="00CD1B92">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719B1EBE" w14:textId="77777777" w:rsidR="00A4283D" w:rsidRPr="004F469F" w:rsidRDefault="00A4283D" w:rsidP="00A4283D">
            <w:pPr>
              <w:jc w:val="center"/>
              <w:rPr>
                <w:sz w:val="20"/>
                <w:szCs w:val="20"/>
              </w:rPr>
            </w:pPr>
            <w:r w:rsidRPr="004F469F">
              <w:rPr>
                <w:sz w:val="20"/>
                <w:szCs w:val="20"/>
              </w:rPr>
              <w:t>Climate Change Only</w:t>
            </w:r>
          </w:p>
        </w:tc>
        <w:tc>
          <w:tcPr>
            <w:tcW w:w="1440" w:type="dxa"/>
            <w:tcBorders>
              <w:top w:val="single" w:sz="18" w:space="0" w:color="auto"/>
              <w:left w:val="nil"/>
              <w:bottom w:val="single" w:sz="4" w:space="0" w:color="auto"/>
              <w:right w:val="single" w:sz="4" w:space="0" w:color="auto"/>
            </w:tcBorders>
            <w:shd w:val="clear" w:color="auto" w:fill="auto"/>
            <w:noWrap/>
            <w:vAlign w:val="center"/>
            <w:hideMark/>
          </w:tcPr>
          <w:p w14:paraId="66F7581B"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39FBF207" w14:textId="77777777" w:rsidR="00A4283D" w:rsidRPr="004F469F" w:rsidRDefault="00A4283D" w:rsidP="00A4283D">
            <w:pPr>
              <w:jc w:val="center"/>
              <w:rPr>
                <w:sz w:val="20"/>
                <w:szCs w:val="20"/>
              </w:rPr>
            </w:pPr>
            <w:r w:rsidRPr="004F469F">
              <w:rPr>
                <w:sz w:val="20"/>
                <w:szCs w:val="20"/>
              </w:rPr>
              <w:t>243</w:t>
            </w:r>
          </w:p>
        </w:tc>
        <w:tc>
          <w:tcPr>
            <w:tcW w:w="810" w:type="dxa"/>
            <w:tcBorders>
              <w:top w:val="single" w:sz="18" w:space="0" w:color="auto"/>
              <w:left w:val="nil"/>
              <w:bottom w:val="single" w:sz="4" w:space="0" w:color="auto"/>
              <w:right w:val="single" w:sz="4" w:space="0" w:color="auto"/>
            </w:tcBorders>
            <w:shd w:val="clear" w:color="auto" w:fill="auto"/>
            <w:noWrap/>
            <w:vAlign w:val="center"/>
            <w:hideMark/>
          </w:tcPr>
          <w:p w14:paraId="1180D7CE" w14:textId="77777777" w:rsidR="00A4283D" w:rsidRPr="004F469F" w:rsidRDefault="00A4283D" w:rsidP="00A4283D">
            <w:pPr>
              <w:jc w:val="center"/>
              <w:rPr>
                <w:sz w:val="20"/>
                <w:szCs w:val="20"/>
              </w:rPr>
            </w:pPr>
            <w:r w:rsidRPr="004F469F">
              <w:rPr>
                <w:sz w:val="20"/>
                <w:szCs w:val="20"/>
              </w:rPr>
              <w:t>1,519</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16E3A479" w14:textId="77777777" w:rsidR="00A4283D" w:rsidRPr="004F469F" w:rsidRDefault="00A4283D" w:rsidP="00A4283D">
            <w:pPr>
              <w:jc w:val="center"/>
              <w:rPr>
                <w:sz w:val="20"/>
                <w:szCs w:val="20"/>
              </w:rPr>
            </w:pPr>
            <w:r w:rsidRPr="004F469F">
              <w:rPr>
                <w:sz w:val="20"/>
                <w:szCs w:val="20"/>
              </w:rPr>
              <w:t>8,128</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362976FF" w14:textId="77777777" w:rsidR="00A4283D" w:rsidRPr="004F469F" w:rsidRDefault="00A4283D" w:rsidP="00A4283D">
            <w:pPr>
              <w:jc w:val="center"/>
              <w:rPr>
                <w:sz w:val="20"/>
                <w:szCs w:val="20"/>
              </w:rPr>
            </w:pPr>
            <w:r w:rsidRPr="004F469F">
              <w:rPr>
                <w:sz w:val="20"/>
                <w:szCs w:val="20"/>
              </w:rPr>
              <w:t>14,634</w:t>
            </w:r>
          </w:p>
        </w:tc>
        <w:tc>
          <w:tcPr>
            <w:tcW w:w="780" w:type="dxa"/>
            <w:tcBorders>
              <w:top w:val="single" w:sz="18" w:space="0" w:color="auto"/>
              <w:left w:val="nil"/>
              <w:bottom w:val="single" w:sz="4" w:space="0" w:color="auto"/>
              <w:right w:val="single" w:sz="4" w:space="0" w:color="auto"/>
            </w:tcBorders>
            <w:shd w:val="clear" w:color="auto" w:fill="auto"/>
            <w:noWrap/>
            <w:vAlign w:val="center"/>
            <w:hideMark/>
          </w:tcPr>
          <w:p w14:paraId="6FC6E196" w14:textId="77777777" w:rsidR="00A4283D" w:rsidRPr="004F469F" w:rsidRDefault="00A4283D" w:rsidP="00A4283D">
            <w:pPr>
              <w:jc w:val="center"/>
              <w:rPr>
                <w:sz w:val="20"/>
                <w:szCs w:val="20"/>
              </w:rPr>
            </w:pPr>
            <w:r w:rsidRPr="004F469F">
              <w:rPr>
                <w:sz w:val="20"/>
                <w:szCs w:val="20"/>
              </w:rPr>
              <w:t>22,112</w:t>
            </w:r>
          </w:p>
        </w:tc>
        <w:tc>
          <w:tcPr>
            <w:tcW w:w="752" w:type="dxa"/>
            <w:tcBorders>
              <w:top w:val="single" w:sz="18" w:space="0" w:color="auto"/>
              <w:left w:val="nil"/>
              <w:bottom w:val="single" w:sz="4" w:space="0" w:color="auto"/>
              <w:right w:val="single" w:sz="4" w:space="0" w:color="auto"/>
            </w:tcBorders>
            <w:shd w:val="clear" w:color="auto" w:fill="auto"/>
            <w:noWrap/>
            <w:vAlign w:val="center"/>
            <w:hideMark/>
          </w:tcPr>
          <w:p w14:paraId="3BC9263D" w14:textId="77777777" w:rsidR="00A4283D" w:rsidRPr="004F469F" w:rsidRDefault="00A4283D" w:rsidP="00A4283D">
            <w:pPr>
              <w:jc w:val="center"/>
              <w:rPr>
                <w:sz w:val="20"/>
                <w:szCs w:val="20"/>
              </w:rPr>
            </w:pPr>
            <w:r w:rsidRPr="004F469F">
              <w:rPr>
                <w:sz w:val="20"/>
                <w:szCs w:val="20"/>
              </w:rPr>
              <w:t>9.70</w:t>
            </w:r>
          </w:p>
        </w:tc>
        <w:tc>
          <w:tcPr>
            <w:tcW w:w="766" w:type="dxa"/>
            <w:tcBorders>
              <w:top w:val="single" w:sz="18" w:space="0" w:color="auto"/>
              <w:left w:val="nil"/>
              <w:bottom w:val="single" w:sz="4" w:space="0" w:color="auto"/>
              <w:right w:val="single" w:sz="18" w:space="0" w:color="auto"/>
            </w:tcBorders>
            <w:shd w:val="clear" w:color="auto" w:fill="auto"/>
            <w:noWrap/>
            <w:vAlign w:val="center"/>
            <w:hideMark/>
          </w:tcPr>
          <w:p w14:paraId="2ECCB79F" w14:textId="77777777" w:rsidR="00A4283D" w:rsidRPr="004F469F" w:rsidRDefault="00A4283D" w:rsidP="00A4283D">
            <w:pPr>
              <w:jc w:val="center"/>
              <w:rPr>
                <w:sz w:val="20"/>
                <w:szCs w:val="20"/>
              </w:rPr>
            </w:pPr>
            <w:r w:rsidRPr="004F469F">
              <w:rPr>
                <w:sz w:val="20"/>
                <w:szCs w:val="20"/>
              </w:rPr>
              <w:t>0.30</w:t>
            </w:r>
          </w:p>
        </w:tc>
      </w:tr>
      <w:tr w:rsidR="00494669" w:rsidRPr="004F469F" w14:paraId="6E6DAEB8"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506C369D" w14:textId="77777777" w:rsidR="00A4283D" w:rsidRPr="004F469F" w:rsidRDefault="00A4283D" w:rsidP="00A4283D">
            <w:pPr>
              <w:jc w:val="center"/>
              <w:rPr>
                <w:sz w:val="20"/>
                <w:szCs w:val="20"/>
              </w:rPr>
            </w:pP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2780085"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0B8E634" w14:textId="77777777" w:rsidR="00A4283D" w:rsidRPr="004F469F" w:rsidRDefault="00A4283D" w:rsidP="00A4283D">
            <w:pPr>
              <w:jc w:val="center"/>
              <w:rPr>
                <w:sz w:val="20"/>
                <w:szCs w:val="20"/>
              </w:rPr>
            </w:pPr>
            <w:r w:rsidRPr="004F469F">
              <w:rPr>
                <w:sz w:val="20"/>
                <w:szCs w:val="20"/>
              </w:rPr>
              <w:t>1,290</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40642458" w14:textId="77777777" w:rsidR="00A4283D" w:rsidRPr="004F469F" w:rsidRDefault="00A4283D" w:rsidP="00A4283D">
            <w:pPr>
              <w:jc w:val="center"/>
              <w:rPr>
                <w:sz w:val="20"/>
                <w:szCs w:val="20"/>
              </w:rPr>
            </w:pPr>
            <w:r w:rsidRPr="004F469F">
              <w:rPr>
                <w:sz w:val="20"/>
                <w:szCs w:val="20"/>
              </w:rPr>
              <w:t>5,681</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5CD31A6F" w14:textId="77777777" w:rsidR="00A4283D" w:rsidRPr="004F469F" w:rsidRDefault="00A4283D" w:rsidP="00A4283D">
            <w:pPr>
              <w:jc w:val="center"/>
              <w:rPr>
                <w:sz w:val="20"/>
                <w:szCs w:val="20"/>
              </w:rPr>
            </w:pPr>
            <w:r w:rsidRPr="004F469F">
              <w:rPr>
                <w:sz w:val="20"/>
                <w:szCs w:val="20"/>
              </w:rPr>
              <w:t>31,117</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29AA05B1" w14:textId="77777777" w:rsidR="00A4283D" w:rsidRPr="004F469F" w:rsidRDefault="00A4283D" w:rsidP="00A4283D">
            <w:pPr>
              <w:jc w:val="center"/>
              <w:rPr>
                <w:sz w:val="20"/>
                <w:szCs w:val="20"/>
              </w:rPr>
            </w:pPr>
            <w:r w:rsidRPr="004F469F">
              <w:rPr>
                <w:sz w:val="20"/>
                <w:szCs w:val="20"/>
              </w:rPr>
              <w:t>50,713</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7AA92A51" w14:textId="77777777" w:rsidR="00A4283D" w:rsidRPr="004F469F" w:rsidRDefault="00A4283D" w:rsidP="00A4283D">
            <w:pPr>
              <w:jc w:val="center"/>
              <w:rPr>
                <w:sz w:val="20"/>
                <w:szCs w:val="20"/>
              </w:rPr>
            </w:pPr>
            <w:r w:rsidRPr="004F469F">
              <w:rPr>
                <w:sz w:val="20"/>
                <w:szCs w:val="20"/>
              </w:rPr>
              <w:t>95,078</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14:paraId="46C96F85" w14:textId="77777777" w:rsidR="00A4283D" w:rsidRPr="004F469F" w:rsidRDefault="00A4283D" w:rsidP="00A4283D">
            <w:pPr>
              <w:jc w:val="center"/>
              <w:rPr>
                <w:sz w:val="20"/>
                <w:szCs w:val="20"/>
              </w:rPr>
            </w:pPr>
            <w:r w:rsidRPr="004F469F">
              <w:rPr>
                <w:sz w:val="20"/>
                <w:szCs w:val="20"/>
              </w:rPr>
              <w:t>25.64</w:t>
            </w:r>
          </w:p>
        </w:tc>
        <w:tc>
          <w:tcPr>
            <w:tcW w:w="766" w:type="dxa"/>
            <w:tcBorders>
              <w:top w:val="single" w:sz="4" w:space="0" w:color="auto"/>
              <w:left w:val="nil"/>
              <w:bottom w:val="single" w:sz="4" w:space="0" w:color="auto"/>
              <w:right w:val="single" w:sz="18" w:space="0" w:color="auto"/>
            </w:tcBorders>
            <w:shd w:val="clear" w:color="auto" w:fill="auto"/>
            <w:noWrap/>
            <w:vAlign w:val="center"/>
            <w:hideMark/>
          </w:tcPr>
          <w:p w14:paraId="38C8122A" w14:textId="77777777" w:rsidR="00A4283D" w:rsidRPr="004F469F" w:rsidRDefault="00A4283D" w:rsidP="00A4283D">
            <w:pPr>
              <w:jc w:val="center"/>
              <w:rPr>
                <w:sz w:val="20"/>
                <w:szCs w:val="20"/>
              </w:rPr>
            </w:pPr>
            <w:r w:rsidRPr="004F469F">
              <w:rPr>
                <w:sz w:val="20"/>
                <w:szCs w:val="20"/>
              </w:rPr>
              <w:t>7.35</w:t>
            </w:r>
          </w:p>
        </w:tc>
      </w:tr>
      <w:tr w:rsidR="00494669" w:rsidRPr="004F469F" w14:paraId="56116B6D"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00D4C468" w14:textId="77777777" w:rsidR="00A4283D" w:rsidRPr="004F469F" w:rsidRDefault="00A4283D" w:rsidP="00A4283D">
            <w:pPr>
              <w:jc w:val="center"/>
              <w:rPr>
                <w:sz w:val="20"/>
                <w:szCs w:val="20"/>
              </w:rPr>
            </w:pPr>
          </w:p>
        </w:tc>
        <w:tc>
          <w:tcPr>
            <w:tcW w:w="1440" w:type="dxa"/>
            <w:tcBorders>
              <w:top w:val="single" w:sz="4" w:space="0" w:color="auto"/>
              <w:left w:val="nil"/>
              <w:bottom w:val="single" w:sz="12" w:space="0" w:color="auto"/>
              <w:right w:val="single" w:sz="4" w:space="0" w:color="auto"/>
            </w:tcBorders>
            <w:shd w:val="clear" w:color="auto" w:fill="auto"/>
            <w:noWrap/>
            <w:vAlign w:val="center"/>
            <w:hideMark/>
          </w:tcPr>
          <w:p w14:paraId="7D7F6B1F"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1C3D7DF3" w14:textId="77777777" w:rsidR="00A4283D" w:rsidRPr="004F469F" w:rsidRDefault="00A4283D" w:rsidP="00A4283D">
            <w:pPr>
              <w:jc w:val="center"/>
              <w:rPr>
                <w:sz w:val="20"/>
                <w:szCs w:val="20"/>
              </w:rPr>
            </w:pPr>
            <w:r w:rsidRPr="004F469F">
              <w:rPr>
                <w:sz w:val="20"/>
                <w:szCs w:val="20"/>
              </w:rPr>
              <w:t>3,658</w:t>
            </w:r>
          </w:p>
        </w:tc>
        <w:tc>
          <w:tcPr>
            <w:tcW w:w="810" w:type="dxa"/>
            <w:tcBorders>
              <w:top w:val="single" w:sz="4" w:space="0" w:color="auto"/>
              <w:left w:val="nil"/>
              <w:bottom w:val="single" w:sz="12" w:space="0" w:color="auto"/>
              <w:right w:val="single" w:sz="4" w:space="0" w:color="auto"/>
            </w:tcBorders>
            <w:shd w:val="clear" w:color="auto" w:fill="auto"/>
            <w:noWrap/>
            <w:vAlign w:val="center"/>
            <w:hideMark/>
          </w:tcPr>
          <w:p w14:paraId="7E1591B0" w14:textId="77777777" w:rsidR="00A4283D" w:rsidRPr="004F469F" w:rsidRDefault="00A4283D" w:rsidP="00A4283D">
            <w:pPr>
              <w:jc w:val="center"/>
              <w:rPr>
                <w:sz w:val="20"/>
                <w:szCs w:val="20"/>
              </w:rPr>
            </w:pPr>
            <w:r w:rsidRPr="004F469F">
              <w:rPr>
                <w:sz w:val="20"/>
                <w:szCs w:val="20"/>
              </w:rPr>
              <w:t>10,857</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1C8318E8" w14:textId="77777777" w:rsidR="00A4283D" w:rsidRPr="004F469F" w:rsidRDefault="00A4283D" w:rsidP="00A4283D">
            <w:pPr>
              <w:jc w:val="center"/>
              <w:rPr>
                <w:sz w:val="20"/>
                <w:szCs w:val="20"/>
              </w:rPr>
            </w:pPr>
            <w:r w:rsidRPr="004F469F">
              <w:rPr>
                <w:sz w:val="20"/>
                <w:szCs w:val="20"/>
              </w:rPr>
              <w:t>46,618</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6C5F3B72" w14:textId="77777777" w:rsidR="00A4283D" w:rsidRPr="004F469F" w:rsidRDefault="00A4283D" w:rsidP="00A4283D">
            <w:pPr>
              <w:jc w:val="center"/>
              <w:rPr>
                <w:sz w:val="20"/>
                <w:szCs w:val="20"/>
              </w:rPr>
            </w:pPr>
            <w:r w:rsidRPr="004F469F">
              <w:rPr>
                <w:sz w:val="20"/>
                <w:szCs w:val="20"/>
              </w:rPr>
              <w:t>78,042</w:t>
            </w:r>
          </w:p>
        </w:tc>
        <w:tc>
          <w:tcPr>
            <w:tcW w:w="780" w:type="dxa"/>
            <w:tcBorders>
              <w:top w:val="single" w:sz="4" w:space="0" w:color="auto"/>
              <w:left w:val="nil"/>
              <w:bottom w:val="single" w:sz="12" w:space="0" w:color="auto"/>
              <w:right w:val="single" w:sz="4" w:space="0" w:color="auto"/>
            </w:tcBorders>
            <w:shd w:val="clear" w:color="auto" w:fill="auto"/>
            <w:noWrap/>
            <w:vAlign w:val="center"/>
            <w:hideMark/>
          </w:tcPr>
          <w:p w14:paraId="1C7862FA" w14:textId="77777777" w:rsidR="00A4283D" w:rsidRPr="004F469F" w:rsidRDefault="00A4283D" w:rsidP="00A4283D">
            <w:pPr>
              <w:jc w:val="center"/>
              <w:rPr>
                <w:sz w:val="20"/>
                <w:szCs w:val="20"/>
              </w:rPr>
            </w:pPr>
            <w:r w:rsidRPr="004F469F">
              <w:rPr>
                <w:sz w:val="20"/>
                <w:szCs w:val="20"/>
              </w:rPr>
              <w:t>105,061</w:t>
            </w:r>
          </w:p>
        </w:tc>
        <w:tc>
          <w:tcPr>
            <w:tcW w:w="752" w:type="dxa"/>
            <w:tcBorders>
              <w:top w:val="single" w:sz="4" w:space="0" w:color="auto"/>
              <w:left w:val="nil"/>
              <w:bottom w:val="single" w:sz="12" w:space="0" w:color="auto"/>
              <w:right w:val="single" w:sz="4" w:space="0" w:color="auto"/>
            </w:tcBorders>
            <w:shd w:val="clear" w:color="auto" w:fill="auto"/>
            <w:noWrap/>
            <w:vAlign w:val="center"/>
            <w:hideMark/>
          </w:tcPr>
          <w:p w14:paraId="5179CD49" w14:textId="77777777" w:rsidR="00A4283D" w:rsidRPr="004F469F" w:rsidRDefault="00A4283D" w:rsidP="00A4283D">
            <w:pPr>
              <w:jc w:val="center"/>
              <w:rPr>
                <w:sz w:val="20"/>
                <w:szCs w:val="20"/>
              </w:rPr>
            </w:pPr>
            <w:r w:rsidRPr="004F469F">
              <w:rPr>
                <w:sz w:val="20"/>
                <w:szCs w:val="20"/>
              </w:rPr>
              <w:t>45.10</w:t>
            </w:r>
          </w:p>
        </w:tc>
        <w:tc>
          <w:tcPr>
            <w:tcW w:w="766" w:type="dxa"/>
            <w:tcBorders>
              <w:top w:val="single" w:sz="4" w:space="0" w:color="auto"/>
              <w:left w:val="nil"/>
              <w:bottom w:val="single" w:sz="12" w:space="0" w:color="auto"/>
              <w:right w:val="single" w:sz="18" w:space="0" w:color="auto"/>
            </w:tcBorders>
            <w:shd w:val="clear" w:color="auto" w:fill="auto"/>
            <w:noWrap/>
            <w:vAlign w:val="center"/>
            <w:hideMark/>
          </w:tcPr>
          <w:p w14:paraId="48C559C3" w14:textId="77777777" w:rsidR="00A4283D" w:rsidRPr="004F469F" w:rsidRDefault="00A4283D" w:rsidP="00A4283D">
            <w:pPr>
              <w:jc w:val="center"/>
              <w:rPr>
                <w:sz w:val="20"/>
                <w:szCs w:val="20"/>
              </w:rPr>
            </w:pPr>
            <w:r w:rsidRPr="004F469F">
              <w:rPr>
                <w:sz w:val="20"/>
                <w:szCs w:val="20"/>
              </w:rPr>
              <w:t>18.01</w:t>
            </w:r>
          </w:p>
        </w:tc>
      </w:tr>
      <w:tr w:rsidR="00494669" w:rsidRPr="004F469F" w14:paraId="13980A70" w14:textId="77777777" w:rsidTr="00CD1B92">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7553096A" w14:textId="77777777" w:rsidR="00A4283D" w:rsidRPr="004F469F" w:rsidRDefault="00A4283D" w:rsidP="00A4283D">
            <w:pPr>
              <w:jc w:val="center"/>
              <w:rPr>
                <w:sz w:val="20"/>
                <w:szCs w:val="20"/>
              </w:rPr>
            </w:pPr>
          </w:p>
        </w:tc>
        <w:tc>
          <w:tcPr>
            <w:tcW w:w="1440" w:type="dxa"/>
            <w:tcBorders>
              <w:top w:val="single" w:sz="12" w:space="0" w:color="auto"/>
              <w:left w:val="nil"/>
              <w:bottom w:val="single" w:sz="18" w:space="0" w:color="auto"/>
              <w:right w:val="single" w:sz="4" w:space="0" w:color="auto"/>
            </w:tcBorders>
            <w:shd w:val="clear" w:color="auto" w:fill="auto"/>
            <w:noWrap/>
            <w:vAlign w:val="center"/>
            <w:hideMark/>
          </w:tcPr>
          <w:p w14:paraId="0D9D1907"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5ED5DC36" w14:textId="77777777" w:rsidR="00A4283D" w:rsidRPr="004F469F" w:rsidRDefault="00A4283D" w:rsidP="00A4283D">
            <w:pPr>
              <w:jc w:val="center"/>
              <w:rPr>
                <w:i/>
                <w:iCs/>
                <w:sz w:val="20"/>
                <w:szCs w:val="20"/>
              </w:rPr>
            </w:pPr>
            <w:r w:rsidRPr="004F469F">
              <w:rPr>
                <w:i/>
                <w:iCs/>
                <w:sz w:val="20"/>
                <w:szCs w:val="20"/>
              </w:rPr>
              <w:t>1,120</w:t>
            </w:r>
          </w:p>
        </w:tc>
        <w:tc>
          <w:tcPr>
            <w:tcW w:w="810" w:type="dxa"/>
            <w:tcBorders>
              <w:top w:val="single" w:sz="12" w:space="0" w:color="auto"/>
              <w:left w:val="nil"/>
              <w:bottom w:val="single" w:sz="18" w:space="0" w:color="auto"/>
              <w:right w:val="single" w:sz="4" w:space="0" w:color="auto"/>
            </w:tcBorders>
            <w:shd w:val="clear" w:color="auto" w:fill="auto"/>
            <w:noWrap/>
            <w:vAlign w:val="center"/>
            <w:hideMark/>
          </w:tcPr>
          <w:p w14:paraId="4D6DE613" w14:textId="77777777" w:rsidR="00A4283D" w:rsidRPr="004F469F" w:rsidRDefault="00A4283D" w:rsidP="00A4283D">
            <w:pPr>
              <w:jc w:val="center"/>
              <w:rPr>
                <w:i/>
                <w:iCs/>
                <w:sz w:val="20"/>
                <w:szCs w:val="20"/>
              </w:rPr>
            </w:pPr>
            <w:r w:rsidRPr="004F469F">
              <w:rPr>
                <w:i/>
                <w:iCs/>
                <w:sz w:val="20"/>
                <w:szCs w:val="20"/>
              </w:rPr>
              <w:t>3,984</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0C20344F" w14:textId="77777777" w:rsidR="00A4283D" w:rsidRPr="004F469F" w:rsidRDefault="00A4283D" w:rsidP="00A4283D">
            <w:pPr>
              <w:jc w:val="center"/>
              <w:rPr>
                <w:i/>
                <w:iCs/>
                <w:sz w:val="20"/>
                <w:szCs w:val="20"/>
              </w:rPr>
            </w:pPr>
            <w:r w:rsidRPr="004F469F">
              <w:rPr>
                <w:i/>
                <w:iCs/>
                <w:sz w:val="20"/>
                <w:szCs w:val="20"/>
              </w:rPr>
              <w:t>17,757</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4A83602A" w14:textId="77777777" w:rsidR="00A4283D" w:rsidRPr="004F469F" w:rsidRDefault="00A4283D" w:rsidP="00A4283D">
            <w:pPr>
              <w:jc w:val="center"/>
              <w:rPr>
                <w:i/>
                <w:iCs/>
                <w:sz w:val="20"/>
                <w:szCs w:val="20"/>
              </w:rPr>
            </w:pPr>
            <w:r w:rsidRPr="004F469F">
              <w:rPr>
                <w:i/>
                <w:iCs/>
                <w:sz w:val="20"/>
                <w:szCs w:val="20"/>
              </w:rPr>
              <w:t>28,305</w:t>
            </w:r>
          </w:p>
        </w:tc>
        <w:tc>
          <w:tcPr>
            <w:tcW w:w="780" w:type="dxa"/>
            <w:tcBorders>
              <w:top w:val="single" w:sz="12" w:space="0" w:color="auto"/>
              <w:left w:val="nil"/>
              <w:bottom w:val="single" w:sz="18" w:space="0" w:color="auto"/>
              <w:right w:val="single" w:sz="4" w:space="0" w:color="auto"/>
            </w:tcBorders>
            <w:shd w:val="clear" w:color="auto" w:fill="auto"/>
            <w:noWrap/>
            <w:vAlign w:val="center"/>
            <w:hideMark/>
          </w:tcPr>
          <w:p w14:paraId="2D0CFE34" w14:textId="77777777" w:rsidR="00A4283D" w:rsidRPr="004F469F" w:rsidRDefault="00A4283D" w:rsidP="00A4283D">
            <w:pPr>
              <w:jc w:val="center"/>
              <w:rPr>
                <w:i/>
                <w:iCs/>
                <w:sz w:val="20"/>
                <w:szCs w:val="20"/>
              </w:rPr>
            </w:pPr>
            <w:r w:rsidRPr="004F469F">
              <w:rPr>
                <w:i/>
                <w:iCs/>
                <w:sz w:val="20"/>
                <w:szCs w:val="20"/>
              </w:rPr>
              <w:t>43,871</w:t>
            </w:r>
          </w:p>
        </w:tc>
        <w:tc>
          <w:tcPr>
            <w:tcW w:w="752" w:type="dxa"/>
            <w:tcBorders>
              <w:top w:val="single" w:sz="12" w:space="0" w:color="auto"/>
              <w:left w:val="nil"/>
              <w:bottom w:val="single" w:sz="18" w:space="0" w:color="auto"/>
              <w:right w:val="single" w:sz="4" w:space="0" w:color="auto"/>
            </w:tcBorders>
            <w:shd w:val="clear" w:color="auto" w:fill="auto"/>
            <w:noWrap/>
            <w:vAlign w:val="center"/>
            <w:hideMark/>
          </w:tcPr>
          <w:p w14:paraId="6680EDA6" w14:textId="77777777" w:rsidR="00A4283D" w:rsidRPr="004F469F" w:rsidRDefault="00A4283D" w:rsidP="00A4283D">
            <w:pPr>
              <w:jc w:val="center"/>
              <w:rPr>
                <w:i/>
                <w:iCs/>
                <w:sz w:val="20"/>
                <w:szCs w:val="20"/>
              </w:rPr>
            </w:pPr>
            <w:r w:rsidRPr="004F469F">
              <w:rPr>
                <w:i/>
                <w:iCs/>
                <w:sz w:val="20"/>
                <w:szCs w:val="20"/>
              </w:rPr>
              <w:t>25.39</w:t>
            </w:r>
          </w:p>
        </w:tc>
        <w:tc>
          <w:tcPr>
            <w:tcW w:w="766" w:type="dxa"/>
            <w:tcBorders>
              <w:top w:val="single" w:sz="12" w:space="0" w:color="auto"/>
              <w:left w:val="nil"/>
              <w:bottom w:val="single" w:sz="18" w:space="0" w:color="auto"/>
              <w:right w:val="single" w:sz="18" w:space="0" w:color="auto"/>
            </w:tcBorders>
            <w:shd w:val="clear" w:color="auto" w:fill="auto"/>
            <w:noWrap/>
            <w:vAlign w:val="center"/>
            <w:hideMark/>
          </w:tcPr>
          <w:p w14:paraId="7B29F48F" w14:textId="77777777" w:rsidR="00A4283D" w:rsidRPr="004F469F" w:rsidRDefault="00A4283D" w:rsidP="00A4283D">
            <w:pPr>
              <w:jc w:val="center"/>
              <w:rPr>
                <w:i/>
                <w:iCs/>
                <w:sz w:val="20"/>
                <w:szCs w:val="20"/>
              </w:rPr>
            </w:pPr>
            <w:r w:rsidRPr="004F469F">
              <w:rPr>
                <w:i/>
                <w:iCs/>
                <w:sz w:val="20"/>
                <w:szCs w:val="20"/>
              </w:rPr>
              <w:t>3.73</w:t>
            </w:r>
          </w:p>
        </w:tc>
      </w:tr>
      <w:tr w:rsidR="00494669" w:rsidRPr="004F469F" w14:paraId="653DB500" w14:textId="77777777" w:rsidTr="00CD1B92">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4AD52129" w14:textId="77777777" w:rsidR="00A4283D" w:rsidRPr="004F469F" w:rsidRDefault="00A4283D" w:rsidP="00A4283D">
            <w:pPr>
              <w:jc w:val="center"/>
              <w:rPr>
                <w:sz w:val="20"/>
                <w:szCs w:val="20"/>
              </w:rPr>
            </w:pPr>
            <w:r w:rsidRPr="004F469F">
              <w:rPr>
                <w:sz w:val="20"/>
                <w:szCs w:val="20"/>
              </w:rPr>
              <w:t>Urban Development Only</w:t>
            </w:r>
          </w:p>
        </w:tc>
        <w:tc>
          <w:tcPr>
            <w:tcW w:w="1440" w:type="dxa"/>
            <w:tcBorders>
              <w:top w:val="single" w:sz="18" w:space="0" w:color="auto"/>
              <w:left w:val="nil"/>
              <w:bottom w:val="single" w:sz="4" w:space="0" w:color="auto"/>
              <w:right w:val="single" w:sz="4" w:space="0" w:color="auto"/>
            </w:tcBorders>
            <w:shd w:val="clear" w:color="auto" w:fill="auto"/>
            <w:noWrap/>
            <w:vAlign w:val="center"/>
            <w:hideMark/>
          </w:tcPr>
          <w:p w14:paraId="6D65FDC1"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7CC4C979" w14:textId="77777777" w:rsidR="00A4283D" w:rsidRPr="004F469F" w:rsidRDefault="00A4283D" w:rsidP="00A4283D">
            <w:pPr>
              <w:jc w:val="center"/>
              <w:rPr>
                <w:sz w:val="20"/>
                <w:szCs w:val="20"/>
              </w:rPr>
            </w:pPr>
            <w:r w:rsidRPr="004F469F">
              <w:rPr>
                <w:sz w:val="20"/>
                <w:szCs w:val="20"/>
              </w:rPr>
              <w:t>3,889</w:t>
            </w:r>
          </w:p>
        </w:tc>
        <w:tc>
          <w:tcPr>
            <w:tcW w:w="810" w:type="dxa"/>
            <w:tcBorders>
              <w:top w:val="single" w:sz="18" w:space="0" w:color="auto"/>
              <w:left w:val="nil"/>
              <w:bottom w:val="single" w:sz="4" w:space="0" w:color="auto"/>
              <w:right w:val="single" w:sz="4" w:space="0" w:color="auto"/>
            </w:tcBorders>
            <w:shd w:val="clear" w:color="auto" w:fill="auto"/>
            <w:noWrap/>
            <w:vAlign w:val="center"/>
            <w:hideMark/>
          </w:tcPr>
          <w:p w14:paraId="24722A9C" w14:textId="77777777" w:rsidR="00A4283D" w:rsidRPr="004F469F" w:rsidRDefault="00A4283D" w:rsidP="00A4283D">
            <w:pPr>
              <w:jc w:val="center"/>
              <w:rPr>
                <w:sz w:val="20"/>
                <w:szCs w:val="20"/>
              </w:rPr>
            </w:pPr>
            <w:r w:rsidRPr="004F469F">
              <w:rPr>
                <w:sz w:val="20"/>
                <w:szCs w:val="20"/>
              </w:rPr>
              <w:t>6,465</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4AD95BB1" w14:textId="77777777" w:rsidR="00A4283D" w:rsidRPr="004F469F" w:rsidRDefault="00A4283D" w:rsidP="00A4283D">
            <w:pPr>
              <w:jc w:val="center"/>
              <w:rPr>
                <w:sz w:val="20"/>
                <w:szCs w:val="20"/>
              </w:rPr>
            </w:pPr>
            <w:r w:rsidRPr="004F469F">
              <w:rPr>
                <w:sz w:val="20"/>
                <w:szCs w:val="20"/>
              </w:rPr>
              <w:t>21,790</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0F9F77E9" w14:textId="77777777" w:rsidR="00A4283D" w:rsidRPr="004F469F" w:rsidRDefault="00A4283D" w:rsidP="00A4283D">
            <w:pPr>
              <w:jc w:val="center"/>
              <w:rPr>
                <w:sz w:val="20"/>
                <w:szCs w:val="20"/>
              </w:rPr>
            </w:pPr>
            <w:r w:rsidRPr="004F469F">
              <w:rPr>
                <w:sz w:val="20"/>
                <w:szCs w:val="20"/>
              </w:rPr>
              <w:t>36,120</w:t>
            </w:r>
          </w:p>
        </w:tc>
        <w:tc>
          <w:tcPr>
            <w:tcW w:w="780" w:type="dxa"/>
            <w:tcBorders>
              <w:top w:val="single" w:sz="18" w:space="0" w:color="auto"/>
              <w:left w:val="nil"/>
              <w:bottom w:val="single" w:sz="4" w:space="0" w:color="auto"/>
              <w:right w:val="single" w:sz="4" w:space="0" w:color="auto"/>
            </w:tcBorders>
            <w:shd w:val="clear" w:color="auto" w:fill="auto"/>
            <w:noWrap/>
            <w:vAlign w:val="center"/>
            <w:hideMark/>
          </w:tcPr>
          <w:p w14:paraId="73C7DA9E" w14:textId="77777777" w:rsidR="00A4283D" w:rsidRPr="004F469F" w:rsidRDefault="00A4283D" w:rsidP="00A4283D">
            <w:pPr>
              <w:jc w:val="center"/>
              <w:rPr>
                <w:sz w:val="20"/>
                <w:szCs w:val="20"/>
              </w:rPr>
            </w:pPr>
            <w:r w:rsidRPr="004F469F">
              <w:rPr>
                <w:sz w:val="20"/>
                <w:szCs w:val="20"/>
              </w:rPr>
              <w:t>58,141</w:t>
            </w:r>
          </w:p>
        </w:tc>
        <w:tc>
          <w:tcPr>
            <w:tcW w:w="752" w:type="dxa"/>
            <w:tcBorders>
              <w:top w:val="single" w:sz="18" w:space="0" w:color="auto"/>
              <w:left w:val="nil"/>
              <w:bottom w:val="single" w:sz="4" w:space="0" w:color="auto"/>
              <w:right w:val="single" w:sz="4" w:space="0" w:color="auto"/>
            </w:tcBorders>
            <w:shd w:val="clear" w:color="auto" w:fill="auto"/>
            <w:noWrap/>
            <w:vAlign w:val="center"/>
            <w:hideMark/>
          </w:tcPr>
          <w:p w14:paraId="551AC959" w14:textId="77777777" w:rsidR="00A4283D" w:rsidRPr="004F469F" w:rsidRDefault="00A4283D" w:rsidP="00A4283D">
            <w:pPr>
              <w:jc w:val="center"/>
              <w:rPr>
                <w:sz w:val="20"/>
                <w:szCs w:val="20"/>
              </w:rPr>
            </w:pPr>
            <w:r w:rsidRPr="004F469F">
              <w:rPr>
                <w:sz w:val="20"/>
                <w:szCs w:val="20"/>
              </w:rPr>
              <w:t>42.21</w:t>
            </w:r>
          </w:p>
        </w:tc>
        <w:tc>
          <w:tcPr>
            <w:tcW w:w="766" w:type="dxa"/>
            <w:tcBorders>
              <w:top w:val="single" w:sz="18" w:space="0" w:color="auto"/>
              <w:left w:val="nil"/>
              <w:bottom w:val="single" w:sz="4" w:space="0" w:color="auto"/>
              <w:right w:val="single" w:sz="18" w:space="0" w:color="auto"/>
            </w:tcBorders>
            <w:shd w:val="clear" w:color="auto" w:fill="auto"/>
            <w:noWrap/>
            <w:vAlign w:val="center"/>
            <w:hideMark/>
          </w:tcPr>
          <w:p w14:paraId="7FAB2F2C" w14:textId="77777777" w:rsidR="00A4283D" w:rsidRPr="004F469F" w:rsidRDefault="00A4283D" w:rsidP="00A4283D">
            <w:pPr>
              <w:jc w:val="center"/>
              <w:rPr>
                <w:sz w:val="20"/>
                <w:szCs w:val="20"/>
              </w:rPr>
            </w:pPr>
            <w:r w:rsidRPr="004F469F">
              <w:rPr>
                <w:sz w:val="20"/>
                <w:szCs w:val="20"/>
              </w:rPr>
              <w:t>6.91</w:t>
            </w:r>
          </w:p>
        </w:tc>
      </w:tr>
      <w:tr w:rsidR="00494669" w:rsidRPr="004F469F" w14:paraId="278349A3"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0B55B152" w14:textId="77777777" w:rsidR="00A4283D" w:rsidRPr="004F469F" w:rsidRDefault="00A4283D" w:rsidP="00A4283D">
            <w:pPr>
              <w:jc w:val="center"/>
              <w:rPr>
                <w:sz w:val="20"/>
                <w:szCs w:val="20"/>
              </w:rPr>
            </w:pP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18054FA"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348F1E1" w14:textId="77777777" w:rsidR="00A4283D" w:rsidRPr="004F469F" w:rsidRDefault="00A4283D" w:rsidP="00A4283D">
            <w:pPr>
              <w:jc w:val="center"/>
              <w:rPr>
                <w:sz w:val="20"/>
                <w:szCs w:val="20"/>
              </w:rPr>
            </w:pPr>
            <w:r w:rsidRPr="004F469F">
              <w:rPr>
                <w:sz w:val="20"/>
                <w:szCs w:val="20"/>
              </w:rPr>
              <w:t>4,561</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007436B5" w14:textId="77777777" w:rsidR="00A4283D" w:rsidRPr="004F469F" w:rsidRDefault="00A4283D" w:rsidP="00A4283D">
            <w:pPr>
              <w:jc w:val="center"/>
              <w:rPr>
                <w:sz w:val="20"/>
                <w:szCs w:val="20"/>
              </w:rPr>
            </w:pPr>
            <w:r w:rsidRPr="004F469F">
              <w:rPr>
                <w:sz w:val="20"/>
                <w:szCs w:val="20"/>
              </w:rPr>
              <w:t>11,344</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05637BCC" w14:textId="77777777" w:rsidR="00A4283D" w:rsidRPr="004F469F" w:rsidRDefault="00A4283D" w:rsidP="00A4283D">
            <w:pPr>
              <w:jc w:val="center"/>
              <w:rPr>
                <w:sz w:val="20"/>
                <w:szCs w:val="20"/>
              </w:rPr>
            </w:pPr>
            <w:r w:rsidRPr="004F469F">
              <w:rPr>
                <w:sz w:val="20"/>
                <w:szCs w:val="20"/>
              </w:rPr>
              <w:t>49,013</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549103DF" w14:textId="77777777" w:rsidR="00A4283D" w:rsidRPr="004F469F" w:rsidRDefault="00A4283D" w:rsidP="00A4283D">
            <w:pPr>
              <w:jc w:val="center"/>
              <w:rPr>
                <w:sz w:val="20"/>
                <w:szCs w:val="20"/>
              </w:rPr>
            </w:pPr>
            <w:r w:rsidRPr="004F469F">
              <w:rPr>
                <w:sz w:val="20"/>
                <w:szCs w:val="20"/>
              </w:rPr>
              <w:t>87,636</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5A4E6147" w14:textId="77777777" w:rsidR="00A4283D" w:rsidRPr="004F469F" w:rsidRDefault="00A4283D" w:rsidP="00A4283D">
            <w:pPr>
              <w:jc w:val="center"/>
              <w:rPr>
                <w:sz w:val="20"/>
                <w:szCs w:val="20"/>
              </w:rPr>
            </w:pPr>
            <w:r w:rsidRPr="004F469F">
              <w:rPr>
                <w:sz w:val="20"/>
                <w:szCs w:val="20"/>
              </w:rPr>
              <w:t>304,060</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14:paraId="0BF6C487" w14:textId="77777777" w:rsidR="00A4283D" w:rsidRPr="004F469F" w:rsidRDefault="00A4283D" w:rsidP="00A4283D">
            <w:pPr>
              <w:jc w:val="center"/>
              <w:rPr>
                <w:sz w:val="20"/>
                <w:szCs w:val="20"/>
              </w:rPr>
            </w:pPr>
            <w:r w:rsidRPr="004F469F">
              <w:rPr>
                <w:sz w:val="20"/>
                <w:szCs w:val="20"/>
              </w:rPr>
              <w:t>48.13</w:t>
            </w:r>
          </w:p>
        </w:tc>
        <w:tc>
          <w:tcPr>
            <w:tcW w:w="766" w:type="dxa"/>
            <w:tcBorders>
              <w:top w:val="single" w:sz="4" w:space="0" w:color="auto"/>
              <w:left w:val="nil"/>
              <w:bottom w:val="single" w:sz="4" w:space="0" w:color="auto"/>
              <w:right w:val="single" w:sz="18" w:space="0" w:color="auto"/>
            </w:tcBorders>
            <w:shd w:val="clear" w:color="auto" w:fill="auto"/>
            <w:noWrap/>
            <w:vAlign w:val="center"/>
            <w:hideMark/>
          </w:tcPr>
          <w:p w14:paraId="14DE1975" w14:textId="77777777" w:rsidR="00A4283D" w:rsidRPr="004F469F" w:rsidRDefault="00A4283D" w:rsidP="00A4283D">
            <w:pPr>
              <w:jc w:val="center"/>
              <w:rPr>
                <w:sz w:val="20"/>
                <w:szCs w:val="20"/>
              </w:rPr>
            </w:pPr>
            <w:r w:rsidRPr="004F469F">
              <w:rPr>
                <w:sz w:val="20"/>
                <w:szCs w:val="20"/>
              </w:rPr>
              <w:t>16.58</w:t>
            </w:r>
          </w:p>
        </w:tc>
      </w:tr>
      <w:tr w:rsidR="00494669" w:rsidRPr="004F469F" w14:paraId="1399E2EC"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72ACCB87" w14:textId="77777777" w:rsidR="00A4283D" w:rsidRPr="004F469F" w:rsidRDefault="00A4283D" w:rsidP="00A4283D">
            <w:pPr>
              <w:jc w:val="center"/>
              <w:rPr>
                <w:sz w:val="20"/>
                <w:szCs w:val="20"/>
              </w:rPr>
            </w:pPr>
          </w:p>
        </w:tc>
        <w:tc>
          <w:tcPr>
            <w:tcW w:w="1440" w:type="dxa"/>
            <w:tcBorders>
              <w:top w:val="single" w:sz="4" w:space="0" w:color="auto"/>
              <w:left w:val="nil"/>
              <w:bottom w:val="single" w:sz="12" w:space="0" w:color="auto"/>
              <w:right w:val="single" w:sz="4" w:space="0" w:color="auto"/>
            </w:tcBorders>
            <w:shd w:val="clear" w:color="auto" w:fill="auto"/>
            <w:noWrap/>
            <w:vAlign w:val="center"/>
            <w:hideMark/>
          </w:tcPr>
          <w:p w14:paraId="6A08E7A9"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72AC34B4" w14:textId="77777777" w:rsidR="00A4283D" w:rsidRPr="004F469F" w:rsidRDefault="00A4283D" w:rsidP="00A4283D">
            <w:pPr>
              <w:jc w:val="center"/>
              <w:rPr>
                <w:sz w:val="20"/>
                <w:szCs w:val="20"/>
              </w:rPr>
            </w:pPr>
            <w:r w:rsidRPr="004F469F">
              <w:rPr>
                <w:sz w:val="20"/>
                <w:szCs w:val="20"/>
              </w:rPr>
              <w:t>7,266</w:t>
            </w:r>
          </w:p>
        </w:tc>
        <w:tc>
          <w:tcPr>
            <w:tcW w:w="810" w:type="dxa"/>
            <w:tcBorders>
              <w:top w:val="single" w:sz="4" w:space="0" w:color="auto"/>
              <w:left w:val="nil"/>
              <w:bottom w:val="single" w:sz="12" w:space="0" w:color="auto"/>
              <w:right w:val="single" w:sz="4" w:space="0" w:color="auto"/>
            </w:tcBorders>
            <w:shd w:val="clear" w:color="auto" w:fill="auto"/>
            <w:noWrap/>
            <w:vAlign w:val="center"/>
            <w:hideMark/>
          </w:tcPr>
          <w:p w14:paraId="536ED653" w14:textId="77777777" w:rsidR="00A4283D" w:rsidRPr="004F469F" w:rsidRDefault="00A4283D" w:rsidP="00A4283D">
            <w:pPr>
              <w:jc w:val="center"/>
              <w:rPr>
                <w:sz w:val="20"/>
                <w:szCs w:val="20"/>
              </w:rPr>
            </w:pPr>
            <w:r w:rsidRPr="004F469F">
              <w:rPr>
                <w:sz w:val="20"/>
                <w:szCs w:val="20"/>
              </w:rPr>
              <w:t>19,387</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5E210E95" w14:textId="77777777" w:rsidR="00A4283D" w:rsidRPr="004F469F" w:rsidRDefault="00A4283D" w:rsidP="00A4283D">
            <w:pPr>
              <w:jc w:val="center"/>
              <w:rPr>
                <w:sz w:val="20"/>
                <w:szCs w:val="20"/>
              </w:rPr>
            </w:pPr>
            <w:r w:rsidRPr="004F469F">
              <w:rPr>
                <w:sz w:val="20"/>
                <w:szCs w:val="20"/>
              </w:rPr>
              <w:t>83,019</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35396191" w14:textId="77777777" w:rsidR="00A4283D" w:rsidRPr="004F469F" w:rsidRDefault="00A4283D" w:rsidP="00A4283D">
            <w:pPr>
              <w:jc w:val="center"/>
              <w:rPr>
                <w:sz w:val="20"/>
                <w:szCs w:val="20"/>
              </w:rPr>
            </w:pPr>
            <w:r w:rsidRPr="004F469F">
              <w:rPr>
                <w:sz w:val="20"/>
                <w:szCs w:val="20"/>
              </w:rPr>
              <w:t>139,980</w:t>
            </w:r>
          </w:p>
        </w:tc>
        <w:tc>
          <w:tcPr>
            <w:tcW w:w="780" w:type="dxa"/>
            <w:tcBorders>
              <w:top w:val="single" w:sz="4" w:space="0" w:color="auto"/>
              <w:left w:val="nil"/>
              <w:bottom w:val="single" w:sz="12" w:space="0" w:color="auto"/>
              <w:right w:val="single" w:sz="4" w:space="0" w:color="auto"/>
            </w:tcBorders>
            <w:shd w:val="clear" w:color="auto" w:fill="auto"/>
            <w:noWrap/>
            <w:vAlign w:val="center"/>
            <w:hideMark/>
          </w:tcPr>
          <w:p w14:paraId="7560BFAE" w14:textId="77777777" w:rsidR="00A4283D" w:rsidRPr="004F469F" w:rsidRDefault="00A4283D" w:rsidP="00A4283D">
            <w:pPr>
              <w:jc w:val="center"/>
              <w:rPr>
                <w:sz w:val="20"/>
                <w:szCs w:val="20"/>
              </w:rPr>
            </w:pPr>
            <w:r w:rsidRPr="004F469F">
              <w:rPr>
                <w:sz w:val="20"/>
                <w:szCs w:val="20"/>
              </w:rPr>
              <w:t>198,126</w:t>
            </w:r>
          </w:p>
        </w:tc>
        <w:tc>
          <w:tcPr>
            <w:tcW w:w="752" w:type="dxa"/>
            <w:tcBorders>
              <w:top w:val="single" w:sz="4" w:space="0" w:color="auto"/>
              <w:left w:val="nil"/>
              <w:bottom w:val="single" w:sz="12" w:space="0" w:color="auto"/>
              <w:right w:val="single" w:sz="4" w:space="0" w:color="auto"/>
            </w:tcBorders>
            <w:shd w:val="clear" w:color="auto" w:fill="auto"/>
            <w:noWrap/>
            <w:vAlign w:val="center"/>
            <w:hideMark/>
          </w:tcPr>
          <w:p w14:paraId="1BA66568" w14:textId="77777777" w:rsidR="00A4283D" w:rsidRPr="004F469F" w:rsidRDefault="00A4283D" w:rsidP="00A4283D">
            <w:pPr>
              <w:jc w:val="center"/>
              <w:rPr>
                <w:sz w:val="20"/>
                <w:szCs w:val="20"/>
              </w:rPr>
            </w:pPr>
            <w:r w:rsidRPr="004F469F">
              <w:rPr>
                <w:sz w:val="20"/>
                <w:szCs w:val="20"/>
              </w:rPr>
              <w:t>58.89</w:t>
            </w:r>
          </w:p>
        </w:tc>
        <w:tc>
          <w:tcPr>
            <w:tcW w:w="766" w:type="dxa"/>
            <w:tcBorders>
              <w:top w:val="single" w:sz="4" w:space="0" w:color="auto"/>
              <w:left w:val="nil"/>
              <w:bottom w:val="single" w:sz="12" w:space="0" w:color="auto"/>
              <w:right w:val="single" w:sz="18" w:space="0" w:color="auto"/>
            </w:tcBorders>
            <w:shd w:val="clear" w:color="auto" w:fill="auto"/>
            <w:noWrap/>
            <w:vAlign w:val="center"/>
            <w:hideMark/>
          </w:tcPr>
          <w:p w14:paraId="598D0F89" w14:textId="77777777" w:rsidR="00A4283D" w:rsidRPr="004F469F" w:rsidRDefault="00A4283D" w:rsidP="00A4283D">
            <w:pPr>
              <w:jc w:val="center"/>
              <w:rPr>
                <w:sz w:val="20"/>
                <w:szCs w:val="20"/>
              </w:rPr>
            </w:pPr>
            <w:r w:rsidRPr="004F469F">
              <w:rPr>
                <w:sz w:val="20"/>
                <w:szCs w:val="20"/>
              </w:rPr>
              <w:t>28.19</w:t>
            </w:r>
          </w:p>
        </w:tc>
      </w:tr>
      <w:tr w:rsidR="00494669" w:rsidRPr="004F469F" w14:paraId="721BD283" w14:textId="77777777" w:rsidTr="00CD1B92">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11A33DA5" w14:textId="77777777" w:rsidR="00A4283D" w:rsidRPr="004F469F" w:rsidRDefault="00A4283D" w:rsidP="00A4283D">
            <w:pPr>
              <w:jc w:val="center"/>
              <w:rPr>
                <w:sz w:val="20"/>
                <w:szCs w:val="20"/>
              </w:rPr>
            </w:pPr>
          </w:p>
        </w:tc>
        <w:tc>
          <w:tcPr>
            <w:tcW w:w="1440" w:type="dxa"/>
            <w:tcBorders>
              <w:top w:val="single" w:sz="12" w:space="0" w:color="auto"/>
              <w:left w:val="nil"/>
              <w:bottom w:val="single" w:sz="18" w:space="0" w:color="auto"/>
              <w:right w:val="single" w:sz="4" w:space="0" w:color="auto"/>
            </w:tcBorders>
            <w:shd w:val="clear" w:color="auto" w:fill="auto"/>
            <w:noWrap/>
            <w:vAlign w:val="center"/>
            <w:hideMark/>
          </w:tcPr>
          <w:p w14:paraId="3E80A87A"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68CC1960" w14:textId="77777777" w:rsidR="00A4283D" w:rsidRPr="004F469F" w:rsidRDefault="00A4283D" w:rsidP="00A4283D">
            <w:pPr>
              <w:jc w:val="center"/>
              <w:rPr>
                <w:i/>
                <w:iCs/>
                <w:sz w:val="20"/>
                <w:szCs w:val="20"/>
              </w:rPr>
            </w:pPr>
            <w:r w:rsidRPr="004F469F">
              <w:rPr>
                <w:i/>
                <w:iCs/>
                <w:sz w:val="20"/>
                <w:szCs w:val="20"/>
              </w:rPr>
              <w:t>4,175</w:t>
            </w:r>
          </w:p>
        </w:tc>
        <w:tc>
          <w:tcPr>
            <w:tcW w:w="810" w:type="dxa"/>
            <w:tcBorders>
              <w:top w:val="single" w:sz="12" w:space="0" w:color="auto"/>
              <w:left w:val="nil"/>
              <w:bottom w:val="single" w:sz="18" w:space="0" w:color="auto"/>
              <w:right w:val="single" w:sz="4" w:space="0" w:color="auto"/>
            </w:tcBorders>
            <w:shd w:val="clear" w:color="auto" w:fill="auto"/>
            <w:noWrap/>
            <w:vAlign w:val="center"/>
            <w:hideMark/>
          </w:tcPr>
          <w:p w14:paraId="78F65588" w14:textId="77777777" w:rsidR="00A4283D" w:rsidRPr="004F469F" w:rsidRDefault="00A4283D" w:rsidP="00A4283D">
            <w:pPr>
              <w:jc w:val="center"/>
              <w:rPr>
                <w:i/>
                <w:iCs/>
                <w:sz w:val="20"/>
                <w:szCs w:val="20"/>
              </w:rPr>
            </w:pPr>
            <w:r w:rsidRPr="004F469F">
              <w:rPr>
                <w:i/>
                <w:iCs/>
                <w:sz w:val="20"/>
                <w:szCs w:val="20"/>
              </w:rPr>
              <w:t>8,576</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1D3C448F" w14:textId="77777777" w:rsidR="00A4283D" w:rsidRPr="004F469F" w:rsidRDefault="00A4283D" w:rsidP="00A4283D">
            <w:pPr>
              <w:jc w:val="center"/>
              <w:rPr>
                <w:i/>
                <w:iCs/>
                <w:sz w:val="20"/>
                <w:szCs w:val="20"/>
              </w:rPr>
            </w:pPr>
            <w:r w:rsidRPr="004F469F">
              <w:rPr>
                <w:i/>
                <w:iCs/>
                <w:sz w:val="20"/>
                <w:szCs w:val="20"/>
              </w:rPr>
              <w:t>34,688</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2C1EE90F" w14:textId="77777777" w:rsidR="00A4283D" w:rsidRPr="004F469F" w:rsidRDefault="00A4283D" w:rsidP="00A4283D">
            <w:pPr>
              <w:jc w:val="center"/>
              <w:rPr>
                <w:i/>
                <w:iCs/>
                <w:sz w:val="20"/>
                <w:szCs w:val="20"/>
              </w:rPr>
            </w:pPr>
            <w:r w:rsidRPr="004F469F">
              <w:rPr>
                <w:i/>
                <w:iCs/>
                <w:sz w:val="20"/>
                <w:szCs w:val="20"/>
              </w:rPr>
              <w:t>57,559</w:t>
            </w:r>
          </w:p>
        </w:tc>
        <w:tc>
          <w:tcPr>
            <w:tcW w:w="780" w:type="dxa"/>
            <w:tcBorders>
              <w:top w:val="single" w:sz="12" w:space="0" w:color="auto"/>
              <w:left w:val="nil"/>
              <w:bottom w:val="single" w:sz="18" w:space="0" w:color="auto"/>
              <w:right w:val="single" w:sz="4" w:space="0" w:color="auto"/>
            </w:tcBorders>
            <w:shd w:val="clear" w:color="auto" w:fill="auto"/>
            <w:noWrap/>
            <w:vAlign w:val="center"/>
            <w:hideMark/>
          </w:tcPr>
          <w:p w14:paraId="38DFA663" w14:textId="77777777" w:rsidR="00A4283D" w:rsidRPr="004F469F" w:rsidRDefault="00A4283D" w:rsidP="00A4283D">
            <w:pPr>
              <w:jc w:val="center"/>
              <w:rPr>
                <w:i/>
                <w:iCs/>
                <w:sz w:val="20"/>
                <w:szCs w:val="20"/>
              </w:rPr>
            </w:pPr>
            <w:r w:rsidRPr="004F469F">
              <w:rPr>
                <w:i/>
                <w:iCs/>
                <w:sz w:val="20"/>
                <w:szCs w:val="20"/>
              </w:rPr>
              <w:t>105,968</w:t>
            </w:r>
          </w:p>
        </w:tc>
        <w:tc>
          <w:tcPr>
            <w:tcW w:w="752" w:type="dxa"/>
            <w:tcBorders>
              <w:top w:val="single" w:sz="12" w:space="0" w:color="auto"/>
              <w:left w:val="nil"/>
              <w:bottom w:val="single" w:sz="18" w:space="0" w:color="auto"/>
              <w:right w:val="single" w:sz="4" w:space="0" w:color="auto"/>
            </w:tcBorders>
            <w:shd w:val="clear" w:color="auto" w:fill="auto"/>
            <w:noWrap/>
            <w:vAlign w:val="center"/>
            <w:hideMark/>
          </w:tcPr>
          <w:p w14:paraId="76FEF7CE" w14:textId="77777777" w:rsidR="00A4283D" w:rsidRPr="004F469F" w:rsidRDefault="00A4283D" w:rsidP="00A4283D">
            <w:pPr>
              <w:jc w:val="center"/>
              <w:rPr>
                <w:i/>
                <w:iCs/>
                <w:sz w:val="20"/>
                <w:szCs w:val="20"/>
              </w:rPr>
            </w:pPr>
            <w:r w:rsidRPr="004F469F">
              <w:rPr>
                <w:i/>
                <w:iCs/>
                <w:sz w:val="20"/>
                <w:szCs w:val="20"/>
              </w:rPr>
              <w:t>44.44</w:t>
            </w:r>
          </w:p>
        </w:tc>
        <w:tc>
          <w:tcPr>
            <w:tcW w:w="766" w:type="dxa"/>
            <w:tcBorders>
              <w:top w:val="single" w:sz="12" w:space="0" w:color="auto"/>
              <w:left w:val="nil"/>
              <w:bottom w:val="single" w:sz="18" w:space="0" w:color="auto"/>
              <w:right w:val="single" w:sz="18" w:space="0" w:color="auto"/>
            </w:tcBorders>
            <w:shd w:val="clear" w:color="auto" w:fill="auto"/>
            <w:noWrap/>
            <w:vAlign w:val="center"/>
            <w:hideMark/>
          </w:tcPr>
          <w:p w14:paraId="2E75A3DB" w14:textId="77777777" w:rsidR="00A4283D" w:rsidRPr="004F469F" w:rsidRDefault="00A4283D" w:rsidP="00A4283D">
            <w:pPr>
              <w:jc w:val="center"/>
              <w:rPr>
                <w:i/>
                <w:iCs/>
                <w:sz w:val="20"/>
                <w:szCs w:val="20"/>
              </w:rPr>
            </w:pPr>
            <w:r w:rsidRPr="004F469F">
              <w:rPr>
                <w:i/>
                <w:iCs/>
                <w:sz w:val="20"/>
                <w:szCs w:val="20"/>
              </w:rPr>
              <w:t>12.06</w:t>
            </w:r>
          </w:p>
        </w:tc>
      </w:tr>
      <w:tr w:rsidR="00494669" w:rsidRPr="004F469F" w14:paraId="2F7F9DCB" w14:textId="77777777" w:rsidTr="00CD1B92">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3067D025" w14:textId="77777777" w:rsidR="00A4283D" w:rsidRPr="004F469F" w:rsidRDefault="00A4283D" w:rsidP="00A4283D">
            <w:pPr>
              <w:jc w:val="center"/>
              <w:rPr>
                <w:sz w:val="20"/>
                <w:szCs w:val="20"/>
              </w:rPr>
            </w:pPr>
            <w:r w:rsidRPr="004F469F">
              <w:rPr>
                <w:sz w:val="20"/>
                <w:szCs w:val="20"/>
              </w:rPr>
              <w:t>Urban Development and Climate Change</w:t>
            </w:r>
          </w:p>
        </w:tc>
        <w:tc>
          <w:tcPr>
            <w:tcW w:w="1440" w:type="dxa"/>
            <w:tcBorders>
              <w:top w:val="single" w:sz="18" w:space="0" w:color="auto"/>
              <w:left w:val="nil"/>
              <w:bottom w:val="single" w:sz="4" w:space="0" w:color="auto"/>
              <w:right w:val="single" w:sz="4" w:space="0" w:color="auto"/>
            </w:tcBorders>
            <w:shd w:val="clear" w:color="auto" w:fill="auto"/>
            <w:noWrap/>
            <w:vAlign w:val="center"/>
            <w:hideMark/>
          </w:tcPr>
          <w:p w14:paraId="19A8EC4B"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007DAC5A" w14:textId="77777777" w:rsidR="00A4283D" w:rsidRPr="004F469F" w:rsidRDefault="00A4283D" w:rsidP="00A4283D">
            <w:pPr>
              <w:jc w:val="center"/>
              <w:rPr>
                <w:sz w:val="20"/>
                <w:szCs w:val="20"/>
              </w:rPr>
            </w:pPr>
            <w:r w:rsidRPr="004F469F">
              <w:rPr>
                <w:sz w:val="20"/>
                <w:szCs w:val="20"/>
              </w:rPr>
              <w:t>3,103</w:t>
            </w:r>
          </w:p>
        </w:tc>
        <w:tc>
          <w:tcPr>
            <w:tcW w:w="810" w:type="dxa"/>
            <w:tcBorders>
              <w:top w:val="single" w:sz="18" w:space="0" w:color="auto"/>
              <w:left w:val="nil"/>
              <w:bottom w:val="single" w:sz="4" w:space="0" w:color="auto"/>
              <w:right w:val="single" w:sz="4" w:space="0" w:color="auto"/>
            </w:tcBorders>
            <w:shd w:val="clear" w:color="auto" w:fill="auto"/>
            <w:noWrap/>
            <w:vAlign w:val="center"/>
            <w:hideMark/>
          </w:tcPr>
          <w:p w14:paraId="7049A786" w14:textId="77777777" w:rsidR="00A4283D" w:rsidRPr="004F469F" w:rsidRDefault="00A4283D" w:rsidP="00A4283D">
            <w:pPr>
              <w:jc w:val="center"/>
              <w:rPr>
                <w:sz w:val="20"/>
                <w:szCs w:val="20"/>
              </w:rPr>
            </w:pPr>
            <w:r w:rsidRPr="004F469F">
              <w:rPr>
                <w:sz w:val="20"/>
                <w:szCs w:val="20"/>
              </w:rPr>
              <w:t>6,013</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54ACADAD" w14:textId="77777777" w:rsidR="00A4283D" w:rsidRPr="004F469F" w:rsidRDefault="00A4283D" w:rsidP="00A4283D">
            <w:pPr>
              <w:jc w:val="center"/>
              <w:rPr>
                <w:sz w:val="20"/>
                <w:szCs w:val="20"/>
              </w:rPr>
            </w:pPr>
            <w:r w:rsidRPr="004F469F">
              <w:rPr>
                <w:sz w:val="20"/>
                <w:szCs w:val="20"/>
              </w:rPr>
              <w:t>21,124</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7F8F9DBC" w14:textId="77777777" w:rsidR="00A4283D" w:rsidRPr="004F469F" w:rsidRDefault="00A4283D" w:rsidP="00A4283D">
            <w:pPr>
              <w:jc w:val="center"/>
              <w:rPr>
                <w:sz w:val="20"/>
                <w:szCs w:val="20"/>
              </w:rPr>
            </w:pPr>
            <w:r w:rsidRPr="004F469F">
              <w:rPr>
                <w:sz w:val="20"/>
                <w:szCs w:val="20"/>
              </w:rPr>
              <w:t>39,268</w:t>
            </w:r>
          </w:p>
        </w:tc>
        <w:tc>
          <w:tcPr>
            <w:tcW w:w="780" w:type="dxa"/>
            <w:tcBorders>
              <w:top w:val="single" w:sz="18" w:space="0" w:color="auto"/>
              <w:left w:val="nil"/>
              <w:bottom w:val="single" w:sz="4" w:space="0" w:color="auto"/>
              <w:right w:val="single" w:sz="4" w:space="0" w:color="auto"/>
            </w:tcBorders>
            <w:shd w:val="clear" w:color="auto" w:fill="auto"/>
            <w:noWrap/>
            <w:vAlign w:val="center"/>
            <w:hideMark/>
          </w:tcPr>
          <w:p w14:paraId="43A337F9" w14:textId="77777777" w:rsidR="00A4283D" w:rsidRPr="004F469F" w:rsidRDefault="00A4283D" w:rsidP="00A4283D">
            <w:pPr>
              <w:jc w:val="center"/>
              <w:rPr>
                <w:sz w:val="20"/>
                <w:szCs w:val="20"/>
              </w:rPr>
            </w:pPr>
            <w:r w:rsidRPr="004F469F">
              <w:rPr>
                <w:sz w:val="20"/>
                <w:szCs w:val="20"/>
              </w:rPr>
              <w:t>66,460</w:t>
            </w:r>
          </w:p>
        </w:tc>
        <w:tc>
          <w:tcPr>
            <w:tcW w:w="752" w:type="dxa"/>
            <w:tcBorders>
              <w:top w:val="single" w:sz="18" w:space="0" w:color="auto"/>
              <w:left w:val="nil"/>
              <w:bottom w:val="single" w:sz="4" w:space="0" w:color="auto"/>
              <w:right w:val="single" w:sz="4" w:space="0" w:color="auto"/>
            </w:tcBorders>
            <w:shd w:val="clear" w:color="auto" w:fill="auto"/>
            <w:noWrap/>
            <w:vAlign w:val="center"/>
            <w:hideMark/>
          </w:tcPr>
          <w:p w14:paraId="67A71CE7" w14:textId="77777777" w:rsidR="00A4283D" w:rsidRPr="004F469F" w:rsidRDefault="00A4283D" w:rsidP="00A4283D">
            <w:pPr>
              <w:jc w:val="center"/>
              <w:rPr>
                <w:sz w:val="20"/>
                <w:szCs w:val="20"/>
              </w:rPr>
            </w:pPr>
            <w:r w:rsidRPr="004F469F">
              <w:rPr>
                <w:sz w:val="20"/>
                <w:szCs w:val="20"/>
              </w:rPr>
              <w:t>38.75</w:t>
            </w:r>
          </w:p>
        </w:tc>
        <w:tc>
          <w:tcPr>
            <w:tcW w:w="766" w:type="dxa"/>
            <w:tcBorders>
              <w:top w:val="single" w:sz="18" w:space="0" w:color="auto"/>
              <w:left w:val="nil"/>
              <w:bottom w:val="single" w:sz="4" w:space="0" w:color="auto"/>
              <w:right w:val="single" w:sz="18" w:space="0" w:color="auto"/>
            </w:tcBorders>
            <w:shd w:val="clear" w:color="auto" w:fill="auto"/>
            <w:noWrap/>
            <w:vAlign w:val="center"/>
            <w:hideMark/>
          </w:tcPr>
          <w:p w14:paraId="110CB4C5" w14:textId="77777777" w:rsidR="00A4283D" w:rsidRPr="004F469F" w:rsidRDefault="00A4283D" w:rsidP="00A4283D">
            <w:pPr>
              <w:jc w:val="center"/>
              <w:rPr>
                <w:sz w:val="20"/>
                <w:szCs w:val="20"/>
              </w:rPr>
            </w:pPr>
            <w:r w:rsidRPr="004F469F">
              <w:rPr>
                <w:sz w:val="20"/>
                <w:szCs w:val="20"/>
              </w:rPr>
              <w:t>5.78</w:t>
            </w:r>
          </w:p>
        </w:tc>
      </w:tr>
      <w:tr w:rsidR="00494669" w:rsidRPr="004F469F" w14:paraId="1D959F69"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4DD53F60" w14:textId="77777777" w:rsidR="00A4283D" w:rsidRPr="004F469F" w:rsidRDefault="00A4283D" w:rsidP="00A4283D">
            <w:pPr>
              <w:jc w:val="center"/>
              <w:rPr>
                <w:sz w:val="20"/>
                <w:szCs w:val="20"/>
              </w:rPr>
            </w:pP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8ED1C6C"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B6806D9" w14:textId="77777777" w:rsidR="00A4283D" w:rsidRPr="004F469F" w:rsidRDefault="00A4283D" w:rsidP="00A4283D">
            <w:pPr>
              <w:jc w:val="center"/>
              <w:rPr>
                <w:sz w:val="20"/>
                <w:szCs w:val="20"/>
              </w:rPr>
            </w:pPr>
            <w:r w:rsidRPr="004F469F">
              <w:rPr>
                <w:sz w:val="20"/>
                <w:szCs w:val="20"/>
              </w:rPr>
              <w:t>4,613</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30DB5B5F" w14:textId="77777777" w:rsidR="00A4283D" w:rsidRPr="004F469F" w:rsidRDefault="00A4283D" w:rsidP="00A4283D">
            <w:pPr>
              <w:jc w:val="center"/>
              <w:rPr>
                <w:sz w:val="20"/>
                <w:szCs w:val="20"/>
              </w:rPr>
            </w:pPr>
            <w:r w:rsidRPr="004F469F">
              <w:rPr>
                <w:sz w:val="20"/>
                <w:szCs w:val="20"/>
              </w:rPr>
              <w:t>11,443</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6A4D0940" w14:textId="77777777" w:rsidR="00A4283D" w:rsidRPr="004F469F" w:rsidRDefault="00A4283D" w:rsidP="00A4283D">
            <w:pPr>
              <w:jc w:val="center"/>
              <w:rPr>
                <w:sz w:val="20"/>
                <w:szCs w:val="20"/>
              </w:rPr>
            </w:pPr>
            <w:r w:rsidRPr="004F469F">
              <w:rPr>
                <w:sz w:val="20"/>
                <w:szCs w:val="20"/>
              </w:rPr>
              <w:t>48,435</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2868CFDE" w14:textId="77777777" w:rsidR="00A4283D" w:rsidRPr="004F469F" w:rsidRDefault="00A4283D" w:rsidP="00A4283D">
            <w:pPr>
              <w:jc w:val="center"/>
              <w:rPr>
                <w:sz w:val="20"/>
                <w:szCs w:val="20"/>
              </w:rPr>
            </w:pPr>
            <w:r w:rsidRPr="004F469F">
              <w:rPr>
                <w:sz w:val="20"/>
                <w:szCs w:val="20"/>
              </w:rPr>
              <w:t>72,677</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57FB358A" w14:textId="77777777" w:rsidR="00A4283D" w:rsidRPr="004F469F" w:rsidRDefault="00A4283D" w:rsidP="00A4283D">
            <w:pPr>
              <w:jc w:val="center"/>
              <w:rPr>
                <w:sz w:val="20"/>
                <w:szCs w:val="20"/>
              </w:rPr>
            </w:pPr>
            <w:r w:rsidRPr="004F469F">
              <w:rPr>
                <w:sz w:val="20"/>
                <w:szCs w:val="20"/>
              </w:rPr>
              <w:t>104,758</w:t>
            </w:r>
          </w:p>
        </w:tc>
        <w:tc>
          <w:tcPr>
            <w:tcW w:w="752" w:type="dxa"/>
            <w:tcBorders>
              <w:top w:val="single" w:sz="4" w:space="0" w:color="auto"/>
              <w:left w:val="nil"/>
              <w:bottom w:val="single" w:sz="4" w:space="0" w:color="auto"/>
              <w:right w:val="single" w:sz="4" w:space="0" w:color="auto"/>
            </w:tcBorders>
            <w:shd w:val="clear" w:color="auto" w:fill="auto"/>
            <w:noWrap/>
            <w:vAlign w:val="center"/>
            <w:hideMark/>
          </w:tcPr>
          <w:p w14:paraId="5B41CA52" w14:textId="77777777" w:rsidR="00A4283D" w:rsidRPr="004F469F" w:rsidRDefault="00A4283D" w:rsidP="00A4283D">
            <w:pPr>
              <w:jc w:val="center"/>
              <w:rPr>
                <w:sz w:val="20"/>
                <w:szCs w:val="20"/>
              </w:rPr>
            </w:pPr>
            <w:r w:rsidRPr="004F469F">
              <w:rPr>
                <w:sz w:val="20"/>
                <w:szCs w:val="20"/>
              </w:rPr>
              <w:t>48.65</w:t>
            </w:r>
          </w:p>
        </w:tc>
        <w:tc>
          <w:tcPr>
            <w:tcW w:w="766" w:type="dxa"/>
            <w:tcBorders>
              <w:top w:val="single" w:sz="4" w:space="0" w:color="auto"/>
              <w:left w:val="nil"/>
              <w:bottom w:val="single" w:sz="4" w:space="0" w:color="auto"/>
              <w:right w:val="single" w:sz="18" w:space="0" w:color="auto"/>
            </w:tcBorders>
            <w:shd w:val="clear" w:color="auto" w:fill="auto"/>
            <w:noWrap/>
            <w:vAlign w:val="center"/>
            <w:hideMark/>
          </w:tcPr>
          <w:p w14:paraId="05FB87CE" w14:textId="77777777" w:rsidR="00A4283D" w:rsidRPr="004F469F" w:rsidRDefault="00A4283D" w:rsidP="00A4283D">
            <w:pPr>
              <w:jc w:val="center"/>
              <w:rPr>
                <w:sz w:val="20"/>
                <w:szCs w:val="20"/>
              </w:rPr>
            </w:pPr>
            <w:r w:rsidRPr="004F469F">
              <w:rPr>
                <w:sz w:val="20"/>
                <w:szCs w:val="20"/>
              </w:rPr>
              <w:t>18.56</w:t>
            </w:r>
          </w:p>
        </w:tc>
      </w:tr>
      <w:tr w:rsidR="00494669" w:rsidRPr="004F469F" w14:paraId="64717CD2" w14:textId="77777777" w:rsidTr="00CD1B92">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1011541E" w14:textId="77777777" w:rsidR="00A4283D" w:rsidRPr="004F469F" w:rsidRDefault="00A4283D" w:rsidP="00A4283D">
            <w:pPr>
              <w:jc w:val="center"/>
              <w:rPr>
                <w:sz w:val="20"/>
                <w:szCs w:val="20"/>
              </w:rPr>
            </w:pPr>
          </w:p>
        </w:tc>
        <w:tc>
          <w:tcPr>
            <w:tcW w:w="1440" w:type="dxa"/>
            <w:tcBorders>
              <w:top w:val="single" w:sz="4" w:space="0" w:color="auto"/>
              <w:left w:val="nil"/>
              <w:bottom w:val="single" w:sz="12" w:space="0" w:color="auto"/>
              <w:right w:val="single" w:sz="4" w:space="0" w:color="auto"/>
            </w:tcBorders>
            <w:shd w:val="clear" w:color="auto" w:fill="auto"/>
            <w:noWrap/>
            <w:vAlign w:val="center"/>
            <w:hideMark/>
          </w:tcPr>
          <w:p w14:paraId="03D4B5A1"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124893D8" w14:textId="77777777" w:rsidR="00A4283D" w:rsidRPr="004F469F" w:rsidRDefault="00A4283D" w:rsidP="00A4283D">
            <w:pPr>
              <w:jc w:val="center"/>
              <w:rPr>
                <w:sz w:val="20"/>
                <w:szCs w:val="20"/>
              </w:rPr>
            </w:pPr>
            <w:r w:rsidRPr="004F469F">
              <w:rPr>
                <w:sz w:val="20"/>
                <w:szCs w:val="20"/>
              </w:rPr>
              <w:t>8,040</w:t>
            </w:r>
          </w:p>
        </w:tc>
        <w:tc>
          <w:tcPr>
            <w:tcW w:w="810" w:type="dxa"/>
            <w:tcBorders>
              <w:top w:val="single" w:sz="4" w:space="0" w:color="auto"/>
              <w:left w:val="nil"/>
              <w:bottom w:val="single" w:sz="12" w:space="0" w:color="auto"/>
              <w:right w:val="single" w:sz="4" w:space="0" w:color="auto"/>
            </w:tcBorders>
            <w:shd w:val="clear" w:color="auto" w:fill="auto"/>
            <w:noWrap/>
            <w:vAlign w:val="center"/>
            <w:hideMark/>
          </w:tcPr>
          <w:p w14:paraId="055C7B59" w14:textId="77777777" w:rsidR="00A4283D" w:rsidRPr="004F469F" w:rsidRDefault="00A4283D" w:rsidP="00A4283D">
            <w:pPr>
              <w:jc w:val="center"/>
              <w:rPr>
                <w:sz w:val="20"/>
                <w:szCs w:val="20"/>
              </w:rPr>
            </w:pPr>
            <w:r w:rsidRPr="004F469F">
              <w:rPr>
                <w:sz w:val="20"/>
                <w:szCs w:val="20"/>
              </w:rPr>
              <w:t>19,351</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47F4A973" w14:textId="77777777" w:rsidR="00A4283D" w:rsidRPr="004F469F" w:rsidRDefault="00A4283D" w:rsidP="00A4283D">
            <w:pPr>
              <w:jc w:val="center"/>
              <w:rPr>
                <w:sz w:val="20"/>
                <w:szCs w:val="20"/>
              </w:rPr>
            </w:pPr>
            <w:r w:rsidRPr="004F469F">
              <w:rPr>
                <w:sz w:val="20"/>
                <w:szCs w:val="20"/>
              </w:rPr>
              <w:t>80,243</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10156963" w14:textId="77777777" w:rsidR="00A4283D" w:rsidRPr="004F469F" w:rsidRDefault="00A4283D" w:rsidP="00A4283D">
            <w:pPr>
              <w:jc w:val="center"/>
              <w:rPr>
                <w:sz w:val="20"/>
                <w:szCs w:val="20"/>
              </w:rPr>
            </w:pPr>
            <w:r w:rsidRPr="004F469F">
              <w:rPr>
                <w:sz w:val="20"/>
                <w:szCs w:val="20"/>
              </w:rPr>
              <w:t>107,700</w:t>
            </w:r>
          </w:p>
        </w:tc>
        <w:tc>
          <w:tcPr>
            <w:tcW w:w="780" w:type="dxa"/>
            <w:tcBorders>
              <w:top w:val="single" w:sz="4" w:space="0" w:color="auto"/>
              <w:left w:val="nil"/>
              <w:bottom w:val="single" w:sz="12" w:space="0" w:color="auto"/>
              <w:right w:val="single" w:sz="4" w:space="0" w:color="auto"/>
            </w:tcBorders>
            <w:shd w:val="clear" w:color="auto" w:fill="auto"/>
            <w:noWrap/>
            <w:vAlign w:val="center"/>
            <w:hideMark/>
          </w:tcPr>
          <w:p w14:paraId="2078AED1" w14:textId="77777777" w:rsidR="00A4283D" w:rsidRPr="004F469F" w:rsidRDefault="00A4283D" w:rsidP="00A4283D">
            <w:pPr>
              <w:jc w:val="center"/>
              <w:rPr>
                <w:sz w:val="20"/>
                <w:szCs w:val="20"/>
              </w:rPr>
            </w:pPr>
            <w:r w:rsidRPr="004F469F">
              <w:rPr>
                <w:sz w:val="20"/>
                <w:szCs w:val="20"/>
              </w:rPr>
              <w:t>187,483</w:t>
            </w:r>
          </w:p>
        </w:tc>
        <w:tc>
          <w:tcPr>
            <w:tcW w:w="752" w:type="dxa"/>
            <w:tcBorders>
              <w:top w:val="single" w:sz="4" w:space="0" w:color="auto"/>
              <w:left w:val="nil"/>
              <w:bottom w:val="single" w:sz="12" w:space="0" w:color="auto"/>
              <w:right w:val="single" w:sz="4" w:space="0" w:color="auto"/>
            </w:tcBorders>
            <w:shd w:val="clear" w:color="auto" w:fill="auto"/>
            <w:noWrap/>
            <w:vAlign w:val="center"/>
            <w:hideMark/>
          </w:tcPr>
          <w:p w14:paraId="50D75613" w14:textId="77777777" w:rsidR="00A4283D" w:rsidRPr="004F469F" w:rsidRDefault="00A4283D" w:rsidP="00A4283D">
            <w:pPr>
              <w:jc w:val="center"/>
              <w:rPr>
                <w:sz w:val="20"/>
                <w:szCs w:val="20"/>
              </w:rPr>
            </w:pPr>
            <w:r w:rsidRPr="004F469F">
              <w:rPr>
                <w:sz w:val="20"/>
                <w:szCs w:val="20"/>
              </w:rPr>
              <w:t>58.24</w:t>
            </w:r>
          </w:p>
        </w:tc>
        <w:tc>
          <w:tcPr>
            <w:tcW w:w="766" w:type="dxa"/>
            <w:tcBorders>
              <w:top w:val="single" w:sz="4" w:space="0" w:color="auto"/>
              <w:left w:val="nil"/>
              <w:bottom w:val="single" w:sz="12" w:space="0" w:color="auto"/>
              <w:right w:val="single" w:sz="18" w:space="0" w:color="auto"/>
            </w:tcBorders>
            <w:shd w:val="clear" w:color="auto" w:fill="auto"/>
            <w:noWrap/>
            <w:vAlign w:val="center"/>
            <w:hideMark/>
          </w:tcPr>
          <w:p w14:paraId="700E020C" w14:textId="77777777" w:rsidR="00A4283D" w:rsidRPr="004F469F" w:rsidRDefault="00A4283D" w:rsidP="00A4283D">
            <w:pPr>
              <w:jc w:val="center"/>
              <w:rPr>
                <w:sz w:val="20"/>
                <w:szCs w:val="20"/>
              </w:rPr>
            </w:pPr>
            <w:r w:rsidRPr="004F469F">
              <w:rPr>
                <w:sz w:val="20"/>
                <w:szCs w:val="20"/>
              </w:rPr>
              <w:t>31.11</w:t>
            </w:r>
          </w:p>
        </w:tc>
      </w:tr>
      <w:tr w:rsidR="00A4283D" w:rsidRPr="004F469F" w14:paraId="21A7C203" w14:textId="77777777" w:rsidTr="00CD1B92">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70CE64DE" w14:textId="77777777" w:rsidR="00A4283D" w:rsidRPr="004F469F" w:rsidRDefault="00A4283D" w:rsidP="00A4283D">
            <w:pPr>
              <w:jc w:val="center"/>
              <w:rPr>
                <w:sz w:val="20"/>
                <w:szCs w:val="20"/>
              </w:rPr>
            </w:pPr>
          </w:p>
        </w:tc>
        <w:tc>
          <w:tcPr>
            <w:tcW w:w="1440" w:type="dxa"/>
            <w:tcBorders>
              <w:top w:val="single" w:sz="12" w:space="0" w:color="auto"/>
              <w:left w:val="nil"/>
              <w:bottom w:val="single" w:sz="18" w:space="0" w:color="auto"/>
              <w:right w:val="single" w:sz="4" w:space="0" w:color="auto"/>
            </w:tcBorders>
            <w:shd w:val="clear" w:color="auto" w:fill="auto"/>
            <w:noWrap/>
            <w:vAlign w:val="center"/>
            <w:hideMark/>
          </w:tcPr>
          <w:p w14:paraId="39009E06"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67BB0BF1" w14:textId="77777777" w:rsidR="00A4283D" w:rsidRPr="004F469F" w:rsidRDefault="00A4283D" w:rsidP="00A4283D">
            <w:pPr>
              <w:jc w:val="center"/>
              <w:rPr>
                <w:i/>
                <w:iCs/>
                <w:sz w:val="20"/>
                <w:szCs w:val="20"/>
              </w:rPr>
            </w:pPr>
            <w:r w:rsidRPr="004F469F">
              <w:rPr>
                <w:i/>
                <w:iCs/>
                <w:sz w:val="20"/>
                <w:szCs w:val="20"/>
              </w:rPr>
              <w:t>3,820</w:t>
            </w:r>
          </w:p>
        </w:tc>
        <w:tc>
          <w:tcPr>
            <w:tcW w:w="810" w:type="dxa"/>
            <w:tcBorders>
              <w:top w:val="single" w:sz="12" w:space="0" w:color="auto"/>
              <w:left w:val="nil"/>
              <w:bottom w:val="single" w:sz="18" w:space="0" w:color="auto"/>
              <w:right w:val="single" w:sz="4" w:space="0" w:color="auto"/>
            </w:tcBorders>
            <w:shd w:val="clear" w:color="auto" w:fill="auto"/>
            <w:noWrap/>
            <w:vAlign w:val="center"/>
            <w:hideMark/>
          </w:tcPr>
          <w:p w14:paraId="0DC60C7F" w14:textId="77777777" w:rsidR="00A4283D" w:rsidRPr="004F469F" w:rsidRDefault="00A4283D" w:rsidP="00A4283D">
            <w:pPr>
              <w:jc w:val="center"/>
              <w:rPr>
                <w:i/>
                <w:iCs/>
                <w:sz w:val="20"/>
                <w:szCs w:val="20"/>
              </w:rPr>
            </w:pPr>
            <w:r w:rsidRPr="004F469F">
              <w:rPr>
                <w:i/>
                <w:iCs/>
                <w:sz w:val="20"/>
                <w:szCs w:val="20"/>
              </w:rPr>
              <w:t>8,396</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01DA25DA" w14:textId="77777777" w:rsidR="00A4283D" w:rsidRPr="004F469F" w:rsidRDefault="00A4283D" w:rsidP="00A4283D">
            <w:pPr>
              <w:jc w:val="center"/>
              <w:rPr>
                <w:i/>
                <w:iCs/>
                <w:sz w:val="20"/>
                <w:szCs w:val="20"/>
              </w:rPr>
            </w:pPr>
            <w:r w:rsidRPr="004F469F">
              <w:rPr>
                <w:i/>
                <w:iCs/>
                <w:sz w:val="20"/>
                <w:szCs w:val="20"/>
              </w:rPr>
              <w:t>31,979</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28EADB23" w14:textId="77777777" w:rsidR="00A4283D" w:rsidRPr="004F469F" w:rsidRDefault="00A4283D" w:rsidP="00A4283D">
            <w:pPr>
              <w:jc w:val="center"/>
              <w:rPr>
                <w:i/>
                <w:iCs/>
                <w:sz w:val="20"/>
                <w:szCs w:val="20"/>
              </w:rPr>
            </w:pPr>
            <w:r w:rsidRPr="004F469F">
              <w:rPr>
                <w:i/>
                <w:iCs/>
                <w:sz w:val="20"/>
                <w:szCs w:val="20"/>
              </w:rPr>
              <w:t>46,747</w:t>
            </w:r>
          </w:p>
        </w:tc>
        <w:tc>
          <w:tcPr>
            <w:tcW w:w="780" w:type="dxa"/>
            <w:tcBorders>
              <w:top w:val="single" w:sz="12" w:space="0" w:color="auto"/>
              <w:left w:val="nil"/>
              <w:bottom w:val="single" w:sz="18" w:space="0" w:color="auto"/>
              <w:right w:val="single" w:sz="4" w:space="0" w:color="auto"/>
            </w:tcBorders>
            <w:shd w:val="clear" w:color="auto" w:fill="auto"/>
            <w:noWrap/>
            <w:vAlign w:val="center"/>
            <w:hideMark/>
          </w:tcPr>
          <w:p w14:paraId="54E5975F" w14:textId="77777777" w:rsidR="00A4283D" w:rsidRPr="004F469F" w:rsidRDefault="00A4283D" w:rsidP="00A4283D">
            <w:pPr>
              <w:jc w:val="center"/>
              <w:rPr>
                <w:i/>
                <w:iCs/>
                <w:sz w:val="20"/>
                <w:szCs w:val="20"/>
              </w:rPr>
            </w:pPr>
            <w:r w:rsidRPr="004F469F">
              <w:rPr>
                <w:i/>
                <w:iCs/>
                <w:sz w:val="20"/>
                <w:szCs w:val="20"/>
              </w:rPr>
              <w:t>68,203</w:t>
            </w:r>
          </w:p>
        </w:tc>
        <w:tc>
          <w:tcPr>
            <w:tcW w:w="752" w:type="dxa"/>
            <w:tcBorders>
              <w:top w:val="single" w:sz="12" w:space="0" w:color="auto"/>
              <w:left w:val="nil"/>
              <w:bottom w:val="single" w:sz="18" w:space="0" w:color="auto"/>
              <w:right w:val="single" w:sz="4" w:space="0" w:color="auto"/>
            </w:tcBorders>
            <w:shd w:val="clear" w:color="auto" w:fill="auto"/>
            <w:noWrap/>
            <w:vAlign w:val="center"/>
            <w:hideMark/>
          </w:tcPr>
          <w:p w14:paraId="06ECF733" w14:textId="77777777" w:rsidR="00A4283D" w:rsidRPr="004F469F" w:rsidRDefault="00A4283D" w:rsidP="00A4283D">
            <w:pPr>
              <w:jc w:val="center"/>
              <w:rPr>
                <w:i/>
                <w:iCs/>
                <w:sz w:val="20"/>
                <w:szCs w:val="20"/>
              </w:rPr>
            </w:pPr>
            <w:r w:rsidRPr="004F469F">
              <w:rPr>
                <w:i/>
                <w:iCs/>
                <w:sz w:val="20"/>
                <w:szCs w:val="20"/>
              </w:rPr>
              <w:t>43.55</w:t>
            </w:r>
          </w:p>
        </w:tc>
        <w:tc>
          <w:tcPr>
            <w:tcW w:w="766" w:type="dxa"/>
            <w:tcBorders>
              <w:top w:val="single" w:sz="12" w:space="0" w:color="auto"/>
              <w:left w:val="nil"/>
              <w:bottom w:val="single" w:sz="18" w:space="0" w:color="auto"/>
              <w:right w:val="single" w:sz="18" w:space="0" w:color="auto"/>
            </w:tcBorders>
            <w:shd w:val="clear" w:color="auto" w:fill="auto"/>
            <w:noWrap/>
            <w:vAlign w:val="center"/>
            <w:hideMark/>
          </w:tcPr>
          <w:p w14:paraId="4BD41148" w14:textId="77777777" w:rsidR="00A4283D" w:rsidRPr="004F469F" w:rsidRDefault="00A4283D" w:rsidP="00A4283D">
            <w:pPr>
              <w:jc w:val="center"/>
              <w:rPr>
                <w:i/>
                <w:iCs/>
                <w:sz w:val="20"/>
                <w:szCs w:val="20"/>
              </w:rPr>
            </w:pPr>
            <w:r w:rsidRPr="004F469F">
              <w:rPr>
                <w:i/>
                <w:iCs/>
                <w:sz w:val="20"/>
                <w:szCs w:val="20"/>
              </w:rPr>
              <w:t>13.14</w:t>
            </w:r>
          </w:p>
        </w:tc>
      </w:tr>
    </w:tbl>
    <w:p w14:paraId="3BCAB22D" w14:textId="77777777" w:rsidR="00A4283D" w:rsidRPr="004F469F" w:rsidRDefault="00A4283D" w:rsidP="00A4283D">
      <w:pPr>
        <w:widowControl w:val="0"/>
        <w:autoSpaceDE w:val="0"/>
        <w:autoSpaceDN w:val="0"/>
        <w:adjustRightInd w:val="0"/>
        <w:rPr>
          <w:sz w:val="20"/>
          <w:szCs w:val="20"/>
        </w:rPr>
      </w:pPr>
    </w:p>
    <w:p w14:paraId="6A222DF4" w14:textId="77777777" w:rsidR="00A4283D" w:rsidRPr="004F469F" w:rsidRDefault="00A4283D" w:rsidP="00A4283D">
      <w:pPr>
        <w:widowControl w:val="0"/>
        <w:autoSpaceDE w:val="0"/>
        <w:autoSpaceDN w:val="0"/>
        <w:adjustRightInd w:val="0"/>
        <w:rPr>
          <w:sz w:val="20"/>
          <w:szCs w:val="20"/>
        </w:rPr>
      </w:pPr>
    </w:p>
    <w:p w14:paraId="3C49E007" w14:textId="77777777" w:rsidR="00A4283D" w:rsidRPr="004F469F" w:rsidRDefault="00A4283D" w:rsidP="00A4283D">
      <w:pPr>
        <w:widowControl w:val="0"/>
        <w:autoSpaceDE w:val="0"/>
        <w:autoSpaceDN w:val="0"/>
        <w:adjustRightInd w:val="0"/>
        <w:rPr>
          <w:sz w:val="20"/>
          <w:szCs w:val="20"/>
        </w:rPr>
      </w:pPr>
    </w:p>
    <w:p w14:paraId="73B942FC" w14:textId="77777777" w:rsidR="00A4283D" w:rsidRPr="004F469F" w:rsidRDefault="00A4283D" w:rsidP="00A4283D">
      <w:pPr>
        <w:widowControl w:val="0"/>
        <w:autoSpaceDE w:val="0"/>
        <w:autoSpaceDN w:val="0"/>
        <w:adjustRightInd w:val="0"/>
        <w:rPr>
          <w:sz w:val="20"/>
          <w:szCs w:val="20"/>
        </w:rPr>
      </w:pPr>
    </w:p>
    <w:p w14:paraId="632BDDFB" w14:textId="77777777" w:rsidR="00A4283D" w:rsidRPr="004F469F" w:rsidRDefault="00A4283D" w:rsidP="00A4283D">
      <w:pPr>
        <w:widowControl w:val="0"/>
        <w:autoSpaceDE w:val="0"/>
        <w:autoSpaceDN w:val="0"/>
        <w:adjustRightInd w:val="0"/>
        <w:rPr>
          <w:sz w:val="20"/>
          <w:szCs w:val="20"/>
        </w:rPr>
      </w:pPr>
    </w:p>
    <w:p w14:paraId="2074EC03" w14:textId="77777777" w:rsidR="00A4283D" w:rsidRPr="004F469F" w:rsidRDefault="00A4283D" w:rsidP="00A4283D">
      <w:pPr>
        <w:widowControl w:val="0"/>
        <w:autoSpaceDE w:val="0"/>
        <w:autoSpaceDN w:val="0"/>
        <w:adjustRightInd w:val="0"/>
        <w:rPr>
          <w:sz w:val="20"/>
          <w:szCs w:val="20"/>
        </w:rPr>
      </w:pPr>
    </w:p>
    <w:p w14:paraId="47E0E074" w14:textId="77777777" w:rsidR="00A4283D" w:rsidRPr="004F469F" w:rsidRDefault="00A4283D" w:rsidP="00A4283D">
      <w:pPr>
        <w:widowControl w:val="0"/>
        <w:autoSpaceDE w:val="0"/>
        <w:autoSpaceDN w:val="0"/>
        <w:adjustRightInd w:val="0"/>
        <w:rPr>
          <w:sz w:val="20"/>
          <w:szCs w:val="20"/>
        </w:rPr>
      </w:pPr>
    </w:p>
    <w:p w14:paraId="09D3BBD9" w14:textId="77777777" w:rsidR="00A4283D" w:rsidRPr="004F469F" w:rsidRDefault="00A4283D" w:rsidP="00A4283D">
      <w:pPr>
        <w:widowControl w:val="0"/>
        <w:autoSpaceDE w:val="0"/>
        <w:autoSpaceDN w:val="0"/>
        <w:adjustRightInd w:val="0"/>
        <w:rPr>
          <w:sz w:val="20"/>
          <w:szCs w:val="20"/>
        </w:rPr>
      </w:pPr>
    </w:p>
    <w:p w14:paraId="3C9EC4D5" w14:textId="77777777" w:rsidR="00A4283D" w:rsidRPr="004F469F" w:rsidRDefault="00A4283D" w:rsidP="00A4283D">
      <w:pPr>
        <w:widowControl w:val="0"/>
        <w:autoSpaceDE w:val="0"/>
        <w:autoSpaceDN w:val="0"/>
        <w:adjustRightInd w:val="0"/>
        <w:rPr>
          <w:sz w:val="20"/>
          <w:szCs w:val="20"/>
        </w:rPr>
      </w:pPr>
    </w:p>
    <w:p w14:paraId="28046CC5" w14:textId="77777777" w:rsidR="00A4283D" w:rsidRPr="004F469F" w:rsidRDefault="00A4283D" w:rsidP="00A4283D">
      <w:pPr>
        <w:widowControl w:val="0"/>
        <w:autoSpaceDE w:val="0"/>
        <w:autoSpaceDN w:val="0"/>
        <w:adjustRightInd w:val="0"/>
        <w:rPr>
          <w:sz w:val="20"/>
          <w:szCs w:val="20"/>
        </w:rPr>
      </w:pPr>
    </w:p>
    <w:p w14:paraId="06F514C7" w14:textId="4CFC6620" w:rsidR="00A4283D" w:rsidRPr="004F469F" w:rsidRDefault="00A4283D" w:rsidP="00A4283D">
      <w:pPr>
        <w:widowControl w:val="0"/>
        <w:autoSpaceDE w:val="0"/>
        <w:autoSpaceDN w:val="0"/>
        <w:adjustRightInd w:val="0"/>
        <w:rPr>
          <w:sz w:val="20"/>
          <w:szCs w:val="20"/>
        </w:rPr>
      </w:pPr>
    </w:p>
    <w:p w14:paraId="09E6A635" w14:textId="7082E4CA" w:rsidR="00E85563" w:rsidRPr="004F469F" w:rsidRDefault="00E85563" w:rsidP="00A4283D">
      <w:pPr>
        <w:widowControl w:val="0"/>
        <w:autoSpaceDE w:val="0"/>
        <w:autoSpaceDN w:val="0"/>
        <w:adjustRightInd w:val="0"/>
        <w:rPr>
          <w:sz w:val="20"/>
          <w:szCs w:val="20"/>
        </w:rPr>
      </w:pPr>
    </w:p>
    <w:p w14:paraId="689019A8" w14:textId="7B354108" w:rsidR="00E85563" w:rsidRPr="004F469F" w:rsidRDefault="00E85563" w:rsidP="00A4283D">
      <w:pPr>
        <w:widowControl w:val="0"/>
        <w:autoSpaceDE w:val="0"/>
        <w:autoSpaceDN w:val="0"/>
        <w:adjustRightInd w:val="0"/>
        <w:rPr>
          <w:sz w:val="20"/>
          <w:szCs w:val="20"/>
        </w:rPr>
      </w:pPr>
    </w:p>
    <w:p w14:paraId="450CCB8A" w14:textId="16E93BE3" w:rsidR="00E85563" w:rsidRPr="004F469F" w:rsidRDefault="00E85563" w:rsidP="00A4283D">
      <w:pPr>
        <w:widowControl w:val="0"/>
        <w:autoSpaceDE w:val="0"/>
        <w:autoSpaceDN w:val="0"/>
        <w:adjustRightInd w:val="0"/>
        <w:rPr>
          <w:sz w:val="20"/>
          <w:szCs w:val="20"/>
        </w:rPr>
      </w:pPr>
    </w:p>
    <w:p w14:paraId="0CAB2346" w14:textId="1C74E390" w:rsidR="00E85563" w:rsidRPr="004F469F" w:rsidRDefault="00E85563" w:rsidP="00A4283D">
      <w:pPr>
        <w:widowControl w:val="0"/>
        <w:autoSpaceDE w:val="0"/>
        <w:autoSpaceDN w:val="0"/>
        <w:adjustRightInd w:val="0"/>
        <w:rPr>
          <w:sz w:val="20"/>
          <w:szCs w:val="20"/>
        </w:rPr>
      </w:pPr>
    </w:p>
    <w:p w14:paraId="4B4AC874" w14:textId="0EF8EC60" w:rsidR="00E85563" w:rsidRPr="004F469F" w:rsidRDefault="00E85563" w:rsidP="00A4283D">
      <w:pPr>
        <w:widowControl w:val="0"/>
        <w:autoSpaceDE w:val="0"/>
        <w:autoSpaceDN w:val="0"/>
        <w:adjustRightInd w:val="0"/>
        <w:rPr>
          <w:sz w:val="20"/>
          <w:szCs w:val="20"/>
        </w:rPr>
      </w:pPr>
    </w:p>
    <w:p w14:paraId="7E90D75E" w14:textId="15A32FB5" w:rsidR="00E85563" w:rsidRPr="004F469F" w:rsidRDefault="00E85563" w:rsidP="00A4283D">
      <w:pPr>
        <w:widowControl w:val="0"/>
        <w:autoSpaceDE w:val="0"/>
        <w:autoSpaceDN w:val="0"/>
        <w:adjustRightInd w:val="0"/>
        <w:rPr>
          <w:sz w:val="20"/>
          <w:szCs w:val="20"/>
        </w:rPr>
      </w:pPr>
    </w:p>
    <w:p w14:paraId="3069DE4A" w14:textId="688184D0" w:rsidR="00E85563" w:rsidRPr="004F469F" w:rsidRDefault="00E85563" w:rsidP="00A4283D">
      <w:pPr>
        <w:widowControl w:val="0"/>
        <w:autoSpaceDE w:val="0"/>
        <w:autoSpaceDN w:val="0"/>
        <w:adjustRightInd w:val="0"/>
        <w:rPr>
          <w:sz w:val="20"/>
          <w:szCs w:val="20"/>
        </w:rPr>
      </w:pPr>
    </w:p>
    <w:p w14:paraId="4BD107CA" w14:textId="2D249D43" w:rsidR="00E85563" w:rsidRPr="004F469F" w:rsidRDefault="00E85563" w:rsidP="00A4283D">
      <w:pPr>
        <w:widowControl w:val="0"/>
        <w:autoSpaceDE w:val="0"/>
        <w:autoSpaceDN w:val="0"/>
        <w:adjustRightInd w:val="0"/>
        <w:rPr>
          <w:sz w:val="20"/>
          <w:szCs w:val="20"/>
        </w:rPr>
      </w:pPr>
    </w:p>
    <w:p w14:paraId="53F510D4" w14:textId="77777777" w:rsidR="00E85563" w:rsidRPr="004F469F" w:rsidRDefault="00E85563" w:rsidP="00A4283D">
      <w:pPr>
        <w:widowControl w:val="0"/>
        <w:autoSpaceDE w:val="0"/>
        <w:autoSpaceDN w:val="0"/>
        <w:adjustRightInd w:val="0"/>
        <w:rPr>
          <w:sz w:val="20"/>
          <w:szCs w:val="20"/>
        </w:rPr>
      </w:pPr>
    </w:p>
    <w:p w14:paraId="49F484C7" w14:textId="68A721DA" w:rsidR="00783C30" w:rsidRPr="00783C30" w:rsidRDefault="00783C30" w:rsidP="00783C30">
      <w:pPr>
        <w:pStyle w:val="Caption"/>
        <w:rPr>
          <w:rFonts w:ascii="Times New Roman" w:hAnsi="Times New Roman" w:cs="Times New Roman"/>
          <w:i w:val="0"/>
          <w:iCs w:val="0"/>
          <w:color w:val="auto"/>
          <w:sz w:val="24"/>
          <w:szCs w:val="24"/>
        </w:rPr>
      </w:pPr>
      <w:bookmarkStart w:id="99" w:name="_Toc22035006"/>
      <w:r w:rsidRPr="00783C30">
        <w:rPr>
          <w:rFonts w:ascii="Times New Roman" w:hAnsi="Times New Roman" w:cs="Times New Roman"/>
          <w:i w:val="0"/>
          <w:iCs w:val="0"/>
          <w:color w:val="auto"/>
          <w:sz w:val="24"/>
          <w:szCs w:val="24"/>
        </w:rPr>
        <w:lastRenderedPageBreak/>
        <w:t xml:space="preserve">Table </w:t>
      </w:r>
      <w:r w:rsidRPr="00783C30">
        <w:rPr>
          <w:rFonts w:ascii="Times New Roman" w:hAnsi="Times New Roman" w:cs="Times New Roman"/>
          <w:i w:val="0"/>
          <w:iCs w:val="0"/>
          <w:color w:val="auto"/>
          <w:sz w:val="24"/>
          <w:szCs w:val="24"/>
        </w:rPr>
        <w:fldChar w:fldCharType="begin"/>
      </w:r>
      <w:r w:rsidRPr="00783C30">
        <w:rPr>
          <w:rFonts w:ascii="Times New Roman" w:hAnsi="Times New Roman" w:cs="Times New Roman"/>
          <w:i w:val="0"/>
          <w:iCs w:val="0"/>
          <w:color w:val="auto"/>
          <w:sz w:val="24"/>
          <w:szCs w:val="24"/>
        </w:rPr>
        <w:instrText xml:space="preserve"> STYLEREF 1 \s </w:instrText>
      </w:r>
      <w:r w:rsidRP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Pr="00783C30">
        <w:rPr>
          <w:rFonts w:ascii="Times New Roman" w:hAnsi="Times New Roman" w:cs="Times New Roman"/>
          <w:i w:val="0"/>
          <w:iCs w:val="0"/>
          <w:color w:val="auto"/>
          <w:sz w:val="24"/>
          <w:szCs w:val="24"/>
        </w:rPr>
        <w:fldChar w:fldCharType="end"/>
      </w:r>
      <w:r w:rsidRPr="00783C30">
        <w:rPr>
          <w:rFonts w:ascii="Times New Roman" w:hAnsi="Times New Roman" w:cs="Times New Roman"/>
          <w:i w:val="0"/>
          <w:iCs w:val="0"/>
          <w:color w:val="auto"/>
          <w:sz w:val="24"/>
          <w:szCs w:val="24"/>
        </w:rPr>
        <w:t>.</w:t>
      </w:r>
      <w:r w:rsidRPr="00783C30">
        <w:rPr>
          <w:rFonts w:ascii="Times New Roman" w:hAnsi="Times New Roman" w:cs="Times New Roman"/>
          <w:i w:val="0"/>
          <w:iCs w:val="0"/>
          <w:color w:val="auto"/>
          <w:sz w:val="24"/>
          <w:szCs w:val="24"/>
        </w:rPr>
        <w:fldChar w:fldCharType="begin"/>
      </w:r>
      <w:r w:rsidRPr="00783C30">
        <w:rPr>
          <w:rFonts w:ascii="Times New Roman" w:hAnsi="Times New Roman" w:cs="Times New Roman"/>
          <w:i w:val="0"/>
          <w:iCs w:val="0"/>
          <w:color w:val="auto"/>
          <w:sz w:val="24"/>
          <w:szCs w:val="24"/>
        </w:rPr>
        <w:instrText xml:space="preserve"> SEQ Table \* ARABIC \s 1 </w:instrText>
      </w:r>
      <w:r w:rsidRP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6</w:t>
      </w:r>
      <w:r w:rsidRPr="00783C30">
        <w:rPr>
          <w:rFonts w:ascii="Times New Roman" w:hAnsi="Times New Roman" w:cs="Times New Roman"/>
          <w:i w:val="0"/>
          <w:iCs w:val="0"/>
          <w:color w:val="auto"/>
          <w:sz w:val="24"/>
          <w:szCs w:val="24"/>
        </w:rPr>
        <w:fldChar w:fldCharType="end"/>
      </w:r>
      <w:r w:rsidRPr="00783C30">
        <w:rPr>
          <w:rFonts w:ascii="Times New Roman" w:hAnsi="Times New Roman" w:cs="Times New Roman"/>
          <w:i w:val="0"/>
          <w:iCs w:val="0"/>
          <w:color w:val="auto"/>
          <w:sz w:val="24"/>
          <w:szCs w:val="24"/>
        </w:rPr>
        <w:t>. Same as for Table 4.5 but for</w:t>
      </w:r>
      <w:r w:rsidRPr="00783C30">
        <w:rPr>
          <w:rFonts w:ascii="Times New Roman" w:eastAsiaTheme="minorHAnsi" w:hAnsi="Times New Roman" w:cs="Times New Roman"/>
          <w:i w:val="0"/>
          <w:iCs w:val="0"/>
          <w:color w:val="auto"/>
          <w:sz w:val="24"/>
          <w:szCs w:val="24"/>
        </w:rPr>
        <w:t xml:space="preserve"> persons exposed to individual significant tornado damage paths</w:t>
      </w:r>
      <w:bookmarkEnd w:id="99"/>
    </w:p>
    <w:p w14:paraId="65B3EF54" w14:textId="77777777" w:rsidR="00E85563" w:rsidRPr="004F469F" w:rsidRDefault="00E85563" w:rsidP="008E73D1">
      <w:pPr>
        <w:widowControl w:val="0"/>
        <w:autoSpaceDE w:val="0"/>
        <w:autoSpaceDN w:val="0"/>
        <w:adjustRightInd w:val="0"/>
        <w:rPr>
          <w:sz w:val="20"/>
          <w:szCs w:val="20"/>
        </w:rPr>
      </w:pPr>
    </w:p>
    <w:tbl>
      <w:tblPr>
        <w:tblW w:w="8740" w:type="dxa"/>
        <w:tblLook w:val="04A0" w:firstRow="1" w:lastRow="0" w:firstColumn="1" w:lastColumn="0" w:noHBand="0" w:noVBand="1"/>
      </w:tblPr>
      <w:tblGrid>
        <w:gridCol w:w="1705"/>
        <w:gridCol w:w="1260"/>
        <w:gridCol w:w="900"/>
        <w:gridCol w:w="720"/>
        <w:gridCol w:w="766"/>
        <w:gridCol w:w="766"/>
        <w:gridCol w:w="866"/>
        <w:gridCol w:w="932"/>
        <w:gridCol w:w="825"/>
      </w:tblGrid>
      <w:tr w:rsidR="00494669" w:rsidRPr="004F469F" w14:paraId="34F8F008" w14:textId="77777777" w:rsidTr="00A4283D">
        <w:trPr>
          <w:trHeight w:val="600"/>
        </w:trPr>
        <w:tc>
          <w:tcPr>
            <w:tcW w:w="1705"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14:paraId="6F4A8267" w14:textId="77777777" w:rsidR="00A4283D" w:rsidRPr="004F469F" w:rsidRDefault="00A4283D" w:rsidP="00A4283D">
            <w:pPr>
              <w:rPr>
                <w:sz w:val="20"/>
                <w:szCs w:val="20"/>
              </w:rPr>
            </w:pPr>
            <w:r w:rsidRPr="004F469F">
              <w:rPr>
                <w:sz w:val="20"/>
                <w:szCs w:val="20"/>
              </w:rPr>
              <w:t> </w:t>
            </w:r>
          </w:p>
        </w:tc>
        <w:tc>
          <w:tcPr>
            <w:tcW w:w="1260" w:type="dxa"/>
            <w:tcBorders>
              <w:top w:val="single" w:sz="18" w:space="0" w:color="auto"/>
              <w:left w:val="nil"/>
              <w:bottom w:val="single" w:sz="4" w:space="0" w:color="auto"/>
              <w:right w:val="single" w:sz="4" w:space="0" w:color="auto"/>
            </w:tcBorders>
            <w:shd w:val="clear" w:color="auto" w:fill="auto"/>
            <w:noWrap/>
            <w:vAlign w:val="bottom"/>
            <w:hideMark/>
          </w:tcPr>
          <w:p w14:paraId="1879AA86" w14:textId="77777777" w:rsidR="00A4283D" w:rsidRPr="004F469F" w:rsidRDefault="00A4283D" w:rsidP="00A4283D">
            <w:pPr>
              <w:rPr>
                <w:sz w:val="20"/>
                <w:szCs w:val="20"/>
              </w:rPr>
            </w:pPr>
            <w:r w:rsidRPr="004F469F">
              <w:rPr>
                <w:sz w:val="20"/>
                <w:szCs w:val="20"/>
              </w:rPr>
              <w:t> </w:t>
            </w:r>
          </w:p>
        </w:tc>
        <w:tc>
          <w:tcPr>
            <w:tcW w:w="4018" w:type="dxa"/>
            <w:gridSpan w:val="5"/>
            <w:tcBorders>
              <w:top w:val="single" w:sz="18" w:space="0" w:color="auto"/>
              <w:left w:val="nil"/>
              <w:bottom w:val="single" w:sz="4" w:space="0" w:color="auto"/>
              <w:right w:val="single" w:sz="4" w:space="0" w:color="auto"/>
            </w:tcBorders>
            <w:shd w:val="clear" w:color="auto" w:fill="auto"/>
            <w:noWrap/>
            <w:vAlign w:val="bottom"/>
            <w:hideMark/>
          </w:tcPr>
          <w:p w14:paraId="0E8F88F6" w14:textId="77777777" w:rsidR="00A4283D" w:rsidRPr="004F469F" w:rsidRDefault="00A4283D" w:rsidP="00A4283D">
            <w:pPr>
              <w:jc w:val="center"/>
              <w:rPr>
                <w:b/>
                <w:bCs/>
                <w:sz w:val="20"/>
                <w:szCs w:val="20"/>
              </w:rPr>
            </w:pPr>
            <w:r w:rsidRPr="004F469F">
              <w:rPr>
                <w:b/>
                <w:bCs/>
                <w:sz w:val="20"/>
                <w:szCs w:val="20"/>
              </w:rPr>
              <w:t>Population Exposed</w:t>
            </w:r>
          </w:p>
        </w:tc>
        <w:tc>
          <w:tcPr>
            <w:tcW w:w="1757" w:type="dxa"/>
            <w:gridSpan w:val="2"/>
            <w:tcBorders>
              <w:top w:val="single" w:sz="18" w:space="0" w:color="auto"/>
              <w:left w:val="nil"/>
              <w:bottom w:val="single" w:sz="4" w:space="0" w:color="auto"/>
              <w:right w:val="single" w:sz="18" w:space="0" w:color="auto"/>
            </w:tcBorders>
            <w:shd w:val="clear" w:color="auto" w:fill="auto"/>
            <w:vAlign w:val="bottom"/>
            <w:hideMark/>
          </w:tcPr>
          <w:p w14:paraId="3385F446" w14:textId="4E100638" w:rsidR="00A4283D" w:rsidRPr="004F469F" w:rsidRDefault="00A4283D" w:rsidP="00A4283D">
            <w:pPr>
              <w:jc w:val="center"/>
              <w:rPr>
                <w:b/>
                <w:bCs/>
                <w:sz w:val="20"/>
                <w:szCs w:val="20"/>
              </w:rPr>
            </w:pPr>
            <w:r w:rsidRPr="004F469F">
              <w:rPr>
                <w:b/>
                <w:bCs/>
                <w:sz w:val="20"/>
                <w:szCs w:val="20"/>
              </w:rPr>
              <w:t>POE for Threshold</w:t>
            </w:r>
            <w:r w:rsidR="00CD1B92" w:rsidRPr="004F469F">
              <w:rPr>
                <w:b/>
                <w:bCs/>
                <w:sz w:val="20"/>
                <w:szCs w:val="20"/>
              </w:rPr>
              <w:t xml:space="preserve"> (%)</w:t>
            </w:r>
          </w:p>
        </w:tc>
      </w:tr>
      <w:tr w:rsidR="00494669" w:rsidRPr="004F469F" w14:paraId="6F503286" w14:textId="77777777" w:rsidTr="00A4283D">
        <w:trPr>
          <w:trHeight w:val="340"/>
        </w:trPr>
        <w:tc>
          <w:tcPr>
            <w:tcW w:w="1705" w:type="dxa"/>
            <w:tcBorders>
              <w:top w:val="nil"/>
              <w:left w:val="single" w:sz="18" w:space="0" w:color="auto"/>
              <w:bottom w:val="single" w:sz="18" w:space="0" w:color="auto"/>
              <w:right w:val="single" w:sz="4" w:space="0" w:color="auto"/>
            </w:tcBorders>
            <w:shd w:val="clear" w:color="auto" w:fill="auto"/>
            <w:noWrap/>
            <w:vAlign w:val="center"/>
            <w:hideMark/>
          </w:tcPr>
          <w:p w14:paraId="4D1D2B23" w14:textId="77777777" w:rsidR="00A4283D" w:rsidRPr="004F469F" w:rsidRDefault="00A4283D" w:rsidP="00A4283D">
            <w:pPr>
              <w:jc w:val="center"/>
              <w:rPr>
                <w:b/>
                <w:bCs/>
                <w:sz w:val="20"/>
                <w:szCs w:val="20"/>
              </w:rPr>
            </w:pPr>
            <w:r w:rsidRPr="004F469F">
              <w:rPr>
                <w:b/>
                <w:bCs/>
                <w:sz w:val="20"/>
                <w:szCs w:val="20"/>
              </w:rPr>
              <w:t>Scenario</w:t>
            </w:r>
          </w:p>
        </w:tc>
        <w:tc>
          <w:tcPr>
            <w:tcW w:w="1260" w:type="dxa"/>
            <w:tcBorders>
              <w:top w:val="nil"/>
              <w:left w:val="nil"/>
              <w:bottom w:val="single" w:sz="18" w:space="0" w:color="auto"/>
              <w:right w:val="single" w:sz="4" w:space="0" w:color="auto"/>
            </w:tcBorders>
            <w:shd w:val="clear" w:color="auto" w:fill="auto"/>
            <w:noWrap/>
            <w:vAlign w:val="center"/>
            <w:hideMark/>
          </w:tcPr>
          <w:p w14:paraId="730CBB73" w14:textId="77777777" w:rsidR="00A4283D" w:rsidRPr="004F469F" w:rsidRDefault="00A4283D" w:rsidP="00A4283D">
            <w:pPr>
              <w:jc w:val="center"/>
              <w:rPr>
                <w:b/>
                <w:bCs/>
                <w:sz w:val="20"/>
                <w:szCs w:val="20"/>
              </w:rPr>
            </w:pPr>
            <w:r w:rsidRPr="004F469F">
              <w:rPr>
                <w:b/>
                <w:bCs/>
                <w:sz w:val="20"/>
                <w:szCs w:val="20"/>
              </w:rPr>
              <w:t>County</w:t>
            </w:r>
          </w:p>
        </w:tc>
        <w:tc>
          <w:tcPr>
            <w:tcW w:w="900" w:type="dxa"/>
            <w:tcBorders>
              <w:top w:val="nil"/>
              <w:left w:val="nil"/>
              <w:bottom w:val="single" w:sz="18" w:space="0" w:color="auto"/>
              <w:right w:val="single" w:sz="4" w:space="0" w:color="auto"/>
            </w:tcBorders>
            <w:shd w:val="clear" w:color="auto" w:fill="auto"/>
            <w:noWrap/>
            <w:vAlign w:val="center"/>
            <w:hideMark/>
          </w:tcPr>
          <w:p w14:paraId="4A800D88" w14:textId="77777777" w:rsidR="00A4283D" w:rsidRPr="004F469F" w:rsidRDefault="00A4283D" w:rsidP="00A4283D">
            <w:pPr>
              <w:jc w:val="center"/>
              <w:rPr>
                <w:b/>
                <w:bCs/>
                <w:sz w:val="20"/>
                <w:szCs w:val="20"/>
              </w:rPr>
            </w:pPr>
            <w:r w:rsidRPr="004F469F">
              <w:rPr>
                <w:b/>
                <w:bCs/>
                <w:sz w:val="20"/>
                <w:szCs w:val="20"/>
              </w:rPr>
              <w:t>Median</w:t>
            </w:r>
          </w:p>
        </w:tc>
        <w:tc>
          <w:tcPr>
            <w:tcW w:w="720" w:type="dxa"/>
            <w:tcBorders>
              <w:top w:val="nil"/>
              <w:left w:val="nil"/>
              <w:bottom w:val="single" w:sz="18" w:space="0" w:color="auto"/>
              <w:right w:val="single" w:sz="4" w:space="0" w:color="auto"/>
            </w:tcBorders>
            <w:shd w:val="clear" w:color="auto" w:fill="auto"/>
            <w:noWrap/>
            <w:vAlign w:val="center"/>
            <w:hideMark/>
          </w:tcPr>
          <w:p w14:paraId="2D9403D5" w14:textId="77777777" w:rsidR="00A4283D" w:rsidRPr="004F469F" w:rsidRDefault="00A4283D" w:rsidP="00A4283D">
            <w:pPr>
              <w:jc w:val="center"/>
              <w:rPr>
                <w:b/>
                <w:bCs/>
                <w:sz w:val="20"/>
                <w:szCs w:val="20"/>
              </w:rPr>
            </w:pPr>
            <w:r w:rsidRPr="004F469F">
              <w:rPr>
                <w:b/>
                <w:bCs/>
                <w:sz w:val="20"/>
                <w:szCs w:val="20"/>
              </w:rPr>
              <w:t>Mean</w:t>
            </w:r>
          </w:p>
        </w:tc>
        <w:tc>
          <w:tcPr>
            <w:tcW w:w="766" w:type="dxa"/>
            <w:tcBorders>
              <w:top w:val="nil"/>
              <w:left w:val="nil"/>
              <w:bottom w:val="single" w:sz="18" w:space="0" w:color="auto"/>
              <w:right w:val="single" w:sz="4" w:space="0" w:color="auto"/>
            </w:tcBorders>
            <w:shd w:val="clear" w:color="auto" w:fill="auto"/>
            <w:noWrap/>
            <w:vAlign w:val="center"/>
            <w:hideMark/>
          </w:tcPr>
          <w:p w14:paraId="2263CBA9" w14:textId="77777777" w:rsidR="00A4283D" w:rsidRPr="004F469F" w:rsidRDefault="00A4283D" w:rsidP="00A4283D">
            <w:pPr>
              <w:jc w:val="center"/>
              <w:rPr>
                <w:b/>
                <w:bCs/>
                <w:sz w:val="20"/>
                <w:szCs w:val="20"/>
              </w:rPr>
            </w:pPr>
            <w:r w:rsidRPr="004F469F">
              <w:rPr>
                <w:b/>
                <w:bCs/>
                <w:sz w:val="20"/>
                <w:szCs w:val="20"/>
              </w:rPr>
              <w:t>95%</w:t>
            </w:r>
          </w:p>
        </w:tc>
        <w:tc>
          <w:tcPr>
            <w:tcW w:w="766" w:type="dxa"/>
            <w:tcBorders>
              <w:top w:val="nil"/>
              <w:left w:val="nil"/>
              <w:bottom w:val="single" w:sz="18" w:space="0" w:color="auto"/>
              <w:right w:val="single" w:sz="4" w:space="0" w:color="auto"/>
            </w:tcBorders>
            <w:shd w:val="clear" w:color="auto" w:fill="auto"/>
            <w:noWrap/>
            <w:vAlign w:val="center"/>
            <w:hideMark/>
          </w:tcPr>
          <w:p w14:paraId="6988DE98" w14:textId="77777777" w:rsidR="00A4283D" w:rsidRPr="004F469F" w:rsidRDefault="00A4283D" w:rsidP="00A4283D">
            <w:pPr>
              <w:jc w:val="center"/>
              <w:rPr>
                <w:b/>
                <w:bCs/>
                <w:sz w:val="20"/>
                <w:szCs w:val="20"/>
              </w:rPr>
            </w:pPr>
            <w:r w:rsidRPr="004F469F">
              <w:rPr>
                <w:b/>
                <w:bCs/>
                <w:sz w:val="20"/>
                <w:szCs w:val="20"/>
              </w:rPr>
              <w:t>99%</w:t>
            </w:r>
          </w:p>
        </w:tc>
        <w:tc>
          <w:tcPr>
            <w:tcW w:w="866" w:type="dxa"/>
            <w:tcBorders>
              <w:top w:val="nil"/>
              <w:left w:val="nil"/>
              <w:bottom w:val="single" w:sz="18" w:space="0" w:color="auto"/>
              <w:right w:val="single" w:sz="4" w:space="0" w:color="auto"/>
            </w:tcBorders>
            <w:shd w:val="clear" w:color="auto" w:fill="auto"/>
            <w:noWrap/>
            <w:vAlign w:val="center"/>
            <w:hideMark/>
          </w:tcPr>
          <w:p w14:paraId="42D06302" w14:textId="77777777" w:rsidR="00A4283D" w:rsidRPr="004F469F" w:rsidRDefault="00A4283D" w:rsidP="00A4283D">
            <w:pPr>
              <w:jc w:val="center"/>
              <w:rPr>
                <w:b/>
                <w:bCs/>
                <w:sz w:val="20"/>
                <w:szCs w:val="20"/>
              </w:rPr>
            </w:pPr>
            <w:r w:rsidRPr="004F469F">
              <w:rPr>
                <w:b/>
                <w:bCs/>
                <w:sz w:val="20"/>
                <w:szCs w:val="20"/>
              </w:rPr>
              <w:t>Max</w:t>
            </w:r>
          </w:p>
        </w:tc>
        <w:tc>
          <w:tcPr>
            <w:tcW w:w="932" w:type="dxa"/>
            <w:tcBorders>
              <w:top w:val="nil"/>
              <w:left w:val="nil"/>
              <w:bottom w:val="single" w:sz="18" w:space="0" w:color="auto"/>
              <w:right w:val="single" w:sz="4" w:space="0" w:color="auto"/>
            </w:tcBorders>
            <w:shd w:val="clear" w:color="auto" w:fill="auto"/>
            <w:noWrap/>
            <w:vAlign w:val="center"/>
            <w:hideMark/>
          </w:tcPr>
          <w:p w14:paraId="4F730BE2" w14:textId="77777777" w:rsidR="00A4283D" w:rsidRPr="004F469F" w:rsidRDefault="00A4283D" w:rsidP="00A4283D">
            <w:pPr>
              <w:jc w:val="center"/>
              <w:rPr>
                <w:b/>
                <w:bCs/>
                <w:sz w:val="20"/>
                <w:szCs w:val="20"/>
              </w:rPr>
            </w:pPr>
            <w:r w:rsidRPr="004F469F">
              <w:rPr>
                <w:b/>
                <w:bCs/>
                <w:sz w:val="20"/>
                <w:szCs w:val="20"/>
              </w:rPr>
              <w:t>5,000</w:t>
            </w:r>
          </w:p>
        </w:tc>
        <w:tc>
          <w:tcPr>
            <w:tcW w:w="825" w:type="dxa"/>
            <w:tcBorders>
              <w:top w:val="nil"/>
              <w:left w:val="nil"/>
              <w:bottom w:val="single" w:sz="18" w:space="0" w:color="auto"/>
              <w:right w:val="single" w:sz="18" w:space="0" w:color="auto"/>
            </w:tcBorders>
            <w:shd w:val="clear" w:color="auto" w:fill="auto"/>
            <w:noWrap/>
            <w:vAlign w:val="center"/>
            <w:hideMark/>
          </w:tcPr>
          <w:p w14:paraId="0B9BB3DF" w14:textId="77777777" w:rsidR="00A4283D" w:rsidRPr="004F469F" w:rsidRDefault="00A4283D" w:rsidP="00A4283D">
            <w:pPr>
              <w:jc w:val="center"/>
              <w:rPr>
                <w:b/>
                <w:bCs/>
                <w:sz w:val="20"/>
                <w:szCs w:val="20"/>
              </w:rPr>
            </w:pPr>
            <w:r w:rsidRPr="004F469F">
              <w:rPr>
                <w:b/>
                <w:bCs/>
                <w:sz w:val="20"/>
                <w:szCs w:val="20"/>
              </w:rPr>
              <w:t>20,000</w:t>
            </w:r>
          </w:p>
        </w:tc>
      </w:tr>
      <w:tr w:rsidR="00494669" w:rsidRPr="004F469F" w14:paraId="25467E1A" w14:textId="77777777" w:rsidTr="00A4283D">
        <w:trPr>
          <w:trHeight w:val="34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72AF2794" w14:textId="77777777" w:rsidR="00A4283D" w:rsidRPr="004F469F" w:rsidRDefault="00A4283D" w:rsidP="00A4283D">
            <w:pPr>
              <w:jc w:val="center"/>
              <w:rPr>
                <w:sz w:val="20"/>
                <w:szCs w:val="20"/>
              </w:rPr>
            </w:pPr>
            <w:r w:rsidRPr="004F469F">
              <w:rPr>
                <w:sz w:val="20"/>
                <w:szCs w:val="20"/>
              </w:rPr>
              <w:t>Baseline</w:t>
            </w:r>
          </w:p>
        </w:tc>
        <w:tc>
          <w:tcPr>
            <w:tcW w:w="1260" w:type="dxa"/>
            <w:tcBorders>
              <w:top w:val="single" w:sz="18" w:space="0" w:color="auto"/>
              <w:left w:val="nil"/>
              <w:bottom w:val="single" w:sz="4" w:space="0" w:color="auto"/>
              <w:right w:val="single" w:sz="4" w:space="0" w:color="auto"/>
            </w:tcBorders>
            <w:shd w:val="clear" w:color="auto" w:fill="auto"/>
            <w:noWrap/>
            <w:vAlign w:val="center"/>
            <w:hideMark/>
          </w:tcPr>
          <w:p w14:paraId="448E3DFE"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1FED2266" w14:textId="77777777" w:rsidR="00A4283D" w:rsidRPr="004F469F" w:rsidRDefault="00A4283D" w:rsidP="00A4283D">
            <w:pPr>
              <w:jc w:val="center"/>
              <w:rPr>
                <w:sz w:val="20"/>
                <w:szCs w:val="20"/>
              </w:rPr>
            </w:pPr>
            <w:r w:rsidRPr="004F469F">
              <w:rPr>
                <w:sz w:val="20"/>
                <w:szCs w:val="20"/>
              </w:rPr>
              <w:t>55</w:t>
            </w:r>
          </w:p>
        </w:tc>
        <w:tc>
          <w:tcPr>
            <w:tcW w:w="720" w:type="dxa"/>
            <w:tcBorders>
              <w:top w:val="single" w:sz="18" w:space="0" w:color="auto"/>
              <w:left w:val="nil"/>
              <w:bottom w:val="single" w:sz="4" w:space="0" w:color="auto"/>
              <w:right w:val="single" w:sz="4" w:space="0" w:color="auto"/>
            </w:tcBorders>
            <w:shd w:val="clear" w:color="auto" w:fill="auto"/>
            <w:noWrap/>
            <w:vAlign w:val="center"/>
            <w:hideMark/>
          </w:tcPr>
          <w:p w14:paraId="674D76D3" w14:textId="77777777" w:rsidR="00A4283D" w:rsidRPr="004F469F" w:rsidRDefault="00A4283D" w:rsidP="00A4283D">
            <w:pPr>
              <w:jc w:val="center"/>
              <w:rPr>
                <w:sz w:val="20"/>
                <w:szCs w:val="20"/>
              </w:rPr>
            </w:pPr>
            <w:r w:rsidRPr="004F469F">
              <w:rPr>
                <w:sz w:val="20"/>
                <w:szCs w:val="20"/>
              </w:rPr>
              <w:t>642</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21D45957" w14:textId="77777777" w:rsidR="00A4283D" w:rsidRPr="004F469F" w:rsidRDefault="00A4283D" w:rsidP="00A4283D">
            <w:pPr>
              <w:jc w:val="center"/>
              <w:rPr>
                <w:sz w:val="20"/>
                <w:szCs w:val="20"/>
              </w:rPr>
            </w:pPr>
            <w:r w:rsidRPr="004F469F">
              <w:rPr>
                <w:sz w:val="20"/>
                <w:szCs w:val="20"/>
              </w:rPr>
              <w:t>3,598</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6A742C87" w14:textId="77777777" w:rsidR="00A4283D" w:rsidRPr="004F469F" w:rsidRDefault="00A4283D" w:rsidP="00A4283D">
            <w:pPr>
              <w:jc w:val="center"/>
              <w:rPr>
                <w:sz w:val="20"/>
                <w:szCs w:val="20"/>
              </w:rPr>
            </w:pPr>
            <w:r w:rsidRPr="004F469F">
              <w:rPr>
                <w:sz w:val="20"/>
                <w:szCs w:val="20"/>
              </w:rPr>
              <w:t>9,543</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05DD33A7" w14:textId="77777777" w:rsidR="00A4283D" w:rsidRPr="004F469F" w:rsidRDefault="00A4283D" w:rsidP="00A4283D">
            <w:pPr>
              <w:jc w:val="center"/>
              <w:rPr>
                <w:sz w:val="20"/>
                <w:szCs w:val="20"/>
              </w:rPr>
            </w:pPr>
            <w:r w:rsidRPr="004F469F">
              <w:rPr>
                <w:sz w:val="20"/>
                <w:szCs w:val="20"/>
              </w:rPr>
              <w:t>20,135</w:t>
            </w:r>
          </w:p>
        </w:tc>
        <w:tc>
          <w:tcPr>
            <w:tcW w:w="932" w:type="dxa"/>
            <w:tcBorders>
              <w:top w:val="single" w:sz="18" w:space="0" w:color="auto"/>
              <w:left w:val="nil"/>
              <w:bottom w:val="single" w:sz="4" w:space="0" w:color="auto"/>
              <w:right w:val="single" w:sz="4" w:space="0" w:color="auto"/>
            </w:tcBorders>
            <w:shd w:val="clear" w:color="auto" w:fill="auto"/>
            <w:noWrap/>
            <w:vAlign w:val="center"/>
            <w:hideMark/>
          </w:tcPr>
          <w:p w14:paraId="121343C5" w14:textId="77777777" w:rsidR="00A4283D" w:rsidRPr="004F469F" w:rsidRDefault="00A4283D" w:rsidP="00A4283D">
            <w:pPr>
              <w:jc w:val="center"/>
              <w:rPr>
                <w:sz w:val="20"/>
                <w:szCs w:val="20"/>
              </w:rPr>
            </w:pPr>
            <w:r w:rsidRPr="004F469F">
              <w:rPr>
                <w:sz w:val="20"/>
                <w:szCs w:val="20"/>
              </w:rPr>
              <w:t>2.71</w:t>
            </w:r>
          </w:p>
        </w:tc>
        <w:tc>
          <w:tcPr>
            <w:tcW w:w="825" w:type="dxa"/>
            <w:tcBorders>
              <w:top w:val="single" w:sz="18" w:space="0" w:color="auto"/>
              <w:left w:val="nil"/>
              <w:bottom w:val="single" w:sz="4" w:space="0" w:color="auto"/>
              <w:right w:val="single" w:sz="18" w:space="0" w:color="auto"/>
            </w:tcBorders>
            <w:shd w:val="clear" w:color="auto" w:fill="auto"/>
            <w:noWrap/>
            <w:vAlign w:val="center"/>
            <w:hideMark/>
          </w:tcPr>
          <w:p w14:paraId="081B9597" w14:textId="77777777" w:rsidR="00A4283D" w:rsidRPr="004F469F" w:rsidRDefault="00A4283D" w:rsidP="00A4283D">
            <w:pPr>
              <w:jc w:val="center"/>
              <w:rPr>
                <w:sz w:val="20"/>
                <w:szCs w:val="20"/>
              </w:rPr>
            </w:pPr>
            <w:r w:rsidRPr="004F469F">
              <w:rPr>
                <w:sz w:val="20"/>
                <w:szCs w:val="20"/>
              </w:rPr>
              <w:t>0.06</w:t>
            </w:r>
          </w:p>
        </w:tc>
      </w:tr>
      <w:tr w:rsidR="00494669" w:rsidRPr="004F469F" w14:paraId="619093A1" w14:textId="77777777" w:rsidTr="00A4283D">
        <w:trPr>
          <w:trHeight w:val="340"/>
        </w:trPr>
        <w:tc>
          <w:tcPr>
            <w:tcW w:w="1705" w:type="dxa"/>
            <w:vMerge/>
            <w:tcBorders>
              <w:top w:val="nil"/>
              <w:left w:val="single" w:sz="18" w:space="0" w:color="auto"/>
              <w:bottom w:val="single" w:sz="4" w:space="0" w:color="auto"/>
              <w:right w:val="single" w:sz="4" w:space="0" w:color="auto"/>
            </w:tcBorders>
            <w:vAlign w:val="center"/>
            <w:hideMark/>
          </w:tcPr>
          <w:p w14:paraId="1C60606C" w14:textId="77777777" w:rsidR="00A4283D" w:rsidRPr="004F469F" w:rsidRDefault="00A4283D" w:rsidP="00A4283D">
            <w:pPr>
              <w:jc w:val="center"/>
              <w:rPr>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385FD2D2"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4F2795FC" w14:textId="77777777" w:rsidR="00A4283D" w:rsidRPr="004F469F" w:rsidRDefault="00A4283D" w:rsidP="00A4283D">
            <w:pPr>
              <w:jc w:val="center"/>
              <w:rPr>
                <w:sz w:val="20"/>
                <w:szCs w:val="20"/>
              </w:rPr>
            </w:pPr>
            <w:r w:rsidRPr="004F469F">
              <w:rPr>
                <w:sz w:val="20"/>
                <w:szCs w:val="20"/>
              </w:rPr>
              <w:t>236</w:t>
            </w:r>
          </w:p>
        </w:tc>
        <w:tc>
          <w:tcPr>
            <w:tcW w:w="720" w:type="dxa"/>
            <w:tcBorders>
              <w:top w:val="single" w:sz="8" w:space="0" w:color="auto"/>
              <w:left w:val="nil"/>
              <w:bottom w:val="single" w:sz="4" w:space="0" w:color="auto"/>
              <w:right w:val="single" w:sz="4" w:space="0" w:color="auto"/>
            </w:tcBorders>
            <w:shd w:val="clear" w:color="auto" w:fill="auto"/>
            <w:noWrap/>
            <w:vAlign w:val="center"/>
            <w:hideMark/>
          </w:tcPr>
          <w:p w14:paraId="3CB1BA44" w14:textId="77777777" w:rsidR="00A4283D" w:rsidRPr="004F469F" w:rsidRDefault="00A4283D" w:rsidP="00A4283D">
            <w:pPr>
              <w:jc w:val="center"/>
              <w:rPr>
                <w:sz w:val="20"/>
                <w:szCs w:val="20"/>
              </w:rPr>
            </w:pPr>
            <w:r w:rsidRPr="004F469F">
              <w:rPr>
                <w:sz w:val="20"/>
                <w:szCs w:val="20"/>
              </w:rPr>
              <w:t>1,729</w:t>
            </w:r>
          </w:p>
        </w:tc>
        <w:tc>
          <w:tcPr>
            <w:tcW w:w="766" w:type="dxa"/>
            <w:tcBorders>
              <w:top w:val="single" w:sz="8" w:space="0" w:color="auto"/>
              <w:left w:val="nil"/>
              <w:bottom w:val="single" w:sz="4" w:space="0" w:color="auto"/>
              <w:right w:val="single" w:sz="4" w:space="0" w:color="auto"/>
            </w:tcBorders>
            <w:shd w:val="clear" w:color="auto" w:fill="auto"/>
            <w:noWrap/>
            <w:vAlign w:val="center"/>
            <w:hideMark/>
          </w:tcPr>
          <w:p w14:paraId="094394C1" w14:textId="77777777" w:rsidR="00A4283D" w:rsidRPr="004F469F" w:rsidRDefault="00A4283D" w:rsidP="00A4283D">
            <w:pPr>
              <w:jc w:val="center"/>
              <w:rPr>
                <w:sz w:val="20"/>
                <w:szCs w:val="20"/>
              </w:rPr>
            </w:pPr>
            <w:r w:rsidRPr="004F469F">
              <w:rPr>
                <w:sz w:val="20"/>
                <w:szCs w:val="20"/>
              </w:rPr>
              <w:t>9,338</w:t>
            </w:r>
          </w:p>
        </w:tc>
        <w:tc>
          <w:tcPr>
            <w:tcW w:w="766" w:type="dxa"/>
            <w:tcBorders>
              <w:top w:val="single" w:sz="8" w:space="0" w:color="auto"/>
              <w:left w:val="nil"/>
              <w:bottom w:val="single" w:sz="4" w:space="0" w:color="auto"/>
              <w:right w:val="single" w:sz="4" w:space="0" w:color="auto"/>
            </w:tcBorders>
            <w:shd w:val="clear" w:color="auto" w:fill="auto"/>
            <w:noWrap/>
            <w:vAlign w:val="center"/>
            <w:hideMark/>
          </w:tcPr>
          <w:p w14:paraId="00AE5F9F" w14:textId="77777777" w:rsidR="00A4283D" w:rsidRPr="004F469F" w:rsidRDefault="00A4283D" w:rsidP="00A4283D">
            <w:pPr>
              <w:jc w:val="center"/>
              <w:rPr>
                <w:sz w:val="20"/>
                <w:szCs w:val="20"/>
              </w:rPr>
            </w:pPr>
            <w:r w:rsidRPr="004F469F">
              <w:rPr>
                <w:sz w:val="20"/>
                <w:szCs w:val="20"/>
              </w:rPr>
              <w:t>20,559</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14:paraId="3C971062" w14:textId="77777777" w:rsidR="00A4283D" w:rsidRPr="004F469F" w:rsidRDefault="00A4283D" w:rsidP="00A4283D">
            <w:pPr>
              <w:jc w:val="center"/>
              <w:rPr>
                <w:sz w:val="20"/>
                <w:szCs w:val="20"/>
              </w:rPr>
            </w:pPr>
            <w:r w:rsidRPr="004F469F">
              <w:rPr>
                <w:sz w:val="20"/>
                <w:szCs w:val="20"/>
              </w:rPr>
              <w:t>48,503</w:t>
            </w:r>
          </w:p>
        </w:tc>
        <w:tc>
          <w:tcPr>
            <w:tcW w:w="932" w:type="dxa"/>
            <w:tcBorders>
              <w:top w:val="single" w:sz="8" w:space="0" w:color="auto"/>
              <w:left w:val="nil"/>
              <w:bottom w:val="single" w:sz="4" w:space="0" w:color="auto"/>
              <w:right w:val="single" w:sz="4" w:space="0" w:color="auto"/>
            </w:tcBorders>
            <w:shd w:val="clear" w:color="auto" w:fill="auto"/>
            <w:noWrap/>
            <w:vAlign w:val="center"/>
            <w:hideMark/>
          </w:tcPr>
          <w:p w14:paraId="0A5C4D3B" w14:textId="77777777" w:rsidR="00A4283D" w:rsidRPr="004F469F" w:rsidRDefault="00A4283D" w:rsidP="00A4283D">
            <w:pPr>
              <w:jc w:val="center"/>
              <w:rPr>
                <w:sz w:val="20"/>
                <w:szCs w:val="20"/>
              </w:rPr>
            </w:pPr>
            <w:r w:rsidRPr="004F469F">
              <w:rPr>
                <w:sz w:val="20"/>
                <w:szCs w:val="20"/>
              </w:rPr>
              <w:t>9.06</w:t>
            </w:r>
          </w:p>
        </w:tc>
        <w:tc>
          <w:tcPr>
            <w:tcW w:w="825" w:type="dxa"/>
            <w:tcBorders>
              <w:top w:val="single" w:sz="8" w:space="0" w:color="auto"/>
              <w:left w:val="nil"/>
              <w:bottom w:val="single" w:sz="4" w:space="0" w:color="auto"/>
              <w:right w:val="single" w:sz="18" w:space="0" w:color="auto"/>
            </w:tcBorders>
            <w:shd w:val="clear" w:color="auto" w:fill="auto"/>
            <w:noWrap/>
            <w:vAlign w:val="center"/>
            <w:hideMark/>
          </w:tcPr>
          <w:p w14:paraId="120B9645" w14:textId="77777777" w:rsidR="00A4283D" w:rsidRPr="004F469F" w:rsidRDefault="00A4283D" w:rsidP="00A4283D">
            <w:pPr>
              <w:jc w:val="center"/>
              <w:rPr>
                <w:sz w:val="20"/>
                <w:szCs w:val="20"/>
              </w:rPr>
            </w:pPr>
            <w:r w:rsidRPr="004F469F">
              <w:rPr>
                <w:sz w:val="20"/>
                <w:szCs w:val="20"/>
              </w:rPr>
              <w:t>1.02</w:t>
            </w:r>
          </w:p>
        </w:tc>
      </w:tr>
      <w:tr w:rsidR="00494669" w:rsidRPr="004F469F" w14:paraId="40B5E155" w14:textId="77777777" w:rsidTr="00A4283D">
        <w:trPr>
          <w:trHeight w:val="340"/>
        </w:trPr>
        <w:tc>
          <w:tcPr>
            <w:tcW w:w="1705" w:type="dxa"/>
            <w:vMerge/>
            <w:tcBorders>
              <w:top w:val="nil"/>
              <w:left w:val="single" w:sz="18" w:space="0" w:color="auto"/>
              <w:bottom w:val="single" w:sz="4" w:space="0" w:color="auto"/>
              <w:right w:val="single" w:sz="4" w:space="0" w:color="auto"/>
            </w:tcBorders>
            <w:vAlign w:val="center"/>
            <w:hideMark/>
          </w:tcPr>
          <w:p w14:paraId="027C7B08" w14:textId="77777777" w:rsidR="00A4283D" w:rsidRPr="004F469F" w:rsidRDefault="00A4283D" w:rsidP="00A4283D">
            <w:pPr>
              <w:jc w:val="center"/>
              <w:rPr>
                <w:sz w:val="20"/>
                <w:szCs w:val="20"/>
              </w:rPr>
            </w:pPr>
          </w:p>
        </w:tc>
        <w:tc>
          <w:tcPr>
            <w:tcW w:w="1260" w:type="dxa"/>
            <w:tcBorders>
              <w:top w:val="nil"/>
              <w:left w:val="nil"/>
              <w:bottom w:val="single" w:sz="12" w:space="0" w:color="auto"/>
              <w:right w:val="single" w:sz="4" w:space="0" w:color="auto"/>
            </w:tcBorders>
            <w:shd w:val="clear" w:color="auto" w:fill="auto"/>
            <w:noWrap/>
            <w:vAlign w:val="center"/>
            <w:hideMark/>
          </w:tcPr>
          <w:p w14:paraId="7C8898D3"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8" w:space="0" w:color="auto"/>
              <w:left w:val="nil"/>
              <w:bottom w:val="single" w:sz="12" w:space="0" w:color="auto"/>
              <w:right w:val="single" w:sz="4" w:space="0" w:color="auto"/>
            </w:tcBorders>
            <w:shd w:val="clear" w:color="auto" w:fill="auto"/>
            <w:noWrap/>
            <w:vAlign w:val="center"/>
            <w:hideMark/>
          </w:tcPr>
          <w:p w14:paraId="1F5BDC54" w14:textId="77777777" w:rsidR="00A4283D" w:rsidRPr="004F469F" w:rsidRDefault="00A4283D" w:rsidP="00A4283D">
            <w:pPr>
              <w:jc w:val="center"/>
              <w:rPr>
                <w:sz w:val="20"/>
                <w:szCs w:val="20"/>
              </w:rPr>
            </w:pPr>
            <w:r w:rsidRPr="004F469F">
              <w:rPr>
                <w:sz w:val="20"/>
                <w:szCs w:val="20"/>
              </w:rPr>
              <w:t>627</w:t>
            </w:r>
          </w:p>
        </w:tc>
        <w:tc>
          <w:tcPr>
            <w:tcW w:w="720" w:type="dxa"/>
            <w:tcBorders>
              <w:top w:val="single" w:sz="8" w:space="0" w:color="auto"/>
              <w:left w:val="nil"/>
              <w:bottom w:val="single" w:sz="12" w:space="0" w:color="auto"/>
              <w:right w:val="single" w:sz="4" w:space="0" w:color="auto"/>
            </w:tcBorders>
            <w:shd w:val="clear" w:color="auto" w:fill="auto"/>
            <w:noWrap/>
            <w:vAlign w:val="center"/>
            <w:hideMark/>
          </w:tcPr>
          <w:p w14:paraId="22204EDF" w14:textId="77777777" w:rsidR="00A4283D" w:rsidRPr="004F469F" w:rsidRDefault="00A4283D" w:rsidP="00A4283D">
            <w:pPr>
              <w:jc w:val="center"/>
              <w:rPr>
                <w:sz w:val="20"/>
                <w:szCs w:val="20"/>
              </w:rPr>
            </w:pPr>
            <w:r w:rsidRPr="004F469F">
              <w:rPr>
                <w:sz w:val="20"/>
                <w:szCs w:val="20"/>
              </w:rPr>
              <w:t>4,547</w:t>
            </w:r>
          </w:p>
        </w:tc>
        <w:tc>
          <w:tcPr>
            <w:tcW w:w="766" w:type="dxa"/>
            <w:tcBorders>
              <w:top w:val="single" w:sz="8" w:space="0" w:color="auto"/>
              <w:left w:val="nil"/>
              <w:bottom w:val="single" w:sz="12" w:space="0" w:color="auto"/>
              <w:right w:val="single" w:sz="4" w:space="0" w:color="auto"/>
            </w:tcBorders>
            <w:shd w:val="clear" w:color="auto" w:fill="auto"/>
            <w:noWrap/>
            <w:vAlign w:val="center"/>
            <w:hideMark/>
          </w:tcPr>
          <w:p w14:paraId="4C7E7802" w14:textId="77777777" w:rsidR="00A4283D" w:rsidRPr="004F469F" w:rsidRDefault="00A4283D" w:rsidP="00A4283D">
            <w:pPr>
              <w:jc w:val="center"/>
              <w:rPr>
                <w:sz w:val="20"/>
                <w:szCs w:val="20"/>
              </w:rPr>
            </w:pPr>
            <w:r w:rsidRPr="004F469F">
              <w:rPr>
                <w:sz w:val="20"/>
                <w:szCs w:val="20"/>
              </w:rPr>
              <w:t>24,049</w:t>
            </w:r>
          </w:p>
        </w:tc>
        <w:tc>
          <w:tcPr>
            <w:tcW w:w="766" w:type="dxa"/>
            <w:tcBorders>
              <w:top w:val="single" w:sz="8" w:space="0" w:color="auto"/>
              <w:left w:val="nil"/>
              <w:bottom w:val="single" w:sz="12" w:space="0" w:color="auto"/>
              <w:right w:val="single" w:sz="4" w:space="0" w:color="auto"/>
            </w:tcBorders>
            <w:shd w:val="clear" w:color="auto" w:fill="auto"/>
            <w:noWrap/>
            <w:vAlign w:val="center"/>
            <w:hideMark/>
          </w:tcPr>
          <w:p w14:paraId="2ACECB01" w14:textId="77777777" w:rsidR="00A4283D" w:rsidRPr="004F469F" w:rsidRDefault="00A4283D" w:rsidP="00A4283D">
            <w:pPr>
              <w:jc w:val="center"/>
              <w:rPr>
                <w:sz w:val="20"/>
                <w:szCs w:val="20"/>
              </w:rPr>
            </w:pPr>
            <w:r w:rsidRPr="004F469F">
              <w:rPr>
                <w:sz w:val="20"/>
                <w:szCs w:val="20"/>
              </w:rPr>
              <w:t>47,347</w:t>
            </w:r>
          </w:p>
        </w:tc>
        <w:tc>
          <w:tcPr>
            <w:tcW w:w="866" w:type="dxa"/>
            <w:tcBorders>
              <w:top w:val="single" w:sz="8" w:space="0" w:color="auto"/>
              <w:left w:val="nil"/>
              <w:bottom w:val="single" w:sz="12" w:space="0" w:color="auto"/>
              <w:right w:val="single" w:sz="4" w:space="0" w:color="auto"/>
            </w:tcBorders>
            <w:shd w:val="clear" w:color="auto" w:fill="auto"/>
            <w:noWrap/>
            <w:vAlign w:val="center"/>
            <w:hideMark/>
          </w:tcPr>
          <w:p w14:paraId="5A4EBCE1" w14:textId="77777777" w:rsidR="00A4283D" w:rsidRPr="004F469F" w:rsidRDefault="00A4283D" w:rsidP="00A4283D">
            <w:pPr>
              <w:jc w:val="center"/>
              <w:rPr>
                <w:sz w:val="20"/>
                <w:szCs w:val="20"/>
              </w:rPr>
            </w:pPr>
            <w:r w:rsidRPr="004F469F">
              <w:rPr>
                <w:sz w:val="20"/>
                <w:szCs w:val="20"/>
              </w:rPr>
              <w:t>88,059</w:t>
            </w:r>
          </w:p>
        </w:tc>
        <w:tc>
          <w:tcPr>
            <w:tcW w:w="932" w:type="dxa"/>
            <w:tcBorders>
              <w:top w:val="single" w:sz="8" w:space="0" w:color="auto"/>
              <w:left w:val="nil"/>
              <w:bottom w:val="single" w:sz="12" w:space="0" w:color="auto"/>
              <w:right w:val="single" w:sz="4" w:space="0" w:color="auto"/>
            </w:tcBorders>
            <w:shd w:val="clear" w:color="auto" w:fill="auto"/>
            <w:noWrap/>
            <w:vAlign w:val="center"/>
            <w:hideMark/>
          </w:tcPr>
          <w:p w14:paraId="19B0E393" w14:textId="77777777" w:rsidR="00A4283D" w:rsidRPr="004F469F" w:rsidRDefault="00A4283D" w:rsidP="00A4283D">
            <w:pPr>
              <w:jc w:val="center"/>
              <w:rPr>
                <w:sz w:val="20"/>
                <w:szCs w:val="20"/>
              </w:rPr>
            </w:pPr>
            <w:r w:rsidRPr="004F469F">
              <w:rPr>
                <w:sz w:val="20"/>
                <w:szCs w:val="20"/>
              </w:rPr>
              <w:t>23.08</w:t>
            </w:r>
          </w:p>
        </w:tc>
        <w:tc>
          <w:tcPr>
            <w:tcW w:w="825" w:type="dxa"/>
            <w:tcBorders>
              <w:top w:val="single" w:sz="8" w:space="0" w:color="auto"/>
              <w:left w:val="nil"/>
              <w:bottom w:val="single" w:sz="12" w:space="0" w:color="auto"/>
              <w:right w:val="single" w:sz="18" w:space="0" w:color="auto"/>
            </w:tcBorders>
            <w:shd w:val="clear" w:color="auto" w:fill="auto"/>
            <w:noWrap/>
            <w:vAlign w:val="center"/>
            <w:hideMark/>
          </w:tcPr>
          <w:p w14:paraId="32173E18" w14:textId="77777777" w:rsidR="00A4283D" w:rsidRPr="004F469F" w:rsidRDefault="00A4283D" w:rsidP="00A4283D">
            <w:pPr>
              <w:jc w:val="center"/>
              <w:rPr>
                <w:sz w:val="20"/>
                <w:szCs w:val="20"/>
              </w:rPr>
            </w:pPr>
            <w:r w:rsidRPr="004F469F">
              <w:rPr>
                <w:sz w:val="20"/>
                <w:szCs w:val="20"/>
              </w:rPr>
              <w:t>6.18</w:t>
            </w:r>
          </w:p>
        </w:tc>
      </w:tr>
      <w:tr w:rsidR="00494669" w:rsidRPr="004F469F" w14:paraId="7B3C82C9" w14:textId="77777777" w:rsidTr="00A4283D">
        <w:trPr>
          <w:trHeight w:val="320"/>
        </w:trPr>
        <w:tc>
          <w:tcPr>
            <w:tcW w:w="1705" w:type="dxa"/>
            <w:vMerge/>
            <w:tcBorders>
              <w:top w:val="nil"/>
              <w:left w:val="single" w:sz="18" w:space="0" w:color="auto"/>
              <w:bottom w:val="single" w:sz="18" w:space="0" w:color="auto"/>
              <w:right w:val="single" w:sz="4" w:space="0" w:color="auto"/>
            </w:tcBorders>
            <w:vAlign w:val="center"/>
            <w:hideMark/>
          </w:tcPr>
          <w:p w14:paraId="1C923FB7" w14:textId="77777777" w:rsidR="00A4283D" w:rsidRPr="004F469F" w:rsidRDefault="00A4283D" w:rsidP="00A4283D">
            <w:pPr>
              <w:jc w:val="center"/>
              <w:rPr>
                <w:sz w:val="20"/>
                <w:szCs w:val="20"/>
              </w:rPr>
            </w:pPr>
          </w:p>
        </w:tc>
        <w:tc>
          <w:tcPr>
            <w:tcW w:w="1260" w:type="dxa"/>
            <w:tcBorders>
              <w:top w:val="single" w:sz="12" w:space="0" w:color="auto"/>
              <w:left w:val="nil"/>
              <w:bottom w:val="single" w:sz="18" w:space="0" w:color="auto"/>
              <w:right w:val="single" w:sz="4" w:space="0" w:color="auto"/>
            </w:tcBorders>
            <w:shd w:val="clear" w:color="auto" w:fill="auto"/>
            <w:noWrap/>
            <w:vAlign w:val="center"/>
            <w:hideMark/>
          </w:tcPr>
          <w:p w14:paraId="31A30E0C"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575EAF89" w14:textId="77777777" w:rsidR="00A4283D" w:rsidRPr="004F469F" w:rsidRDefault="00A4283D" w:rsidP="00A4283D">
            <w:pPr>
              <w:jc w:val="center"/>
              <w:rPr>
                <w:i/>
                <w:iCs/>
                <w:sz w:val="20"/>
                <w:szCs w:val="20"/>
              </w:rPr>
            </w:pPr>
            <w:r w:rsidRPr="004F469F">
              <w:rPr>
                <w:i/>
                <w:iCs/>
                <w:sz w:val="20"/>
                <w:szCs w:val="20"/>
              </w:rPr>
              <w:t>172</w:t>
            </w:r>
          </w:p>
        </w:tc>
        <w:tc>
          <w:tcPr>
            <w:tcW w:w="720" w:type="dxa"/>
            <w:tcBorders>
              <w:top w:val="single" w:sz="12" w:space="0" w:color="auto"/>
              <w:left w:val="nil"/>
              <w:bottom w:val="single" w:sz="18" w:space="0" w:color="auto"/>
              <w:right w:val="single" w:sz="4" w:space="0" w:color="auto"/>
            </w:tcBorders>
            <w:shd w:val="clear" w:color="auto" w:fill="auto"/>
            <w:noWrap/>
            <w:vAlign w:val="center"/>
            <w:hideMark/>
          </w:tcPr>
          <w:p w14:paraId="6680F80E" w14:textId="77777777" w:rsidR="00A4283D" w:rsidRPr="004F469F" w:rsidRDefault="00A4283D" w:rsidP="00A4283D">
            <w:pPr>
              <w:jc w:val="center"/>
              <w:rPr>
                <w:i/>
                <w:iCs/>
                <w:sz w:val="20"/>
                <w:szCs w:val="20"/>
              </w:rPr>
            </w:pPr>
            <w:r w:rsidRPr="004F469F">
              <w:rPr>
                <w:i/>
                <w:iCs/>
                <w:sz w:val="20"/>
                <w:szCs w:val="20"/>
              </w:rPr>
              <w:t>2,523</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7CB91064" w14:textId="77777777" w:rsidR="00A4283D" w:rsidRPr="004F469F" w:rsidRDefault="00A4283D" w:rsidP="00A4283D">
            <w:pPr>
              <w:jc w:val="center"/>
              <w:rPr>
                <w:i/>
                <w:iCs/>
                <w:sz w:val="20"/>
                <w:szCs w:val="20"/>
              </w:rPr>
            </w:pPr>
            <w:r w:rsidRPr="004F469F">
              <w:rPr>
                <w:i/>
                <w:iCs/>
                <w:sz w:val="20"/>
                <w:szCs w:val="20"/>
              </w:rPr>
              <w:t>14,083</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62B6CE54" w14:textId="77777777" w:rsidR="00A4283D" w:rsidRPr="004F469F" w:rsidRDefault="00A4283D" w:rsidP="00A4283D">
            <w:pPr>
              <w:jc w:val="center"/>
              <w:rPr>
                <w:i/>
                <w:iCs/>
                <w:sz w:val="20"/>
                <w:szCs w:val="20"/>
              </w:rPr>
            </w:pPr>
            <w:r w:rsidRPr="004F469F">
              <w:rPr>
                <w:i/>
                <w:iCs/>
                <w:sz w:val="20"/>
                <w:szCs w:val="20"/>
              </w:rPr>
              <w:t>39,083</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1A164C0D" w14:textId="77777777" w:rsidR="00A4283D" w:rsidRPr="004F469F" w:rsidRDefault="00A4283D" w:rsidP="00A4283D">
            <w:pPr>
              <w:jc w:val="center"/>
              <w:rPr>
                <w:i/>
                <w:iCs/>
                <w:sz w:val="20"/>
                <w:szCs w:val="20"/>
              </w:rPr>
            </w:pPr>
            <w:r w:rsidRPr="004F469F">
              <w:rPr>
                <w:i/>
                <w:iCs/>
                <w:sz w:val="20"/>
                <w:szCs w:val="20"/>
              </w:rPr>
              <w:t>93,448</w:t>
            </w:r>
          </w:p>
        </w:tc>
        <w:tc>
          <w:tcPr>
            <w:tcW w:w="932" w:type="dxa"/>
            <w:tcBorders>
              <w:top w:val="single" w:sz="12" w:space="0" w:color="auto"/>
              <w:left w:val="nil"/>
              <w:bottom w:val="single" w:sz="18" w:space="0" w:color="auto"/>
              <w:right w:val="single" w:sz="4" w:space="0" w:color="auto"/>
            </w:tcBorders>
            <w:shd w:val="clear" w:color="auto" w:fill="auto"/>
            <w:noWrap/>
            <w:vAlign w:val="center"/>
            <w:hideMark/>
          </w:tcPr>
          <w:p w14:paraId="647058E6" w14:textId="77777777" w:rsidR="00A4283D" w:rsidRPr="004F469F" w:rsidRDefault="00A4283D" w:rsidP="00A4283D">
            <w:pPr>
              <w:jc w:val="center"/>
              <w:rPr>
                <w:i/>
                <w:iCs/>
                <w:sz w:val="20"/>
                <w:szCs w:val="20"/>
              </w:rPr>
            </w:pPr>
            <w:r w:rsidRPr="004F469F">
              <w:rPr>
                <w:i/>
                <w:iCs/>
                <w:sz w:val="20"/>
                <w:szCs w:val="20"/>
              </w:rPr>
              <w:t>12.17</w:t>
            </w:r>
          </w:p>
        </w:tc>
        <w:tc>
          <w:tcPr>
            <w:tcW w:w="825" w:type="dxa"/>
            <w:tcBorders>
              <w:top w:val="single" w:sz="12" w:space="0" w:color="auto"/>
              <w:left w:val="nil"/>
              <w:bottom w:val="single" w:sz="18" w:space="0" w:color="auto"/>
              <w:right w:val="single" w:sz="18" w:space="0" w:color="auto"/>
            </w:tcBorders>
            <w:shd w:val="clear" w:color="auto" w:fill="auto"/>
            <w:noWrap/>
            <w:vAlign w:val="center"/>
            <w:hideMark/>
          </w:tcPr>
          <w:p w14:paraId="450F6903" w14:textId="77777777" w:rsidR="00A4283D" w:rsidRPr="004F469F" w:rsidRDefault="00A4283D" w:rsidP="00A4283D">
            <w:pPr>
              <w:jc w:val="center"/>
              <w:rPr>
                <w:i/>
                <w:iCs/>
                <w:sz w:val="20"/>
                <w:szCs w:val="20"/>
              </w:rPr>
            </w:pPr>
            <w:r w:rsidRPr="004F469F">
              <w:rPr>
                <w:i/>
                <w:iCs/>
                <w:sz w:val="20"/>
                <w:szCs w:val="20"/>
              </w:rPr>
              <w:t>3.08</w:t>
            </w:r>
          </w:p>
        </w:tc>
      </w:tr>
      <w:tr w:rsidR="00494669" w:rsidRPr="004F469F" w14:paraId="64C7528A" w14:textId="77777777" w:rsidTr="00A4283D">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5B724C08" w14:textId="77777777" w:rsidR="00A4283D" w:rsidRPr="004F469F" w:rsidRDefault="00A4283D" w:rsidP="00A4283D">
            <w:pPr>
              <w:jc w:val="center"/>
              <w:rPr>
                <w:sz w:val="20"/>
                <w:szCs w:val="20"/>
              </w:rPr>
            </w:pPr>
            <w:r w:rsidRPr="004F469F">
              <w:rPr>
                <w:sz w:val="20"/>
                <w:szCs w:val="20"/>
              </w:rPr>
              <w:t>Climate Change Only</w:t>
            </w:r>
          </w:p>
        </w:tc>
        <w:tc>
          <w:tcPr>
            <w:tcW w:w="1260" w:type="dxa"/>
            <w:tcBorders>
              <w:top w:val="single" w:sz="18" w:space="0" w:color="auto"/>
              <w:left w:val="nil"/>
              <w:bottom w:val="single" w:sz="4" w:space="0" w:color="auto"/>
              <w:right w:val="single" w:sz="4" w:space="0" w:color="auto"/>
            </w:tcBorders>
            <w:shd w:val="clear" w:color="auto" w:fill="auto"/>
            <w:noWrap/>
            <w:vAlign w:val="center"/>
            <w:hideMark/>
          </w:tcPr>
          <w:p w14:paraId="4ADBC837"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6C9CC2BD" w14:textId="77777777" w:rsidR="00A4283D" w:rsidRPr="004F469F" w:rsidRDefault="00A4283D" w:rsidP="00A4283D">
            <w:pPr>
              <w:jc w:val="center"/>
              <w:rPr>
                <w:sz w:val="20"/>
                <w:szCs w:val="20"/>
              </w:rPr>
            </w:pPr>
            <w:r w:rsidRPr="004F469F">
              <w:rPr>
                <w:sz w:val="20"/>
                <w:szCs w:val="20"/>
              </w:rPr>
              <w:t>48</w:t>
            </w:r>
          </w:p>
        </w:tc>
        <w:tc>
          <w:tcPr>
            <w:tcW w:w="720" w:type="dxa"/>
            <w:tcBorders>
              <w:top w:val="single" w:sz="18" w:space="0" w:color="auto"/>
              <w:left w:val="nil"/>
              <w:bottom w:val="single" w:sz="4" w:space="0" w:color="auto"/>
              <w:right w:val="single" w:sz="4" w:space="0" w:color="auto"/>
            </w:tcBorders>
            <w:shd w:val="clear" w:color="auto" w:fill="auto"/>
            <w:noWrap/>
            <w:vAlign w:val="center"/>
            <w:hideMark/>
          </w:tcPr>
          <w:p w14:paraId="54E7C7EB" w14:textId="77777777" w:rsidR="00A4283D" w:rsidRPr="004F469F" w:rsidRDefault="00A4283D" w:rsidP="00A4283D">
            <w:pPr>
              <w:jc w:val="center"/>
              <w:rPr>
                <w:sz w:val="20"/>
                <w:szCs w:val="20"/>
              </w:rPr>
            </w:pPr>
            <w:r w:rsidRPr="004F469F">
              <w:rPr>
                <w:sz w:val="20"/>
                <w:szCs w:val="20"/>
              </w:rPr>
              <w:t>576</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5AED5491" w14:textId="77777777" w:rsidR="00A4283D" w:rsidRPr="004F469F" w:rsidRDefault="00A4283D" w:rsidP="00A4283D">
            <w:pPr>
              <w:jc w:val="center"/>
              <w:rPr>
                <w:sz w:val="20"/>
                <w:szCs w:val="20"/>
              </w:rPr>
            </w:pPr>
            <w:r w:rsidRPr="004F469F">
              <w:rPr>
                <w:sz w:val="20"/>
                <w:szCs w:val="20"/>
              </w:rPr>
              <w:t>3,153</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5DD2227B" w14:textId="77777777" w:rsidR="00A4283D" w:rsidRPr="004F469F" w:rsidRDefault="00A4283D" w:rsidP="00A4283D">
            <w:pPr>
              <w:jc w:val="center"/>
              <w:rPr>
                <w:sz w:val="20"/>
                <w:szCs w:val="20"/>
              </w:rPr>
            </w:pPr>
            <w:r w:rsidRPr="004F469F">
              <w:rPr>
                <w:sz w:val="20"/>
                <w:szCs w:val="20"/>
              </w:rPr>
              <w:t>8,793</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6181A06C" w14:textId="77777777" w:rsidR="00A4283D" w:rsidRPr="004F469F" w:rsidRDefault="00A4283D" w:rsidP="00A4283D">
            <w:pPr>
              <w:jc w:val="center"/>
              <w:rPr>
                <w:sz w:val="20"/>
                <w:szCs w:val="20"/>
              </w:rPr>
            </w:pPr>
            <w:r w:rsidRPr="004F469F">
              <w:rPr>
                <w:sz w:val="20"/>
                <w:szCs w:val="20"/>
              </w:rPr>
              <w:t>19,049</w:t>
            </w:r>
          </w:p>
        </w:tc>
        <w:tc>
          <w:tcPr>
            <w:tcW w:w="932" w:type="dxa"/>
            <w:tcBorders>
              <w:top w:val="single" w:sz="18" w:space="0" w:color="auto"/>
              <w:left w:val="nil"/>
              <w:bottom w:val="single" w:sz="4" w:space="0" w:color="auto"/>
              <w:right w:val="single" w:sz="4" w:space="0" w:color="auto"/>
            </w:tcBorders>
            <w:shd w:val="clear" w:color="auto" w:fill="auto"/>
            <w:noWrap/>
            <w:vAlign w:val="center"/>
            <w:hideMark/>
          </w:tcPr>
          <w:p w14:paraId="44F443F9" w14:textId="77777777" w:rsidR="00A4283D" w:rsidRPr="004F469F" w:rsidRDefault="00A4283D" w:rsidP="00A4283D">
            <w:pPr>
              <w:jc w:val="center"/>
              <w:rPr>
                <w:sz w:val="20"/>
                <w:szCs w:val="20"/>
              </w:rPr>
            </w:pPr>
            <w:r w:rsidRPr="004F469F">
              <w:rPr>
                <w:sz w:val="20"/>
                <w:szCs w:val="20"/>
              </w:rPr>
              <w:t>3.06</w:t>
            </w:r>
          </w:p>
        </w:tc>
        <w:tc>
          <w:tcPr>
            <w:tcW w:w="825" w:type="dxa"/>
            <w:tcBorders>
              <w:top w:val="single" w:sz="18" w:space="0" w:color="auto"/>
              <w:left w:val="nil"/>
              <w:bottom w:val="single" w:sz="4" w:space="0" w:color="auto"/>
              <w:right w:val="single" w:sz="18" w:space="0" w:color="auto"/>
            </w:tcBorders>
            <w:shd w:val="clear" w:color="auto" w:fill="auto"/>
            <w:noWrap/>
            <w:vAlign w:val="center"/>
            <w:hideMark/>
          </w:tcPr>
          <w:p w14:paraId="69E08125" w14:textId="77777777" w:rsidR="00A4283D" w:rsidRPr="004F469F" w:rsidRDefault="00A4283D" w:rsidP="00A4283D">
            <w:pPr>
              <w:jc w:val="center"/>
              <w:rPr>
                <w:sz w:val="20"/>
                <w:szCs w:val="20"/>
              </w:rPr>
            </w:pPr>
            <w:r w:rsidRPr="004F469F">
              <w:rPr>
                <w:sz w:val="20"/>
                <w:szCs w:val="20"/>
              </w:rPr>
              <w:t>0.00</w:t>
            </w:r>
          </w:p>
        </w:tc>
      </w:tr>
      <w:tr w:rsidR="00494669" w:rsidRPr="004F469F" w14:paraId="638E44B3" w14:textId="77777777" w:rsidTr="00A4283D">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4DB659C4" w14:textId="77777777" w:rsidR="00A4283D" w:rsidRPr="004F469F" w:rsidRDefault="00A4283D" w:rsidP="00A4283D">
            <w:pPr>
              <w:jc w:val="center"/>
              <w:rPr>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679E81AD"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46E1C302" w14:textId="77777777" w:rsidR="00A4283D" w:rsidRPr="004F469F" w:rsidRDefault="00A4283D" w:rsidP="00A4283D">
            <w:pPr>
              <w:jc w:val="center"/>
              <w:rPr>
                <w:sz w:val="20"/>
                <w:szCs w:val="20"/>
              </w:rPr>
            </w:pPr>
            <w:r w:rsidRPr="004F469F">
              <w:rPr>
                <w:sz w:val="20"/>
                <w:szCs w:val="20"/>
              </w:rPr>
              <w:t>212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E02F28D" w14:textId="77777777" w:rsidR="00A4283D" w:rsidRPr="004F469F" w:rsidRDefault="00A4283D" w:rsidP="00A4283D">
            <w:pPr>
              <w:jc w:val="center"/>
              <w:rPr>
                <w:sz w:val="20"/>
                <w:szCs w:val="20"/>
              </w:rPr>
            </w:pPr>
            <w:r w:rsidRPr="004F469F">
              <w:rPr>
                <w:sz w:val="20"/>
                <w:szCs w:val="20"/>
              </w:rPr>
              <w:t>1,681</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321FE85C" w14:textId="77777777" w:rsidR="00A4283D" w:rsidRPr="004F469F" w:rsidRDefault="00A4283D" w:rsidP="00A4283D">
            <w:pPr>
              <w:jc w:val="center"/>
              <w:rPr>
                <w:sz w:val="20"/>
                <w:szCs w:val="20"/>
              </w:rPr>
            </w:pPr>
            <w:r w:rsidRPr="004F469F">
              <w:rPr>
                <w:sz w:val="20"/>
                <w:szCs w:val="20"/>
              </w:rPr>
              <w:t>8,709</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0D21E2CC" w14:textId="77777777" w:rsidR="00A4283D" w:rsidRPr="004F469F" w:rsidRDefault="00A4283D" w:rsidP="00A4283D">
            <w:pPr>
              <w:jc w:val="center"/>
              <w:rPr>
                <w:sz w:val="20"/>
                <w:szCs w:val="20"/>
              </w:rPr>
            </w:pPr>
            <w:r w:rsidRPr="004F469F">
              <w:rPr>
                <w:sz w:val="20"/>
                <w:szCs w:val="20"/>
              </w:rPr>
              <w:t>22,133</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680669A0" w14:textId="77777777" w:rsidR="00A4283D" w:rsidRPr="004F469F" w:rsidRDefault="00A4283D" w:rsidP="00A4283D">
            <w:pPr>
              <w:jc w:val="center"/>
              <w:rPr>
                <w:sz w:val="20"/>
                <w:szCs w:val="20"/>
              </w:rPr>
            </w:pPr>
            <w:r w:rsidRPr="004F469F">
              <w:rPr>
                <w:sz w:val="20"/>
                <w:szCs w:val="20"/>
              </w:rPr>
              <w:t>52,402</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14:paraId="590EFDD5" w14:textId="77777777" w:rsidR="00A4283D" w:rsidRPr="004F469F" w:rsidRDefault="00A4283D" w:rsidP="00A4283D">
            <w:pPr>
              <w:jc w:val="center"/>
              <w:rPr>
                <w:sz w:val="20"/>
                <w:szCs w:val="20"/>
              </w:rPr>
            </w:pPr>
            <w:r w:rsidRPr="004F469F">
              <w:rPr>
                <w:sz w:val="20"/>
                <w:szCs w:val="20"/>
              </w:rPr>
              <w:t>8.31</w:t>
            </w:r>
          </w:p>
        </w:tc>
        <w:tc>
          <w:tcPr>
            <w:tcW w:w="825" w:type="dxa"/>
            <w:tcBorders>
              <w:top w:val="single" w:sz="4" w:space="0" w:color="auto"/>
              <w:left w:val="nil"/>
              <w:bottom w:val="single" w:sz="4" w:space="0" w:color="auto"/>
              <w:right w:val="single" w:sz="18" w:space="0" w:color="auto"/>
            </w:tcBorders>
            <w:shd w:val="clear" w:color="auto" w:fill="auto"/>
            <w:noWrap/>
            <w:vAlign w:val="center"/>
            <w:hideMark/>
          </w:tcPr>
          <w:p w14:paraId="2F2CC4FF" w14:textId="77777777" w:rsidR="00A4283D" w:rsidRPr="004F469F" w:rsidRDefault="00A4283D" w:rsidP="00A4283D">
            <w:pPr>
              <w:jc w:val="center"/>
              <w:rPr>
                <w:sz w:val="20"/>
                <w:szCs w:val="20"/>
              </w:rPr>
            </w:pPr>
            <w:r w:rsidRPr="004F469F">
              <w:rPr>
                <w:sz w:val="20"/>
                <w:szCs w:val="20"/>
              </w:rPr>
              <w:t>1.68</w:t>
            </w:r>
          </w:p>
        </w:tc>
      </w:tr>
      <w:tr w:rsidR="00494669" w:rsidRPr="004F469F" w14:paraId="17A81144" w14:textId="77777777" w:rsidTr="00A4283D">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63EE6D9A" w14:textId="77777777" w:rsidR="00A4283D" w:rsidRPr="004F469F" w:rsidRDefault="00A4283D" w:rsidP="00A4283D">
            <w:pPr>
              <w:jc w:val="center"/>
              <w:rPr>
                <w:sz w:val="20"/>
                <w:szCs w:val="20"/>
              </w:rPr>
            </w:pPr>
          </w:p>
        </w:tc>
        <w:tc>
          <w:tcPr>
            <w:tcW w:w="1260" w:type="dxa"/>
            <w:tcBorders>
              <w:top w:val="single" w:sz="4" w:space="0" w:color="auto"/>
              <w:left w:val="nil"/>
              <w:bottom w:val="single" w:sz="12" w:space="0" w:color="auto"/>
              <w:right w:val="single" w:sz="4" w:space="0" w:color="auto"/>
            </w:tcBorders>
            <w:shd w:val="clear" w:color="auto" w:fill="auto"/>
            <w:noWrap/>
            <w:vAlign w:val="center"/>
            <w:hideMark/>
          </w:tcPr>
          <w:p w14:paraId="4CEFA056"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1FE6D298" w14:textId="77777777" w:rsidR="00A4283D" w:rsidRPr="004F469F" w:rsidRDefault="00A4283D" w:rsidP="00A4283D">
            <w:pPr>
              <w:jc w:val="center"/>
              <w:rPr>
                <w:sz w:val="20"/>
                <w:szCs w:val="20"/>
              </w:rPr>
            </w:pPr>
            <w:r w:rsidRPr="004F469F">
              <w:rPr>
                <w:sz w:val="20"/>
                <w:szCs w:val="20"/>
              </w:rPr>
              <w:t>628</w:t>
            </w:r>
          </w:p>
        </w:tc>
        <w:tc>
          <w:tcPr>
            <w:tcW w:w="720" w:type="dxa"/>
            <w:tcBorders>
              <w:top w:val="single" w:sz="4" w:space="0" w:color="auto"/>
              <w:left w:val="nil"/>
              <w:bottom w:val="single" w:sz="12" w:space="0" w:color="auto"/>
              <w:right w:val="single" w:sz="4" w:space="0" w:color="auto"/>
            </w:tcBorders>
            <w:shd w:val="clear" w:color="auto" w:fill="auto"/>
            <w:noWrap/>
            <w:vAlign w:val="center"/>
            <w:hideMark/>
          </w:tcPr>
          <w:p w14:paraId="7529D267" w14:textId="77777777" w:rsidR="00A4283D" w:rsidRPr="004F469F" w:rsidRDefault="00A4283D" w:rsidP="00A4283D">
            <w:pPr>
              <w:jc w:val="center"/>
              <w:rPr>
                <w:sz w:val="20"/>
                <w:szCs w:val="20"/>
              </w:rPr>
            </w:pPr>
            <w:r w:rsidRPr="004F469F">
              <w:rPr>
                <w:sz w:val="20"/>
                <w:szCs w:val="20"/>
              </w:rPr>
              <w:t>3,891</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6079BAAB" w14:textId="77777777" w:rsidR="00A4283D" w:rsidRPr="004F469F" w:rsidRDefault="00A4283D" w:rsidP="00A4283D">
            <w:pPr>
              <w:jc w:val="center"/>
              <w:rPr>
                <w:sz w:val="20"/>
                <w:szCs w:val="20"/>
              </w:rPr>
            </w:pPr>
            <w:r w:rsidRPr="004F469F">
              <w:rPr>
                <w:sz w:val="20"/>
                <w:szCs w:val="20"/>
              </w:rPr>
              <w:t>18,661</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38FB18B3" w14:textId="77777777" w:rsidR="00A4283D" w:rsidRPr="004F469F" w:rsidRDefault="00A4283D" w:rsidP="00A4283D">
            <w:pPr>
              <w:jc w:val="center"/>
              <w:rPr>
                <w:sz w:val="20"/>
                <w:szCs w:val="20"/>
              </w:rPr>
            </w:pPr>
            <w:r w:rsidRPr="004F469F">
              <w:rPr>
                <w:sz w:val="20"/>
                <w:szCs w:val="20"/>
              </w:rPr>
              <w:t>39,269</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13EF580F" w14:textId="77777777" w:rsidR="00A4283D" w:rsidRPr="004F469F" w:rsidRDefault="00A4283D" w:rsidP="00A4283D">
            <w:pPr>
              <w:jc w:val="center"/>
              <w:rPr>
                <w:sz w:val="20"/>
                <w:szCs w:val="20"/>
              </w:rPr>
            </w:pPr>
            <w:r w:rsidRPr="004F469F">
              <w:rPr>
                <w:sz w:val="20"/>
                <w:szCs w:val="20"/>
              </w:rPr>
              <w:t>61,562</w:t>
            </w:r>
          </w:p>
        </w:tc>
        <w:tc>
          <w:tcPr>
            <w:tcW w:w="932" w:type="dxa"/>
            <w:tcBorders>
              <w:top w:val="single" w:sz="4" w:space="0" w:color="auto"/>
              <w:left w:val="nil"/>
              <w:bottom w:val="single" w:sz="12" w:space="0" w:color="auto"/>
              <w:right w:val="single" w:sz="4" w:space="0" w:color="auto"/>
            </w:tcBorders>
            <w:shd w:val="clear" w:color="auto" w:fill="auto"/>
            <w:noWrap/>
            <w:vAlign w:val="center"/>
            <w:hideMark/>
          </w:tcPr>
          <w:p w14:paraId="6011E06F" w14:textId="77777777" w:rsidR="00A4283D" w:rsidRPr="004F469F" w:rsidRDefault="00A4283D" w:rsidP="00A4283D">
            <w:pPr>
              <w:jc w:val="center"/>
              <w:rPr>
                <w:sz w:val="20"/>
                <w:szCs w:val="20"/>
              </w:rPr>
            </w:pPr>
            <w:r w:rsidRPr="004F469F">
              <w:rPr>
                <w:sz w:val="20"/>
                <w:szCs w:val="20"/>
              </w:rPr>
              <w:t>21.05</w:t>
            </w:r>
          </w:p>
        </w:tc>
        <w:tc>
          <w:tcPr>
            <w:tcW w:w="825" w:type="dxa"/>
            <w:tcBorders>
              <w:top w:val="single" w:sz="4" w:space="0" w:color="auto"/>
              <w:left w:val="nil"/>
              <w:bottom w:val="single" w:sz="12" w:space="0" w:color="auto"/>
              <w:right w:val="single" w:sz="18" w:space="0" w:color="auto"/>
            </w:tcBorders>
            <w:shd w:val="clear" w:color="auto" w:fill="auto"/>
            <w:noWrap/>
            <w:vAlign w:val="center"/>
            <w:hideMark/>
          </w:tcPr>
          <w:p w14:paraId="28DBE9E0" w14:textId="77777777" w:rsidR="00A4283D" w:rsidRPr="004F469F" w:rsidRDefault="00A4283D" w:rsidP="00A4283D">
            <w:pPr>
              <w:jc w:val="center"/>
              <w:rPr>
                <w:sz w:val="20"/>
                <w:szCs w:val="20"/>
              </w:rPr>
            </w:pPr>
            <w:r w:rsidRPr="004F469F">
              <w:rPr>
                <w:sz w:val="20"/>
                <w:szCs w:val="20"/>
              </w:rPr>
              <w:t>4.62</w:t>
            </w:r>
          </w:p>
        </w:tc>
      </w:tr>
      <w:tr w:rsidR="00494669" w:rsidRPr="004F469F" w14:paraId="2E6D047C" w14:textId="77777777" w:rsidTr="00A4283D">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25AB1DD8" w14:textId="77777777" w:rsidR="00A4283D" w:rsidRPr="004F469F" w:rsidRDefault="00A4283D" w:rsidP="00A4283D">
            <w:pPr>
              <w:jc w:val="center"/>
              <w:rPr>
                <w:sz w:val="20"/>
                <w:szCs w:val="20"/>
              </w:rPr>
            </w:pPr>
          </w:p>
        </w:tc>
        <w:tc>
          <w:tcPr>
            <w:tcW w:w="1260" w:type="dxa"/>
            <w:tcBorders>
              <w:top w:val="single" w:sz="12" w:space="0" w:color="auto"/>
              <w:left w:val="nil"/>
              <w:bottom w:val="single" w:sz="18" w:space="0" w:color="auto"/>
              <w:right w:val="single" w:sz="4" w:space="0" w:color="auto"/>
            </w:tcBorders>
            <w:shd w:val="clear" w:color="auto" w:fill="auto"/>
            <w:noWrap/>
            <w:vAlign w:val="center"/>
            <w:hideMark/>
          </w:tcPr>
          <w:p w14:paraId="30A4AD87"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38A1E784" w14:textId="77777777" w:rsidR="00A4283D" w:rsidRPr="004F469F" w:rsidRDefault="00A4283D" w:rsidP="00A4283D">
            <w:pPr>
              <w:jc w:val="center"/>
              <w:rPr>
                <w:i/>
                <w:iCs/>
                <w:sz w:val="20"/>
                <w:szCs w:val="20"/>
              </w:rPr>
            </w:pPr>
            <w:r w:rsidRPr="004F469F">
              <w:rPr>
                <w:i/>
                <w:iCs/>
                <w:sz w:val="20"/>
                <w:szCs w:val="20"/>
              </w:rPr>
              <w:t>145</w:t>
            </w:r>
          </w:p>
        </w:tc>
        <w:tc>
          <w:tcPr>
            <w:tcW w:w="720" w:type="dxa"/>
            <w:tcBorders>
              <w:top w:val="single" w:sz="12" w:space="0" w:color="auto"/>
              <w:left w:val="nil"/>
              <w:bottom w:val="single" w:sz="18" w:space="0" w:color="auto"/>
              <w:right w:val="single" w:sz="4" w:space="0" w:color="auto"/>
            </w:tcBorders>
            <w:shd w:val="clear" w:color="auto" w:fill="auto"/>
            <w:noWrap/>
            <w:vAlign w:val="center"/>
            <w:hideMark/>
          </w:tcPr>
          <w:p w14:paraId="363B73C4" w14:textId="77777777" w:rsidR="00A4283D" w:rsidRPr="004F469F" w:rsidRDefault="00A4283D" w:rsidP="00A4283D">
            <w:pPr>
              <w:jc w:val="center"/>
              <w:rPr>
                <w:i/>
                <w:iCs/>
                <w:sz w:val="20"/>
                <w:szCs w:val="20"/>
              </w:rPr>
            </w:pPr>
            <w:r w:rsidRPr="004F469F">
              <w:rPr>
                <w:i/>
                <w:iCs/>
                <w:sz w:val="20"/>
                <w:szCs w:val="20"/>
              </w:rPr>
              <w:t>2,187</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21D5049D" w14:textId="77777777" w:rsidR="00A4283D" w:rsidRPr="004F469F" w:rsidRDefault="00A4283D" w:rsidP="00A4283D">
            <w:pPr>
              <w:jc w:val="center"/>
              <w:rPr>
                <w:i/>
                <w:iCs/>
                <w:sz w:val="20"/>
                <w:szCs w:val="20"/>
              </w:rPr>
            </w:pPr>
            <w:r w:rsidRPr="004F469F">
              <w:rPr>
                <w:i/>
                <w:iCs/>
                <w:sz w:val="20"/>
                <w:szCs w:val="20"/>
              </w:rPr>
              <w:t>12,410</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041ECFC8" w14:textId="77777777" w:rsidR="00A4283D" w:rsidRPr="004F469F" w:rsidRDefault="00A4283D" w:rsidP="00A4283D">
            <w:pPr>
              <w:jc w:val="center"/>
              <w:rPr>
                <w:i/>
                <w:iCs/>
                <w:sz w:val="20"/>
                <w:szCs w:val="20"/>
              </w:rPr>
            </w:pPr>
            <w:r w:rsidRPr="004F469F">
              <w:rPr>
                <w:i/>
                <w:iCs/>
                <w:sz w:val="20"/>
                <w:szCs w:val="20"/>
              </w:rPr>
              <w:t>31,761</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2D15EFD8" w14:textId="77777777" w:rsidR="00A4283D" w:rsidRPr="004F469F" w:rsidRDefault="00A4283D" w:rsidP="00A4283D">
            <w:pPr>
              <w:jc w:val="center"/>
              <w:rPr>
                <w:i/>
                <w:iCs/>
                <w:sz w:val="20"/>
                <w:szCs w:val="20"/>
              </w:rPr>
            </w:pPr>
            <w:r w:rsidRPr="004F469F">
              <w:rPr>
                <w:i/>
                <w:iCs/>
                <w:sz w:val="20"/>
                <w:szCs w:val="20"/>
              </w:rPr>
              <w:t>63,173</w:t>
            </w:r>
          </w:p>
        </w:tc>
        <w:tc>
          <w:tcPr>
            <w:tcW w:w="932" w:type="dxa"/>
            <w:tcBorders>
              <w:top w:val="single" w:sz="12" w:space="0" w:color="auto"/>
              <w:left w:val="nil"/>
              <w:bottom w:val="single" w:sz="18" w:space="0" w:color="auto"/>
              <w:right w:val="single" w:sz="4" w:space="0" w:color="auto"/>
            </w:tcBorders>
            <w:shd w:val="clear" w:color="auto" w:fill="auto"/>
            <w:noWrap/>
            <w:vAlign w:val="center"/>
            <w:hideMark/>
          </w:tcPr>
          <w:p w14:paraId="3D9EF02F" w14:textId="77777777" w:rsidR="00A4283D" w:rsidRPr="004F469F" w:rsidRDefault="00A4283D" w:rsidP="00A4283D">
            <w:pPr>
              <w:jc w:val="center"/>
              <w:rPr>
                <w:i/>
                <w:iCs/>
                <w:sz w:val="20"/>
                <w:szCs w:val="20"/>
              </w:rPr>
            </w:pPr>
            <w:r w:rsidRPr="004F469F">
              <w:rPr>
                <w:i/>
                <w:iCs/>
                <w:sz w:val="20"/>
                <w:szCs w:val="20"/>
              </w:rPr>
              <w:t>11.29</w:t>
            </w:r>
          </w:p>
        </w:tc>
        <w:tc>
          <w:tcPr>
            <w:tcW w:w="825" w:type="dxa"/>
            <w:tcBorders>
              <w:top w:val="single" w:sz="12" w:space="0" w:color="auto"/>
              <w:left w:val="nil"/>
              <w:bottom w:val="single" w:sz="18" w:space="0" w:color="auto"/>
              <w:right w:val="single" w:sz="18" w:space="0" w:color="auto"/>
            </w:tcBorders>
            <w:shd w:val="clear" w:color="auto" w:fill="auto"/>
            <w:noWrap/>
            <w:vAlign w:val="center"/>
            <w:hideMark/>
          </w:tcPr>
          <w:p w14:paraId="15711631" w14:textId="77777777" w:rsidR="00A4283D" w:rsidRPr="004F469F" w:rsidRDefault="00A4283D" w:rsidP="00A4283D">
            <w:pPr>
              <w:jc w:val="center"/>
              <w:rPr>
                <w:i/>
                <w:iCs/>
                <w:sz w:val="20"/>
                <w:szCs w:val="20"/>
              </w:rPr>
            </w:pPr>
            <w:r w:rsidRPr="004F469F">
              <w:rPr>
                <w:i/>
                <w:iCs/>
                <w:sz w:val="20"/>
                <w:szCs w:val="20"/>
              </w:rPr>
              <w:t>2.70</w:t>
            </w:r>
          </w:p>
        </w:tc>
      </w:tr>
      <w:tr w:rsidR="00494669" w:rsidRPr="004F469F" w14:paraId="5D7C3D90" w14:textId="77777777" w:rsidTr="00A4283D">
        <w:trPr>
          <w:trHeight w:val="32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2751C2BE" w14:textId="77777777" w:rsidR="00A4283D" w:rsidRPr="004F469F" w:rsidRDefault="00A4283D" w:rsidP="00A4283D">
            <w:pPr>
              <w:jc w:val="center"/>
              <w:rPr>
                <w:sz w:val="20"/>
                <w:szCs w:val="20"/>
              </w:rPr>
            </w:pPr>
            <w:r w:rsidRPr="004F469F">
              <w:rPr>
                <w:sz w:val="20"/>
                <w:szCs w:val="20"/>
              </w:rPr>
              <w:t>Urban Development Only</w:t>
            </w:r>
          </w:p>
        </w:tc>
        <w:tc>
          <w:tcPr>
            <w:tcW w:w="1260" w:type="dxa"/>
            <w:tcBorders>
              <w:top w:val="single" w:sz="18" w:space="0" w:color="auto"/>
              <w:left w:val="nil"/>
              <w:bottom w:val="single" w:sz="4" w:space="0" w:color="auto"/>
              <w:right w:val="single" w:sz="4" w:space="0" w:color="auto"/>
            </w:tcBorders>
            <w:shd w:val="clear" w:color="auto" w:fill="auto"/>
            <w:noWrap/>
            <w:vAlign w:val="center"/>
            <w:hideMark/>
          </w:tcPr>
          <w:p w14:paraId="06A8C79F"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4" w:space="0" w:color="auto"/>
              <w:right w:val="single" w:sz="4" w:space="0" w:color="auto"/>
            </w:tcBorders>
            <w:shd w:val="clear" w:color="auto" w:fill="auto"/>
            <w:noWrap/>
            <w:vAlign w:val="center"/>
            <w:hideMark/>
          </w:tcPr>
          <w:p w14:paraId="13FED503" w14:textId="77777777" w:rsidR="00A4283D" w:rsidRPr="004F469F" w:rsidRDefault="00A4283D" w:rsidP="00A4283D">
            <w:pPr>
              <w:jc w:val="center"/>
              <w:rPr>
                <w:sz w:val="20"/>
                <w:szCs w:val="20"/>
              </w:rPr>
            </w:pPr>
            <w:r w:rsidRPr="004F469F">
              <w:rPr>
                <w:sz w:val="20"/>
                <w:szCs w:val="20"/>
              </w:rPr>
              <w:t>902</w:t>
            </w:r>
          </w:p>
        </w:tc>
        <w:tc>
          <w:tcPr>
            <w:tcW w:w="720" w:type="dxa"/>
            <w:tcBorders>
              <w:top w:val="single" w:sz="18" w:space="0" w:color="auto"/>
              <w:left w:val="nil"/>
              <w:bottom w:val="single" w:sz="4" w:space="0" w:color="auto"/>
              <w:right w:val="single" w:sz="4" w:space="0" w:color="auto"/>
            </w:tcBorders>
            <w:shd w:val="clear" w:color="auto" w:fill="auto"/>
            <w:noWrap/>
            <w:vAlign w:val="center"/>
            <w:hideMark/>
          </w:tcPr>
          <w:p w14:paraId="323E9B0C" w14:textId="77777777" w:rsidR="00A4283D" w:rsidRPr="004F469F" w:rsidRDefault="00A4283D" w:rsidP="00A4283D">
            <w:pPr>
              <w:jc w:val="center"/>
              <w:rPr>
                <w:sz w:val="20"/>
                <w:szCs w:val="20"/>
              </w:rPr>
            </w:pPr>
            <w:r w:rsidRPr="004F469F">
              <w:rPr>
                <w:sz w:val="20"/>
                <w:szCs w:val="20"/>
              </w:rPr>
              <w:t>2,427</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26CEF5BA" w14:textId="77777777" w:rsidR="00A4283D" w:rsidRPr="004F469F" w:rsidRDefault="00A4283D" w:rsidP="00A4283D">
            <w:pPr>
              <w:jc w:val="center"/>
              <w:rPr>
                <w:sz w:val="20"/>
                <w:szCs w:val="20"/>
              </w:rPr>
            </w:pPr>
            <w:r w:rsidRPr="004F469F">
              <w:rPr>
                <w:sz w:val="20"/>
                <w:szCs w:val="20"/>
              </w:rPr>
              <w:t>9,698</w:t>
            </w:r>
          </w:p>
        </w:tc>
        <w:tc>
          <w:tcPr>
            <w:tcW w:w="766" w:type="dxa"/>
            <w:tcBorders>
              <w:top w:val="single" w:sz="18" w:space="0" w:color="auto"/>
              <w:left w:val="nil"/>
              <w:bottom w:val="single" w:sz="4" w:space="0" w:color="auto"/>
              <w:right w:val="single" w:sz="4" w:space="0" w:color="auto"/>
            </w:tcBorders>
            <w:shd w:val="clear" w:color="auto" w:fill="auto"/>
            <w:noWrap/>
            <w:vAlign w:val="center"/>
            <w:hideMark/>
          </w:tcPr>
          <w:p w14:paraId="6CB5964B" w14:textId="77777777" w:rsidR="00A4283D" w:rsidRPr="004F469F" w:rsidRDefault="00A4283D" w:rsidP="00A4283D">
            <w:pPr>
              <w:jc w:val="center"/>
              <w:rPr>
                <w:sz w:val="20"/>
                <w:szCs w:val="20"/>
              </w:rPr>
            </w:pPr>
            <w:r w:rsidRPr="004F469F">
              <w:rPr>
                <w:sz w:val="20"/>
                <w:szCs w:val="20"/>
              </w:rPr>
              <w:t>19,145</w:t>
            </w: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14:paraId="0D539E28" w14:textId="77777777" w:rsidR="00A4283D" w:rsidRPr="004F469F" w:rsidRDefault="00A4283D" w:rsidP="00A4283D">
            <w:pPr>
              <w:jc w:val="center"/>
              <w:rPr>
                <w:sz w:val="20"/>
                <w:szCs w:val="20"/>
              </w:rPr>
            </w:pPr>
            <w:r w:rsidRPr="004F469F">
              <w:rPr>
                <w:sz w:val="20"/>
                <w:szCs w:val="20"/>
              </w:rPr>
              <w:t>42,639</w:t>
            </w:r>
          </w:p>
        </w:tc>
        <w:tc>
          <w:tcPr>
            <w:tcW w:w="932" w:type="dxa"/>
            <w:tcBorders>
              <w:top w:val="single" w:sz="18" w:space="0" w:color="auto"/>
              <w:left w:val="nil"/>
              <w:bottom w:val="single" w:sz="4" w:space="0" w:color="auto"/>
              <w:right w:val="single" w:sz="4" w:space="0" w:color="auto"/>
            </w:tcBorders>
            <w:shd w:val="clear" w:color="auto" w:fill="auto"/>
            <w:noWrap/>
            <w:vAlign w:val="center"/>
            <w:hideMark/>
          </w:tcPr>
          <w:p w14:paraId="5BE70F04" w14:textId="77777777" w:rsidR="00A4283D" w:rsidRPr="004F469F" w:rsidRDefault="00A4283D" w:rsidP="00A4283D">
            <w:pPr>
              <w:jc w:val="center"/>
              <w:rPr>
                <w:sz w:val="20"/>
                <w:szCs w:val="20"/>
              </w:rPr>
            </w:pPr>
            <w:r w:rsidRPr="004F469F">
              <w:rPr>
                <w:sz w:val="20"/>
                <w:szCs w:val="20"/>
              </w:rPr>
              <w:t>14.66</w:t>
            </w:r>
          </w:p>
        </w:tc>
        <w:tc>
          <w:tcPr>
            <w:tcW w:w="825" w:type="dxa"/>
            <w:tcBorders>
              <w:top w:val="single" w:sz="18" w:space="0" w:color="auto"/>
              <w:left w:val="nil"/>
              <w:bottom w:val="single" w:sz="4" w:space="0" w:color="auto"/>
              <w:right w:val="single" w:sz="18" w:space="0" w:color="auto"/>
            </w:tcBorders>
            <w:shd w:val="clear" w:color="auto" w:fill="auto"/>
            <w:noWrap/>
            <w:vAlign w:val="center"/>
            <w:hideMark/>
          </w:tcPr>
          <w:p w14:paraId="4A37E5EB" w14:textId="77777777" w:rsidR="00A4283D" w:rsidRPr="004F469F" w:rsidRDefault="00A4283D" w:rsidP="00A4283D">
            <w:pPr>
              <w:jc w:val="center"/>
              <w:rPr>
                <w:sz w:val="20"/>
                <w:szCs w:val="20"/>
              </w:rPr>
            </w:pPr>
            <w:r w:rsidRPr="004F469F">
              <w:rPr>
                <w:sz w:val="20"/>
                <w:szCs w:val="20"/>
              </w:rPr>
              <w:t>0.85</w:t>
            </w:r>
          </w:p>
        </w:tc>
      </w:tr>
      <w:tr w:rsidR="00494669" w:rsidRPr="004F469F" w14:paraId="2CF69606" w14:textId="77777777" w:rsidTr="00A4283D">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0252AB50" w14:textId="77777777" w:rsidR="00A4283D" w:rsidRPr="004F469F" w:rsidRDefault="00A4283D" w:rsidP="00A4283D">
            <w:pPr>
              <w:jc w:val="center"/>
              <w:rPr>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882C20D"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B5B4A17" w14:textId="77777777" w:rsidR="00A4283D" w:rsidRPr="004F469F" w:rsidRDefault="00A4283D" w:rsidP="00A4283D">
            <w:pPr>
              <w:jc w:val="center"/>
              <w:rPr>
                <w:sz w:val="20"/>
                <w:szCs w:val="20"/>
              </w:rPr>
            </w:pPr>
            <w:r w:rsidRPr="004F469F">
              <w:rPr>
                <w:sz w:val="20"/>
                <w:szCs w:val="20"/>
              </w:rPr>
              <w:t>898</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83604E9" w14:textId="77777777" w:rsidR="00A4283D" w:rsidRPr="004F469F" w:rsidRDefault="00A4283D" w:rsidP="00A4283D">
            <w:pPr>
              <w:jc w:val="center"/>
              <w:rPr>
                <w:sz w:val="20"/>
                <w:szCs w:val="20"/>
              </w:rPr>
            </w:pPr>
            <w:r w:rsidRPr="004F469F">
              <w:rPr>
                <w:sz w:val="20"/>
                <w:szCs w:val="20"/>
              </w:rPr>
              <w:t>3,196</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5B672D18" w14:textId="77777777" w:rsidR="00A4283D" w:rsidRPr="004F469F" w:rsidRDefault="00A4283D" w:rsidP="00A4283D">
            <w:pPr>
              <w:jc w:val="center"/>
              <w:rPr>
                <w:sz w:val="20"/>
                <w:szCs w:val="20"/>
              </w:rPr>
            </w:pPr>
            <w:r w:rsidRPr="004F469F">
              <w:rPr>
                <w:sz w:val="20"/>
                <w:szCs w:val="20"/>
              </w:rPr>
              <w:t>14,273</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2039D261" w14:textId="77777777" w:rsidR="00A4283D" w:rsidRPr="004F469F" w:rsidRDefault="00A4283D" w:rsidP="00A4283D">
            <w:pPr>
              <w:jc w:val="center"/>
              <w:rPr>
                <w:sz w:val="20"/>
                <w:szCs w:val="20"/>
              </w:rPr>
            </w:pPr>
            <w:r w:rsidRPr="004F469F">
              <w:rPr>
                <w:sz w:val="20"/>
                <w:szCs w:val="20"/>
              </w:rPr>
              <w:t>36,320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14:paraId="654892DA" w14:textId="77777777" w:rsidR="00A4283D" w:rsidRPr="004F469F" w:rsidRDefault="00A4283D" w:rsidP="00A4283D">
            <w:pPr>
              <w:jc w:val="center"/>
              <w:rPr>
                <w:sz w:val="20"/>
                <w:szCs w:val="20"/>
              </w:rPr>
            </w:pPr>
            <w:r w:rsidRPr="004F469F">
              <w:rPr>
                <w:sz w:val="20"/>
                <w:szCs w:val="20"/>
              </w:rPr>
              <w:t>65,874</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14:paraId="2C369734" w14:textId="77777777" w:rsidR="00A4283D" w:rsidRPr="004F469F" w:rsidRDefault="00A4283D" w:rsidP="00A4283D">
            <w:pPr>
              <w:jc w:val="center"/>
              <w:rPr>
                <w:sz w:val="20"/>
                <w:szCs w:val="20"/>
              </w:rPr>
            </w:pPr>
            <w:r w:rsidRPr="004F469F">
              <w:rPr>
                <w:sz w:val="20"/>
                <w:szCs w:val="20"/>
              </w:rPr>
              <w:t>16.50</w:t>
            </w:r>
          </w:p>
        </w:tc>
        <w:tc>
          <w:tcPr>
            <w:tcW w:w="825" w:type="dxa"/>
            <w:tcBorders>
              <w:top w:val="single" w:sz="4" w:space="0" w:color="auto"/>
              <w:left w:val="nil"/>
              <w:bottom w:val="single" w:sz="4" w:space="0" w:color="auto"/>
              <w:right w:val="single" w:sz="18" w:space="0" w:color="auto"/>
            </w:tcBorders>
            <w:shd w:val="clear" w:color="auto" w:fill="auto"/>
            <w:noWrap/>
            <w:vAlign w:val="center"/>
            <w:hideMark/>
          </w:tcPr>
          <w:p w14:paraId="45536FD8" w14:textId="77777777" w:rsidR="00A4283D" w:rsidRPr="004F469F" w:rsidRDefault="00A4283D" w:rsidP="00A4283D">
            <w:pPr>
              <w:jc w:val="center"/>
              <w:rPr>
                <w:sz w:val="20"/>
                <w:szCs w:val="20"/>
              </w:rPr>
            </w:pPr>
            <w:r w:rsidRPr="004F469F">
              <w:rPr>
                <w:sz w:val="20"/>
                <w:szCs w:val="20"/>
              </w:rPr>
              <w:t>3.17</w:t>
            </w:r>
          </w:p>
        </w:tc>
      </w:tr>
      <w:tr w:rsidR="00494669" w:rsidRPr="004F469F" w14:paraId="57DB8D02" w14:textId="77777777" w:rsidTr="00A4283D">
        <w:trPr>
          <w:trHeight w:val="320"/>
        </w:trPr>
        <w:tc>
          <w:tcPr>
            <w:tcW w:w="1705" w:type="dxa"/>
            <w:vMerge/>
            <w:tcBorders>
              <w:top w:val="single" w:sz="4" w:space="0" w:color="auto"/>
              <w:left w:val="single" w:sz="18" w:space="0" w:color="auto"/>
              <w:bottom w:val="single" w:sz="4" w:space="0" w:color="auto"/>
              <w:right w:val="single" w:sz="4" w:space="0" w:color="auto"/>
            </w:tcBorders>
            <w:vAlign w:val="center"/>
            <w:hideMark/>
          </w:tcPr>
          <w:p w14:paraId="0AE634E2" w14:textId="77777777" w:rsidR="00A4283D" w:rsidRPr="004F469F" w:rsidRDefault="00A4283D" w:rsidP="00A4283D">
            <w:pPr>
              <w:jc w:val="center"/>
              <w:rPr>
                <w:sz w:val="20"/>
                <w:szCs w:val="20"/>
              </w:rPr>
            </w:pPr>
          </w:p>
        </w:tc>
        <w:tc>
          <w:tcPr>
            <w:tcW w:w="1260" w:type="dxa"/>
            <w:tcBorders>
              <w:top w:val="single" w:sz="4" w:space="0" w:color="auto"/>
              <w:left w:val="nil"/>
              <w:bottom w:val="single" w:sz="12" w:space="0" w:color="auto"/>
              <w:right w:val="single" w:sz="4" w:space="0" w:color="auto"/>
            </w:tcBorders>
            <w:shd w:val="clear" w:color="auto" w:fill="auto"/>
            <w:noWrap/>
            <w:vAlign w:val="center"/>
            <w:hideMark/>
          </w:tcPr>
          <w:p w14:paraId="3C876744"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31917924" w14:textId="77777777" w:rsidR="00A4283D" w:rsidRPr="004F469F" w:rsidRDefault="00A4283D" w:rsidP="00A4283D">
            <w:pPr>
              <w:jc w:val="center"/>
              <w:rPr>
                <w:sz w:val="20"/>
                <w:szCs w:val="20"/>
              </w:rPr>
            </w:pPr>
            <w:r w:rsidRPr="004F469F">
              <w:rPr>
                <w:sz w:val="20"/>
                <w:szCs w:val="20"/>
              </w:rPr>
              <w:t>1,784</w:t>
            </w:r>
          </w:p>
        </w:tc>
        <w:tc>
          <w:tcPr>
            <w:tcW w:w="720" w:type="dxa"/>
            <w:tcBorders>
              <w:top w:val="single" w:sz="4" w:space="0" w:color="auto"/>
              <w:left w:val="nil"/>
              <w:bottom w:val="single" w:sz="12" w:space="0" w:color="auto"/>
              <w:right w:val="single" w:sz="4" w:space="0" w:color="auto"/>
            </w:tcBorders>
            <w:shd w:val="clear" w:color="auto" w:fill="auto"/>
            <w:noWrap/>
            <w:vAlign w:val="center"/>
            <w:hideMark/>
          </w:tcPr>
          <w:p w14:paraId="34E120F6" w14:textId="77777777" w:rsidR="00A4283D" w:rsidRPr="004F469F" w:rsidRDefault="00A4283D" w:rsidP="00A4283D">
            <w:pPr>
              <w:jc w:val="center"/>
              <w:rPr>
                <w:sz w:val="20"/>
                <w:szCs w:val="20"/>
              </w:rPr>
            </w:pPr>
            <w:r w:rsidRPr="004F469F">
              <w:rPr>
                <w:sz w:val="20"/>
                <w:szCs w:val="20"/>
              </w:rPr>
              <w:t>7,153</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3BBA50C3" w14:textId="77777777" w:rsidR="00A4283D" w:rsidRPr="004F469F" w:rsidRDefault="00A4283D" w:rsidP="00A4283D">
            <w:pPr>
              <w:jc w:val="center"/>
              <w:rPr>
                <w:sz w:val="20"/>
                <w:szCs w:val="20"/>
              </w:rPr>
            </w:pPr>
            <w:r w:rsidRPr="004F469F">
              <w:rPr>
                <w:sz w:val="20"/>
                <w:szCs w:val="20"/>
              </w:rPr>
              <w:t>34,931</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75B9290B" w14:textId="77777777" w:rsidR="00A4283D" w:rsidRPr="004F469F" w:rsidRDefault="00A4283D" w:rsidP="00A4283D">
            <w:pPr>
              <w:jc w:val="center"/>
              <w:rPr>
                <w:sz w:val="20"/>
                <w:szCs w:val="20"/>
              </w:rPr>
            </w:pPr>
            <w:r w:rsidRPr="004F469F">
              <w:rPr>
                <w:sz w:val="20"/>
                <w:szCs w:val="20"/>
              </w:rPr>
              <w:t>64,532</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5B6893E4" w14:textId="77777777" w:rsidR="00A4283D" w:rsidRPr="004F469F" w:rsidRDefault="00A4283D" w:rsidP="00A4283D">
            <w:pPr>
              <w:jc w:val="center"/>
              <w:rPr>
                <w:sz w:val="20"/>
                <w:szCs w:val="20"/>
              </w:rPr>
            </w:pPr>
            <w:r w:rsidRPr="004F469F">
              <w:rPr>
                <w:sz w:val="20"/>
                <w:szCs w:val="20"/>
              </w:rPr>
              <w:t>153,315</w:t>
            </w:r>
          </w:p>
        </w:tc>
        <w:tc>
          <w:tcPr>
            <w:tcW w:w="932" w:type="dxa"/>
            <w:tcBorders>
              <w:top w:val="single" w:sz="4" w:space="0" w:color="auto"/>
              <w:left w:val="nil"/>
              <w:bottom w:val="single" w:sz="12" w:space="0" w:color="auto"/>
              <w:right w:val="single" w:sz="4" w:space="0" w:color="auto"/>
            </w:tcBorders>
            <w:shd w:val="clear" w:color="auto" w:fill="auto"/>
            <w:noWrap/>
            <w:vAlign w:val="center"/>
            <w:hideMark/>
          </w:tcPr>
          <w:p w14:paraId="55FE6645" w14:textId="77777777" w:rsidR="00A4283D" w:rsidRPr="004F469F" w:rsidRDefault="00A4283D" w:rsidP="00A4283D">
            <w:pPr>
              <w:jc w:val="center"/>
              <w:rPr>
                <w:sz w:val="20"/>
                <w:szCs w:val="20"/>
              </w:rPr>
            </w:pPr>
            <w:r w:rsidRPr="004F469F">
              <w:rPr>
                <w:sz w:val="20"/>
                <w:szCs w:val="20"/>
              </w:rPr>
              <w:t>30.00</w:t>
            </w:r>
          </w:p>
        </w:tc>
        <w:tc>
          <w:tcPr>
            <w:tcW w:w="825" w:type="dxa"/>
            <w:tcBorders>
              <w:top w:val="single" w:sz="4" w:space="0" w:color="auto"/>
              <w:left w:val="nil"/>
              <w:bottom w:val="single" w:sz="12" w:space="0" w:color="auto"/>
              <w:right w:val="single" w:sz="18" w:space="0" w:color="auto"/>
            </w:tcBorders>
            <w:shd w:val="clear" w:color="auto" w:fill="auto"/>
            <w:noWrap/>
            <w:vAlign w:val="center"/>
            <w:hideMark/>
          </w:tcPr>
          <w:p w14:paraId="1BA65A1B" w14:textId="77777777" w:rsidR="00A4283D" w:rsidRPr="004F469F" w:rsidRDefault="00A4283D" w:rsidP="00A4283D">
            <w:pPr>
              <w:jc w:val="center"/>
              <w:rPr>
                <w:sz w:val="20"/>
                <w:szCs w:val="20"/>
              </w:rPr>
            </w:pPr>
            <w:r w:rsidRPr="004F469F">
              <w:rPr>
                <w:sz w:val="20"/>
                <w:szCs w:val="20"/>
              </w:rPr>
              <w:t>9.52</w:t>
            </w:r>
          </w:p>
        </w:tc>
      </w:tr>
      <w:tr w:rsidR="00494669" w:rsidRPr="004F469F" w14:paraId="294884D5" w14:textId="77777777" w:rsidTr="00A4283D">
        <w:trPr>
          <w:trHeight w:val="320"/>
        </w:trPr>
        <w:tc>
          <w:tcPr>
            <w:tcW w:w="1705" w:type="dxa"/>
            <w:vMerge/>
            <w:tcBorders>
              <w:top w:val="single" w:sz="4" w:space="0" w:color="auto"/>
              <w:left w:val="single" w:sz="18" w:space="0" w:color="auto"/>
              <w:bottom w:val="single" w:sz="18" w:space="0" w:color="auto"/>
              <w:right w:val="single" w:sz="4" w:space="0" w:color="auto"/>
            </w:tcBorders>
            <w:vAlign w:val="center"/>
            <w:hideMark/>
          </w:tcPr>
          <w:p w14:paraId="1CBD5F58" w14:textId="77777777" w:rsidR="00A4283D" w:rsidRPr="004F469F" w:rsidRDefault="00A4283D" w:rsidP="00A4283D">
            <w:pPr>
              <w:jc w:val="center"/>
              <w:rPr>
                <w:sz w:val="20"/>
                <w:szCs w:val="20"/>
              </w:rPr>
            </w:pPr>
          </w:p>
        </w:tc>
        <w:tc>
          <w:tcPr>
            <w:tcW w:w="1260" w:type="dxa"/>
            <w:tcBorders>
              <w:top w:val="single" w:sz="12" w:space="0" w:color="auto"/>
              <w:left w:val="nil"/>
              <w:bottom w:val="single" w:sz="18" w:space="0" w:color="auto"/>
              <w:right w:val="single" w:sz="4" w:space="0" w:color="auto"/>
            </w:tcBorders>
            <w:shd w:val="clear" w:color="auto" w:fill="auto"/>
            <w:noWrap/>
            <w:vAlign w:val="center"/>
            <w:hideMark/>
          </w:tcPr>
          <w:p w14:paraId="27FF6FBD"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0D6E650E" w14:textId="77777777" w:rsidR="00A4283D" w:rsidRPr="004F469F" w:rsidRDefault="00A4283D" w:rsidP="00A4283D">
            <w:pPr>
              <w:jc w:val="center"/>
              <w:rPr>
                <w:i/>
                <w:iCs/>
                <w:sz w:val="20"/>
                <w:szCs w:val="20"/>
              </w:rPr>
            </w:pPr>
            <w:r w:rsidRPr="004F469F">
              <w:rPr>
                <w:i/>
                <w:iCs/>
                <w:sz w:val="20"/>
                <w:szCs w:val="20"/>
              </w:rPr>
              <w:t>1,147</w:t>
            </w:r>
          </w:p>
        </w:tc>
        <w:tc>
          <w:tcPr>
            <w:tcW w:w="720" w:type="dxa"/>
            <w:tcBorders>
              <w:top w:val="single" w:sz="12" w:space="0" w:color="auto"/>
              <w:left w:val="nil"/>
              <w:bottom w:val="single" w:sz="18" w:space="0" w:color="auto"/>
              <w:right w:val="single" w:sz="4" w:space="0" w:color="auto"/>
            </w:tcBorders>
            <w:shd w:val="clear" w:color="auto" w:fill="auto"/>
            <w:noWrap/>
            <w:vAlign w:val="center"/>
            <w:hideMark/>
          </w:tcPr>
          <w:p w14:paraId="5F2770D3" w14:textId="77777777" w:rsidR="00A4283D" w:rsidRPr="004F469F" w:rsidRDefault="00A4283D" w:rsidP="00A4283D">
            <w:pPr>
              <w:jc w:val="center"/>
              <w:rPr>
                <w:i/>
                <w:iCs/>
                <w:sz w:val="20"/>
                <w:szCs w:val="20"/>
              </w:rPr>
            </w:pPr>
            <w:r w:rsidRPr="004F469F">
              <w:rPr>
                <w:i/>
                <w:iCs/>
                <w:sz w:val="20"/>
                <w:szCs w:val="20"/>
              </w:rPr>
              <w:t>4,693</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072024F9" w14:textId="77777777" w:rsidR="00A4283D" w:rsidRPr="004F469F" w:rsidRDefault="00A4283D" w:rsidP="00A4283D">
            <w:pPr>
              <w:jc w:val="center"/>
              <w:rPr>
                <w:i/>
                <w:iCs/>
                <w:sz w:val="20"/>
                <w:szCs w:val="20"/>
              </w:rPr>
            </w:pPr>
            <w:r w:rsidRPr="004F469F">
              <w:rPr>
                <w:i/>
                <w:iCs/>
                <w:sz w:val="20"/>
                <w:szCs w:val="20"/>
              </w:rPr>
              <w:t>20,768</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77372185" w14:textId="77777777" w:rsidR="00A4283D" w:rsidRPr="004F469F" w:rsidRDefault="00A4283D" w:rsidP="00A4283D">
            <w:pPr>
              <w:jc w:val="center"/>
              <w:rPr>
                <w:i/>
                <w:iCs/>
                <w:sz w:val="20"/>
                <w:szCs w:val="20"/>
              </w:rPr>
            </w:pPr>
            <w:r w:rsidRPr="004F469F">
              <w:rPr>
                <w:i/>
                <w:iCs/>
                <w:sz w:val="20"/>
                <w:szCs w:val="20"/>
              </w:rPr>
              <w:t>62,837</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190DECF2" w14:textId="77777777" w:rsidR="00A4283D" w:rsidRPr="004F469F" w:rsidRDefault="00A4283D" w:rsidP="00A4283D">
            <w:pPr>
              <w:jc w:val="center"/>
              <w:rPr>
                <w:i/>
                <w:iCs/>
                <w:sz w:val="20"/>
                <w:szCs w:val="20"/>
              </w:rPr>
            </w:pPr>
            <w:r w:rsidRPr="004F469F">
              <w:rPr>
                <w:i/>
                <w:iCs/>
                <w:sz w:val="20"/>
                <w:szCs w:val="20"/>
              </w:rPr>
              <w:t>153,522</w:t>
            </w:r>
          </w:p>
        </w:tc>
        <w:tc>
          <w:tcPr>
            <w:tcW w:w="932" w:type="dxa"/>
            <w:tcBorders>
              <w:top w:val="single" w:sz="12" w:space="0" w:color="auto"/>
              <w:left w:val="nil"/>
              <w:bottom w:val="single" w:sz="18" w:space="0" w:color="auto"/>
              <w:right w:val="single" w:sz="4" w:space="0" w:color="auto"/>
            </w:tcBorders>
            <w:shd w:val="clear" w:color="auto" w:fill="auto"/>
            <w:noWrap/>
            <w:vAlign w:val="center"/>
            <w:hideMark/>
          </w:tcPr>
          <w:p w14:paraId="4647BCAE" w14:textId="77777777" w:rsidR="00A4283D" w:rsidRPr="004F469F" w:rsidRDefault="00A4283D" w:rsidP="00A4283D">
            <w:pPr>
              <w:jc w:val="center"/>
              <w:rPr>
                <w:i/>
                <w:iCs/>
                <w:sz w:val="20"/>
                <w:szCs w:val="20"/>
              </w:rPr>
            </w:pPr>
            <w:r w:rsidRPr="004F469F">
              <w:rPr>
                <w:i/>
                <w:iCs/>
                <w:sz w:val="20"/>
                <w:szCs w:val="20"/>
              </w:rPr>
              <w:t>20.79</w:t>
            </w:r>
          </w:p>
        </w:tc>
        <w:tc>
          <w:tcPr>
            <w:tcW w:w="825" w:type="dxa"/>
            <w:tcBorders>
              <w:top w:val="single" w:sz="12" w:space="0" w:color="auto"/>
              <w:left w:val="nil"/>
              <w:bottom w:val="single" w:sz="18" w:space="0" w:color="auto"/>
              <w:right w:val="single" w:sz="18" w:space="0" w:color="auto"/>
            </w:tcBorders>
            <w:shd w:val="clear" w:color="auto" w:fill="auto"/>
            <w:noWrap/>
            <w:vAlign w:val="center"/>
            <w:hideMark/>
          </w:tcPr>
          <w:p w14:paraId="491E44F7" w14:textId="77777777" w:rsidR="00A4283D" w:rsidRPr="004F469F" w:rsidRDefault="00A4283D" w:rsidP="00A4283D">
            <w:pPr>
              <w:jc w:val="center"/>
              <w:rPr>
                <w:i/>
                <w:iCs/>
                <w:sz w:val="20"/>
                <w:szCs w:val="20"/>
              </w:rPr>
            </w:pPr>
            <w:r w:rsidRPr="004F469F">
              <w:rPr>
                <w:i/>
                <w:iCs/>
                <w:sz w:val="20"/>
                <w:szCs w:val="20"/>
              </w:rPr>
              <w:t>5.28</w:t>
            </w:r>
          </w:p>
        </w:tc>
      </w:tr>
      <w:tr w:rsidR="00494669" w:rsidRPr="004F469F" w14:paraId="3A91BD95" w14:textId="77777777" w:rsidTr="00A4283D">
        <w:trPr>
          <w:trHeight w:val="340"/>
        </w:trPr>
        <w:tc>
          <w:tcPr>
            <w:tcW w:w="1705" w:type="dxa"/>
            <w:vMerge w:val="restart"/>
            <w:tcBorders>
              <w:top w:val="single" w:sz="18" w:space="0" w:color="auto"/>
              <w:left w:val="single" w:sz="18" w:space="0" w:color="auto"/>
              <w:bottom w:val="single" w:sz="4" w:space="0" w:color="auto"/>
              <w:right w:val="single" w:sz="4" w:space="0" w:color="auto"/>
            </w:tcBorders>
            <w:shd w:val="clear" w:color="auto" w:fill="auto"/>
            <w:vAlign w:val="center"/>
            <w:hideMark/>
          </w:tcPr>
          <w:p w14:paraId="5E1CB5B2" w14:textId="77777777" w:rsidR="00A4283D" w:rsidRPr="004F469F" w:rsidRDefault="00A4283D" w:rsidP="00A4283D">
            <w:pPr>
              <w:jc w:val="center"/>
              <w:rPr>
                <w:sz w:val="20"/>
                <w:szCs w:val="20"/>
              </w:rPr>
            </w:pPr>
            <w:r w:rsidRPr="004F469F">
              <w:rPr>
                <w:sz w:val="20"/>
                <w:szCs w:val="20"/>
              </w:rPr>
              <w:t>Urban Development and Climate Change</w:t>
            </w:r>
          </w:p>
        </w:tc>
        <w:tc>
          <w:tcPr>
            <w:tcW w:w="1260" w:type="dxa"/>
            <w:tcBorders>
              <w:top w:val="single" w:sz="18" w:space="0" w:color="auto"/>
              <w:left w:val="nil"/>
              <w:bottom w:val="single" w:sz="4" w:space="0" w:color="auto"/>
              <w:right w:val="single" w:sz="4" w:space="0" w:color="auto"/>
            </w:tcBorders>
            <w:shd w:val="clear" w:color="auto" w:fill="auto"/>
            <w:noWrap/>
            <w:vAlign w:val="center"/>
            <w:hideMark/>
          </w:tcPr>
          <w:p w14:paraId="0E735119" w14:textId="77777777" w:rsidR="00A4283D" w:rsidRPr="004F469F" w:rsidRDefault="00A4283D" w:rsidP="00A4283D">
            <w:pPr>
              <w:jc w:val="center"/>
              <w:rPr>
                <w:sz w:val="20"/>
                <w:szCs w:val="20"/>
              </w:rPr>
            </w:pPr>
            <w:r w:rsidRPr="004F469F">
              <w:rPr>
                <w:sz w:val="20"/>
                <w:szCs w:val="20"/>
              </w:rPr>
              <w:t>Canadian</w:t>
            </w:r>
          </w:p>
        </w:tc>
        <w:tc>
          <w:tcPr>
            <w:tcW w:w="900" w:type="dxa"/>
            <w:tcBorders>
              <w:top w:val="single" w:sz="18" w:space="0" w:color="auto"/>
              <w:left w:val="nil"/>
              <w:bottom w:val="single" w:sz="8" w:space="0" w:color="auto"/>
              <w:right w:val="single" w:sz="4" w:space="0" w:color="auto"/>
            </w:tcBorders>
            <w:shd w:val="clear" w:color="auto" w:fill="auto"/>
            <w:noWrap/>
            <w:vAlign w:val="center"/>
            <w:hideMark/>
          </w:tcPr>
          <w:p w14:paraId="78FAE0FA" w14:textId="77777777" w:rsidR="00A4283D" w:rsidRPr="004F469F" w:rsidRDefault="00A4283D" w:rsidP="00A4283D">
            <w:pPr>
              <w:jc w:val="center"/>
              <w:rPr>
                <w:sz w:val="20"/>
                <w:szCs w:val="20"/>
              </w:rPr>
            </w:pPr>
            <w:r w:rsidRPr="004F469F">
              <w:rPr>
                <w:sz w:val="20"/>
                <w:szCs w:val="20"/>
              </w:rPr>
              <w:t>883</w:t>
            </w:r>
          </w:p>
        </w:tc>
        <w:tc>
          <w:tcPr>
            <w:tcW w:w="720" w:type="dxa"/>
            <w:tcBorders>
              <w:top w:val="single" w:sz="18" w:space="0" w:color="auto"/>
              <w:left w:val="nil"/>
              <w:bottom w:val="single" w:sz="8" w:space="0" w:color="auto"/>
              <w:right w:val="single" w:sz="4" w:space="0" w:color="auto"/>
            </w:tcBorders>
            <w:shd w:val="clear" w:color="auto" w:fill="auto"/>
            <w:noWrap/>
            <w:vAlign w:val="center"/>
            <w:hideMark/>
          </w:tcPr>
          <w:p w14:paraId="4B95E02A" w14:textId="77777777" w:rsidR="00A4283D" w:rsidRPr="004F469F" w:rsidRDefault="00A4283D" w:rsidP="00A4283D">
            <w:pPr>
              <w:jc w:val="center"/>
              <w:rPr>
                <w:sz w:val="20"/>
                <w:szCs w:val="20"/>
              </w:rPr>
            </w:pPr>
            <w:r w:rsidRPr="004F469F">
              <w:rPr>
                <w:sz w:val="20"/>
                <w:szCs w:val="20"/>
              </w:rPr>
              <w:t>2,374</w:t>
            </w:r>
          </w:p>
        </w:tc>
        <w:tc>
          <w:tcPr>
            <w:tcW w:w="766" w:type="dxa"/>
            <w:tcBorders>
              <w:top w:val="single" w:sz="18" w:space="0" w:color="auto"/>
              <w:left w:val="nil"/>
              <w:bottom w:val="single" w:sz="8" w:space="0" w:color="auto"/>
              <w:right w:val="single" w:sz="4" w:space="0" w:color="auto"/>
            </w:tcBorders>
            <w:shd w:val="clear" w:color="auto" w:fill="auto"/>
            <w:noWrap/>
            <w:vAlign w:val="center"/>
            <w:hideMark/>
          </w:tcPr>
          <w:p w14:paraId="4FC58326" w14:textId="77777777" w:rsidR="00A4283D" w:rsidRPr="004F469F" w:rsidRDefault="00A4283D" w:rsidP="00A4283D">
            <w:pPr>
              <w:jc w:val="center"/>
              <w:rPr>
                <w:sz w:val="20"/>
                <w:szCs w:val="20"/>
              </w:rPr>
            </w:pPr>
            <w:r w:rsidRPr="004F469F">
              <w:rPr>
                <w:sz w:val="20"/>
                <w:szCs w:val="20"/>
              </w:rPr>
              <w:t>9,757</w:t>
            </w:r>
          </w:p>
        </w:tc>
        <w:tc>
          <w:tcPr>
            <w:tcW w:w="766" w:type="dxa"/>
            <w:tcBorders>
              <w:top w:val="single" w:sz="18" w:space="0" w:color="auto"/>
              <w:left w:val="nil"/>
              <w:bottom w:val="single" w:sz="8" w:space="0" w:color="auto"/>
              <w:right w:val="single" w:sz="4" w:space="0" w:color="auto"/>
            </w:tcBorders>
            <w:shd w:val="clear" w:color="auto" w:fill="auto"/>
            <w:noWrap/>
            <w:vAlign w:val="center"/>
            <w:hideMark/>
          </w:tcPr>
          <w:p w14:paraId="6745251D" w14:textId="77777777" w:rsidR="00A4283D" w:rsidRPr="004F469F" w:rsidRDefault="00A4283D" w:rsidP="00A4283D">
            <w:pPr>
              <w:jc w:val="center"/>
              <w:rPr>
                <w:sz w:val="20"/>
                <w:szCs w:val="20"/>
              </w:rPr>
            </w:pPr>
            <w:r w:rsidRPr="004F469F">
              <w:rPr>
                <w:sz w:val="20"/>
                <w:szCs w:val="20"/>
              </w:rPr>
              <w:t>19,331</w:t>
            </w:r>
          </w:p>
        </w:tc>
        <w:tc>
          <w:tcPr>
            <w:tcW w:w="866" w:type="dxa"/>
            <w:tcBorders>
              <w:top w:val="single" w:sz="18" w:space="0" w:color="auto"/>
              <w:left w:val="nil"/>
              <w:bottom w:val="single" w:sz="8" w:space="0" w:color="auto"/>
              <w:right w:val="single" w:sz="4" w:space="0" w:color="auto"/>
            </w:tcBorders>
            <w:shd w:val="clear" w:color="auto" w:fill="auto"/>
            <w:noWrap/>
            <w:vAlign w:val="center"/>
            <w:hideMark/>
          </w:tcPr>
          <w:p w14:paraId="62ADC158" w14:textId="77777777" w:rsidR="00A4283D" w:rsidRPr="004F469F" w:rsidRDefault="00A4283D" w:rsidP="00A4283D">
            <w:pPr>
              <w:jc w:val="center"/>
              <w:rPr>
                <w:sz w:val="20"/>
                <w:szCs w:val="20"/>
              </w:rPr>
            </w:pPr>
            <w:r w:rsidRPr="004F469F">
              <w:rPr>
                <w:sz w:val="20"/>
                <w:szCs w:val="20"/>
              </w:rPr>
              <w:t>45,275</w:t>
            </w:r>
          </w:p>
        </w:tc>
        <w:tc>
          <w:tcPr>
            <w:tcW w:w="932" w:type="dxa"/>
            <w:tcBorders>
              <w:top w:val="single" w:sz="18" w:space="0" w:color="auto"/>
              <w:left w:val="nil"/>
              <w:bottom w:val="single" w:sz="8" w:space="0" w:color="auto"/>
              <w:right w:val="single" w:sz="4" w:space="0" w:color="auto"/>
            </w:tcBorders>
            <w:shd w:val="clear" w:color="auto" w:fill="auto"/>
            <w:noWrap/>
            <w:vAlign w:val="center"/>
            <w:hideMark/>
          </w:tcPr>
          <w:p w14:paraId="3EDF37D1" w14:textId="77777777" w:rsidR="00A4283D" w:rsidRPr="004F469F" w:rsidRDefault="00A4283D" w:rsidP="00A4283D">
            <w:pPr>
              <w:jc w:val="center"/>
              <w:rPr>
                <w:sz w:val="20"/>
                <w:szCs w:val="20"/>
              </w:rPr>
            </w:pPr>
            <w:r w:rsidRPr="004F469F">
              <w:rPr>
                <w:sz w:val="20"/>
                <w:szCs w:val="20"/>
              </w:rPr>
              <w:t>13.59</w:t>
            </w:r>
          </w:p>
        </w:tc>
        <w:tc>
          <w:tcPr>
            <w:tcW w:w="825" w:type="dxa"/>
            <w:tcBorders>
              <w:top w:val="single" w:sz="18" w:space="0" w:color="auto"/>
              <w:left w:val="nil"/>
              <w:bottom w:val="single" w:sz="8" w:space="0" w:color="auto"/>
              <w:right w:val="single" w:sz="18" w:space="0" w:color="auto"/>
            </w:tcBorders>
            <w:shd w:val="clear" w:color="auto" w:fill="auto"/>
            <w:noWrap/>
            <w:vAlign w:val="center"/>
            <w:hideMark/>
          </w:tcPr>
          <w:p w14:paraId="146D2784" w14:textId="77777777" w:rsidR="00A4283D" w:rsidRPr="004F469F" w:rsidRDefault="00A4283D" w:rsidP="00A4283D">
            <w:pPr>
              <w:jc w:val="center"/>
              <w:rPr>
                <w:sz w:val="20"/>
                <w:szCs w:val="20"/>
              </w:rPr>
            </w:pPr>
            <w:r w:rsidRPr="004F469F">
              <w:rPr>
                <w:sz w:val="20"/>
                <w:szCs w:val="20"/>
              </w:rPr>
              <w:t>0.98</w:t>
            </w:r>
          </w:p>
        </w:tc>
      </w:tr>
      <w:tr w:rsidR="00494669" w:rsidRPr="004F469F" w14:paraId="6E3E0741" w14:textId="77777777" w:rsidTr="00A4283D">
        <w:trPr>
          <w:trHeight w:val="340"/>
        </w:trPr>
        <w:tc>
          <w:tcPr>
            <w:tcW w:w="1705" w:type="dxa"/>
            <w:vMerge/>
            <w:tcBorders>
              <w:top w:val="nil"/>
              <w:left w:val="single" w:sz="18" w:space="0" w:color="auto"/>
              <w:bottom w:val="single" w:sz="4" w:space="0" w:color="auto"/>
              <w:right w:val="single" w:sz="4" w:space="0" w:color="auto"/>
            </w:tcBorders>
            <w:vAlign w:val="center"/>
            <w:hideMark/>
          </w:tcPr>
          <w:p w14:paraId="0422D3AD" w14:textId="77777777" w:rsidR="00A4283D" w:rsidRPr="004F469F" w:rsidRDefault="00A4283D" w:rsidP="00A4283D">
            <w:pPr>
              <w:jc w:val="center"/>
              <w:rPr>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471F3F75" w14:textId="77777777" w:rsidR="00A4283D" w:rsidRPr="004F469F" w:rsidRDefault="00A4283D" w:rsidP="00A4283D">
            <w:pPr>
              <w:jc w:val="center"/>
              <w:rPr>
                <w:sz w:val="20"/>
                <w:szCs w:val="20"/>
              </w:rPr>
            </w:pPr>
            <w:r w:rsidRPr="004F469F">
              <w:rPr>
                <w:sz w:val="20"/>
                <w:szCs w:val="20"/>
              </w:rPr>
              <w:t>Cleveland</w:t>
            </w:r>
          </w:p>
        </w:tc>
        <w:tc>
          <w:tcPr>
            <w:tcW w:w="900" w:type="dxa"/>
            <w:tcBorders>
              <w:top w:val="single" w:sz="4" w:space="0" w:color="auto"/>
              <w:left w:val="nil"/>
              <w:bottom w:val="single" w:sz="8" w:space="0" w:color="auto"/>
              <w:right w:val="single" w:sz="4" w:space="0" w:color="auto"/>
            </w:tcBorders>
            <w:shd w:val="clear" w:color="auto" w:fill="auto"/>
            <w:noWrap/>
            <w:vAlign w:val="center"/>
            <w:hideMark/>
          </w:tcPr>
          <w:p w14:paraId="14D23A68" w14:textId="77777777" w:rsidR="00A4283D" w:rsidRPr="004F469F" w:rsidRDefault="00A4283D" w:rsidP="00A4283D">
            <w:pPr>
              <w:jc w:val="center"/>
              <w:rPr>
                <w:sz w:val="20"/>
                <w:szCs w:val="20"/>
              </w:rPr>
            </w:pPr>
            <w:r w:rsidRPr="004F469F">
              <w:rPr>
                <w:sz w:val="20"/>
                <w:szCs w:val="20"/>
              </w:rPr>
              <w:t>1,098</w:t>
            </w:r>
          </w:p>
        </w:tc>
        <w:tc>
          <w:tcPr>
            <w:tcW w:w="720" w:type="dxa"/>
            <w:tcBorders>
              <w:top w:val="single" w:sz="4" w:space="0" w:color="auto"/>
              <w:left w:val="nil"/>
              <w:bottom w:val="single" w:sz="8" w:space="0" w:color="auto"/>
              <w:right w:val="single" w:sz="4" w:space="0" w:color="auto"/>
            </w:tcBorders>
            <w:shd w:val="clear" w:color="auto" w:fill="auto"/>
            <w:noWrap/>
            <w:vAlign w:val="center"/>
            <w:hideMark/>
          </w:tcPr>
          <w:p w14:paraId="60176585" w14:textId="77777777" w:rsidR="00A4283D" w:rsidRPr="004F469F" w:rsidRDefault="00A4283D" w:rsidP="00A4283D">
            <w:pPr>
              <w:jc w:val="center"/>
              <w:rPr>
                <w:sz w:val="20"/>
                <w:szCs w:val="20"/>
              </w:rPr>
            </w:pPr>
            <w:r w:rsidRPr="004F469F">
              <w:rPr>
                <w:sz w:val="20"/>
                <w:szCs w:val="20"/>
              </w:rPr>
              <w:t>3,384</w:t>
            </w:r>
          </w:p>
        </w:tc>
        <w:tc>
          <w:tcPr>
            <w:tcW w:w="766" w:type="dxa"/>
            <w:tcBorders>
              <w:top w:val="single" w:sz="4" w:space="0" w:color="auto"/>
              <w:left w:val="nil"/>
              <w:bottom w:val="single" w:sz="8" w:space="0" w:color="auto"/>
              <w:right w:val="single" w:sz="4" w:space="0" w:color="auto"/>
            </w:tcBorders>
            <w:shd w:val="clear" w:color="auto" w:fill="auto"/>
            <w:noWrap/>
            <w:vAlign w:val="center"/>
            <w:hideMark/>
          </w:tcPr>
          <w:p w14:paraId="7C9E92ED" w14:textId="77777777" w:rsidR="00A4283D" w:rsidRPr="004F469F" w:rsidRDefault="00A4283D" w:rsidP="00A4283D">
            <w:pPr>
              <w:jc w:val="center"/>
              <w:rPr>
                <w:sz w:val="20"/>
                <w:szCs w:val="20"/>
              </w:rPr>
            </w:pPr>
            <w:r w:rsidRPr="004F469F">
              <w:rPr>
                <w:sz w:val="20"/>
                <w:szCs w:val="20"/>
              </w:rPr>
              <w:t>15,691</w:t>
            </w:r>
          </w:p>
        </w:tc>
        <w:tc>
          <w:tcPr>
            <w:tcW w:w="766" w:type="dxa"/>
            <w:tcBorders>
              <w:top w:val="single" w:sz="4" w:space="0" w:color="auto"/>
              <w:left w:val="nil"/>
              <w:bottom w:val="single" w:sz="8" w:space="0" w:color="auto"/>
              <w:right w:val="single" w:sz="4" w:space="0" w:color="auto"/>
            </w:tcBorders>
            <w:shd w:val="clear" w:color="auto" w:fill="auto"/>
            <w:noWrap/>
            <w:vAlign w:val="center"/>
            <w:hideMark/>
          </w:tcPr>
          <w:p w14:paraId="6A7798B6" w14:textId="77777777" w:rsidR="00A4283D" w:rsidRPr="004F469F" w:rsidRDefault="00A4283D" w:rsidP="00A4283D">
            <w:pPr>
              <w:jc w:val="center"/>
              <w:rPr>
                <w:sz w:val="20"/>
                <w:szCs w:val="20"/>
              </w:rPr>
            </w:pPr>
            <w:r w:rsidRPr="004F469F">
              <w:rPr>
                <w:sz w:val="20"/>
                <w:szCs w:val="20"/>
              </w:rPr>
              <w:t>28,968</w:t>
            </w:r>
          </w:p>
        </w:tc>
        <w:tc>
          <w:tcPr>
            <w:tcW w:w="866" w:type="dxa"/>
            <w:tcBorders>
              <w:top w:val="single" w:sz="4" w:space="0" w:color="auto"/>
              <w:left w:val="nil"/>
              <w:bottom w:val="single" w:sz="8" w:space="0" w:color="auto"/>
              <w:right w:val="single" w:sz="4" w:space="0" w:color="auto"/>
            </w:tcBorders>
            <w:shd w:val="clear" w:color="auto" w:fill="auto"/>
            <w:noWrap/>
            <w:vAlign w:val="center"/>
            <w:hideMark/>
          </w:tcPr>
          <w:p w14:paraId="092A7FD2" w14:textId="77777777" w:rsidR="00A4283D" w:rsidRPr="004F469F" w:rsidRDefault="00A4283D" w:rsidP="00A4283D">
            <w:pPr>
              <w:jc w:val="center"/>
              <w:rPr>
                <w:sz w:val="20"/>
                <w:szCs w:val="20"/>
              </w:rPr>
            </w:pPr>
            <w:r w:rsidRPr="004F469F">
              <w:rPr>
                <w:sz w:val="20"/>
                <w:szCs w:val="20"/>
              </w:rPr>
              <w:t>56,137</w:t>
            </w:r>
          </w:p>
        </w:tc>
        <w:tc>
          <w:tcPr>
            <w:tcW w:w="932" w:type="dxa"/>
            <w:tcBorders>
              <w:top w:val="single" w:sz="4" w:space="0" w:color="auto"/>
              <w:left w:val="nil"/>
              <w:bottom w:val="single" w:sz="8" w:space="0" w:color="auto"/>
              <w:right w:val="single" w:sz="4" w:space="0" w:color="auto"/>
            </w:tcBorders>
            <w:shd w:val="clear" w:color="auto" w:fill="auto"/>
            <w:noWrap/>
            <w:vAlign w:val="center"/>
            <w:hideMark/>
          </w:tcPr>
          <w:p w14:paraId="3E765EE0" w14:textId="77777777" w:rsidR="00A4283D" w:rsidRPr="004F469F" w:rsidRDefault="00A4283D" w:rsidP="00A4283D">
            <w:pPr>
              <w:jc w:val="center"/>
              <w:rPr>
                <w:sz w:val="20"/>
                <w:szCs w:val="20"/>
              </w:rPr>
            </w:pPr>
            <w:r w:rsidRPr="004F469F">
              <w:rPr>
                <w:sz w:val="20"/>
                <w:szCs w:val="20"/>
              </w:rPr>
              <w:t>18.83</w:t>
            </w:r>
          </w:p>
        </w:tc>
        <w:tc>
          <w:tcPr>
            <w:tcW w:w="825" w:type="dxa"/>
            <w:tcBorders>
              <w:top w:val="single" w:sz="4" w:space="0" w:color="auto"/>
              <w:left w:val="nil"/>
              <w:bottom w:val="single" w:sz="8" w:space="0" w:color="auto"/>
              <w:right w:val="single" w:sz="18" w:space="0" w:color="auto"/>
            </w:tcBorders>
            <w:shd w:val="clear" w:color="auto" w:fill="auto"/>
            <w:noWrap/>
            <w:vAlign w:val="center"/>
            <w:hideMark/>
          </w:tcPr>
          <w:p w14:paraId="5E228B12" w14:textId="77777777" w:rsidR="00A4283D" w:rsidRPr="004F469F" w:rsidRDefault="00A4283D" w:rsidP="00A4283D">
            <w:pPr>
              <w:jc w:val="center"/>
              <w:rPr>
                <w:sz w:val="20"/>
                <w:szCs w:val="20"/>
              </w:rPr>
            </w:pPr>
            <w:r w:rsidRPr="004F469F">
              <w:rPr>
                <w:sz w:val="20"/>
                <w:szCs w:val="20"/>
              </w:rPr>
              <w:t>3.09</w:t>
            </w:r>
          </w:p>
        </w:tc>
      </w:tr>
      <w:tr w:rsidR="00494669" w:rsidRPr="004F469F" w14:paraId="3DD2AEF4" w14:textId="77777777" w:rsidTr="00A4283D">
        <w:trPr>
          <w:trHeight w:val="340"/>
        </w:trPr>
        <w:tc>
          <w:tcPr>
            <w:tcW w:w="1705" w:type="dxa"/>
            <w:vMerge/>
            <w:tcBorders>
              <w:top w:val="nil"/>
              <w:left w:val="single" w:sz="18" w:space="0" w:color="auto"/>
              <w:bottom w:val="single" w:sz="4" w:space="0" w:color="auto"/>
              <w:right w:val="single" w:sz="4" w:space="0" w:color="auto"/>
            </w:tcBorders>
            <w:vAlign w:val="center"/>
            <w:hideMark/>
          </w:tcPr>
          <w:p w14:paraId="5CA94106" w14:textId="77777777" w:rsidR="00A4283D" w:rsidRPr="004F469F" w:rsidRDefault="00A4283D" w:rsidP="00A4283D">
            <w:pPr>
              <w:jc w:val="center"/>
              <w:rPr>
                <w:sz w:val="20"/>
                <w:szCs w:val="20"/>
              </w:rPr>
            </w:pPr>
          </w:p>
        </w:tc>
        <w:tc>
          <w:tcPr>
            <w:tcW w:w="1260" w:type="dxa"/>
            <w:tcBorders>
              <w:top w:val="nil"/>
              <w:left w:val="nil"/>
              <w:bottom w:val="single" w:sz="12" w:space="0" w:color="auto"/>
              <w:right w:val="single" w:sz="4" w:space="0" w:color="auto"/>
            </w:tcBorders>
            <w:shd w:val="clear" w:color="auto" w:fill="auto"/>
            <w:noWrap/>
            <w:vAlign w:val="center"/>
            <w:hideMark/>
          </w:tcPr>
          <w:p w14:paraId="6430591F" w14:textId="77777777" w:rsidR="00A4283D" w:rsidRPr="004F469F" w:rsidRDefault="00A4283D" w:rsidP="00A4283D">
            <w:pPr>
              <w:jc w:val="center"/>
              <w:rPr>
                <w:sz w:val="20"/>
                <w:szCs w:val="20"/>
              </w:rPr>
            </w:pPr>
            <w:r w:rsidRPr="004F469F">
              <w:rPr>
                <w:sz w:val="20"/>
                <w:szCs w:val="20"/>
              </w:rPr>
              <w:t>Oklahoma</w:t>
            </w:r>
          </w:p>
        </w:tc>
        <w:tc>
          <w:tcPr>
            <w:tcW w:w="900" w:type="dxa"/>
            <w:tcBorders>
              <w:top w:val="single" w:sz="4" w:space="0" w:color="auto"/>
              <w:left w:val="nil"/>
              <w:bottom w:val="single" w:sz="12" w:space="0" w:color="auto"/>
              <w:right w:val="single" w:sz="4" w:space="0" w:color="auto"/>
            </w:tcBorders>
            <w:shd w:val="clear" w:color="auto" w:fill="auto"/>
            <w:noWrap/>
            <w:vAlign w:val="center"/>
            <w:hideMark/>
          </w:tcPr>
          <w:p w14:paraId="2DD7E137" w14:textId="77777777" w:rsidR="00A4283D" w:rsidRPr="004F469F" w:rsidRDefault="00A4283D" w:rsidP="00A4283D">
            <w:pPr>
              <w:jc w:val="center"/>
              <w:rPr>
                <w:sz w:val="20"/>
                <w:szCs w:val="20"/>
              </w:rPr>
            </w:pPr>
            <w:r w:rsidRPr="004F469F">
              <w:rPr>
                <w:sz w:val="20"/>
                <w:szCs w:val="20"/>
              </w:rPr>
              <w:t>1,889</w:t>
            </w:r>
          </w:p>
        </w:tc>
        <w:tc>
          <w:tcPr>
            <w:tcW w:w="720" w:type="dxa"/>
            <w:tcBorders>
              <w:top w:val="single" w:sz="4" w:space="0" w:color="auto"/>
              <w:left w:val="nil"/>
              <w:bottom w:val="single" w:sz="12" w:space="0" w:color="auto"/>
              <w:right w:val="single" w:sz="4" w:space="0" w:color="auto"/>
            </w:tcBorders>
            <w:shd w:val="clear" w:color="auto" w:fill="auto"/>
            <w:noWrap/>
            <w:vAlign w:val="center"/>
            <w:hideMark/>
          </w:tcPr>
          <w:p w14:paraId="4DE7C47C" w14:textId="77777777" w:rsidR="00A4283D" w:rsidRPr="004F469F" w:rsidRDefault="00A4283D" w:rsidP="00A4283D">
            <w:pPr>
              <w:jc w:val="center"/>
              <w:rPr>
                <w:sz w:val="20"/>
                <w:szCs w:val="20"/>
              </w:rPr>
            </w:pPr>
            <w:r w:rsidRPr="004F469F">
              <w:rPr>
                <w:sz w:val="20"/>
                <w:szCs w:val="20"/>
              </w:rPr>
              <w:t>7,165</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4F69AA27" w14:textId="77777777" w:rsidR="00A4283D" w:rsidRPr="004F469F" w:rsidRDefault="00A4283D" w:rsidP="00A4283D">
            <w:pPr>
              <w:jc w:val="center"/>
              <w:rPr>
                <w:sz w:val="20"/>
                <w:szCs w:val="20"/>
              </w:rPr>
            </w:pPr>
            <w:r w:rsidRPr="004F469F">
              <w:rPr>
                <w:sz w:val="20"/>
                <w:szCs w:val="20"/>
              </w:rPr>
              <w:t>34,566</w:t>
            </w:r>
          </w:p>
        </w:tc>
        <w:tc>
          <w:tcPr>
            <w:tcW w:w="766" w:type="dxa"/>
            <w:tcBorders>
              <w:top w:val="single" w:sz="4" w:space="0" w:color="auto"/>
              <w:left w:val="nil"/>
              <w:bottom w:val="single" w:sz="12" w:space="0" w:color="auto"/>
              <w:right w:val="single" w:sz="4" w:space="0" w:color="auto"/>
            </w:tcBorders>
            <w:shd w:val="clear" w:color="auto" w:fill="auto"/>
            <w:noWrap/>
            <w:vAlign w:val="center"/>
            <w:hideMark/>
          </w:tcPr>
          <w:p w14:paraId="23B18398" w14:textId="77777777" w:rsidR="00A4283D" w:rsidRPr="004F469F" w:rsidRDefault="00A4283D" w:rsidP="00A4283D">
            <w:pPr>
              <w:jc w:val="center"/>
              <w:rPr>
                <w:sz w:val="20"/>
                <w:szCs w:val="20"/>
              </w:rPr>
            </w:pPr>
            <w:r w:rsidRPr="004F469F">
              <w:rPr>
                <w:sz w:val="20"/>
                <w:szCs w:val="20"/>
              </w:rPr>
              <w:t>62,771</w:t>
            </w:r>
          </w:p>
        </w:tc>
        <w:tc>
          <w:tcPr>
            <w:tcW w:w="866" w:type="dxa"/>
            <w:tcBorders>
              <w:top w:val="single" w:sz="4" w:space="0" w:color="auto"/>
              <w:left w:val="nil"/>
              <w:bottom w:val="single" w:sz="12" w:space="0" w:color="auto"/>
              <w:right w:val="single" w:sz="4" w:space="0" w:color="auto"/>
            </w:tcBorders>
            <w:shd w:val="clear" w:color="auto" w:fill="auto"/>
            <w:noWrap/>
            <w:vAlign w:val="center"/>
            <w:hideMark/>
          </w:tcPr>
          <w:p w14:paraId="6C12277F" w14:textId="77777777" w:rsidR="00A4283D" w:rsidRPr="004F469F" w:rsidRDefault="00A4283D" w:rsidP="00A4283D">
            <w:pPr>
              <w:jc w:val="center"/>
              <w:rPr>
                <w:sz w:val="20"/>
                <w:szCs w:val="20"/>
              </w:rPr>
            </w:pPr>
            <w:r w:rsidRPr="004F469F">
              <w:rPr>
                <w:sz w:val="20"/>
                <w:szCs w:val="20"/>
              </w:rPr>
              <w:t>94,162</w:t>
            </w:r>
          </w:p>
        </w:tc>
        <w:tc>
          <w:tcPr>
            <w:tcW w:w="932" w:type="dxa"/>
            <w:tcBorders>
              <w:top w:val="single" w:sz="4" w:space="0" w:color="auto"/>
              <w:left w:val="nil"/>
              <w:bottom w:val="single" w:sz="12" w:space="0" w:color="auto"/>
              <w:right w:val="single" w:sz="4" w:space="0" w:color="auto"/>
            </w:tcBorders>
            <w:shd w:val="clear" w:color="auto" w:fill="auto"/>
            <w:noWrap/>
            <w:vAlign w:val="center"/>
            <w:hideMark/>
          </w:tcPr>
          <w:p w14:paraId="0F8225B5" w14:textId="77777777" w:rsidR="00A4283D" w:rsidRPr="004F469F" w:rsidRDefault="00A4283D" w:rsidP="00A4283D">
            <w:pPr>
              <w:jc w:val="center"/>
              <w:rPr>
                <w:sz w:val="20"/>
                <w:szCs w:val="20"/>
              </w:rPr>
            </w:pPr>
            <w:r w:rsidRPr="004F469F">
              <w:rPr>
                <w:sz w:val="20"/>
                <w:szCs w:val="20"/>
              </w:rPr>
              <w:t>32.64</w:t>
            </w:r>
          </w:p>
        </w:tc>
        <w:tc>
          <w:tcPr>
            <w:tcW w:w="825" w:type="dxa"/>
            <w:tcBorders>
              <w:top w:val="single" w:sz="4" w:space="0" w:color="auto"/>
              <w:left w:val="nil"/>
              <w:bottom w:val="single" w:sz="12" w:space="0" w:color="auto"/>
              <w:right w:val="single" w:sz="18" w:space="0" w:color="auto"/>
            </w:tcBorders>
            <w:shd w:val="clear" w:color="auto" w:fill="auto"/>
            <w:noWrap/>
            <w:vAlign w:val="center"/>
            <w:hideMark/>
          </w:tcPr>
          <w:p w14:paraId="0EED39E5" w14:textId="77777777" w:rsidR="00A4283D" w:rsidRPr="004F469F" w:rsidRDefault="00A4283D" w:rsidP="00A4283D">
            <w:pPr>
              <w:jc w:val="center"/>
              <w:rPr>
                <w:sz w:val="20"/>
                <w:szCs w:val="20"/>
              </w:rPr>
            </w:pPr>
            <w:r w:rsidRPr="004F469F">
              <w:rPr>
                <w:sz w:val="20"/>
                <w:szCs w:val="20"/>
              </w:rPr>
              <w:t>9.95</w:t>
            </w:r>
          </w:p>
        </w:tc>
      </w:tr>
      <w:tr w:rsidR="00A4283D" w:rsidRPr="004F469F" w14:paraId="53280B18" w14:textId="77777777" w:rsidTr="00A4283D">
        <w:trPr>
          <w:trHeight w:val="340"/>
        </w:trPr>
        <w:tc>
          <w:tcPr>
            <w:tcW w:w="1705" w:type="dxa"/>
            <w:vMerge/>
            <w:tcBorders>
              <w:top w:val="nil"/>
              <w:left w:val="single" w:sz="18" w:space="0" w:color="auto"/>
              <w:bottom w:val="single" w:sz="18" w:space="0" w:color="auto"/>
              <w:right w:val="single" w:sz="4" w:space="0" w:color="auto"/>
            </w:tcBorders>
            <w:vAlign w:val="center"/>
            <w:hideMark/>
          </w:tcPr>
          <w:p w14:paraId="568E9949" w14:textId="77777777" w:rsidR="00A4283D" w:rsidRPr="004F469F" w:rsidRDefault="00A4283D" w:rsidP="00A4283D">
            <w:pPr>
              <w:jc w:val="center"/>
              <w:rPr>
                <w:sz w:val="20"/>
                <w:szCs w:val="20"/>
              </w:rPr>
            </w:pPr>
          </w:p>
        </w:tc>
        <w:tc>
          <w:tcPr>
            <w:tcW w:w="1260" w:type="dxa"/>
            <w:tcBorders>
              <w:top w:val="single" w:sz="12" w:space="0" w:color="auto"/>
              <w:left w:val="nil"/>
              <w:bottom w:val="single" w:sz="18" w:space="0" w:color="auto"/>
              <w:right w:val="single" w:sz="4" w:space="0" w:color="auto"/>
            </w:tcBorders>
            <w:shd w:val="clear" w:color="auto" w:fill="auto"/>
            <w:noWrap/>
            <w:vAlign w:val="center"/>
            <w:hideMark/>
          </w:tcPr>
          <w:p w14:paraId="379B6CC6" w14:textId="77777777" w:rsidR="00A4283D" w:rsidRPr="004F469F" w:rsidRDefault="00A4283D" w:rsidP="00A4283D">
            <w:pPr>
              <w:jc w:val="center"/>
              <w:rPr>
                <w:i/>
                <w:iCs/>
                <w:sz w:val="20"/>
                <w:szCs w:val="20"/>
              </w:rPr>
            </w:pPr>
            <w:r w:rsidRPr="004F469F">
              <w:rPr>
                <w:i/>
                <w:iCs/>
                <w:sz w:val="20"/>
                <w:szCs w:val="20"/>
              </w:rPr>
              <w:t>OKC Metro</w:t>
            </w:r>
          </w:p>
        </w:tc>
        <w:tc>
          <w:tcPr>
            <w:tcW w:w="900" w:type="dxa"/>
            <w:tcBorders>
              <w:top w:val="single" w:sz="12" w:space="0" w:color="auto"/>
              <w:left w:val="nil"/>
              <w:bottom w:val="single" w:sz="18" w:space="0" w:color="auto"/>
              <w:right w:val="single" w:sz="4" w:space="0" w:color="auto"/>
            </w:tcBorders>
            <w:shd w:val="clear" w:color="auto" w:fill="auto"/>
            <w:noWrap/>
            <w:vAlign w:val="center"/>
            <w:hideMark/>
          </w:tcPr>
          <w:p w14:paraId="60A8A6F1" w14:textId="77777777" w:rsidR="00A4283D" w:rsidRPr="004F469F" w:rsidRDefault="00A4283D" w:rsidP="00A4283D">
            <w:pPr>
              <w:jc w:val="center"/>
              <w:rPr>
                <w:i/>
                <w:iCs/>
                <w:sz w:val="20"/>
                <w:szCs w:val="20"/>
              </w:rPr>
            </w:pPr>
            <w:r w:rsidRPr="004F469F">
              <w:rPr>
                <w:i/>
                <w:iCs/>
                <w:sz w:val="20"/>
                <w:szCs w:val="20"/>
              </w:rPr>
              <w:t>1,201</w:t>
            </w:r>
          </w:p>
        </w:tc>
        <w:tc>
          <w:tcPr>
            <w:tcW w:w="720" w:type="dxa"/>
            <w:tcBorders>
              <w:top w:val="single" w:sz="12" w:space="0" w:color="auto"/>
              <w:left w:val="nil"/>
              <w:bottom w:val="single" w:sz="18" w:space="0" w:color="auto"/>
              <w:right w:val="single" w:sz="4" w:space="0" w:color="auto"/>
            </w:tcBorders>
            <w:shd w:val="clear" w:color="auto" w:fill="auto"/>
            <w:noWrap/>
            <w:vAlign w:val="center"/>
            <w:hideMark/>
          </w:tcPr>
          <w:p w14:paraId="4119628A" w14:textId="77777777" w:rsidR="00A4283D" w:rsidRPr="004F469F" w:rsidRDefault="00A4283D" w:rsidP="00A4283D">
            <w:pPr>
              <w:jc w:val="center"/>
              <w:rPr>
                <w:i/>
                <w:iCs/>
                <w:sz w:val="20"/>
                <w:szCs w:val="20"/>
              </w:rPr>
            </w:pPr>
            <w:r w:rsidRPr="004F469F">
              <w:rPr>
                <w:i/>
                <w:iCs/>
                <w:sz w:val="20"/>
                <w:szCs w:val="20"/>
              </w:rPr>
              <w:t>4,812</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05E60CB2" w14:textId="77777777" w:rsidR="00A4283D" w:rsidRPr="004F469F" w:rsidRDefault="00A4283D" w:rsidP="00A4283D">
            <w:pPr>
              <w:jc w:val="center"/>
              <w:rPr>
                <w:i/>
                <w:iCs/>
                <w:sz w:val="20"/>
                <w:szCs w:val="20"/>
              </w:rPr>
            </w:pPr>
            <w:r w:rsidRPr="004F469F">
              <w:rPr>
                <w:i/>
                <w:iCs/>
                <w:sz w:val="20"/>
                <w:szCs w:val="20"/>
              </w:rPr>
              <w:t>22,819</w:t>
            </w:r>
          </w:p>
        </w:tc>
        <w:tc>
          <w:tcPr>
            <w:tcW w:w="766" w:type="dxa"/>
            <w:tcBorders>
              <w:top w:val="single" w:sz="12" w:space="0" w:color="auto"/>
              <w:left w:val="nil"/>
              <w:bottom w:val="single" w:sz="18" w:space="0" w:color="auto"/>
              <w:right w:val="single" w:sz="4" w:space="0" w:color="auto"/>
            </w:tcBorders>
            <w:shd w:val="clear" w:color="auto" w:fill="auto"/>
            <w:noWrap/>
            <w:vAlign w:val="center"/>
            <w:hideMark/>
          </w:tcPr>
          <w:p w14:paraId="6581C3DB" w14:textId="77777777" w:rsidR="00A4283D" w:rsidRPr="004F469F" w:rsidRDefault="00A4283D" w:rsidP="00A4283D">
            <w:pPr>
              <w:jc w:val="center"/>
              <w:rPr>
                <w:i/>
                <w:iCs/>
                <w:sz w:val="20"/>
                <w:szCs w:val="20"/>
              </w:rPr>
            </w:pPr>
            <w:r w:rsidRPr="004F469F">
              <w:rPr>
                <w:i/>
                <w:iCs/>
                <w:sz w:val="20"/>
                <w:szCs w:val="20"/>
              </w:rPr>
              <w:t>53,812</w:t>
            </w:r>
          </w:p>
        </w:tc>
        <w:tc>
          <w:tcPr>
            <w:tcW w:w="866" w:type="dxa"/>
            <w:tcBorders>
              <w:top w:val="single" w:sz="12" w:space="0" w:color="auto"/>
              <w:left w:val="nil"/>
              <w:bottom w:val="single" w:sz="18" w:space="0" w:color="auto"/>
              <w:right w:val="single" w:sz="4" w:space="0" w:color="auto"/>
            </w:tcBorders>
            <w:shd w:val="clear" w:color="auto" w:fill="auto"/>
            <w:noWrap/>
            <w:vAlign w:val="center"/>
            <w:hideMark/>
          </w:tcPr>
          <w:p w14:paraId="3E43956E" w14:textId="77777777" w:rsidR="00A4283D" w:rsidRPr="004F469F" w:rsidRDefault="00A4283D" w:rsidP="00A4283D">
            <w:pPr>
              <w:jc w:val="center"/>
              <w:rPr>
                <w:i/>
                <w:iCs/>
                <w:sz w:val="20"/>
                <w:szCs w:val="20"/>
              </w:rPr>
            </w:pPr>
            <w:r w:rsidRPr="004F469F">
              <w:rPr>
                <w:i/>
                <w:iCs/>
                <w:sz w:val="20"/>
                <w:szCs w:val="20"/>
              </w:rPr>
              <w:t>102,430</w:t>
            </w:r>
          </w:p>
        </w:tc>
        <w:tc>
          <w:tcPr>
            <w:tcW w:w="932" w:type="dxa"/>
            <w:tcBorders>
              <w:top w:val="single" w:sz="12" w:space="0" w:color="auto"/>
              <w:left w:val="nil"/>
              <w:bottom w:val="single" w:sz="18" w:space="0" w:color="auto"/>
              <w:right w:val="single" w:sz="4" w:space="0" w:color="auto"/>
            </w:tcBorders>
            <w:shd w:val="clear" w:color="auto" w:fill="auto"/>
            <w:noWrap/>
            <w:vAlign w:val="center"/>
            <w:hideMark/>
          </w:tcPr>
          <w:p w14:paraId="41C873E1" w14:textId="77777777" w:rsidR="00A4283D" w:rsidRPr="004F469F" w:rsidRDefault="00A4283D" w:rsidP="00A4283D">
            <w:pPr>
              <w:jc w:val="center"/>
              <w:rPr>
                <w:i/>
                <w:iCs/>
                <w:sz w:val="20"/>
                <w:szCs w:val="20"/>
              </w:rPr>
            </w:pPr>
            <w:r w:rsidRPr="004F469F">
              <w:rPr>
                <w:i/>
                <w:iCs/>
                <w:sz w:val="20"/>
                <w:szCs w:val="20"/>
              </w:rPr>
              <w:t>22.15</w:t>
            </w:r>
          </w:p>
        </w:tc>
        <w:tc>
          <w:tcPr>
            <w:tcW w:w="825" w:type="dxa"/>
            <w:tcBorders>
              <w:top w:val="single" w:sz="12" w:space="0" w:color="auto"/>
              <w:left w:val="nil"/>
              <w:bottom w:val="single" w:sz="18" w:space="0" w:color="auto"/>
              <w:right w:val="single" w:sz="18" w:space="0" w:color="auto"/>
            </w:tcBorders>
            <w:shd w:val="clear" w:color="auto" w:fill="auto"/>
            <w:noWrap/>
            <w:vAlign w:val="center"/>
            <w:hideMark/>
          </w:tcPr>
          <w:p w14:paraId="42124D30" w14:textId="77777777" w:rsidR="00A4283D" w:rsidRPr="004F469F" w:rsidRDefault="00A4283D" w:rsidP="00A4283D">
            <w:pPr>
              <w:jc w:val="center"/>
              <w:rPr>
                <w:i/>
                <w:iCs/>
                <w:sz w:val="20"/>
                <w:szCs w:val="20"/>
              </w:rPr>
            </w:pPr>
            <w:r w:rsidRPr="004F469F">
              <w:rPr>
                <w:i/>
                <w:iCs/>
                <w:sz w:val="20"/>
                <w:szCs w:val="20"/>
              </w:rPr>
              <w:t>6.06</w:t>
            </w:r>
          </w:p>
        </w:tc>
      </w:tr>
    </w:tbl>
    <w:p w14:paraId="39D2B370" w14:textId="633A978B" w:rsidR="00657E2A" w:rsidRPr="004F469F" w:rsidRDefault="00657E2A" w:rsidP="00657E2A">
      <w:pPr>
        <w:spacing w:after="120" w:line="480" w:lineRule="auto"/>
        <w:rPr>
          <w:sz w:val="20"/>
          <w:szCs w:val="20"/>
        </w:rPr>
      </w:pPr>
    </w:p>
    <w:p w14:paraId="59D490C0" w14:textId="4AC20D1C" w:rsidR="00657E2A" w:rsidRPr="004F469F" w:rsidRDefault="00657E2A" w:rsidP="00657E2A">
      <w:pPr>
        <w:spacing w:after="120" w:line="480" w:lineRule="auto"/>
        <w:rPr>
          <w:sz w:val="20"/>
          <w:szCs w:val="20"/>
        </w:rPr>
      </w:pPr>
    </w:p>
    <w:p w14:paraId="117DD293" w14:textId="23041E5B" w:rsidR="00657E2A" w:rsidRPr="004F469F" w:rsidRDefault="00657E2A" w:rsidP="00657E2A">
      <w:pPr>
        <w:spacing w:after="120" w:line="480" w:lineRule="auto"/>
      </w:pPr>
    </w:p>
    <w:p w14:paraId="700D5170" w14:textId="49FA215C" w:rsidR="00657E2A" w:rsidRPr="004F469F" w:rsidRDefault="00657E2A" w:rsidP="00657E2A">
      <w:pPr>
        <w:spacing w:after="120" w:line="480" w:lineRule="auto"/>
      </w:pPr>
    </w:p>
    <w:p w14:paraId="1BDEA103" w14:textId="7696AC69" w:rsidR="00657E2A" w:rsidRPr="004F469F" w:rsidRDefault="00657E2A" w:rsidP="00657E2A">
      <w:pPr>
        <w:spacing w:after="120" w:line="480" w:lineRule="auto"/>
      </w:pPr>
    </w:p>
    <w:p w14:paraId="0D613B46" w14:textId="662B9B1C" w:rsidR="00482621" w:rsidRPr="004F469F" w:rsidRDefault="00482621" w:rsidP="00657E2A">
      <w:pPr>
        <w:spacing w:after="120" w:line="480" w:lineRule="auto"/>
      </w:pPr>
    </w:p>
    <w:p w14:paraId="31EA613B" w14:textId="243E1334" w:rsidR="00482621" w:rsidRPr="004F469F" w:rsidRDefault="00482621" w:rsidP="00657E2A">
      <w:pPr>
        <w:spacing w:after="120" w:line="480" w:lineRule="auto"/>
      </w:pPr>
    </w:p>
    <w:p w14:paraId="7B4CA4C5" w14:textId="465A1C04" w:rsidR="00482621" w:rsidRPr="004F469F" w:rsidRDefault="00482621" w:rsidP="00657E2A">
      <w:pPr>
        <w:spacing w:after="120" w:line="480" w:lineRule="auto"/>
      </w:pPr>
    </w:p>
    <w:p w14:paraId="66134705" w14:textId="77777777" w:rsidR="00775462" w:rsidRPr="004F469F" w:rsidRDefault="00482621" w:rsidP="00775462">
      <w:pPr>
        <w:keepNext/>
        <w:widowControl w:val="0"/>
        <w:autoSpaceDE w:val="0"/>
        <w:autoSpaceDN w:val="0"/>
        <w:adjustRightInd w:val="0"/>
        <w:ind w:left="480" w:hanging="480"/>
      </w:pPr>
      <w:r w:rsidRPr="004F469F">
        <w:rPr>
          <w:noProof/>
        </w:rPr>
        <w:lastRenderedPageBreak/>
        <w:drawing>
          <wp:inline distT="0" distB="0" distL="0" distR="0" wp14:anchorId="012BC3C6" wp14:editId="070225ED">
            <wp:extent cx="5943600" cy="4592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C_study_area_map.pdf"/>
                    <pic:cNvPicPr/>
                  </pic:nvPicPr>
                  <pic:blipFill>
                    <a:blip r:embed="rId28">
                      <a:extLst>
                        <a:ext uri="{28A0092B-C50C-407E-A947-70E740481C1C}">
                          <a14:useLocalDpi xmlns:a14="http://schemas.microsoft.com/office/drawing/2010/main" val="0"/>
                        </a:ext>
                      </a:extLst>
                    </a:blip>
                    <a:stretch>
                      <a:fillRect/>
                    </a:stretch>
                  </pic:blipFill>
                  <pic:spPr>
                    <a:xfrm>
                      <a:off x="0" y="0"/>
                      <a:ext cx="5943600" cy="4592781"/>
                    </a:xfrm>
                    <a:prstGeom prst="rect">
                      <a:avLst/>
                    </a:prstGeom>
                  </pic:spPr>
                </pic:pic>
              </a:graphicData>
            </a:graphic>
          </wp:inline>
        </w:drawing>
      </w:r>
    </w:p>
    <w:p w14:paraId="49011E12" w14:textId="5AE31587" w:rsidR="00482621" w:rsidRPr="004F469F" w:rsidRDefault="00775462" w:rsidP="00775462">
      <w:pPr>
        <w:pStyle w:val="Caption"/>
        <w:rPr>
          <w:rFonts w:ascii="Times New Roman" w:hAnsi="Times New Roman" w:cs="Times New Roman"/>
          <w:i w:val="0"/>
          <w:iCs w:val="0"/>
          <w:color w:val="auto"/>
          <w:sz w:val="24"/>
          <w:szCs w:val="24"/>
        </w:rPr>
      </w:pPr>
      <w:bookmarkStart w:id="100" w:name="_Toc22035201"/>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Study area representing the three primary counties of the Oklahoma City Metropolitan</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 xml:space="preserve">Area (Canadian, Cleveland, and Oklahoma) in the state of Oklahoma. </w:t>
      </w:r>
      <w:r w:rsidR="00CD1B92" w:rsidRPr="004F469F">
        <w:rPr>
          <w:rFonts w:ascii="Times New Roman" w:hAnsi="Times New Roman" w:cs="Times New Roman"/>
          <w:i w:val="0"/>
          <w:iCs w:val="0"/>
          <w:color w:val="auto"/>
          <w:sz w:val="24"/>
          <w:szCs w:val="24"/>
        </w:rPr>
        <w:t>The d</w:t>
      </w:r>
      <w:r w:rsidR="00482621" w:rsidRPr="004F469F">
        <w:rPr>
          <w:rFonts w:ascii="Times New Roman" w:hAnsi="Times New Roman" w:cs="Times New Roman"/>
          <w:i w:val="0"/>
          <w:iCs w:val="0"/>
          <w:color w:val="auto"/>
          <w:sz w:val="24"/>
          <w:szCs w:val="24"/>
        </w:rPr>
        <w:t xml:space="preserve">ashed line represents </w:t>
      </w:r>
      <w:r w:rsidR="00CD1B92" w:rsidRPr="004F469F">
        <w:rPr>
          <w:rFonts w:ascii="Times New Roman" w:hAnsi="Times New Roman" w:cs="Times New Roman"/>
          <w:i w:val="0"/>
          <w:iCs w:val="0"/>
          <w:color w:val="auto"/>
          <w:sz w:val="24"/>
          <w:szCs w:val="24"/>
        </w:rPr>
        <w:t xml:space="preserve">the </w:t>
      </w:r>
      <w:r w:rsidR="00482621" w:rsidRPr="004F469F">
        <w:rPr>
          <w:rFonts w:ascii="Times New Roman" w:hAnsi="Times New Roman" w:cs="Times New Roman"/>
          <w:i w:val="0"/>
          <w:iCs w:val="0"/>
          <w:color w:val="auto"/>
          <w:sz w:val="24"/>
          <w:szCs w:val="24"/>
        </w:rPr>
        <w:t>100</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 xml:space="preserve">kilometer buffer used by </w:t>
      </w:r>
      <w:r w:rsidR="00CD1B92" w:rsidRPr="004F469F">
        <w:rPr>
          <w:rFonts w:ascii="Times New Roman" w:hAnsi="Times New Roman" w:cs="Times New Roman"/>
          <w:i w:val="0"/>
          <w:iCs w:val="0"/>
          <w:color w:val="auto"/>
          <w:sz w:val="24"/>
          <w:szCs w:val="24"/>
        </w:rPr>
        <w:t xml:space="preserve">the </w:t>
      </w:r>
      <w:r w:rsidR="00482621" w:rsidRPr="004F469F">
        <w:rPr>
          <w:rFonts w:ascii="Times New Roman" w:hAnsi="Times New Roman" w:cs="Times New Roman"/>
          <w:i w:val="0"/>
          <w:iCs w:val="0"/>
          <w:color w:val="auto"/>
          <w:sz w:val="24"/>
          <w:szCs w:val="24"/>
        </w:rPr>
        <w:t xml:space="preserve">TorDIS </w:t>
      </w:r>
      <w:r w:rsidR="00CD1B92" w:rsidRPr="004F469F">
        <w:rPr>
          <w:rFonts w:ascii="Times New Roman" w:hAnsi="Times New Roman" w:cs="Times New Roman"/>
          <w:i w:val="0"/>
          <w:iCs w:val="0"/>
          <w:color w:val="auto"/>
          <w:sz w:val="24"/>
          <w:szCs w:val="24"/>
        </w:rPr>
        <w:t xml:space="preserve">model </w:t>
      </w:r>
      <w:r w:rsidR="00CD1B92" w:rsidRPr="004F469F">
        <w:rPr>
          <w:rFonts w:ascii="Times New Roman" w:hAnsi="Times New Roman" w:cs="Times New Roman"/>
          <w:i w:val="0"/>
          <w:iCs w:val="0"/>
          <w:color w:val="auto"/>
          <w:sz w:val="24"/>
          <w:szCs w:val="24"/>
        </w:rPr>
        <w:fldChar w:fldCharType="begin" w:fldLock="1"/>
      </w:r>
      <w:r w:rsidR="00F37017">
        <w:rPr>
          <w:rFonts w:ascii="Times New Roman" w:hAnsi="Times New Roman" w:cs="Times New Roman"/>
          <w:i w:val="0"/>
          <w:iCs w:val="0"/>
          <w:color w:val="auto"/>
          <w:sz w:val="24"/>
          <w:szCs w:val="24"/>
        </w:rPr>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States","type":"article-journal"},"uris":["http://www.mendeley.com/documents/?uuid=a54416d3-f2bb-4e9d-98d2-6e1d8b73938b"]}],"mendeley":{"formattedCitation":"(Hatzis et al., n.d.)","manualFormatting":"(Hatzis et al., in review)","plainTextFormattedCitation":"(Hatzis et al., n.d.)","previouslyFormattedCitation":"(Hatzis et al., n.d.)"},"properties":{"noteIndex":0},"schema":"https://github.com/citation-style-language/schema/raw/master/csl-citation.json"}</w:instrText>
      </w:r>
      <w:r w:rsidR="00CD1B92" w:rsidRPr="004F469F">
        <w:rPr>
          <w:rFonts w:ascii="Times New Roman" w:hAnsi="Times New Roman" w:cs="Times New Roman"/>
          <w:i w:val="0"/>
          <w:iCs w:val="0"/>
          <w:color w:val="auto"/>
          <w:sz w:val="24"/>
          <w:szCs w:val="24"/>
        </w:rPr>
        <w:fldChar w:fldCharType="separate"/>
      </w:r>
      <w:r w:rsidR="0076275F" w:rsidRPr="004F469F">
        <w:rPr>
          <w:rFonts w:ascii="Times New Roman" w:hAnsi="Times New Roman" w:cs="Times New Roman"/>
          <w:i w:val="0"/>
          <w:iCs w:val="0"/>
          <w:noProof/>
          <w:color w:val="auto"/>
          <w:sz w:val="24"/>
          <w:szCs w:val="24"/>
        </w:rPr>
        <w:t xml:space="preserve">(Hatzis </w:t>
      </w:r>
      <w:r w:rsidR="0076275F" w:rsidRPr="00453357">
        <w:rPr>
          <w:rFonts w:ascii="Times New Roman" w:hAnsi="Times New Roman" w:cs="Times New Roman"/>
          <w:noProof/>
          <w:color w:val="auto"/>
          <w:sz w:val="24"/>
          <w:szCs w:val="24"/>
        </w:rPr>
        <w:t>et al.</w:t>
      </w:r>
      <w:r w:rsidR="0076275F" w:rsidRPr="004F469F">
        <w:rPr>
          <w:rFonts w:ascii="Times New Roman" w:hAnsi="Times New Roman" w:cs="Times New Roman"/>
          <w:i w:val="0"/>
          <w:iCs w:val="0"/>
          <w:noProof/>
          <w:color w:val="auto"/>
          <w:sz w:val="24"/>
          <w:szCs w:val="24"/>
        </w:rPr>
        <w:t xml:space="preserve">, </w:t>
      </w:r>
      <w:r w:rsidR="00266494" w:rsidRPr="004F469F">
        <w:rPr>
          <w:rFonts w:ascii="Times New Roman" w:hAnsi="Times New Roman" w:cs="Times New Roman"/>
          <w:i w:val="0"/>
          <w:iCs w:val="0"/>
          <w:noProof/>
          <w:color w:val="auto"/>
          <w:sz w:val="24"/>
          <w:szCs w:val="24"/>
        </w:rPr>
        <w:t>in review</w:t>
      </w:r>
      <w:r w:rsidR="0076275F" w:rsidRPr="004F469F">
        <w:rPr>
          <w:rFonts w:ascii="Times New Roman" w:hAnsi="Times New Roman" w:cs="Times New Roman"/>
          <w:i w:val="0"/>
          <w:iCs w:val="0"/>
          <w:noProof/>
          <w:color w:val="auto"/>
          <w:sz w:val="24"/>
          <w:szCs w:val="24"/>
        </w:rPr>
        <w:t>)</w:t>
      </w:r>
      <w:r w:rsidR="00CD1B92" w:rsidRPr="004F469F">
        <w:rPr>
          <w:rFonts w:ascii="Times New Roman" w:hAnsi="Times New Roman" w:cs="Times New Roman"/>
          <w:i w:val="0"/>
          <w:iCs w:val="0"/>
          <w:color w:val="auto"/>
          <w:sz w:val="24"/>
          <w:szCs w:val="24"/>
        </w:rPr>
        <w:fldChar w:fldCharType="end"/>
      </w:r>
      <w:r w:rsidR="00CD1B92"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to reduce edge effects.</w:t>
      </w:r>
      <w:bookmarkEnd w:id="100"/>
    </w:p>
    <w:p w14:paraId="4AEB6364" w14:textId="77777777" w:rsidR="00482621" w:rsidRPr="004F469F" w:rsidRDefault="00482621" w:rsidP="00482621">
      <w:pPr>
        <w:widowControl w:val="0"/>
        <w:autoSpaceDE w:val="0"/>
        <w:autoSpaceDN w:val="0"/>
        <w:adjustRightInd w:val="0"/>
        <w:ind w:left="480" w:hanging="480"/>
      </w:pPr>
    </w:p>
    <w:p w14:paraId="392D3ABA" w14:textId="77777777" w:rsidR="00775462" w:rsidRPr="004F469F" w:rsidRDefault="00482621" w:rsidP="00775462">
      <w:pPr>
        <w:keepNext/>
        <w:widowControl w:val="0"/>
        <w:autoSpaceDE w:val="0"/>
        <w:autoSpaceDN w:val="0"/>
        <w:adjustRightInd w:val="0"/>
        <w:ind w:left="480" w:hanging="480"/>
      </w:pPr>
      <w:r w:rsidRPr="004F469F">
        <w:rPr>
          <w:noProof/>
        </w:rPr>
        <w:lastRenderedPageBreak/>
        <w:drawing>
          <wp:inline distT="0" distB="0" distL="0" distR="0" wp14:anchorId="7875A1E7" wp14:editId="53D11816">
            <wp:extent cx="5943600" cy="45927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ture_compare_map.pdf"/>
                    <pic:cNvPicPr/>
                  </pic:nvPicPr>
                  <pic:blipFill>
                    <a:blip r:embed="rId29">
                      <a:extLst>
                        <a:ext uri="{28A0092B-C50C-407E-A947-70E740481C1C}">
                          <a14:useLocalDpi xmlns:a14="http://schemas.microsoft.com/office/drawing/2010/main" val="0"/>
                        </a:ext>
                      </a:extLst>
                    </a:blip>
                    <a:stretch>
                      <a:fillRect/>
                    </a:stretch>
                  </pic:blipFill>
                  <pic:spPr>
                    <a:xfrm>
                      <a:off x="0" y="0"/>
                      <a:ext cx="5943600" cy="4592781"/>
                    </a:xfrm>
                    <a:prstGeom prst="rect">
                      <a:avLst/>
                    </a:prstGeom>
                  </pic:spPr>
                </pic:pic>
              </a:graphicData>
            </a:graphic>
          </wp:inline>
        </w:drawing>
      </w:r>
    </w:p>
    <w:p w14:paraId="205A9DD4" w14:textId="43D6DA4A" w:rsidR="00482621" w:rsidRPr="004F469F" w:rsidRDefault="00775462" w:rsidP="00775462">
      <w:pPr>
        <w:pStyle w:val="Caption"/>
        <w:rPr>
          <w:rFonts w:ascii="Times New Roman" w:hAnsi="Times New Roman" w:cs="Times New Roman"/>
          <w:i w:val="0"/>
          <w:iCs w:val="0"/>
          <w:color w:val="auto"/>
          <w:sz w:val="24"/>
          <w:szCs w:val="24"/>
        </w:rPr>
      </w:pPr>
      <w:bookmarkStart w:id="101" w:name="_Toc22035202"/>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2</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w:t>
      </w:r>
      <w:r w:rsidR="00482621" w:rsidRPr="004F469F">
        <w:rPr>
          <w:rFonts w:ascii="Times New Roman" w:hAnsi="Times New Roman" w:cs="Times New Roman"/>
          <w:i w:val="0"/>
          <w:iCs w:val="0"/>
          <w:color w:val="auto"/>
          <w:sz w:val="24"/>
          <w:szCs w:val="24"/>
        </w:rPr>
        <w:t xml:space="preserve"> Population and tornado climate change over the Oklahoma City Metropolitan Area in</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the 21</w:t>
      </w:r>
      <w:r w:rsidR="00482621" w:rsidRPr="004F469F">
        <w:rPr>
          <w:rFonts w:ascii="Times New Roman" w:hAnsi="Times New Roman" w:cs="Times New Roman"/>
          <w:i w:val="0"/>
          <w:iCs w:val="0"/>
          <w:color w:val="auto"/>
          <w:sz w:val="24"/>
          <w:szCs w:val="24"/>
          <w:vertAlign w:val="superscript"/>
        </w:rPr>
        <w:t>st</w:t>
      </w:r>
      <w:r w:rsidR="00482621" w:rsidRPr="004F469F">
        <w:rPr>
          <w:rFonts w:ascii="Times New Roman" w:hAnsi="Times New Roman" w:cs="Times New Roman"/>
          <w:i w:val="0"/>
          <w:iCs w:val="0"/>
          <w:color w:val="auto"/>
          <w:sz w:val="24"/>
          <w:szCs w:val="24"/>
        </w:rPr>
        <w:t xml:space="preserve"> century. a.) 2010 parcel-based estimates of population density (persons km</w:t>
      </w:r>
      <w:r w:rsidR="00482621" w:rsidRPr="004F469F">
        <w:rPr>
          <w:rFonts w:ascii="Times New Roman" w:hAnsi="Times New Roman" w:cs="Times New Roman"/>
          <w:i w:val="0"/>
          <w:iCs w:val="0"/>
          <w:color w:val="auto"/>
          <w:sz w:val="24"/>
          <w:szCs w:val="24"/>
          <w:vertAlign w:val="superscript"/>
        </w:rPr>
        <w:t>-2</w:t>
      </w:r>
      <w:r w:rsidR="00482621" w:rsidRPr="004F469F">
        <w:rPr>
          <w:rFonts w:ascii="Times New Roman" w:hAnsi="Times New Roman" w:cs="Times New Roman"/>
          <w:i w:val="0"/>
          <w:iCs w:val="0"/>
          <w:color w:val="auto"/>
          <w:sz w:val="24"/>
          <w:szCs w:val="24"/>
        </w:rPr>
        <w:t>). (b) Same</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as a</w:t>
      </w:r>
      <w:r w:rsidR="00CD1B92" w:rsidRPr="004F469F">
        <w:rPr>
          <w:rFonts w:ascii="Times New Roman" w:hAnsi="Times New Roman" w:cs="Times New Roman"/>
          <w:i w:val="0"/>
          <w:iCs w:val="0"/>
          <w:color w:val="auto"/>
          <w:sz w:val="24"/>
          <w:szCs w:val="24"/>
        </w:rPr>
        <w:t>)</w:t>
      </w:r>
      <w:r w:rsidR="00482621" w:rsidRPr="004F469F">
        <w:rPr>
          <w:rFonts w:ascii="Times New Roman" w:hAnsi="Times New Roman" w:cs="Times New Roman"/>
          <w:i w:val="0"/>
          <w:iCs w:val="0"/>
          <w:color w:val="auto"/>
          <w:sz w:val="24"/>
          <w:szCs w:val="24"/>
        </w:rPr>
        <w:t xml:space="preserve"> but for 2050 parcel-based projections of population density. c.) Mean number of days with</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tornado favorable conditions (based on the severe weather regression equations) during the 1990</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 1999 period on a 50 km resolution grid. d.) Same as c</w:t>
      </w:r>
      <w:r w:rsidR="00CD1B92" w:rsidRPr="004F469F">
        <w:rPr>
          <w:rFonts w:ascii="Times New Roman" w:hAnsi="Times New Roman" w:cs="Times New Roman"/>
          <w:i w:val="0"/>
          <w:iCs w:val="0"/>
          <w:color w:val="auto"/>
          <w:sz w:val="24"/>
          <w:szCs w:val="24"/>
        </w:rPr>
        <w:t>)</w:t>
      </w:r>
      <w:r w:rsidR="00482621" w:rsidRPr="004F469F">
        <w:rPr>
          <w:rFonts w:ascii="Times New Roman" w:hAnsi="Times New Roman" w:cs="Times New Roman"/>
          <w:i w:val="0"/>
          <w:iCs w:val="0"/>
          <w:color w:val="auto"/>
          <w:sz w:val="24"/>
          <w:szCs w:val="24"/>
        </w:rPr>
        <w:t xml:space="preserve"> but for the projected period of 2045 –</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2054, based on the NARCCAP climate data.</w:t>
      </w:r>
      <w:bookmarkEnd w:id="101"/>
      <w:r w:rsidR="00482621" w:rsidRPr="004F469F">
        <w:rPr>
          <w:rFonts w:ascii="Times New Roman" w:hAnsi="Times New Roman" w:cs="Times New Roman"/>
          <w:i w:val="0"/>
          <w:iCs w:val="0"/>
          <w:color w:val="auto"/>
          <w:sz w:val="24"/>
          <w:szCs w:val="24"/>
        </w:rPr>
        <w:t xml:space="preserve"> </w:t>
      </w:r>
    </w:p>
    <w:p w14:paraId="4F65986B" w14:textId="77777777" w:rsidR="00482621" w:rsidRPr="004F469F" w:rsidRDefault="00482621" w:rsidP="00482621">
      <w:pPr>
        <w:widowControl w:val="0"/>
        <w:autoSpaceDE w:val="0"/>
        <w:autoSpaceDN w:val="0"/>
        <w:adjustRightInd w:val="0"/>
        <w:ind w:left="480" w:hanging="480"/>
      </w:pPr>
    </w:p>
    <w:p w14:paraId="7C08B4A9" w14:textId="77777777" w:rsidR="00775462" w:rsidRPr="004F469F" w:rsidRDefault="00482621" w:rsidP="00775462">
      <w:pPr>
        <w:keepNext/>
        <w:widowControl w:val="0"/>
        <w:autoSpaceDE w:val="0"/>
        <w:autoSpaceDN w:val="0"/>
        <w:adjustRightInd w:val="0"/>
        <w:ind w:left="480" w:hanging="480"/>
      </w:pPr>
      <w:r w:rsidRPr="004F469F">
        <w:rPr>
          <w:noProof/>
        </w:rPr>
        <w:lastRenderedPageBreak/>
        <w:drawing>
          <wp:inline distT="0" distB="0" distL="0" distR="0" wp14:anchorId="1795DB49" wp14:editId="6B0A4A72">
            <wp:extent cx="4762500" cy="464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per3_flowchart.pdf"/>
                    <pic:cNvPicPr/>
                  </pic:nvPicPr>
                  <pic:blipFill>
                    <a:blip r:embed="rId30">
                      <a:extLst>
                        <a:ext uri="{28A0092B-C50C-407E-A947-70E740481C1C}">
                          <a14:useLocalDpi xmlns:a14="http://schemas.microsoft.com/office/drawing/2010/main" val="0"/>
                        </a:ext>
                      </a:extLst>
                    </a:blip>
                    <a:stretch>
                      <a:fillRect/>
                    </a:stretch>
                  </pic:blipFill>
                  <pic:spPr>
                    <a:xfrm>
                      <a:off x="0" y="0"/>
                      <a:ext cx="4762500" cy="4648200"/>
                    </a:xfrm>
                    <a:prstGeom prst="rect">
                      <a:avLst/>
                    </a:prstGeom>
                  </pic:spPr>
                </pic:pic>
              </a:graphicData>
            </a:graphic>
          </wp:inline>
        </w:drawing>
      </w:r>
    </w:p>
    <w:p w14:paraId="0AC5CC4C" w14:textId="306B65FD" w:rsidR="00482621" w:rsidRPr="004F469F" w:rsidRDefault="00775462" w:rsidP="00775462">
      <w:pPr>
        <w:pStyle w:val="Caption"/>
        <w:rPr>
          <w:rFonts w:ascii="Times New Roman" w:hAnsi="Times New Roman" w:cs="Times New Roman"/>
          <w:i w:val="0"/>
          <w:iCs w:val="0"/>
          <w:color w:val="auto"/>
          <w:sz w:val="24"/>
          <w:szCs w:val="24"/>
        </w:rPr>
      </w:pPr>
      <w:bookmarkStart w:id="102" w:name="_Toc22035203"/>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3</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 xml:space="preserve">Flowchart for each daily simulation using TorDIS. </w:t>
      </w:r>
      <w:r w:rsidR="00482621" w:rsidRPr="004F469F">
        <w:rPr>
          <w:rFonts w:ascii="Times New Roman" w:hAnsi="Times New Roman" w:cs="Times New Roman"/>
          <w:i w:val="0"/>
          <w:iCs w:val="0"/>
          <w:noProof/>
          <w:color w:val="auto"/>
          <w:sz w:val="24"/>
          <w:szCs w:val="24"/>
        </w:rPr>
        <w:t>Rhombus shapes represent model</w:t>
      </w:r>
      <w:r w:rsidRPr="004F469F">
        <w:rPr>
          <w:rFonts w:ascii="Times New Roman" w:hAnsi="Times New Roman" w:cs="Times New Roman"/>
          <w:i w:val="0"/>
          <w:iCs w:val="0"/>
          <w:noProof/>
          <w:color w:val="auto"/>
          <w:sz w:val="24"/>
          <w:szCs w:val="24"/>
        </w:rPr>
        <w:t xml:space="preserve"> </w:t>
      </w:r>
      <w:r w:rsidR="00482621" w:rsidRPr="004F469F">
        <w:rPr>
          <w:rFonts w:ascii="Times New Roman" w:hAnsi="Times New Roman" w:cs="Times New Roman"/>
          <w:i w:val="0"/>
          <w:iCs w:val="0"/>
          <w:noProof/>
          <w:color w:val="auto"/>
          <w:sz w:val="24"/>
          <w:szCs w:val="24"/>
        </w:rPr>
        <w:t>input, squares represent model processes, rounded rectangles represent model decisions, cross in</w:t>
      </w:r>
      <w:r w:rsidRPr="004F469F">
        <w:rPr>
          <w:rFonts w:ascii="Times New Roman" w:hAnsi="Times New Roman" w:cs="Times New Roman"/>
          <w:i w:val="0"/>
          <w:iCs w:val="0"/>
          <w:noProof/>
          <w:color w:val="auto"/>
          <w:sz w:val="24"/>
          <w:szCs w:val="24"/>
        </w:rPr>
        <w:t xml:space="preserve"> </w:t>
      </w:r>
      <w:r w:rsidR="00482621" w:rsidRPr="004F469F">
        <w:rPr>
          <w:rFonts w:ascii="Times New Roman" w:hAnsi="Times New Roman" w:cs="Times New Roman"/>
          <w:i w:val="0"/>
          <w:iCs w:val="0"/>
          <w:noProof/>
          <w:color w:val="auto"/>
          <w:sz w:val="24"/>
          <w:szCs w:val="24"/>
        </w:rPr>
        <w:t>circle shapes represents a choice between two inputs (two climate scenarios or two urban</w:t>
      </w:r>
      <w:r w:rsidRPr="004F469F">
        <w:rPr>
          <w:rFonts w:ascii="Times New Roman" w:hAnsi="Times New Roman" w:cs="Times New Roman"/>
          <w:i w:val="0"/>
          <w:iCs w:val="0"/>
          <w:noProof/>
          <w:color w:val="auto"/>
          <w:sz w:val="24"/>
          <w:szCs w:val="24"/>
        </w:rPr>
        <w:t xml:space="preserve"> </w:t>
      </w:r>
      <w:r w:rsidR="00482621" w:rsidRPr="004F469F">
        <w:rPr>
          <w:rFonts w:ascii="Times New Roman" w:hAnsi="Times New Roman" w:cs="Times New Roman"/>
          <w:i w:val="0"/>
          <w:iCs w:val="0"/>
          <w:noProof/>
          <w:color w:val="auto"/>
          <w:sz w:val="24"/>
          <w:szCs w:val="24"/>
        </w:rPr>
        <w:t>development scenarios) and the oval represents the model output. Adapted from Figure 1 in</w:t>
      </w:r>
      <w:r w:rsidRPr="004F469F">
        <w:rPr>
          <w:rFonts w:ascii="Times New Roman" w:hAnsi="Times New Roman" w:cs="Times New Roman"/>
          <w:i w:val="0"/>
          <w:iCs w:val="0"/>
          <w:noProof/>
          <w:color w:val="auto"/>
          <w:sz w:val="24"/>
          <w:szCs w:val="24"/>
        </w:rPr>
        <w:t xml:space="preserve"> </w:t>
      </w:r>
      <w:r w:rsidR="00482621" w:rsidRPr="004F469F">
        <w:rPr>
          <w:rFonts w:ascii="Times New Roman" w:hAnsi="Times New Roman" w:cs="Times New Roman"/>
          <w:i w:val="0"/>
          <w:iCs w:val="0"/>
          <w:noProof/>
          <w:color w:val="auto"/>
          <w:sz w:val="24"/>
          <w:szCs w:val="24"/>
        </w:rPr>
        <w:t xml:space="preserve">Hatzis </w:t>
      </w:r>
      <w:r w:rsidR="00482621" w:rsidRPr="00453357">
        <w:rPr>
          <w:rFonts w:ascii="Times New Roman" w:hAnsi="Times New Roman" w:cs="Times New Roman"/>
          <w:noProof/>
          <w:color w:val="auto"/>
          <w:sz w:val="24"/>
          <w:szCs w:val="24"/>
        </w:rPr>
        <w:t>et al.</w:t>
      </w:r>
      <w:r w:rsidR="00482621" w:rsidRPr="004F469F">
        <w:rPr>
          <w:rFonts w:ascii="Times New Roman" w:hAnsi="Times New Roman" w:cs="Times New Roman"/>
          <w:i w:val="0"/>
          <w:iCs w:val="0"/>
          <w:noProof/>
          <w:color w:val="auto"/>
          <w:sz w:val="24"/>
          <w:szCs w:val="24"/>
        </w:rPr>
        <w:t xml:space="preserve"> </w:t>
      </w:r>
      <w:r w:rsidR="00482621" w:rsidRPr="004F469F">
        <w:rPr>
          <w:rFonts w:ascii="Times New Roman" w:hAnsi="Times New Roman" w:cs="Times New Roman"/>
          <w:i w:val="0"/>
          <w:iCs w:val="0"/>
          <w:noProof/>
          <w:color w:val="auto"/>
          <w:sz w:val="24"/>
          <w:szCs w:val="24"/>
        </w:rPr>
        <w:fldChar w:fldCharType="begin" w:fldLock="1"/>
      </w:r>
      <w:r w:rsidR="00F37017">
        <w:rPr>
          <w:rFonts w:ascii="Times New Roman" w:hAnsi="Times New Roman" w:cs="Times New Roman"/>
          <w:i w:val="0"/>
          <w:iCs w:val="0"/>
          <w:noProof/>
          <w:color w:val="auto"/>
          <w:sz w:val="24"/>
          <w:szCs w:val="24"/>
        </w:rPr>
        <w:instrText>ADDIN CSL_CITATION {"citationItems":[{"id":"ITEM-1","itemData":{"author":[{"dropping-particle":"","family":"Hatzis","given":"Joshua J.","non-dropping-particle":"","parse-names":false,"suffix":""},{"dropping-particle":"","family":"Koch","given":"Jennifer","non-dropping-particle":"","parse-names":false,"suffix":""},{"dropping-particle":"","family":"Brooks","given":"Harold E.","non-dropping-particle":"","parse-names":false,"suffix":""}],"container-title":"Unpublished Work","id":"ITEM-1","issued":{"date-parts":[["0"]]},"title":"A Tornado Daily Impacts Simulator for the Central and Southern United States","type":"article-journal"},"suppress-author":1,"uris":["http://www.mendeley.com/documents/?uuid=a54416d3-f2bb-4e9d-98d2-6e1d8b73938b"]}],"mendeley":{"formattedCitation":"(n.d.)","manualFormatting":"(in review)","plainTextFormattedCitation":"(n.d.)","previouslyFormattedCitation":"(n.d.)"},"properties":{"noteIndex":0},"schema":"https://github.com/citation-style-language/schema/raw/master/csl-citation.json"}</w:instrText>
      </w:r>
      <w:r w:rsidR="00482621" w:rsidRPr="004F469F">
        <w:rPr>
          <w:rFonts w:ascii="Times New Roman" w:hAnsi="Times New Roman" w:cs="Times New Roman"/>
          <w:i w:val="0"/>
          <w:iCs w:val="0"/>
          <w:noProof/>
          <w:color w:val="auto"/>
          <w:sz w:val="24"/>
          <w:szCs w:val="24"/>
        </w:rPr>
        <w:fldChar w:fldCharType="separate"/>
      </w:r>
      <w:r w:rsidR="0076275F" w:rsidRPr="004F469F">
        <w:rPr>
          <w:rFonts w:ascii="Times New Roman" w:hAnsi="Times New Roman" w:cs="Times New Roman"/>
          <w:i w:val="0"/>
          <w:iCs w:val="0"/>
          <w:noProof/>
          <w:color w:val="auto"/>
          <w:sz w:val="24"/>
          <w:szCs w:val="24"/>
        </w:rPr>
        <w:t>(</w:t>
      </w:r>
      <w:r w:rsidR="00266494" w:rsidRPr="004F469F">
        <w:rPr>
          <w:rFonts w:ascii="Times New Roman" w:hAnsi="Times New Roman" w:cs="Times New Roman"/>
          <w:i w:val="0"/>
          <w:iCs w:val="0"/>
          <w:noProof/>
          <w:color w:val="auto"/>
          <w:sz w:val="24"/>
          <w:szCs w:val="24"/>
        </w:rPr>
        <w:t>in review</w:t>
      </w:r>
      <w:r w:rsidR="0076275F" w:rsidRPr="004F469F">
        <w:rPr>
          <w:rFonts w:ascii="Times New Roman" w:hAnsi="Times New Roman" w:cs="Times New Roman"/>
          <w:i w:val="0"/>
          <w:iCs w:val="0"/>
          <w:noProof/>
          <w:color w:val="auto"/>
          <w:sz w:val="24"/>
          <w:szCs w:val="24"/>
        </w:rPr>
        <w:t>)</w:t>
      </w:r>
      <w:r w:rsidR="00482621" w:rsidRPr="004F469F">
        <w:rPr>
          <w:rFonts w:ascii="Times New Roman" w:hAnsi="Times New Roman" w:cs="Times New Roman"/>
          <w:i w:val="0"/>
          <w:iCs w:val="0"/>
          <w:noProof/>
          <w:color w:val="auto"/>
          <w:sz w:val="24"/>
          <w:szCs w:val="24"/>
        </w:rPr>
        <w:fldChar w:fldCharType="end"/>
      </w:r>
      <w:r w:rsidR="00482621" w:rsidRPr="004F469F">
        <w:rPr>
          <w:rFonts w:ascii="Times New Roman" w:hAnsi="Times New Roman" w:cs="Times New Roman"/>
          <w:i w:val="0"/>
          <w:iCs w:val="0"/>
          <w:noProof/>
          <w:color w:val="auto"/>
          <w:sz w:val="24"/>
          <w:szCs w:val="24"/>
        </w:rPr>
        <w:t>.</w:t>
      </w:r>
      <w:bookmarkEnd w:id="102"/>
    </w:p>
    <w:p w14:paraId="613B399A" w14:textId="77777777" w:rsidR="00482621" w:rsidRPr="004F469F" w:rsidRDefault="00482621" w:rsidP="00482621">
      <w:pPr>
        <w:widowControl w:val="0"/>
        <w:autoSpaceDE w:val="0"/>
        <w:autoSpaceDN w:val="0"/>
        <w:adjustRightInd w:val="0"/>
        <w:ind w:left="480" w:hanging="480"/>
      </w:pPr>
    </w:p>
    <w:p w14:paraId="381DB96A" w14:textId="77777777" w:rsidR="00482621" w:rsidRPr="004F469F" w:rsidRDefault="00482621" w:rsidP="00482621">
      <w:pPr>
        <w:widowControl w:val="0"/>
        <w:autoSpaceDE w:val="0"/>
        <w:autoSpaceDN w:val="0"/>
        <w:adjustRightInd w:val="0"/>
        <w:ind w:left="480" w:hanging="480"/>
      </w:pPr>
    </w:p>
    <w:p w14:paraId="415ABF70" w14:textId="77777777" w:rsidR="00775462" w:rsidRPr="004F469F" w:rsidRDefault="00482621" w:rsidP="00775462">
      <w:pPr>
        <w:keepNext/>
        <w:widowControl w:val="0"/>
        <w:autoSpaceDE w:val="0"/>
        <w:autoSpaceDN w:val="0"/>
        <w:adjustRightInd w:val="0"/>
        <w:ind w:left="480" w:hanging="480"/>
      </w:pPr>
      <w:r w:rsidRPr="004F469F">
        <w:rPr>
          <w:noProof/>
        </w:rPr>
        <w:lastRenderedPageBreak/>
        <w:drawing>
          <wp:inline distT="0" distB="0" distL="0" distR="0" wp14:anchorId="04D6E9D5" wp14:editId="63E68CFF">
            <wp:extent cx="5943600" cy="4592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st_impactful_simulations.pdf"/>
                    <pic:cNvPicPr/>
                  </pic:nvPicPr>
                  <pic:blipFill>
                    <a:blip r:embed="rId31">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1A00EC4" w14:textId="003D701E" w:rsidR="00482621" w:rsidRPr="004F469F" w:rsidRDefault="00775462" w:rsidP="00775462">
      <w:pPr>
        <w:pStyle w:val="Caption"/>
        <w:rPr>
          <w:rFonts w:ascii="Times New Roman" w:hAnsi="Times New Roman" w:cs="Times New Roman"/>
          <w:i w:val="0"/>
          <w:iCs w:val="0"/>
          <w:color w:val="auto"/>
          <w:sz w:val="24"/>
          <w:szCs w:val="24"/>
        </w:rPr>
      </w:pPr>
      <w:bookmarkStart w:id="103" w:name="_Toc22035204"/>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Significant tornado footprints from the ten most impactful years of each simulation. Footprints correspond to the following scenarios: baseline control a), climate change only b), urban development only c), and urban development and climate change d). Footprints are overlaid upon the population densities used in each scenario: 2010 estimates (a and b) and 2050 projections (c and d).</w:t>
      </w:r>
      <w:bookmarkEnd w:id="103"/>
    </w:p>
    <w:p w14:paraId="070B2295" w14:textId="77777777" w:rsidR="00775462" w:rsidRPr="004F469F" w:rsidRDefault="00482621" w:rsidP="00775462">
      <w:pPr>
        <w:keepNext/>
        <w:widowControl w:val="0"/>
        <w:autoSpaceDE w:val="0"/>
        <w:autoSpaceDN w:val="0"/>
        <w:adjustRightInd w:val="0"/>
        <w:ind w:left="480" w:hanging="480"/>
      </w:pPr>
      <w:r w:rsidRPr="004F469F">
        <w:rPr>
          <w:noProof/>
        </w:rPr>
        <w:lastRenderedPageBreak/>
        <w:drawing>
          <wp:inline distT="0" distB="0" distL="0" distR="0" wp14:anchorId="69B561EA" wp14:editId="6E7A4644">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E_OKC_sig.pdf"/>
                    <pic:cNvPicPr/>
                  </pic:nvPicPr>
                  <pic:blipFill>
                    <a:blip r:embed="rId32">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73ADA23" w14:textId="6017E574" w:rsidR="00482621" w:rsidRPr="004F469F" w:rsidRDefault="00775462" w:rsidP="00775462">
      <w:pPr>
        <w:pStyle w:val="Caption"/>
        <w:rPr>
          <w:rFonts w:ascii="Times New Roman" w:hAnsi="Times New Roman" w:cs="Times New Roman"/>
          <w:i w:val="0"/>
          <w:iCs w:val="0"/>
          <w:color w:val="auto"/>
          <w:sz w:val="24"/>
          <w:szCs w:val="24"/>
        </w:rPr>
      </w:pPr>
      <w:bookmarkStart w:id="104" w:name="_Toc22035205"/>
      <w:r w:rsidRPr="004F469F">
        <w:rPr>
          <w:rFonts w:ascii="Times New Roman" w:hAnsi="Times New Roman" w:cs="Times New Roman"/>
          <w:i w:val="0"/>
          <w:iCs w:val="0"/>
          <w:color w:val="auto"/>
          <w:sz w:val="24"/>
          <w:szCs w:val="24"/>
        </w:rPr>
        <w:t xml:space="preserve">Figure </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STYLEREF 1 \s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4</w:t>
      </w:r>
      <w:r w:rsidR="00637543" w:rsidRPr="004F469F">
        <w:rPr>
          <w:rFonts w:ascii="Times New Roman" w:hAnsi="Times New Roman" w:cs="Times New Roman"/>
          <w:i w:val="0"/>
          <w:iCs w:val="0"/>
          <w:color w:val="auto"/>
          <w:sz w:val="24"/>
          <w:szCs w:val="24"/>
        </w:rPr>
        <w:fldChar w:fldCharType="end"/>
      </w:r>
      <w:r w:rsidR="00637543" w:rsidRPr="004F469F">
        <w:rPr>
          <w:rFonts w:ascii="Times New Roman" w:hAnsi="Times New Roman" w:cs="Times New Roman"/>
          <w:i w:val="0"/>
          <w:iCs w:val="0"/>
          <w:color w:val="auto"/>
          <w:sz w:val="24"/>
          <w:szCs w:val="24"/>
        </w:rPr>
        <w:t>.</w:t>
      </w:r>
      <w:r w:rsidR="00637543" w:rsidRPr="004F469F">
        <w:rPr>
          <w:rFonts w:ascii="Times New Roman" w:hAnsi="Times New Roman" w:cs="Times New Roman"/>
          <w:i w:val="0"/>
          <w:iCs w:val="0"/>
          <w:color w:val="auto"/>
          <w:sz w:val="24"/>
          <w:szCs w:val="24"/>
        </w:rPr>
        <w:fldChar w:fldCharType="begin"/>
      </w:r>
      <w:r w:rsidR="00637543" w:rsidRPr="004F469F">
        <w:rPr>
          <w:rFonts w:ascii="Times New Roman" w:hAnsi="Times New Roman" w:cs="Times New Roman"/>
          <w:i w:val="0"/>
          <w:iCs w:val="0"/>
          <w:color w:val="auto"/>
          <w:sz w:val="24"/>
          <w:szCs w:val="24"/>
        </w:rPr>
        <w:instrText xml:space="preserve"> SEQ Figure \* ARABIC \s 1 </w:instrText>
      </w:r>
      <w:r w:rsidR="00637543"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5</w:t>
      </w:r>
      <w:r w:rsidR="00637543"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Probability of exceedance curves for the annual total population exposed to tornado</w:t>
      </w:r>
      <w:r w:rsidRPr="004F469F">
        <w:rPr>
          <w:rFonts w:ascii="Times New Roman" w:hAnsi="Times New Roman" w:cs="Times New Roman"/>
          <w:i w:val="0"/>
          <w:iCs w:val="0"/>
          <w:color w:val="auto"/>
          <w:sz w:val="24"/>
          <w:szCs w:val="24"/>
        </w:rPr>
        <w:t xml:space="preserve"> </w:t>
      </w:r>
      <w:r w:rsidR="00482621" w:rsidRPr="004F469F">
        <w:rPr>
          <w:rFonts w:ascii="Times New Roman" w:hAnsi="Times New Roman" w:cs="Times New Roman"/>
          <w:i w:val="0"/>
          <w:iCs w:val="0"/>
          <w:color w:val="auto"/>
          <w:sz w:val="24"/>
          <w:szCs w:val="24"/>
        </w:rPr>
        <w:t>winds for (a) the Oklahoma City Metropolitan Area, (b) Oklahoma County, (c) Cleveland County, and (d) Canadian County. Black line represents the baseline scenario, blue represents the climate change only scenario, red represents the population change only scenario, and purple represents the climate and population change scenario.</w:t>
      </w:r>
      <w:bookmarkEnd w:id="104"/>
    </w:p>
    <w:p w14:paraId="47CF2337" w14:textId="77777777" w:rsidR="00482621" w:rsidRPr="004F469F" w:rsidRDefault="00482621" w:rsidP="00482621">
      <w:pPr>
        <w:widowControl w:val="0"/>
        <w:autoSpaceDE w:val="0"/>
        <w:autoSpaceDN w:val="0"/>
        <w:adjustRightInd w:val="0"/>
        <w:ind w:left="480" w:hanging="480"/>
      </w:pPr>
    </w:p>
    <w:p w14:paraId="7086DF27" w14:textId="77777777" w:rsidR="00482621" w:rsidRPr="004F469F" w:rsidRDefault="00482621" w:rsidP="00482621">
      <w:pPr>
        <w:widowControl w:val="0"/>
        <w:autoSpaceDE w:val="0"/>
        <w:autoSpaceDN w:val="0"/>
        <w:adjustRightInd w:val="0"/>
        <w:ind w:left="480" w:hanging="480"/>
      </w:pPr>
    </w:p>
    <w:p w14:paraId="09F1A870" w14:textId="77777777" w:rsidR="00482621" w:rsidRPr="004F469F" w:rsidRDefault="00482621" w:rsidP="00657E2A">
      <w:pPr>
        <w:spacing w:after="120" w:line="480" w:lineRule="auto"/>
      </w:pPr>
    </w:p>
    <w:p w14:paraId="78DC0459" w14:textId="77777777" w:rsidR="00DF5082" w:rsidRPr="004F469F" w:rsidRDefault="00DF5082" w:rsidP="00DF5082">
      <w:pPr>
        <w:spacing w:after="120" w:line="480" w:lineRule="auto"/>
      </w:pPr>
    </w:p>
    <w:p w14:paraId="2C467A39" w14:textId="0A55B8F8" w:rsidR="00DF5082" w:rsidRPr="004F469F" w:rsidRDefault="00C22938" w:rsidP="004F469F">
      <w:pPr>
        <w:pStyle w:val="Heading1"/>
        <w:spacing w:before="0" w:after="120"/>
        <w:rPr>
          <w:rFonts w:ascii="Times New Roman" w:hAnsi="Times New Roman" w:cs="Times New Roman"/>
          <w:b/>
          <w:bCs/>
          <w:color w:val="auto"/>
        </w:rPr>
      </w:pPr>
      <w:bookmarkStart w:id="105" w:name="_Toc21861338"/>
      <w:r w:rsidRPr="004F469F">
        <w:rPr>
          <w:rFonts w:ascii="Times New Roman" w:hAnsi="Times New Roman" w:cs="Times New Roman"/>
          <w:b/>
          <w:bCs/>
          <w:color w:val="auto"/>
        </w:rPr>
        <w:lastRenderedPageBreak/>
        <w:t xml:space="preserve">Conclusions </w:t>
      </w:r>
      <w:r>
        <w:rPr>
          <w:rFonts w:ascii="Times New Roman" w:hAnsi="Times New Roman" w:cs="Times New Roman"/>
          <w:b/>
          <w:bCs/>
          <w:color w:val="auto"/>
        </w:rPr>
        <w:t>a</w:t>
      </w:r>
      <w:r w:rsidRPr="004F469F">
        <w:rPr>
          <w:rFonts w:ascii="Times New Roman" w:hAnsi="Times New Roman" w:cs="Times New Roman"/>
          <w:b/>
          <w:bCs/>
          <w:color w:val="auto"/>
        </w:rPr>
        <w:t>nd Future Work</w:t>
      </w:r>
      <w:bookmarkEnd w:id="105"/>
    </w:p>
    <w:p w14:paraId="492BBF3E" w14:textId="77777777" w:rsidR="004F469F" w:rsidRPr="004F469F" w:rsidRDefault="004F469F" w:rsidP="004F469F">
      <w:pPr>
        <w:rPr>
          <w:sz w:val="32"/>
          <w:szCs w:val="32"/>
        </w:rPr>
      </w:pPr>
    </w:p>
    <w:p w14:paraId="26CBBA38" w14:textId="5CE727DD" w:rsidR="00DF5082" w:rsidRPr="004F469F" w:rsidRDefault="00DF5082" w:rsidP="00043957">
      <w:pPr>
        <w:spacing w:after="120" w:line="480" w:lineRule="auto"/>
        <w:ind w:firstLine="720"/>
      </w:pPr>
      <w:r w:rsidRPr="004F469F">
        <w:t xml:space="preserve">As we continue to alter the world around us, our actions will have consequences for the risk posed by severe convective hazards such as tornadoes. Greenhouse gas emissions continue to rise with no prospect of a resolution to mitigate climate change, causing weather patterns to keep changing </w:t>
      </w:r>
      <w:r w:rsidRPr="004F469F">
        <w:fldChar w:fldCharType="begin" w:fldLock="1"/>
      </w:r>
      <w:r w:rsidRPr="004F469F">
        <w:instrText>ADDIN CSL_CITATION {"citationItems":[{"id":"ITEM-1","itemData":{"DOI":"10.1017/CBO9781107415324.004","ISBN":"9788578110796","ISSN":"16130073","PMID":"25246403","author":[{"dropping-particle":"","family":"IPCC","given":"","non-dropping-particle":"","parse-names":false,"suffix":""}],"container-title":"Climate Change 2013: The Physical Science Basis. Contribution of Working Group I to the Fifth Assessment Report of the Intergovernmental Panel on Climate Change","editor":[{"dropping-particle":"","family":"Stocker","given":"TF","non-dropping-particle":"","parse-names":false,"suffix":""},{"dropping-particle":"","family":"Qin","given":"D","non-dropping-particle":"","parse-names":false,"suffix":""},{"dropping-particle":"","family":"Plattner","given":"GK","non-dropping-particle":"","parse-names":false,"suffix":""},{"dropping-particle":"","family":"Tignor","given":"M","non-dropping-particle":"","parse-names":false,"suffix":""},{"dropping-particle":"","family":"Allen","given":"SK","non-dropping-particle":"","parse-names":false,"suffix":""},{"dropping-particle":"","family":"Boschung","given":"J","non-dropping-particle":"","parse-names":false,"suffix":""},{"dropping-particle":"","family":"Nauels","given":"A","non-dropping-particle":"","parse-names":false,"suffix":""},{"dropping-particle":"","family":"Xia","given":"Y","non-dropping-particle":"","parse-names":false,"suffix":""},{"dropping-particle":"","family":"Bex","given":"V","non-dropping-particle":"","parse-names":false,"suffix":""},{"dropping-particle":"","family":"Midgley","given":"PM","non-dropping-particle":"","parse-names":false,"suffix":""}],"id":"ITEM-1","issued":{"date-parts":[["2013"]]},"number-of-pages":"29","publisher":"Cambridge University Press","publisher-place":"Cambridge, United Kingdom","title":"Summary for Policymakers","type":"book"},"uris":["http://www.mendeley.com/documents/?uuid=3ce32abb-506a-44e7-ac38-af4f8388a2f4"]}],"mendeley":{"formattedCitation":"(IPCC, 2013)","plainTextFormattedCitation":"(IPCC, 2013)","previouslyFormattedCitation":"(IPCC, 2013)"},"properties":{"noteIndex":0},"schema":"https://github.com/citation-style-language/schema/raw/master/csl-citation.json"}</w:instrText>
      </w:r>
      <w:r w:rsidRPr="004F469F">
        <w:fldChar w:fldCharType="separate"/>
      </w:r>
      <w:r w:rsidRPr="004F469F">
        <w:rPr>
          <w:noProof/>
        </w:rPr>
        <w:t>(IPCC, 2013)</w:t>
      </w:r>
      <w:r w:rsidRPr="004F469F">
        <w:fldChar w:fldCharType="end"/>
      </w:r>
      <w:r w:rsidRPr="004F469F">
        <w:t xml:space="preserve">. While it is unclear if tornado activity will increase in a warmer world </w:t>
      </w:r>
      <w:r w:rsidRPr="004F469F">
        <w:fldChar w:fldCharType="begin" w:fldLock="1"/>
      </w:r>
      <w:r w:rsidR="00123266">
        <w:instrText>ADDIN CSL_CITATION {"citationItems":[{"id":"ITEM-1","itemData":{"DOI":"10.1029/2008EO530001","ISBN":"2324-9250","ISSN":"00963941","abstract":"Tornadoes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Union","id":"ITEM-1","issue":"53","issued":{"date-parts":[["2008"]]},"page":"553-554","title":"Does global warming influence tornado activity?","type":"article-journal","volume":"89"},"uris":["http://www.mendeley.com/documents/?uuid=3e309387-b981-4120-ba7b-ece4c9971012"]},{"id":"ITEM-2","itemData":{"DOI":"10.1073/pnas.0705494104","ISBN":"0027-8424","abstract":"Severe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Sciences","id":"ITEM-2","issue":"50","issued":{"date-parts":[["2007"]]},"page":"19719-19723","title":"Changes in severe thunderstorm environment frequency during the 21st century caused by anthropogenically enhanced global radiative forcing","type":"article-journal","volume":"104"},"uris":["http://www.mendeley.com/documents/?uuid=ff306650-3c82-4142-8d04-d598e3b78415"]}],"mendeley":{"formattedCitation":"(Trapp et al., 2007; Diffenbaugh et al., 2008)","plainTextFormattedCitation":"(Trapp et al., 2007; Diffenbaugh et al., 2008)","previouslyFormattedCitation":"(Trapp et al., 2007; Diffenbaugh et al., 2008)"},"properties":{"noteIndex":0},"schema":"https://github.com/citation-style-language/schema/raw/master/csl-citation.json"}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2008)</w:t>
      </w:r>
      <w:r w:rsidRPr="004F469F">
        <w:fldChar w:fldCharType="end"/>
      </w:r>
      <w:r w:rsidRPr="004F469F">
        <w:t xml:space="preserve">, it is clear that the spatial distribution </w:t>
      </w:r>
      <w:r w:rsidRPr="004F469F">
        <w:fldChar w:fldCharType="begin" w:fldLock="1"/>
      </w:r>
      <w:r w:rsidR="0010658B">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frequency","type":"article-journal","volume":"1"},"uris":["http://www.mendeley.com/documents/?uuid=7cab4c3c-c328-479b-a5a4-be4e6b605bd6"]}],"mendeley":{"formattedCitation":"(Gensini and Brooks, 2018)","plainTextFormattedCitation":"(Gensini and Brooks, 2018)","previouslyFormattedCitation":"(Gensini and Brooks, 2018)"},"properties":{"noteIndex":0},"schema":"https://github.com/citation-style-language/schema/raw/master/csl-citation.json"}</w:instrText>
      </w:r>
      <w:r w:rsidRPr="004F469F">
        <w:fldChar w:fldCharType="separate"/>
      </w:r>
      <w:r w:rsidR="0010658B" w:rsidRPr="0010658B">
        <w:rPr>
          <w:noProof/>
        </w:rPr>
        <w:t>(Gensini and Brooks, 2018)</w:t>
      </w:r>
      <w:r w:rsidRPr="004F469F">
        <w:fldChar w:fldCharType="end"/>
      </w:r>
      <w:r w:rsidRPr="004F469F">
        <w:t xml:space="preserve"> and the frequency of tornado outbreaks is changing and will likely continue to do so into the future </w:t>
      </w:r>
      <w:r w:rsidRPr="004F469F">
        <w:fldChar w:fldCharType="begin" w:fldLock="1"/>
      </w:r>
      <w:r w:rsidR="00123266">
        <w:instrText>ADDIN CSL_CITATION {"citationItems":[{"id":"ITEM-1","itemData":{"DOI":"10.1007/s00382-014-2277-3","ISBN":"0027-8424","ISSN":"14320894","PMID":"24062439","abstract":"The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environmen","author":[{"dropping-particle":"","family":"Elsner","given":"James B.","non-dropping-particle":"","parse-names":false,"suffix":""},{"dropping-particle":"","family":"Elsner","given":"Svetoslava C.","non-dropping-particle":"","parse-names":false,"suffix":""},{"dropping-particle":"","family":"Jagger","given":"Thomas H.","non-dropping-particle":"","parse-names":false,"suffix":""}],"container-title":"Climate Dynamics","id":"ITEM-1","issue":"3-4","issued":{"date-parts":[["2015"]]},"page":"651-659","publisher":"Springer","title":"The increasing efficiency of tornado days in the United States","type":"article-journal","volume":"45"},"uris":["http://www.mendeley.com/documents/?uuid=3f69e9ce-eaab-4c23-9a16-21daebeb7d3a"]},{"id":"ITEM-2","itemData":{"DOI":"10.1126/science.1257460","ISBN":"0027-8424","ISSN":"0036-8075","PMID":"24062439","abstract":"The authors analyze the historical record of tornado reports in the United States and find evidence for changes in tornado climatology possibly related to global warming. They do this by examining the annual number of days with many tornadoes and the ratio of these days to days with at least one tornado and by examining the annual proportion of tornadoes occurring on days with many tornadoes. Additional evidence of a changing tornado climate is presented by considering tornadoes in geographic clusters and by analyzing the density of tornadoes within the clusters. There is a consistent decrease in the number of days with at least one tornado at the same time as an increase in the number of days with many tornadoes. These changes are interpreted as an increasing proportion of tornadoes occurring on days with many tornadoes. Coincident with these temporal changes are increases in tornado density as defined by the number of tornadoes per area. Trends are insensitive to the begin year of the analysis. The bottom line is that the risk of big tornado days featuring densely concentrated tornado outbreaks is on the rise. The results are broadly consistent with numerical modeling studies that project increases in convective energy within the tornado environmen","author":[{"dropping-particle":"","family":"Brooks","given":"Harold E.","non-dropping-particle":"","parse-names":false,"suffix":""},{"dropping-particle":"","family":"Carbin","given":"Gregory W.","non-dropping-particle":"","parse-names":false,"suffix":""},{"dropping-particle":"","family":"Marsh","given":"Patrick T.","non-dropping-particle":"","parse-names":false,"suffix":""}],"container-title":"Science","id":"ITEM-2","issue":"6207","issued":{"date-parts":[["2014"]]},"page":"349-352","title":"Increased variability of tornado occurrence in the United States","type":"article-journal","volume":"346"},"uris":["http://www.mendeley.com/documents/?uuid=8864379a-9c12-4249-abb6-42120421d27f"]}],"mendeley":{"formattedCitation":"(Brooks et al., 2014; Elsner et al., 2015)","plainTextFormattedCitation":"(Brooks et al., 2014; Elsner et al., 2015)","previouslyFormattedCitation":"(Brooks et al., 2014; Elsner et al., 2015)"},"properties":{"noteIndex":0},"schema":"https://github.com/citation-style-language/schema/raw/master/csl-citation.json"}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2014; Elsner </w:t>
      </w:r>
      <w:r w:rsidR="00123266" w:rsidRPr="00453357">
        <w:rPr>
          <w:i/>
          <w:iCs/>
          <w:noProof/>
        </w:rPr>
        <w:t>et al.</w:t>
      </w:r>
      <w:r w:rsidR="00123266" w:rsidRPr="00123266">
        <w:rPr>
          <w:noProof/>
        </w:rPr>
        <w:t>, 2015)</w:t>
      </w:r>
      <w:r w:rsidRPr="004F469F">
        <w:fldChar w:fldCharType="end"/>
      </w:r>
      <w:r w:rsidRPr="004F469F">
        <w:t>. With continued population growth and urban development causing more people to reside in the paths of potential tornadoes, it is critical that we better understand tornado risk. The three studies presented in this dissertation attempt to further our knowledge of the spatial patterns of tornado risk and impacts in a changing world.</w:t>
      </w:r>
    </w:p>
    <w:p w14:paraId="70B3C431" w14:textId="1089612F" w:rsidR="00DF5082" w:rsidRPr="004F469F" w:rsidRDefault="00DF5082" w:rsidP="00043957">
      <w:pPr>
        <w:spacing w:after="120" w:line="480" w:lineRule="auto"/>
        <w:ind w:firstLine="720"/>
      </w:pPr>
      <w:r w:rsidRPr="004F469F">
        <w:t xml:space="preserve">Chapter 2 is the first known large-scale spatiotemporal analysis of near-miss violent tornadoes in the United States. In this study, I developed and applied a new methodology for assessing near-misses. First, I replicated historical violent tornado footprints across a uniform circular grid with a radius of 40 km and a resolution of 0.5 km. Then, I used these replicated footprints to assess the number of persons residing in each footprint via proportional allocation. Using these replicates, this study provided clear definitions for near-misses and hits (I defined a hit as a tornado that impacted at least 5,000 persons and a near-miss as a tornado that was not a hit but had at least one replicate within 10 km that impacted at least 5,000 persons). This analysis revealed that only a third of all violent tornadoes hit close enough to population centers to potentially impact 5,000 persons or more. Hits and near-misses both had similar spatial distributions as other violent tornadoes with the majority located in the Southern Plains and the </w:t>
      </w:r>
      <w:r w:rsidRPr="004F469F">
        <w:lastRenderedPageBreak/>
        <w:t xml:space="preserve">Southeast. I found the highest risk of near-misses and hits in central Oklahoma and northern Alabama, where a high violent tornado risk met large population centers. None of the near-misses were likely to have been hits, and nearly a quarter of the hits were unlikely to have impacted 5,000 persons or more. The implication here is that hits tended to occur where violent tornadoes impacted the edge or middle of a large population center, while near-misses occurred on the outside of, but nearby to, a large population center where the tornadoes were unlikely to impact 5,000 people or more. Furthermore, this study was an update of the violent tornado climatologies of Concannon </w:t>
      </w:r>
      <w:r w:rsidR="008F75F4" w:rsidRPr="00453357">
        <w:rPr>
          <w:i/>
          <w:iCs/>
        </w:rPr>
        <w:t>et al.</w:t>
      </w:r>
      <w:r w:rsidRPr="004F469F">
        <w:t xml:space="preserve"> </w:t>
      </w:r>
      <w:r w:rsidRPr="004F469F">
        <w:fldChar w:fldCharType="begin" w:fldLock="1"/>
      </w:r>
      <w:r w:rsidR="00C31A1B" w:rsidRPr="004F469F">
        <w:instrText>ADDIN CSL_CITATION {"citationItems":[{"id":"ITEM-1","itemData":{"author":[{"dropping-particle":"","family":"Concannon","given":"Peggy R.","non-dropping-particle":"","parse-names":false,"suffix":""},{"dropping-particle":"","family":"Brooks","given":"Harold E.","non-dropping-particle":"","parse-names":false,"suffix":""},{"dropping-particle":"","family":"Doswell","given":"Charles A. III","non-dropping-particle":"","parse-names":false,"suffix":""}],"container-title":"Preprints, 2nd Conf. on Environmental Applications","id":"ITEM-1","issued":{"date-parts":[["2000"]]},"page":"212-219","publisher":"American Meteorological Society","publisher-place":"Long Beach, CA","title":"Climatological risk of strong and violent tornadoes in the United States","type":"paper-conference"},"suppress-author":1,"uris":["http://www.mendeley.com/documents/?uuid=6e052979-6a88-43b7-af1c-e706b78cdfb5"]}],"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Pr="004F469F">
        <w:t xml:space="preserve"> and Doswell </w:t>
      </w:r>
      <w:r w:rsidR="008F75F4" w:rsidRPr="00453357">
        <w:rPr>
          <w:i/>
          <w:iCs/>
        </w:rPr>
        <w:t>et al.</w:t>
      </w:r>
      <w:r w:rsidRPr="004F469F">
        <w:t xml:space="preserve"> </w:t>
      </w:r>
      <w:r w:rsidRPr="004F469F">
        <w:fldChar w:fldCharType="begin" w:fldLock="1"/>
      </w:r>
      <w:r w:rsidR="00C31A1B" w:rsidRPr="004F469F">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suppress-author":1,"uris":["http://www.mendeley.com/documents/?uuid=42235697-4e43-4cf7-9772-fa9a876de81d"]}],"mendeley":{"formattedCitation":"(2012)","plainTextFormattedCitation":"(2012)","previouslyFormattedCitation":"(2012)"},"properties":{"noteIndex":0},"schema":"https://github.com/citation-style-language/schema/raw/master/csl-citation.json"}</w:instrText>
      </w:r>
      <w:r w:rsidRPr="004F469F">
        <w:fldChar w:fldCharType="separate"/>
      </w:r>
      <w:r w:rsidRPr="004F469F">
        <w:rPr>
          <w:noProof/>
        </w:rPr>
        <w:t>(2012)</w:t>
      </w:r>
      <w:r w:rsidRPr="004F469F">
        <w:fldChar w:fldCharType="end"/>
      </w:r>
      <w:r w:rsidRPr="004F469F">
        <w:t xml:space="preserve"> to extend from 1880 to 2016. The climatology showed that the risk for violent tornadoes has shifted to the east as the climate in the western states began to get drier </w:t>
      </w:r>
      <w:r w:rsidRPr="004F469F">
        <w:fldChar w:fldCharType="begin" w:fldLock="1"/>
      </w:r>
      <w:r w:rsidR="00123266">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id":"ITEM-2","itemData":{"author":[{"dropping-particle":"","family":"Seager","given":"Richard","non-dropping-particle":"","parse-names":false,"suffix":""},{"dropping-particle":"","family":"Lis","given":"Nathan","non-dropping-particle":"","parse-names":false,"suffix":""},{"dropping-particle":"","family":"Feldman","given":"Jamie","non-dropping-particle":"","parse-names":false,"suffix":""},{"dropping-particle":"","family":"Ting","given":"Mingfang","non-dropping-particle":"","parse-names":false,"suffix":""},{"dropping-particle":"","family":"Williams","given":"A Park","non-dropping-particle":"","parse-names":false,"suffix":""},{"dropping-particle":"","family":"Nakamura","given":"Jennifer","non-dropping-particle":"","parse-names":false,"suffix":""},{"dropping-particle":"","family":"Liu","given":"Haibo","non-dropping-particle":"","parse-names":false,"suffix":""},{"dropping-particle":"","family":"Henderson","given":"Naomi","non-dropping-particle":"","parse-names":false,"suffix":""}],"container-title":"Earth Interactions","id":"ITEM-2","issue":"5","issued":{"date-parts":[["2018"]]},"page":"1-22","title":"Whither the 100th Meridian? The once and future physical and human geography of America’s arid--humid divide. Part I: The story so far","type":"article-journal","volume":"22"},"uris":["http://www.mendeley.com/documents/?uuid=af51e12a-cbd9-4484-acf6-e9cd9e5fc387"]}],"mendeley":{"formattedCitation":"(Gensini and Brooks, 2018; Seager et al., 2018)","plainTextFormattedCitation":"(Gensini and Brooks, 2018; Seager et al., 2018)","previouslyFormattedCitation":"(Gensini and Brooks, 2018; Seager et al., 2018)"},"properties":{"noteIndex":0},"schema":"https://github.com/citation-style-language/schema/raw/master/csl-citation.json"}</w:instrText>
      </w:r>
      <w:r w:rsidRPr="004F469F">
        <w:fldChar w:fldCharType="separate"/>
      </w:r>
      <w:r w:rsidR="0010658B" w:rsidRPr="00123266">
        <w:rPr>
          <w:noProof/>
        </w:rPr>
        <w:t xml:space="preserve">(Gensini and Brooks, 2018; Seager </w:t>
      </w:r>
      <w:r w:rsidR="0010658B" w:rsidRPr="00453357">
        <w:rPr>
          <w:i/>
          <w:iCs/>
          <w:noProof/>
        </w:rPr>
        <w:t>et al.</w:t>
      </w:r>
      <w:r w:rsidR="0010658B" w:rsidRPr="00123266">
        <w:rPr>
          <w:noProof/>
        </w:rPr>
        <w:t>, 2018)</w:t>
      </w:r>
      <w:r w:rsidRPr="004F469F">
        <w:fldChar w:fldCharType="end"/>
      </w:r>
      <w:r w:rsidRPr="004F469F">
        <w:t xml:space="preserve">. It also showed that the use of fine-resolution population data did not improve the accuracy of population exposure estimates for synthetic tornado footprints (linear paths with a constant width), compared to estimates using official damage paths from the National Weather Service (which may curve and have variable widths). </w:t>
      </w:r>
    </w:p>
    <w:p w14:paraId="3B7A8170" w14:textId="19D92C56" w:rsidR="00DF5082" w:rsidRPr="004F469F" w:rsidRDefault="00DF5082" w:rsidP="00043957">
      <w:pPr>
        <w:spacing w:after="120" w:line="480" w:lineRule="auto"/>
        <w:ind w:firstLine="720"/>
      </w:pPr>
      <w:r w:rsidRPr="004F469F">
        <w:t xml:space="preserve">However, the study described in Chapter 2 was subject to small sample bias </w:t>
      </w:r>
      <w:r w:rsidRPr="004F469F">
        <w:fldChar w:fldCharType="begin" w:fldLock="1"/>
      </w:r>
      <w:r w:rsidR="00C31A1B" w:rsidRPr="004F469F">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data","type":"article-journal","volume":"2"},"uris":["http://www.mendeley.com/documents/?uuid=24d98012-7de0-4b8b-aa56-20206aeaa6d7"]}],"mendeley":{"formattedCitation":"(Doswell, 2007)","plainTextFormattedCitation":"(Doswell, 2007)","previouslyFormattedCitation":"(Doswell, 2007)"},"properties":{"noteIndex":0},"schema":"https://github.com/citation-style-language/schema/raw/master/csl-citation.json"}</w:instrText>
      </w:r>
      <w:r w:rsidRPr="004F469F">
        <w:fldChar w:fldCharType="separate"/>
      </w:r>
      <w:r w:rsidR="00C31A1B" w:rsidRPr="004F469F">
        <w:rPr>
          <w:noProof/>
        </w:rPr>
        <w:t>(Doswell, 2007)</w:t>
      </w:r>
      <w:r w:rsidRPr="004F469F">
        <w:fldChar w:fldCharType="end"/>
      </w:r>
      <w:r w:rsidRPr="004F469F">
        <w:t xml:space="preserve"> and, as such, it is unclear if the true risk for near-misses and hits for violent tornadoes was assessed. Future work on this topic should extend the analysis to all significant (EF2+) tornadoes, as significant tornadoes are responsible for most of the fatalities and damages caused by tornadoes </w:t>
      </w:r>
      <w:r w:rsidRPr="004F469F">
        <w:fldChar w:fldCharType="begin" w:fldLock="1"/>
      </w:r>
      <w:r w:rsidR="00123266">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1880–2005","type":"article-journal","volume":"22"},"uris":["http://www.mendeley.com/documents/?uuid=14fd8bf9-6b84-4fc3-bae5-6fa5f66b5ccf"]},{"id":"ITEM-2","itemData":{"DOI":"10.1007/s10584-017-1905-4","author":[{"dropping-particle":"","family":"Strader","given":"Stephen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Change","id":"ITEM-2","issue":"2","issued":{"date-parts":[["2017"]]},"page":"301-313","publisher":"Springer","title":"Projected 21st century changes in tornado exposure, risk, and disaster potential","type":"article-journal","volume":"141"},"uris":["http://www.mendeley.com/documents/?uuid=f875dd0e-da5d-4186-8536-d8e3921d37a0"]},{"id":"ITEM-3","itemData":{"ISBN":"9781878220998","author":[{"dropping-particle":"","family":"Simmons","given":"Kevin M.","non-dropping-particle":"","parse-names":false,"suffix":""},{"dropping-particle":"","family":"Sutter","given":"Daniel","non-dropping-particle":"","parse-names":false,"suffix":""}],"edition":"1","id":"ITEM-3","issued":{"date-parts":[["2011"]]},"number-of-pages":"282","publisher":"American Meteorological Society","publisher-place":"Boston, MA","title":"Economic and societal impacts of tornadoes","type":"book"},"uris":["http://www.mendeley.com/documents/?uuid=679dd86e-3cb6-4bd9-aa65-841ad4dddd4a"]}],"mendeley":{"formattedCitation":"(Ashley, 2007; Simmons and Sutter, 2011; Strader et al., 2017a)","plainTextFormattedCitation":"(Ashley, 2007; Simmons and Sutter, 2011; Strader et al., 2017a)","previouslyFormattedCitation":"(Ashley, 2007; Simmons and Sutter, 2011; Strader et al., 2017a)"},"properties":{"noteIndex":0},"schema":"https://github.com/citation-style-language/schema/raw/master/csl-citation.json"}</w:instrText>
      </w:r>
      <w:r w:rsidRPr="004F469F">
        <w:fldChar w:fldCharType="separate"/>
      </w:r>
      <w:r w:rsidR="00123266" w:rsidRPr="00123266">
        <w:rPr>
          <w:noProof/>
        </w:rPr>
        <w:t xml:space="preserve">(Ashley, 2007; Simmons and Sutter, 2011; Strader </w:t>
      </w:r>
      <w:r w:rsidR="00123266" w:rsidRPr="00453357">
        <w:rPr>
          <w:i/>
          <w:iCs/>
          <w:noProof/>
        </w:rPr>
        <w:t>et al.</w:t>
      </w:r>
      <w:r w:rsidR="00123266" w:rsidRPr="00123266">
        <w:rPr>
          <w:noProof/>
        </w:rPr>
        <w:t>, 2017a)</w:t>
      </w:r>
      <w:r w:rsidRPr="004F469F">
        <w:fldChar w:fldCharType="end"/>
      </w:r>
      <w:r w:rsidRPr="004F469F">
        <w:t xml:space="preserve">. Assessing near-misses for all significant tornadoes could help confirm the pattern identified in this study. However, even when including all significant tornadoes, the sample size is still small due to the rarity of significant tornadoes </w:t>
      </w:r>
      <w:r w:rsidRPr="004F469F">
        <w:fldChar w:fldCharType="begin" w:fldLock="1"/>
      </w:r>
      <w:r w:rsidR="00123266">
        <w:instrText>ADDIN CSL_CITATION {"citationItems":[{"id":"ITEM-1","itemData":{"author":[{"dropping-particle":"","family":"Doswell","given":"Charles A. III","non-dropping-particle":"","parse-names":false,"suffix":""}],"container-title":"E-Journal of Severe Storms Meteorology","id":"ITEM-1","issue":"5","issued":{"date-parts":[["2007"]]},"page":"1-16","title":"Small sample size and data quality issues illustrated using tornado occurrence data","type":"article-journal","volume":"2"},"uris":["http://www.mendeley.com/documents/?uuid=24d98012-7de0-4b8b-aa56-20206aeaa6d7"]},{"id":"ITEM-2","itemData":{"DOI":"10.1175/WAF910.1","abstract":"Over the last 50 yr, the number of tornadoes reported in the United States has doubled from about 600 per year in the 1950s to around 1200 in the 2000s. This doubling is likely not related to meteorological causes alone. To account for this increase a simple least squares linear regression was fitted to the annual number of tornado reports. A “big tornado day” is a single day when numerous tornadoes and/or many tornadoes exceeding a specified intensity threshold were reported anywhere in the country. By defining a big tornado day without considering the spatial distribution of the tornadoes, a big tornado day differs from previous definitions of outbreaks. To address the increase in the number of reports, the number of reports is compared to the expected number of reports in a year based on linear regression. In addition, the F1 and greater Fujita-scale record was used in determining a big tornado day because the F1 and greater series was more stationary over time as opposed to the F2 and greater series. Thresholds were applied to the data to determine the number and intensities of the tornadoes needed to be considered a big tornado day. Possible threshold values included fractions of the annual expected value associated with the linear regression and fixed numbers for the intensity criterion. Threshold values of 1.5% of the expected annual total number of tornadoes and/or at least 8 F1 and greater tornadoes identified about 18.1 big tornado days per year. Higher thresholds such as 2.5% and/or at least 15 F1 and greater tornadoes showed similar characteristics, yet identified approximately 6.2 big tornado days per year. Finally, probability distribution curves generated using kernel density estimation revealed that big tornado days were more likely to occur slightly earlier in the year and have a narrower distribution than any given tornado day.","author":[{"dropping-particle":"","family":"Verbout","given":"Stephanie M.","non-dropping-particle":"","parse-names":false,"suffix":""},{"dropping-particle":"","family":"Brooks","given":"Harold E.","non-dropping-particle":"","parse-names":false,"suffix":""},{"dropping-particle":"","family":"Leslie","given":"Lance M.","non-dropping-particle":"","parse-names":false,"suffix":""},{"dropping-particle":"","family":"Schultz","given":"David M.","non-dropping-particle":"","parse-names":false,"suffix":""}],"container-title":"Weather and Forecasting","id":"ITEM-2","issue":"1","issued":{"date-parts":[["2006"]]},"page":"86-93","title":"Evolution of the U.S. tornado database: 1954-2003","type":"article-journal","volume":"21"},"uris":["http://www.mendeley.com/documents/?uuid=158f941c-21cf-45f6-9bc6-7f308a153955"]},{"id":"ITEM-3","itemData":{"author":[{"dropping-particle":"","family":"SPC","given":"","non-dropping-particle":"","parse-names":false,"suffix":""}],"id":"ITEM-3","issued":{"date-parts":[["2017"]]},"publisher":"Storm Prediction Center","publisher-place":"Norman, OK","title":"SVRGIS","type":"article"},"uris":["http://www.mendeley.com/documents/?uuid=73f3b16c-2500-4d12-aecb-e8f20da06b3f"]}],"mendeley":{"formattedCitation":"(Verbout et al., 2006; Doswell, 2007; SPC, 2017)","plainTextFormattedCitation":"(Verbout et al., 2006; Doswell, 2007; SPC, 2017)","previouslyFormattedCitation":"(Verbout et al., 2006; Doswell, 2007; SPC, 2017)"},"properties":{"noteIndex":0},"schema":"https://github.com/citation-style-language/schema/raw/master/csl-citation.json"}</w:instrText>
      </w:r>
      <w:r w:rsidRPr="004F469F">
        <w:fldChar w:fldCharType="separate"/>
      </w:r>
      <w:r w:rsidR="0010658B" w:rsidRPr="00123266">
        <w:rPr>
          <w:noProof/>
        </w:rPr>
        <w:t xml:space="preserve">(Verbout </w:t>
      </w:r>
      <w:r w:rsidR="0010658B" w:rsidRPr="00453357">
        <w:rPr>
          <w:i/>
          <w:iCs/>
          <w:noProof/>
        </w:rPr>
        <w:t>et al.</w:t>
      </w:r>
      <w:r w:rsidR="0010658B" w:rsidRPr="00123266">
        <w:rPr>
          <w:noProof/>
        </w:rPr>
        <w:t>, 2006; Doswell, 2007; SPC, 2017)</w:t>
      </w:r>
      <w:r w:rsidRPr="004F469F">
        <w:fldChar w:fldCharType="end"/>
      </w:r>
      <w:r w:rsidRPr="004F469F">
        <w:t xml:space="preserve">. One way to address this limitation is to use a spatial impacts model as it enables the user to create a much </w:t>
      </w:r>
      <w:r w:rsidRPr="004F469F">
        <w:lastRenderedPageBreak/>
        <w:t>larger sample size and can draw from the full envelope of historical tornado sizes and intensities and even simulate record-breaking tornadoes.</w:t>
      </w:r>
    </w:p>
    <w:p w14:paraId="65C4866B" w14:textId="419EB329" w:rsidR="00DF5082" w:rsidRPr="004F469F" w:rsidRDefault="00DF5082" w:rsidP="00043957">
      <w:pPr>
        <w:spacing w:after="120" w:line="480" w:lineRule="auto"/>
        <w:ind w:firstLine="720"/>
      </w:pPr>
      <w:r w:rsidRPr="004F469F">
        <w:t>The implications of the study conducted in Chapter 2 are twofold. First, the finding that population exposure estimates for synthetic tornado footprints cannot be improved by using finer resolution population data is relevant because it justifies the use of coarser population data in the exposure estimates. This is important because it allows for the study of tornado exposures going back to the early part of the US tornado record (</w:t>
      </w:r>
      <w:r w:rsidRPr="002614B3">
        <w:rPr>
          <w:i/>
          <w:iCs/>
        </w:rPr>
        <w:t>e.g.</w:t>
      </w:r>
      <w:r w:rsidRPr="004F469F">
        <w:t>, the 1950s when the modern record first started or the late 1800s when the first routine collection of tornado reports began</w:t>
      </w:r>
      <w:r w:rsidR="004018A9">
        <w:t>;</w:t>
      </w:r>
      <w:r w:rsidRPr="004F469F">
        <w:t xml:space="preserve"> </w:t>
      </w:r>
      <w:r w:rsidRPr="004F469F">
        <w:fldChar w:fldCharType="begin" w:fldLock="1"/>
      </w:r>
      <w:r w:rsidR="0076275F" w:rsidRPr="004F469F">
        <w:instrText>ADDIN CSL_CITATION {"citationItems":[{"id":"ITEM-1","itemData":{"DOI":"10.1175/2007WAF2007004.1","ISBN":"0882-8156","ISSN":"0882-8156","abstract":"A dataset of killer tornadoes is compiled and analyzed spatially in order to assess region-specific vul-nerabilities in the United States from 1880 to 2005. Results reveal that most tornado fatalities occur in the lower–Arkansas, Tennessee, and lower–Mississippi River valleys of the southeastern United States—a region outside of traditional \" tornado alley. \" Analysis of variables including tornado frequency, land cover, mobile home density, population density, and nocturnal tornado probabilities demonstrates that the relative maximum of fatalities in the Deep South and minimum in the Great Plains may be due to the unique juxtaposition of both physical and social vulnerabilities. The spatial distribution of these killer tornadoes suggests that the above the national average mobile home density in the Southeast may be a key reason for the fatality maximum found in this area. A demographic analysis of fatalities during the latter part of the database record illustrates that the middle aged and elderly are at a much greater risk than are younger people during these events. Data issues discovered during this investigation reveal the need for a concerted effort to obtain critical information about how and where all casualties occur during future tornado and hazardous weather events. These new, enhanced data, combined with results of spatially explicit studies exploring the human sociology and psychology of these hazardous events, could be utilized to improve future warning dissemination and mitigation techniques.","author":[{"dropping-particle":"","family":"Ashley","given":"Walker S.","non-dropping-particle":"","parse-names":false,"suffix":""}],"container-title":"Weather and Forecasting","id":"ITEM-1","issue":"6","issued":{"date-parts":[["2007"]]},"page":"1214-1228","title":"Spatial and Temporal Analysis of Tornado Fatalities in the United States: 1880–2005","type":"article-journal","volume":"22"},"uris":["http://www.mendeley.com/documents/?uuid=14fd8bf9-6b84-4fc3-bae5-6fa5f66b5ccf"]}],"mendeley":{"formattedCitation":"(Ashley, 2007)","plainTextFormattedCitation":"(Ashley, 2007)","previouslyFormattedCitation":"(Ashley, 2007)"},"properties":{"noteIndex":0},"schema":"https://github.com/citation-style-language/schema/raw/master/csl-citation.json"}</w:instrText>
      </w:r>
      <w:r w:rsidRPr="004F469F">
        <w:fldChar w:fldCharType="separate"/>
      </w:r>
      <w:r w:rsidR="0076275F" w:rsidRPr="004F469F">
        <w:rPr>
          <w:noProof/>
        </w:rPr>
        <w:t>Ashley, 2007)</w:t>
      </w:r>
      <w:r w:rsidRPr="004F469F">
        <w:fldChar w:fldCharType="end"/>
      </w:r>
      <w:r w:rsidRPr="004F469F">
        <w:t xml:space="preserve"> when only county-level data was available from the US Census Bureau </w:t>
      </w:r>
      <w:r w:rsidRPr="004F469F">
        <w:fldChar w:fldCharType="begin" w:fldLock="1"/>
      </w:r>
      <w:r w:rsidR="0010658B">
        <w:instrText>ADDIN CSL_CITATION {"citationItems":[{"id":"ITEM-1","itemData":{"ISBN":"9781878220998","author":[{"dropping-particle":"","family":"Simmons","given":"Kevin M.","non-dropping-particle":"","parse-names":false,"suffix":""},{"dropping-particle":"","family":"Sutter","given":"Daniel","non-dropping-particle":"","parse-names":false,"suffix":""}],"edition":"1","id":"ITEM-1","issued":{"date-parts":[["2011"]]},"number-of-pages":"282","publisher":"American Meteorological Society","publisher-place":"Boston, MA","title":"Economic and societal impacts of tornadoes","type":"book"},"uris":["http://www.mendeley.com/documents/?uuid=679dd86e-3cb6-4bd9-aa65-841ad4dddd4a"]}],"mendeley":{"formattedCitation":"(Simmons and Sutter, 2011)","plainTextFormattedCitation":"(Simmons and Sutter, 2011)","previouslyFormattedCitation":"(Simmons and Sutter, 2011)"},"properties":{"noteIndex":0},"schema":"https://github.com/citation-style-language/schema/raw/master/csl-citation.json"}</w:instrText>
      </w:r>
      <w:r w:rsidRPr="004F469F">
        <w:fldChar w:fldCharType="separate"/>
      </w:r>
      <w:r w:rsidR="0010658B" w:rsidRPr="0010658B">
        <w:rPr>
          <w:noProof/>
        </w:rPr>
        <w:t>(Simmons and Sutter, 2011)</w:t>
      </w:r>
      <w:r w:rsidRPr="004F469F">
        <w:fldChar w:fldCharType="end"/>
      </w:r>
      <w:r w:rsidRPr="004F469F">
        <w:t xml:space="preserve">. Second, since near-misses can affect a person’s perception of tornado risk, by either making a person extra cautious because they felt lucky to have been spared or extra careless because frequent near-misses have made them underestimate the true risk </w:t>
      </w:r>
      <w:r w:rsidRPr="004F469F">
        <w:fldChar w:fldCharType="begin" w:fldLock="1"/>
      </w:r>
      <w:r w:rsidR="00123266">
        <w:instrText>ADDIN CSL_CITATION {"citationItems":[{"id":"ITEM-1","itemData":{"DOI":"10.1111/j.1539-6924.2010.01506.x","abstract":"Prior research shows that when people perceive the risk of some hazardous event to be low, they are unlikely to engage in mitigation activities for the potential hazard. We believe one factor that can lower inappropriately (from a normative perspective) people's perception of the risk of a hazard is information about prior near-miss events. A near-miss occurs when an event (such as a hurricane), which had some nontrivial probability of ending in disaster (loss of life, property damage), does not because good fortune intervenes. People appear to mistake such good fortune as an indicator of resiliency. In our first study, people with near-miss information were less likely to purchase flood insurance, and this was shown for both participants from the general population and individuals with specific interests in risk and natural disasters. In our second study, we consider a different mitigation decision, that is, to evacuate from a hurricane, and vary the level of statistical probability of hurricane damage. We still found a strong effect for near-miss information. Our research thus shows how people who have experienced a similar situation but escape damage because of chance will make decisions consistent with a perception that the situation is less risky than those without the past experience. We end by discussing the implications for risk communication.","author":[{"dropping-particle":"","family":"Dillon","given":"Robin L.","non-dropping-particle":"","parse-names":false,"suffix":""},{"dropping-particle":"","family":"Tinsley","given":"Catherine H.","non-dropping-particle":"","parse-names":false,"suffix":""},{"dropping-particle":"","family":"Cronin","given":"Matthew","non-dropping-particle":"","parse-names":false,"suffix":""}],"container-title":"Risk Analysis","id":"ITEM-1","issue":"3","issued":{"date-parts":[["2011"]]},"page":"440-449","title":"Why near-miss events can decrease an individual's protective response to hurricanes","type":"article-journal","volume":"31"},"uris":["http://www.mendeley.com/documents/?uuid=e2928bee-ca9f-4ba0-8e85-d90ec5a2c761"]},{"id":"ITEM-2","itemData":{"DOI":"10.1007/s10669-015-9578-x","ISSN":"21945411","abstract":"Decades of research have sought to understand how disaster preparedness decisions are made. We believe one understudied factor is the impact of near-miss events. A near-miss occurs when an event (such as a hurricane or terrorist attack) has some non-trivial probability of ending in disaster (loss of life, property damage), but the negative outcome is avoided largely by chance (e.g., at the last minute, the storm dissipates or the bomb fails to detonate). In the first of two experiments, we study reactions to a hurricane threat when participants are told about prior near-miss events. We find that people with information about a prior near-miss event that has no negative consequences are less likely to take protective measures than those with either no information or information about a prior near-miss event that has salient negative information. Similar results have been shown in prior research, but we seek to understand people’s reasoning for the different reactions. We examine the role of an individual’s risk propensity and general level of optimism as possible explanatory variables for the “near-miss” effect. We find risk propensity to be stable across conditions, whereas general optimism is influenced by the type of prior near-miss information, so that optimism mediates how near-miss information impacts protective decisions. People who experience a potentially hazardous near-miss but escape without obvious cues of damage will feel more optimistic and take less protective action. In the second study, we test messages about the hazard’s risk and examine the impact of these messages to offset the influence of near-misses. We end by discussing the implications of near-misses for risk communication. © 2015, Springer Science+Business Media New York.","author":[{"dropping-particle":"","family":"Dillon","given":"Robin L.","non-dropping-particle":"","parse-names":false,"suffix":""},{"dropping-particle":"","family":"Tinsley","given":"Catherine H.","non-dropping-particle":"","parse-names":false,"suffix":""}],"container-title":"Environment Systems and Decisions","id":"ITEM-2","issue":"1","issued":{"date-parts":[["2016"]]},"page":"34-44","publisher":"Springer US","title":"Near-miss events, risk messages, and decision making","type":"article-journal","volume":"36"},"uris":["http://www.mendeley.com/documents/?uuid=8f2ec4d1-d4d2-41a7-bf35-d33858ba9cf8"]},{"id":"ITEM-3","itemData":{"DOI":"10.1111/risa.12209","author":[{"dropping-particle":"","family":"Dillon","given":"Robin L.","non-dropping-particle":"","parse-names":false,"suffix":""},{"dropping-particle":"","family":"Tinsley","given":"Catherine H.","non-dropping-particle":"","parse-names":false,"suffix":""},{"dropping-particle":"","family":"Burns","given":"William J.","non-dropping-particle":"","parse-names":false,"suffix":""}],"container-title":"Risk Analysis","id":"ITEM-3","issue":"10","issued":{"date-parts":[["2014"]]},"page":"1907-1922","publisher":"Wiley Online Library","title":"Near-misses and future disaster preparedness","type":"article-journal","volume":"34"},"uris":["http://www.mendeley.com/documents/?uuid=d86a4e9b-c93c-4426-be37-751ddab6f780"]}],"mendeley":{"formattedCitation":"(Dillon et al., 2011, 2014; Dillon and Tinsley, 2016)","plainTextFormattedCitation":"(Dillon et al., 2011, 2014; Dillon and Tinsley, 2016)","previouslyFormattedCitation":"(Dillon et al., 2011, 2014; Dillon and Tinsley, 2016)"},"properties":{"noteIndex":0},"schema":"https://github.com/citation-style-language/schema/raw/master/csl-citation.json"}</w:instrText>
      </w:r>
      <w:r w:rsidRPr="004F469F">
        <w:fldChar w:fldCharType="separate"/>
      </w:r>
      <w:r w:rsidR="00123266" w:rsidRPr="00123266">
        <w:rPr>
          <w:noProof/>
        </w:rPr>
        <w:t xml:space="preserve">(Dillon </w:t>
      </w:r>
      <w:r w:rsidR="00123266" w:rsidRPr="00453357">
        <w:rPr>
          <w:i/>
          <w:iCs/>
          <w:noProof/>
        </w:rPr>
        <w:t>et al.</w:t>
      </w:r>
      <w:r w:rsidR="00123266" w:rsidRPr="00123266">
        <w:rPr>
          <w:noProof/>
        </w:rPr>
        <w:t>, 2011, 2014; Dillon and Tinsley, 2016)</w:t>
      </w:r>
      <w:r w:rsidRPr="004F469F">
        <w:fldChar w:fldCharType="end"/>
      </w:r>
      <w:r w:rsidRPr="004F469F">
        <w:t xml:space="preserve">, understanding the spatial distribution of high-risk areas for near-misses is important in casualty mitigation. By understanding the location of these high-risk areas, it is possible for emergency managers to target these areas for educational town hall meetings to improve the locals understanding of the true tornado risk and potentially save lives </w:t>
      </w:r>
      <w:r w:rsidRPr="004F469F">
        <w:fldChar w:fldCharType="begin" w:fldLock="1"/>
      </w:r>
      <w:r w:rsidR="00123266">
        <w:instrText>ADDIN CSL_CITATION {"citationItems":[{"id":"ITEM-1","itemData":{"author":[{"dropping-particle":"","family":"Stewart","given":"Alan E","non-dropping-particle":"","parse-names":false,"suffix":""},{"dropping-particle":"","family":"Knox","given":"John A","non-dropping-particle":"","parse-names":false,"suffix":""},{"dropping-particle":"","family":"Schneider","given":"Pat","non-dropping-particle":"","parse-names":false,"suffix":""}],"container-title":"Bulletin of the American Meteorological Society","id":"ITEM-1","issue":"8","issued":{"date-parts":[["2018"]]},"page":"1545-1555","title":"Reaching students and parents through weather science and safety workshops for teachers","type":"article-journal","volume":"99"},"uris":["http://www.mendeley.com/documents/?uuid=9ebb62b4-aed2-4e60-8a64-cd6bd05bebf7"]}],"mendeley":{"formattedCitation":"(Stewart et al., 2018)","plainTextFormattedCitation":"(Stewart et al., 2018)","previouslyFormattedCitation":"(Stewart et al., 2018)"},"properties":{"noteIndex":0},"schema":"https://github.com/citation-style-language/schema/raw/master/csl-citation.json"}</w:instrText>
      </w:r>
      <w:r w:rsidRPr="004F469F">
        <w:fldChar w:fldCharType="separate"/>
      </w:r>
      <w:r w:rsidR="00123266" w:rsidRPr="00123266">
        <w:rPr>
          <w:noProof/>
        </w:rPr>
        <w:t xml:space="preserve">(Stewart </w:t>
      </w:r>
      <w:r w:rsidR="00123266" w:rsidRPr="00453357">
        <w:rPr>
          <w:i/>
          <w:iCs/>
          <w:noProof/>
        </w:rPr>
        <w:t>et al.</w:t>
      </w:r>
      <w:r w:rsidR="00123266" w:rsidRPr="00123266">
        <w:rPr>
          <w:noProof/>
        </w:rPr>
        <w:t>, 2018)</w:t>
      </w:r>
      <w:r w:rsidRPr="004F469F">
        <w:fldChar w:fldCharType="end"/>
      </w:r>
      <w:r w:rsidRPr="004F469F">
        <w:t>.</w:t>
      </w:r>
    </w:p>
    <w:p w14:paraId="3F65A3D1" w14:textId="18E0D276" w:rsidR="00DF5082" w:rsidRPr="004F469F" w:rsidRDefault="00DF5082" w:rsidP="00043957">
      <w:pPr>
        <w:spacing w:after="120" w:line="480" w:lineRule="auto"/>
        <w:ind w:firstLine="720"/>
      </w:pPr>
      <w:r w:rsidRPr="004F469F">
        <w:t xml:space="preserve">Chapter 3 introduced a new spatial tornado impacts model, the Tornado Daily Impacts Simulator (TorDIS), which I developed by building on the work of Strader </w:t>
      </w:r>
      <w:r w:rsidR="008F75F4" w:rsidRPr="00453357">
        <w:rPr>
          <w:i/>
          <w:iCs/>
        </w:rPr>
        <w:t>et al.</w:t>
      </w:r>
      <w:r w:rsidRPr="004F469F">
        <w:t xml:space="preserve"> </w:t>
      </w:r>
      <w:r w:rsidRPr="004F469F">
        <w:fldChar w:fldCharType="begin" w:fldLock="1"/>
      </w:r>
      <w:r w:rsidRPr="004F469F">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suppress-author":1,"uris":["http://www.mendeley.com/documents/?uuid=35120d27-7369-4b8b-a188-dbf511d1ef98"]}],"mendeley":{"formattedCitation":"(2016)","plainTextFormattedCitation":"(2016)","previouslyFormattedCitation":"(2016)"},"properties":{"noteIndex":0},"schema":"https://github.com/citation-style-language/schema/raw/master/csl-citation.json"}</w:instrText>
      </w:r>
      <w:r w:rsidRPr="004F469F">
        <w:fldChar w:fldCharType="separate"/>
      </w:r>
      <w:r w:rsidRPr="004F469F">
        <w:rPr>
          <w:noProof/>
        </w:rPr>
        <w:t>(2016)</w:t>
      </w:r>
      <w:r w:rsidRPr="004F469F">
        <w:fldChar w:fldCharType="end"/>
      </w:r>
      <w:r w:rsidRPr="004F469F">
        <w:t xml:space="preserve"> and their Tornado Impact Monte Carlo model (TorMC). The novelty of TorDIS lies in the introduction of daily environmental atmospheric data, such as that from atmospheric reanalyses or climate model outputs, as a way of constraining the size/intensity and spatial distribution/daily count of the simulated tornadoes. Like TorMC, TorDIS uses thousands of Monte Carlo simulations to </w:t>
      </w:r>
      <w:r w:rsidRPr="004F469F">
        <w:lastRenderedPageBreak/>
        <w:t xml:space="preserve">stochastically place and create tornado footprints to replicate the apparent randomness associated with tornado occurrence </w:t>
      </w:r>
      <w:r w:rsidRPr="004F469F">
        <w:fldChar w:fldCharType="begin" w:fldLock="1"/>
      </w:r>
      <w:r w:rsidR="00123266">
        <w:instrText>ADDIN CSL_CITATION {"citationItems":[{"id":"ITEM-1","itemData":{"DOI":"10.1007/s10708-013-9518-6","author":[{"dropping-particle":"","family":"Klockow","given":"Kimberly E.","non-dropping-particle":"","parse-names":false,"suffix":""},{"dropping-particle":"","family":"Peppler","given":"Randy A.","non-dropping-particle":"","parse-names":false,"suffix":""},{"dropping-particle":"","family":"McPherson","given":"Renee A.","non-dropping-particle":"","parse-names":false,"suffix":""}],"container-title":"GeoJournal","id":"ITEM-1","issue":"6","issued":{"date-parts":[["2014"]]},"page":"791-804","title":"Tornado folk science in Alabama and Mississippi in the 27 April 2011 tornado outbreak","type":"article-journal","volume":"79"},"uris":["http://www.mendeley.com/documents/?uuid=b2de5efd-e72d-4641-8d1d-ff4cb52012e2"]}],"mendeley":{"formattedCitation":"(Klockow et al., 2014)","plainTextFormattedCitation":"(Klockow et al., 2014)","previouslyFormattedCitation":"(Klockow et al., 2014)"},"properties":{"noteIndex":0},"schema":"https://github.com/citation-style-language/schema/raw/master/csl-citation.json"}</w:instrText>
      </w:r>
      <w:r w:rsidRPr="004F469F">
        <w:fldChar w:fldCharType="separate"/>
      </w:r>
      <w:r w:rsidR="00123266" w:rsidRPr="00123266">
        <w:rPr>
          <w:noProof/>
        </w:rPr>
        <w:t xml:space="preserve">(Klockow </w:t>
      </w:r>
      <w:r w:rsidR="00123266" w:rsidRPr="00453357">
        <w:rPr>
          <w:i/>
          <w:iCs/>
          <w:noProof/>
        </w:rPr>
        <w:t>et al.</w:t>
      </w:r>
      <w:r w:rsidR="00123266" w:rsidRPr="00123266">
        <w:rPr>
          <w:noProof/>
        </w:rPr>
        <w:t>, 2014)</w:t>
      </w:r>
      <w:r w:rsidRPr="004F469F">
        <w:fldChar w:fldCharType="end"/>
      </w:r>
      <w:r w:rsidRPr="004F469F">
        <w:t xml:space="preserve">. In a TorDIS simulation, the number of tornadoes simulated on a given day is determined by a random draw from historical daily tornado counts over the study area, limited by season </w:t>
      </w:r>
      <w:r w:rsidRPr="004F469F">
        <w:fldChar w:fldCharType="begin" w:fldLock="1"/>
      </w:r>
      <w:r w:rsidR="00123266">
        <w:instrText>ADDIN CSL_CITATION {"citationItems":[{"id":"ITEM-1","itemData":{"DOI":"10.1175/1520-0434(2003)018&lt;0626:CEOLDT&gt;2.0.CO;2","ISBN":"1520-0434","ISSN":"0882-8156","abstract":"An estimate is made of the probability of an occurrence of a tornado day near any location in the contiguous 48 states for any time during the year. Gaussian smoothers in space and time have been applied to the observed record of tornado days from 1980 to 1999 to produce daily maps and annual cycles at any point on an 80 km × 80 km grid. Many aspects of this climatological estimate have been identified in previous work, but the method allows one to consider the record in several new ways. The two regions of maximum tornado days in the United States are northeastern Colorado and peninsular Florida, but there is a large region between the Appalachian and Rocky Mountains that has at least 1 day on which a tornado touches down on the grid. The annual cycle of tornado days is of particular interest. The southeastern United States, outside of Florida, faces its maximum threat in April. Farther west and north, the threat is later in the year, with the northern United States and New England facing its maximum threat in July. In addition, the repeatability of the annual cycle is much greater in the plains than farther east. By combining the region of greatest threat with the region of highest repeatability of the season, an objective definition of Tornado Alley as a region that extends from the southern Texas Panhandle through Nebraska and northeastward into eastern North Dakota and Minnesota can be provided.","author":[{"dropping-particle":"","family":"Brooks","given":"Harold E.","non-dropping-particle":"","parse-names":false,"suffix":""},{"dropping-particle":"","family":"Doswell","given":"Charles A. III","non-dropping-particle":"","parse-names":false,"suffix":""},{"dropping-particle":"","family":"Kay","given":"Michael P.","non-dropping-particle":"","parse-names":false,"suffix":""}],"container-title":"Weather and Forecasting","id":"ITEM-1","issue":"4","issued":{"date-parts":[["2003"]]},"page":"626-640","title":"Climatological estimates of local daily tornado probability for the United States","type":"article-journal","volume":"18"},"uris":["http://www.mendeley.com/documents/?uuid=d2c29800-b258-46b1-9db2-3480e3ee0273"]},{"id":"ITEM-2","itemData":{"DOI":"10.1175/WAF959.1","ISSN":"0882-8156","abstract":"The notion of an “outbreak” of severe weather has been used for decades, buthas never been formally defined. There are many different criteria by which outbreaks can be defined based on severe weather occurrence data, and there is not likely to be any compelling logic to choose any single criterion as ideal for all purposes. Therefore, a method has been developed that uses multiple variables and allows for considerable flexibility. The technique can be adapted easily to any project that needs to establish a ranking of weather events. The intended use involves isolating the most important tornado outbreak days, as well as important outbreak days of primarily nontornadicsevere convective weather, during a period when the number of reports has been growing rapidly from nonmeteorological factors. The method is illustrated for both tornadic and primarily nontornadic severe weather event day cases. The impact of the secular trends in the data has been reduced by a simple detrending scheme. The effect of detrending is less important for the tornado outbreak cases and is illustrated by comparing rankings with and without detrending. It is shown that the resulting rankings are relatively resistant to secular trends in the data, as intended, and not strongly sensitive to the choices made in applying the method. The rankings are also consistent with subjective judgments of the relative importance of historical tornado outbreak cases.","author":[{"dropping-particle":"","family":"Doswell","given":"Charles A. III","non-dropping-particle":"","parse-names":false,"suffix":""},{"dropping-particle":"","family":"Edwards","given":"R.","non-dropping-particle":"","parse-names":false,"suffix":""},{"dropping-particle":"","family":"Thompson","given":"R. L.","non-dropping-particle":"","parse-names":false,"suffix":""},{"dropping-particle":"","family":"Hart","given":"J. A.","non-dropping-particle":"","parse-names":false,"suffix":""},{"dropping-particle":"","family":"Crosbie","given":"K. C.","non-dropping-particle":"","parse-names":false,"suffix":""}],"container-title":"Weather and Forecasting","id":"ITEM-2","issue":"1955","issued":{"date-parts":[["2006"]]},"page":"939-951","title":"A Simple and Flexible Method for Ranking Severe Weather Events","type":"article-journal","volume":"21"},"uris":["http://www.mendeley.com/documents/?uuid=776a4316-32c2-4189-83ed-25285f677e1e"]}],"mendeley":{"formattedCitation":"(Brooks et al., 2003a; Doswell et al., 2006)","plainTextFormattedCitation":"(Brooks et al., 2003a; Doswell et al., 2006)","previouslyFormattedCitation":"(Brooks et al., 2003a; Doswell et al., 2006)"},"properties":{"noteIndex":0},"schema":"https://github.com/citation-style-language/schema/raw/master/csl-citation.json"}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2003a; Doswell </w:t>
      </w:r>
      <w:r w:rsidR="00123266" w:rsidRPr="00453357">
        <w:rPr>
          <w:i/>
          <w:iCs/>
          <w:noProof/>
        </w:rPr>
        <w:t>et al.</w:t>
      </w:r>
      <w:r w:rsidR="00123266" w:rsidRPr="00123266">
        <w:rPr>
          <w:noProof/>
        </w:rPr>
        <w:t>, 2006)</w:t>
      </w:r>
      <w:r w:rsidRPr="004F469F">
        <w:fldChar w:fldCharType="end"/>
      </w:r>
      <w:r w:rsidRPr="004F469F">
        <w:t xml:space="preserve"> and lifting condensation level </w:t>
      </w:r>
      <w:r w:rsidRPr="004F469F">
        <w:fldChar w:fldCharType="begin" w:fldLock="1"/>
      </w:r>
      <w:r w:rsidR="0010658B">
        <w:instrText>ADDIN CSL_CITATION {"citationItems":[{"id":"ITEM-1","itemData":{"DOI":"10.1175/1520-0434(1998)013&lt;1148:ABCOSD&gt;2.0.CO;2","ISBN":"1520-0434","ISSN":"0882-8156","abstract":"Abstract All of the 0000 UTC soundings from the United States made during the year 1992 that have nonzero convective available potential energy (CAPE) are examined. Soundings are classified as being associated with nonsupercell thunderstorms, supercells without significant tornadoes, and supercells with significant tornadoes. This classification is made by attempting to pair, based on the low-level sounding winds, an upstream sounding with each occurrence of a significant tornado, large hail, and/or 10 or more cloud-to-ground lightning flashes. Severe weather wind parameters (mean shear, 0–6-km shear, storm-relative helicity, and storm-relative anvil-level flow) and CAPE parameters (total CAPE and CAPE in the lowest 3000 m with buoyancy) are shown to discriminate weakly between the environments of the three classified types of storms. Combined parameters (energy–helicity index and vorticity generation parameter) discriminate strongly between the environments. The height of the lifting condensation level a...","author":[{"dropping-particle":"","family":"Rasmussen","given":"Erik N.","non-dropping-particle":"","parse-names":false,"suffix":""},{"dropping-particle":"","family":"Blanchard","given":"David O.","non-dropping-particle":"","parse-names":false,"suffix":""}],"container-title":"Weather and Forecasting","id":"ITEM-1","issue":"4","issued":{"date-parts":[["1998"]]},"page":"1148-1164","title":"A Baseline Climatology of Sounding-Derived Supercell andTornado Forecast Parameters","type":"article-journal","volume":"13"},"uris":["http://www.mendeley.com/documents/?uuid=0956546c-d452-46cc-95d1-52a1972ff49c"]}],"mendeley":{"formattedCitation":"(Rasmussen and Blanchard, 1998)","plainTextFormattedCitation":"(Rasmussen and Blanchard, 1998)","previouslyFormattedCitation":"(Rasmussen and Blanchard, 1998)"},"properties":{"noteIndex":0},"schema":"https://github.com/citation-style-language/schema/raw/master/csl-citation.json"}</w:instrText>
      </w:r>
      <w:r w:rsidRPr="004F469F">
        <w:fldChar w:fldCharType="separate"/>
      </w:r>
      <w:r w:rsidR="0010658B" w:rsidRPr="0010658B">
        <w:rPr>
          <w:noProof/>
        </w:rPr>
        <w:t>(Rasmussen and Blanchard, 1998)</w:t>
      </w:r>
      <w:r w:rsidRPr="004F469F">
        <w:fldChar w:fldCharType="end"/>
      </w:r>
      <w:r w:rsidRPr="004F469F">
        <w:t xml:space="preserve">. The model randomly places each tornado footprint within the study area based on the weighted probability of tornado occurrence. This probability is based on the favorability of the atmospheric environment for the production of tornadoes </w:t>
      </w:r>
      <w:r w:rsidRPr="004F469F">
        <w:fldChar w:fldCharType="begin" w:fldLock="1"/>
      </w:r>
      <w:r w:rsidR="00123266">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data","type":"article-journal","volume":"67"},"uris":["http://www.mendeley.com/documents/?uuid=2299b90d-1ada-4897-b75e-ee0ee8a4e064"]},{"id":"ITEM-2","itemData":{"author":[{"dropping-particle":"","family":"Diffenbaugh","given":"Noah S","non-dropping-particle":"","parse-names":false,"suffix":""},{"dropping-particle":"","family":"Scherer","given":"Martin","non-dropping-particle":"","parse-names":false,"suffix":""},{"dropping-particle":"","family":"Trapp","given":"Robert J","non-dropping-particle":"","parse-names":false,"suffix":""}],"container-title":"Proceedings of the National Academy of Sciences","id":"ITEM-2","issued":{"date-parts":[["2013"]]},"page":"201307758","publisher":"National Acad Sciences","title":"Robust increases in severe thunderstorm environments in response to greenhouse forcing","type":"article-journal"},"uris":["http://www.mendeley.com/documents/?uuid=c9745462-d91f-4c64-b242-b426b7f04f12"]},{"id":"ITEM-3","itemData":{"ISBN":"1559-5404","author":[{"dropping-particle":"","family":"Gensini","given":"Victor A.","non-dropping-particle":"","parse-names":false,"suffix":""},{"dropping-particle":"","family":"Ashley","given":"Walker S.","non-dropping-particle":"","parse-names":false,"suffix":""}],"container-title":"E-Journal of Severe Storms Meteorology","id":"ITEM-3","issue":"8","issued":{"date-parts":[["2011"]]},"page":"1-40","title":"Climatology of potentially severe convective environments from the North American Regional Reanalysis","type":"article-journal","volume":"6"},"uris":["http://www.mendeley.com/documents/?uuid=c00b076a-fd2d-4516-ac75-69faf6495920"]}],"mendeley":{"formattedCitation":"(Brooks et al., 2003b; Gensini and Ashley, 2011; Diffenbaugh et al., 2013)","plainTextFormattedCitation":"(Brooks et al., 2003b; Gensini and Ashley, 2011; Diffenbaugh et al., 2013)","previouslyFormattedCitation":"(Brooks et al., 2003b; Gensini and Ashley, 2011; Diffenbaugh et al., 2013)"},"properties":{"noteIndex":0},"schema":"https://github.com/citation-style-language/schema/raw/master/csl-citation.json"}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xml:space="preserve">, 2003b; Gensini and Ashley, 2011; Diffenbaugh </w:t>
      </w:r>
      <w:r w:rsidR="00123266" w:rsidRPr="00453357">
        <w:rPr>
          <w:i/>
          <w:iCs/>
          <w:noProof/>
        </w:rPr>
        <w:t>et al.</w:t>
      </w:r>
      <w:r w:rsidR="00123266" w:rsidRPr="00123266">
        <w:rPr>
          <w:noProof/>
        </w:rPr>
        <w:t>, 2013)</w:t>
      </w:r>
      <w:r w:rsidRPr="004F469F">
        <w:fldChar w:fldCharType="end"/>
      </w:r>
      <w:r w:rsidRPr="004F469F">
        <w:t xml:space="preserve"> according to a series of logistic regression equations. These equations are derived using historical reanalysis data from the North American Regional Reanalysis (NARR</w:t>
      </w:r>
      <w:r w:rsidR="004018A9">
        <w:t>;</w:t>
      </w:r>
      <w:r w:rsidRPr="004F469F">
        <w:t xml:space="preserve"> </w:t>
      </w:r>
      <w:r w:rsidRPr="004F469F">
        <w:fldChar w:fldCharType="begin" w:fldLock="1"/>
      </w:r>
      <w:r w:rsidR="00123266">
        <w:instrText>ADDIN CSL_CITATION {"citationItems":[{"id":"ITEM-1","itemData":{"ISBN":"1520-0477","author":[{"dropping-particle":"","family":"Mesinger","given":"Fedor","non-dropping-particle":"","parse-names":false,"suffix":""},{"dropping-particle":"","family":"DiMego","given":"Geoff","non-dropping-particle":"","parse-names":false,"suffix":""},{"dropping-particle":"","family":"Kalnay","given":"Eugenia","non-dropping-particle":"","parse-names":false,"suffix":""},{"dropping-particle":"","family":"Mitchell","given":"Kenneth","non-dropping-particle":"","parse-names":false,"suffix":""},{"dropping-particle":"","family":"Shafran","given":"Perry C","non-dropping-particle":"","parse-names":false,"suffix":""},{"dropping-particle":"","family":"Ebisuzaki","given":"Wesley","non-dropping-particle":"","parse-names":false,"suffix":""},{"dropping-particle":"","family":"Jovic","given":"Dušan","non-dropping-particle":"","parse-names":false,"suffix":""},{"dropping-particle":"","family":"Woollen","given":"Jack","non-dropping-particle":"","parse-names":false,"suffix":""},{"dropping-particle":"","family":"Rogers","given":"Eric","non-dropping-particle":"","parse-names":false,"suffix":""},{"dropping-particle":"","family":"Berbery","given":"Ernesto H","non-dropping-particle":"","parse-names":false,"suffix":""}],"container-title":"Bulletin of the American Meteorological Society","id":"ITEM-1","issue":"3","issued":{"date-parts":[["2006"]]},"page":"343-360","title":"North American regional reanalysis","type":"article-journal","volume":"87"},"uris":["http://www.mendeley.com/documents/?uuid=a1df13d7-bb7e-46aa-97fa-48b36501c75a"]}],"mendeley":{"formattedCitation":"(Mesinger et al., 2006)","plainTextFormattedCitation":"(Mesinger et al., 2006)","previouslyFormattedCitation":"(Mesinger et al., 2006)"},"properties":{"noteIndex":0},"schema":"https://github.com/citation-style-language/schema/raw/master/csl-citation.json"}</w:instrText>
      </w:r>
      <w:r w:rsidRPr="004F469F">
        <w:fldChar w:fldCharType="separate"/>
      </w:r>
      <w:r w:rsidR="0010658B" w:rsidRPr="00123266">
        <w:rPr>
          <w:noProof/>
        </w:rPr>
        <w:t xml:space="preserve">Mesinger </w:t>
      </w:r>
      <w:r w:rsidR="0010658B" w:rsidRPr="00453357">
        <w:rPr>
          <w:i/>
          <w:iCs/>
          <w:noProof/>
        </w:rPr>
        <w:t>et al.</w:t>
      </w:r>
      <w:r w:rsidR="0010658B" w:rsidRPr="00123266">
        <w:rPr>
          <w:noProof/>
        </w:rPr>
        <w:t>, 2006)</w:t>
      </w:r>
      <w:r w:rsidRPr="004F469F">
        <w:fldChar w:fldCharType="end"/>
      </w:r>
      <w:r w:rsidRPr="004F469F">
        <w:t xml:space="preserve"> along with historical tornado report data from SVRGIS </w:t>
      </w:r>
      <w:r w:rsidRPr="004F469F">
        <w:fldChar w:fldCharType="begin" w:fldLock="1"/>
      </w:r>
      <w:r w:rsidRPr="004F469F">
        <w:instrText>ADDIN CSL_CITATION {"citationItems":[{"id":"ITEM-1","itemData":{"author":[{"dropping-particle":"","family":"SPC","given":"","non-dropping-particle":"","parse-names":false,"suffix":""}],"id":"ITEM-1","issued":{"date-parts":[["2017"]]},"publisher":"Storm Prediction Center","publisher-place":"Norman, OK","title":"SVRGIS","type":"article"},"uris":["http://www.mendeley.com/documents/?uuid=73f3b16c-2500-4d12-aecb-e8f20da06b3f"]}],"mendeley":{"formattedCitation":"(SPC, 2017)","plainTextFormattedCitation":"(SPC, 2017)","previouslyFormattedCitation":"(SPC, 2017)"},"properties":{"noteIndex":0},"schema":"https://github.com/citation-style-language/schema/raw/master/csl-citation.json"}</w:instrText>
      </w:r>
      <w:r w:rsidRPr="004F469F">
        <w:fldChar w:fldCharType="separate"/>
      </w:r>
      <w:r w:rsidRPr="004F469F">
        <w:rPr>
          <w:noProof/>
        </w:rPr>
        <w:t>(SPC, 2017)</w:t>
      </w:r>
      <w:r w:rsidRPr="004F469F">
        <w:fldChar w:fldCharType="end"/>
      </w:r>
      <w:r w:rsidRPr="004F469F">
        <w:t xml:space="preserve">. The variables chosen for inclusion in these logistic regressions are selected through a global sensitivity analysis using SimLab software </w:t>
      </w:r>
      <w:r w:rsidRPr="004F469F">
        <w:fldChar w:fldCharType="begin" w:fldLock="1"/>
      </w:r>
      <w:r w:rsidR="0010658B">
        <w:instrText>ADDIN CSL_CITATION {"citationItems":[{"id":"ITEM-1","itemData":{"author":[{"dropping-particle":"","family":"Giglioli","given":"N","non-dropping-particle":"","parse-names":false,"suffix":""},{"dropping-particle":"","family":"Saltelli","given":"A","non-dropping-particle":"","parse-names":false,"suffix":""}],"container-title":"Ispra, Italy: Institute for Systems Informatics and Safety (Joint Research Centre, European Commission)","id":"ITEM-1","issued":{"date-parts":[["2008"]]},"title":"Simlab 2.2 Reference Manual","type":"article-journal"},"uris":["http://www.mendeley.com/documents/?uuid=14e075f0-4aa5-42c9-bbf8-f455ed75a2fb"]}],"mendeley":{"formattedCitation":"(Giglioli and Saltelli, 2008)","plainTextFormattedCitation":"(Giglioli and Saltelli, 2008)","previouslyFormattedCitation":"(Giglioli and Saltelli, 2008)"},"properties":{"noteIndex":0},"schema":"https://github.com/citation-style-language/schema/raw/master/csl-citation.json"}</w:instrText>
      </w:r>
      <w:r w:rsidRPr="004F469F">
        <w:fldChar w:fldCharType="separate"/>
      </w:r>
      <w:r w:rsidR="0010658B" w:rsidRPr="0010658B">
        <w:rPr>
          <w:noProof/>
        </w:rPr>
        <w:t>(Giglioli and Saltelli, 2008)</w:t>
      </w:r>
      <w:r w:rsidRPr="004F469F">
        <w:fldChar w:fldCharType="end"/>
      </w:r>
      <w:r w:rsidRPr="004F469F">
        <w:t xml:space="preserve">. The intensity of each tornado is randomly drawn from a sample of historical intensities limited by storm relative helicity within three storm relative helicity categories </w:t>
      </w:r>
      <w:r w:rsidRPr="004F469F">
        <w:fldChar w:fldCharType="begin" w:fldLock="1"/>
      </w:r>
      <w:r w:rsidR="00123266">
        <w:instrText>ADDIN CSL_CITATION {"citationItems":[{"id":"ITEM-1","itemData":{"author":[{"dropping-particle":"","family":"Colquhoun","given":"John R","non-dropping-particle":"","parse-names":false,"suffix":""},{"dropping-particle":"","family":"Riley","given":"Philip A","non-dropping-particle":"","parse-names":false,"suffix":""}],"container-title":"Weather and forecasting","id":"ITEM-1","issue":"3","issued":{"date-parts":[["1996"]]},"page":"360-371","title":"Relationships between tornado intensity and various wind and thermodynamic variables","type":"article-journal","volume":"11"},"uris":["http://www.mendeley.com/documents/?uuid=5b1ef918-c699-4eec-b415-f7400f110109"]},{"id":"ITEM-2","itemData":{"author":[{"dropping-particle":"","family":"Droegemeier","given":"Kelvin K","non-dropping-particle":"","parse-names":false,"suffix":""},{"dropping-particle":"","family":"Lazarus","given":"Steven M","non-dropping-particle":"","parse-names":false,"suffix":""},{"dropping-particle":"","family":"Davies-Jones","given":"Robert","non-dropping-particle":"","parse-names":false,"suffix":""}],"container-title":"Monthly weather review","id":"ITEM-2","issue":"7","issued":{"date-parts":[["1993"]]},"page":"2005-2029","title":"The influence of helicity on numerically simulated convective storms","type":"article-journal","volume":"121"},"uris":["http://www.mendeley.com/documents/?uuid=3fa2f889-d9b8-42d3-a42e-ce6c4249f2be"]},{"id":"ITEM-3","itemData":{"author":[{"dropping-particle":"","family":"Moller","given":"Alan R.","non-dropping-particle":"","parse-names":false,"suffix":""},{"dropping-particle":"","family":"Doswell","given":"Charles A. III","non-dropping-particle":"","parse-names":false,"suffix":""},{"dropping-particle":"","family":"Foster","given":"Michael P.","non-dropping-particle":"","parse-names":false,"suffix":""},{"dropping-particle":"","family":"Woodall","given":"Gary R.","non-dropping-particle":"","parse-names":false,"suffix":""}],"container-title":"Weather and Forecasting","id":"ITEM-3","issue":"3","issued":{"date-parts":[["1994"]]},"page":"327-347","title":"The operational recognition of supercell thunderstorm environments and storm structures","type":"article-journal","volume":"9"},"uris":["http://www.mendeley.com/documents/?uuid=bf6032bc-b45b-491d-aec7-87a088b5cccf"]}],"mendeley":{"formattedCitation":"(Droegemeier et al., 1993; Moller et al., 1994; Colquhoun and Riley, 1996)","plainTextFormattedCitation":"(Droegemeier et al., 1993; Moller et al., 1994; Colquhoun and Riley, 1996)","previouslyFormattedCitation":"(Droegemeier et al., 1993; Moller et al., 1994; Colquhoun and Riley, 1996)"},"properties":{"noteIndex":0},"schema":"https://github.com/citation-style-language/schema/raw/master/csl-citation.json"}</w:instrText>
      </w:r>
      <w:r w:rsidRPr="004F469F">
        <w:fldChar w:fldCharType="separate"/>
      </w:r>
      <w:r w:rsidR="00123266" w:rsidRPr="00123266">
        <w:rPr>
          <w:noProof/>
        </w:rPr>
        <w:t xml:space="preserve">(Droegemeier </w:t>
      </w:r>
      <w:r w:rsidR="00123266" w:rsidRPr="00453357">
        <w:rPr>
          <w:i/>
          <w:iCs/>
          <w:noProof/>
        </w:rPr>
        <w:t>et al.</w:t>
      </w:r>
      <w:r w:rsidR="00123266" w:rsidRPr="00123266">
        <w:rPr>
          <w:noProof/>
        </w:rPr>
        <w:t xml:space="preserve">, 1993; Moller </w:t>
      </w:r>
      <w:r w:rsidR="00123266" w:rsidRPr="00453357">
        <w:rPr>
          <w:i/>
          <w:iCs/>
          <w:noProof/>
        </w:rPr>
        <w:t>et al.</w:t>
      </w:r>
      <w:r w:rsidR="00123266" w:rsidRPr="00123266">
        <w:rPr>
          <w:noProof/>
        </w:rPr>
        <w:t>, 1994; Colquhoun and Riley, 1996)</w:t>
      </w:r>
      <w:r w:rsidRPr="004F469F">
        <w:fldChar w:fldCharType="end"/>
      </w:r>
      <w:r w:rsidRPr="004F469F">
        <w:t xml:space="preserve">. The length and width of each tornado footprint </w:t>
      </w:r>
      <w:r w:rsidR="00B80B3E" w:rsidRPr="004F469F">
        <w:t>are</w:t>
      </w:r>
      <w:r w:rsidRPr="004F469F">
        <w:t xml:space="preserve"> randomly drawn from an intensity-specific Weibull distribution, calibrated to the historical data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impacts","type":"article-journal","volume":"23"},"uris":["http://www.mendeley.com/documents/?uuid=35120d27-7369-4b8b-a188-dbf511d1ef98"]},{"id":"ITEM-2","itemData":{"ISBN":"1520-0434","author":[{"dropping-particle":"","family":"Brooks","given":"Harold E.","non-dropping-particle":"","parse-names":false,"suffix":""}],"container-title":"Weather and Forecasting","id":"ITEM-2","issue":"2","issued":{"date-parts":[["2004"]]},"page":"310-319","title":"On the relationship of tornado path length and width to intensity","type":"article-journal","volume":"19"},"uris":["http://www.mendeley.com/documents/?uuid=6daeec75-3842-49f0-aef9-47e2969531ed"]}],"mendeley":{"formattedCitation":"(Brooks, 2004; Strader et al., 2016)","plainTextFormattedCitation":"(Brooks, 2004; Strader et al., 2016)","previouslyFormattedCitation":"(Brooks, 2004; Strader et al., 2016)"},"properties":{"noteIndex":0},"schema":"https://github.com/citation-style-language/schema/raw/master/csl-citation.json"}</w:instrText>
      </w:r>
      <w:r w:rsidRPr="004F469F">
        <w:fldChar w:fldCharType="separate"/>
      </w:r>
      <w:r w:rsidR="00123266" w:rsidRPr="00123266">
        <w:rPr>
          <w:noProof/>
        </w:rPr>
        <w:t xml:space="preserve">(Brooks, 2004; Strader </w:t>
      </w:r>
      <w:r w:rsidR="00123266" w:rsidRPr="00453357">
        <w:rPr>
          <w:i/>
          <w:iCs/>
          <w:noProof/>
        </w:rPr>
        <w:t>et al.</w:t>
      </w:r>
      <w:r w:rsidR="00123266" w:rsidRPr="00123266">
        <w:rPr>
          <w:noProof/>
        </w:rPr>
        <w:t>, 2016)</w:t>
      </w:r>
      <w:r w:rsidRPr="004F469F">
        <w:fldChar w:fldCharType="end"/>
      </w:r>
      <w:r w:rsidRPr="004F469F">
        <w:t xml:space="preserve">. The direction of the tornado is determined by the steering winds (500 mb wind direction) at the point of touchdown </w:t>
      </w:r>
      <w:r w:rsidRPr="004F469F">
        <w:fldChar w:fldCharType="begin" w:fldLock="1"/>
      </w:r>
      <w:r w:rsidR="0010658B">
        <w:instrText>ADDIN CSL_CITATION {"citationItems":[{"id":"ITEM-1","itemData":{"author":[{"dropping-particle":"","family":"Notis","given":"Charles","non-dropping-particle":"","parse-names":false,"suffix":""},{"dropping-particle":"","family":"Stanford","given":"John L","non-dropping-particle":"","parse-names":false,"suffix":""}],"container-title":"Journal of Applied Meteorology","id":"ITEM-1","issue":"7","issued":{"date-parts":[["1973"]]},"page":"1163-1173","title":"The contrasting synoptic and physical character of northeast and southeast advancing tornadoes in Iowa","type":"article-journal","volume":"12"},"uris":["http://www.mendeley.com/documents/?uuid=4bbd90e6-6d24-45d0-94fd-0aadbea798c0"]},{"id":"ITEM-2","itemData":{"DOI":"10.1111/j.1467-9272.2006.00509.x","ISBN":"0033-0124 E- 1467-9272","ISSN":"00330124","abstract":"Common perception is that tornadoes travel in paths from the southwest quadrant of directions toward the northeast. This study examines path directions for 6,194 tornadoes that occurred in the eastern two-thirds of the United States during the twenty-three-year period 1980–2002. At the national scale, nearly 70 percent of tornadoes included in the study propagated from the west, west-southwest, and southwest, with west-southwest being the highest frequency origin direction. Nevertheless, distinct seasonal and regional variations were found. In central and northern areas of the country, a more westerly or northwesterly path origin prevails during late spring and summer. The midtropospheric flow, convective typology, and synoptic patterns of tornado outbreaks are thought to contribute to the distributions observed in the climatology.","author":[{"dropping-particle":"","family":"Suckling","given":"Philip W.","non-dropping-particle":"","parse-names":false,"suffix":""},{"dropping-particle":"","family":"Ashley","given":"Walker S.","non-dropping-particle":"","parse-names":false,"suffix":""}],"container-title":"Professional Geographer","id":"ITEM-2","issue":"1","issued":{"date-parts":[["2006"]]},"page":"20-38","title":"Spatial and temporal characteristics of tornado path direction","type":"article-journal","volume":"58"},"uris":["http://www.mendeley.com/documents/?uuid=b1aa2dab-8f67-4b1a-80b9-0846566c0e41"]}],"mendeley":{"formattedCitation":"(Notis and Stanford, 1973; Suckling and Ashley, 2006)","plainTextFormattedCitation":"(Notis and Stanford, 1973; Suckling and Ashley, 2006)","previouslyFormattedCitation":"(Notis and Stanford, 1973; Suckling and Ashley, 2006)"},"properties":{"noteIndex":0},"schema":"https://github.com/citation-style-language/schema/raw/master/csl-citation.json"}</w:instrText>
      </w:r>
      <w:r w:rsidRPr="004F469F">
        <w:fldChar w:fldCharType="separate"/>
      </w:r>
      <w:r w:rsidR="0010658B" w:rsidRPr="0010658B">
        <w:rPr>
          <w:noProof/>
        </w:rPr>
        <w:t>(Notis and Stanford, 1973; Suckling and Ashley, 2006)</w:t>
      </w:r>
      <w:r w:rsidRPr="004F469F">
        <w:fldChar w:fldCharType="end"/>
      </w:r>
      <w:r w:rsidRPr="004F469F">
        <w:t>. The generated footprints can then be intersected with any potential cost surface (</w:t>
      </w:r>
      <w:r w:rsidRPr="002614B3">
        <w:rPr>
          <w:i/>
          <w:iCs/>
        </w:rPr>
        <w:t>e.g.</w:t>
      </w:r>
      <w:r w:rsidRPr="004F469F">
        <w:t xml:space="preserve">, population, housing units) and a total impact can be assessed via an area-weighted sum across the footprint </w:t>
      </w:r>
      <w:r w:rsidRPr="004F469F">
        <w:fldChar w:fldCharType="begin" w:fldLock="1"/>
      </w:r>
      <w:r w:rsidR="00123266">
        <w:instrText>ADDIN CSL_CITATION {"citationItems":[{"id":"ITEM-1","itemData":{"author":[{"dropping-particle":"","family":"Ashley","given":"Walker S.","non-dropping-particle":"","parse-names":false,"suffix":""},{"dropping-particle":"","family":"Strader","given":"Stephen M.","non-dropping-particle":"","parse-names":false,"suffix":""},{"dropping-particle":"","family":"Rosencrants","given":"Troy","non-dropping-particle":"","parse-names":false,"suffix":""},{"dropping-particle":"","family":"Krmenec","given":"Andrew J.","non-dropping-particle":"","parse-names":false,"suffix":""}],"container-title":"Weather, Climate, and Society","id":"ITEM-1","issue":"2","issued":{"date-parts":[["2014"]]},"page":"175-193","title":"Spatiotemporal changes in tornado hazard exposure: The case of the expanding bull's-eye effect in Chicago, illinois","type":"article-journal","volume":"6"},"uris":["http://www.mendeley.com/documents/?uuid=0e441156-498a-43d6-9545-e97b6fa0d5df"]}],"mendeley":{"formattedCitation":"(Ashley et al., 2014)","plainTextFormattedCitation":"(Ashley et al., 2014)","previouslyFormattedCitation":"(Ashley et al., 2014)"},"properties":{"noteIndex":0},"schema":"https://github.com/citation-style-language/schema/raw/master/csl-citation.json"}</w:instrText>
      </w:r>
      <w:r w:rsidRPr="004F469F">
        <w:fldChar w:fldCharType="separate"/>
      </w:r>
      <w:r w:rsidR="0010658B" w:rsidRPr="00123266">
        <w:rPr>
          <w:noProof/>
        </w:rPr>
        <w:t xml:space="preserve">(Ashley </w:t>
      </w:r>
      <w:r w:rsidR="0010658B" w:rsidRPr="00453357">
        <w:rPr>
          <w:i/>
          <w:iCs/>
          <w:noProof/>
        </w:rPr>
        <w:t>et al.</w:t>
      </w:r>
      <w:r w:rsidR="0010658B" w:rsidRPr="00123266">
        <w:rPr>
          <w:noProof/>
        </w:rPr>
        <w:t>, 2014)</w:t>
      </w:r>
      <w:r w:rsidRPr="004F469F">
        <w:fldChar w:fldCharType="end"/>
      </w:r>
      <w:r w:rsidRPr="004F469F">
        <w:t xml:space="preserve">. This study showcased the reliability and utility of the model in four ways. First, it showed the reliability of TorDIS by yielding tornadoes with similar distributions of intensity, path length </w:t>
      </w:r>
      <w:r w:rsidRPr="004F469F">
        <w:lastRenderedPageBreak/>
        <w:t xml:space="preserve">and width, and direction when compared with historical data. Second, it showed how TorDIS could be used for comparisons of annual tornado risk between multiple metropolitan areas. Third, the daily time step, as compared to the annual time step used by TorMC </w:t>
      </w:r>
      <w:r w:rsidRPr="004F469F">
        <w:fldChar w:fldCharType="begin" w:fldLock="1"/>
      </w:r>
      <w:r w:rsidR="00123266">
        <w:instrText>ADDIN CSL_CITATION {"citationItems":[{"id":"ITEM-1","itemData":{"DOI":"10.1002/met.1552","abstract":"Determining the likelihood and severity of tornado disasters requires an understanding of the dynamic relationship between tornado risk and vulnerability. As population increases in the future, it is likely that tornado disaster frequency and magnitude will amplify. This study presents the Tornado Impact Monte Carlo (TorMC) model, which simulates tornado events atop a user-defined spatial domain to estimate the possible impact on people, the built-environment or other potentially vulnerable assets. Using aMonte Carlo approach, the model employs a variety of sampling techniques on observed tornado data to provide greater insight into the tornado disaster potential for a location. Simulations based on 10 000 years of significant tornado events for the relatively high-risk states of Alabama, Illinois and Oklahoma are conducted to demonstrate themodel processes, and its reliability and applicability. These simulations are combinedwith a fine-scale (100 m), residential built-environment cost surface to illustrate the probability of housing unit impact thresholds for a contemporary year. Sample results demonstrate the ability of the model to depict successfully tornado risk, residential built-environment exposure and the probability of disaster. Additional outcomes emphasize the importance of developing versatile tools that capture better the tornado risk and vulnerability attributes in order to provide precise estimates of disaster potential. Such tools can provide emergency managers, planners, insurers and decision makers a means to advance mitigation, resilience and sustainability strategies. KEYWORDS","author":[{"dropping-particle":"","family":"Strader","given":"Stephen M.","non-dropping-particle":"","parse-names":false,"suffix":""},{"dropping-particle":"","family":"Pingel","given":"Thomas J.","non-dropping-particle":"","parse-names":false,"suffix":""},{"dropping-particle":"","family":"Ashley","given":"Walker S.","non-dropping-particle":"","parse-names":false,"suffix":""}],"container-title":"Meteorological Applications","id":"ITEM-1","issue":"2","issued":{"date-parts":[["2016"]]},"page":"269-281","title":"A Monte Carlo model for estimating tornado impacts","type":"article-journal","volume":"23"},"uris":["http://www.mendeley.com/documents/?uuid=35120d27-7369-4b8b-a188-dbf511d1ef98"]}],"mendeley":{"formattedCitation":"(Strader et al., 2016)","plainTextFormattedCitation":"(Strader et al., 2016)","previouslyFormattedCitation":"(Strader et al., 2016)"},"properties":{"noteIndex":0},"schema":"https://github.com/citation-style-language/schema/raw/master/csl-citation.json"}</w:instrText>
      </w:r>
      <w:r w:rsidRPr="004F469F">
        <w:fldChar w:fldCharType="separate"/>
      </w:r>
      <w:r w:rsidR="00123266" w:rsidRPr="00123266">
        <w:rPr>
          <w:noProof/>
        </w:rPr>
        <w:t xml:space="preserve">(Strader </w:t>
      </w:r>
      <w:r w:rsidR="00123266" w:rsidRPr="00453357">
        <w:rPr>
          <w:i/>
          <w:iCs/>
          <w:noProof/>
        </w:rPr>
        <w:t>et al.</w:t>
      </w:r>
      <w:r w:rsidR="00123266" w:rsidRPr="00123266">
        <w:rPr>
          <w:noProof/>
        </w:rPr>
        <w:t>, 2016)</w:t>
      </w:r>
      <w:r w:rsidRPr="004F469F">
        <w:fldChar w:fldCharType="end"/>
      </w:r>
      <w:r w:rsidRPr="004F469F">
        <w:t>, employed by TorDIS allowed for analysis of the seasonal time scale. By using this capability, I was able to show that simulated tornado frequency and tornado impacts followed the same seasonal pattern with the greatest peak in April and a lesser peak in October. Last, the study displayed how daily simulations could be used to assess the likelihood that a given high-impact tornado (</w:t>
      </w:r>
      <w:r w:rsidRPr="002614B3">
        <w:rPr>
          <w:i/>
          <w:iCs/>
        </w:rPr>
        <w:t>e.g.</w:t>
      </w:r>
      <w:r w:rsidRPr="004F469F">
        <w:t xml:space="preserve">, </w:t>
      </w:r>
      <w:r w:rsidRPr="004F469F">
        <w:rPr>
          <w:rFonts w:ascii="Calibri" w:hAnsi="Calibri" w:cs="Calibri"/>
        </w:rPr>
        <w:t>﻿</w:t>
      </w:r>
      <w:r w:rsidRPr="004F469F">
        <w:t>Bridge Creek-Moore, OK on May 3, 1999 or Tuscaloosa-Birmingham, AL on April 27, 2011</w:t>
      </w:r>
      <w:r w:rsidR="003642A7">
        <w:t>;</w:t>
      </w:r>
      <w:r w:rsidRPr="004F469F">
        <w:t xml:space="preserve"> </w:t>
      </w:r>
      <w:r w:rsidRPr="004F469F">
        <w:fldChar w:fldCharType="begin" w:fldLock="1"/>
      </w:r>
      <w:r w:rsidR="004018A9">
        <w:instrText>ADDIN CSL_CITATION {"citationItems":[{"id":"ITEM-1","itemData":{"ISBN":"1477-8696","author":[{"dropping-particle":"","family":"Doswell","given":"Charles A. III","non-dropping-particle":"","parse-names":false,"suffix":""},{"dropping-particle":"","family":"Carbin","given":"Gregory W.","non-dropping-particle":"","parse-names":false,"suffix":""},{"dropping-particle":"","family":"Brooks","given":"Harold E.","non-dropping-particle":"","parse-names":false,"suffix":""}],"container-title":"Weather","id":"ITEM-1","issue":"4","issued":{"date-parts":[["2012"]]},"page":"88-94","title":"The tornadoes of spring 2011 in the USA: An historical perspective","type":"article-journal","volume":"67"},"uris":["http://www.mendeley.com/documents/?uuid=42235697-4e43-4cf7-9772-fa9a876de81d"]},{"id":"ITEM-2","itemData":{"DOI":"10.1175/1520-0434(2002)017&lt;0354:DITMOC&gt;2.0.CO;2","ISBN":"1520-0434","ISSN":"0882-8156","abstract":"The 3 May 1999 Oklahoma City tornado was the deadliest in the United States in over 20 years, with 36 direct fatalities. To understand how this event fits into the historical context, the record of tornado deaths in the United States has been examined. Almost 20 000 deaths have been reported associated with more than 3600 tornadoes in the United States since 1680. A cursory examination of the record shows a break in 1875. Prior to then, it is likely that many killer tornadoes failed to be reported. When the death toll is normalized by population, a near-constant rate of death is apparent until about 1925, when a sharp fall begins. The rate was about 1.8 people per million population in 1925 and was less than 0.12 people per million by 2000. The decrease in fatalities has resulted from two primary causes: a decrease in the number of killer tornadoes and a decrease in the number of fatalities in the most deadly tornadoes. Current death rates for mobile home residents, however, are still nearly what...","author":[{"dropping-particle":"","family":"Brooks","given":"Harold E.","non-dropping-particle":"","parse-names":false,"suffix":""},{"dropping-particle":"","family":"Doswell","given":"Charles A. III","non-dropping-particle":"","parse-names":false,"suffix":""}],"container-title":"Weather and Forecasting","id":"ITEM-2","issue":"3","issued":{"date-parts":[["2002"]]},"page":"354-361","title":"Deaths in the 3 May 1999 Oklahoma City Tornado from a Historical Perspective","type":"article-journal","volume":"17"},"uris":["http://www.mendeley.com/documents/?uuid=5eb3ce29-8c0e-406f-9550-7fedc326e547"]}],"mendeley":{"formattedCitation":"(Brooks and Doswell, 2002; Doswell et al., 2012)","manualFormatting":"Brooks and Doswell, 2002; Doswell et al., 2012","plainTextFormattedCitation":"(Brooks and Doswell, 2002; Doswell et al., 2012)","previouslyFormattedCitation":"(Brooks and Doswell, 2002; Doswell et al., 2012)"},"properties":{"noteIndex":0},"schema":"https://github.com/citation-style-language/schema/raw/master/csl-citation.json"}</w:instrText>
      </w:r>
      <w:r w:rsidRPr="004F469F">
        <w:fldChar w:fldCharType="separate"/>
      </w:r>
      <w:r w:rsidR="003642A7" w:rsidRPr="003642A7">
        <w:rPr>
          <w:noProof/>
        </w:rPr>
        <w:t xml:space="preserve">Brooks and Doswell, 2002; Doswell </w:t>
      </w:r>
      <w:r w:rsidR="003642A7" w:rsidRPr="00453357">
        <w:rPr>
          <w:i/>
          <w:iCs/>
          <w:noProof/>
        </w:rPr>
        <w:t>et al.</w:t>
      </w:r>
      <w:r w:rsidR="003642A7" w:rsidRPr="003642A7">
        <w:rPr>
          <w:noProof/>
        </w:rPr>
        <w:t>, 2012</w:t>
      </w:r>
      <w:r w:rsidRPr="004F469F">
        <w:fldChar w:fldCharType="end"/>
      </w:r>
      <w:r w:rsidRPr="004F469F">
        <w:t xml:space="preserve">) would have impacted as many people as it did. The model was also able to assess the likelihood of a high-impact tornado on a near-miss day such as February 5, 2008 </w:t>
      </w:r>
      <w:r w:rsidRPr="004F469F">
        <w:fldChar w:fldCharType="begin" w:fldLock="1"/>
      </w:r>
      <w:r w:rsidR="0010658B">
        <w:instrText>ADDIN CSL_CITATION {"citationItems":[{"id":"ITEM-1","itemData":{"DOI":"10.1175/2010wcas1042.1","ISBN":"1948-8327\r1948-8335","author":[{"dropping-particle":"","family":"Chaney","given":"Philip L","non-dropping-particle":"","parse-names":false,"suffix":""},{"dropping-particle":"","family":"Weaver","given":"Greg S","non-dropping-particle":"","parse-names":false,"suffix":""}],"container-title":"Weather, Climate, and Society","id":"ITEM-1","issue":"3","issued":{"date-parts":[["2010"]]},"page":"190-199","title":"The Vulnerability of Mobile Home Residents in Tornado Disasters: The 2008 Super Tuesday Tornado in Macon County, Tennessee","type":"article-journal","volume":"2"},"uris":["http://www.mendeley.com/documents/?uuid=3df1f39a-562f-4154-8b5f-14919393f4a8"]}],"mendeley":{"formattedCitation":"(Chaney and Weaver, 2010)","plainTextFormattedCitation":"(Chaney and Weaver, 2010)","previouslyFormattedCitation":"(Chaney and Weaver, 2010)"},"properties":{"noteIndex":0},"schema":"https://github.com/citation-style-language/schema/raw/master/csl-citation.json"}</w:instrText>
      </w:r>
      <w:r w:rsidRPr="004F469F">
        <w:fldChar w:fldCharType="separate"/>
      </w:r>
      <w:r w:rsidR="0010658B" w:rsidRPr="0010658B">
        <w:rPr>
          <w:noProof/>
        </w:rPr>
        <w:t>(Chaney and Weaver, 2010)</w:t>
      </w:r>
      <w:r w:rsidRPr="004F469F">
        <w:fldChar w:fldCharType="end"/>
      </w:r>
      <w:r w:rsidRPr="004F469F">
        <w:t>.</w:t>
      </w:r>
    </w:p>
    <w:p w14:paraId="394A66D0" w14:textId="71181314" w:rsidR="00DF5082" w:rsidRPr="004F469F" w:rsidRDefault="00DF5082" w:rsidP="00043957">
      <w:pPr>
        <w:spacing w:after="120" w:line="480" w:lineRule="auto"/>
        <w:ind w:firstLine="720"/>
      </w:pPr>
      <w:r w:rsidRPr="004F469F">
        <w:t>The major limitation of this study is in the accuracy of the spatial and temporal distribution of tornadoes. The study had a very low skill score (albeit a very high detection rate) in predicting the spatial pattern of tornado probability and a very high false alarm rate in determining whether a day should be tornadic. To address this limitation, I plan to expand the number of years of reanalysis data used (I only used the period from 2005 – 2016 while the data is available since 1979) as well as use more daily time steps (reanalysis data was only used for 0000 UTC while it is available eight times daily</w:t>
      </w:r>
      <w:r w:rsidR="004018A9">
        <w:t>;</w:t>
      </w:r>
      <w:r w:rsidRPr="004F469F">
        <w:t xml:space="preserve"> </w:t>
      </w:r>
      <w:r w:rsidRPr="004F469F">
        <w:fldChar w:fldCharType="begin" w:fldLock="1"/>
      </w:r>
      <w:r w:rsidR="00123266">
        <w:instrText>ADDIN CSL_CITATION {"citationItems":[{"id":"ITEM-1","itemData":{"ISBN":"1520-0477","author":[{"dropping-particle":"","family":"Mesinger","given":"Fedor","non-dropping-particle":"","parse-names":false,"suffix":""},{"dropping-particle":"","family":"DiMego","given":"Geoff","non-dropping-particle":"","parse-names":false,"suffix":""},{"dropping-particle":"","family":"Kalnay","given":"Eugenia","non-dropping-particle":"","parse-names":false,"suffix":""},{"dropping-particle":"","family":"Mitchell","given":"Kenneth","non-dropping-particle":"","parse-names":false,"suffix":""},{"dropping-particle":"","family":"Shafran","given":"Perry C","non-dropping-particle":"","parse-names":false,"suffix":""},{"dropping-particle":"","family":"Ebisuzaki","given":"Wesley","non-dropping-particle":"","parse-names":false,"suffix":""},{"dropping-particle":"","family":"Jovic","given":"Dušan","non-dropping-particle":"","parse-names":false,"suffix":""},{"dropping-particle":"","family":"Woollen","given":"Jack","non-dropping-particle":"","parse-names":false,"suffix":""},{"dropping-particle":"","family":"Rogers","given":"Eric","non-dropping-particle":"","parse-names":false,"suffix":""},{"dropping-particle":"","family":"Berbery","given":"Ernesto H","non-dropping-particle":"","parse-names":false,"suffix":""}],"container-title":"Bulletin of the American Meteorological Society","id":"ITEM-1","issue":"3","issued":{"date-parts":[["2006"]]},"page":"343-360","title":"North American regional reanalysis","type":"article-journal","volume":"87"},"uris":["http://www.mendeley.com/documents/?uuid=a1df13d7-bb7e-46aa-97fa-48b36501c75a"]}],"mendeley":{"formattedCitation":"(Mesinger et al., 2006)","plainTextFormattedCitation":"(Mesinger et al., 2006)","previouslyFormattedCitation":"(Mesinger et al., 2006)"},"properties":{"noteIndex":0},"schema":"https://github.com/citation-style-language/schema/raw/master/csl-citation.json"}</w:instrText>
      </w:r>
      <w:r w:rsidRPr="004F469F">
        <w:fldChar w:fldCharType="separate"/>
      </w:r>
      <w:r w:rsidR="0010658B" w:rsidRPr="00123266">
        <w:rPr>
          <w:noProof/>
        </w:rPr>
        <w:t xml:space="preserve">Mesinger </w:t>
      </w:r>
      <w:r w:rsidR="0010658B" w:rsidRPr="00453357">
        <w:rPr>
          <w:i/>
          <w:iCs/>
          <w:noProof/>
        </w:rPr>
        <w:t>et al.</w:t>
      </w:r>
      <w:r w:rsidR="0010658B" w:rsidRPr="00123266">
        <w:rPr>
          <w:noProof/>
        </w:rPr>
        <w:t>, 2006)</w:t>
      </w:r>
      <w:r w:rsidRPr="004F469F">
        <w:fldChar w:fldCharType="end"/>
      </w:r>
      <w:r w:rsidRPr="004F469F">
        <w:t xml:space="preserve">. The range of data used was limited due to computational restraints with 0000 UTC chosen as the time step closest to the peak in tornado activity in the central and southern US </w:t>
      </w:r>
      <w:r w:rsidRPr="004F469F">
        <w:fldChar w:fldCharType="begin" w:fldLock="1"/>
      </w:r>
      <w:r w:rsidR="00123266">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data","type":"article-journal","volume":"67"},"uris":["http://www.mendeley.com/documents/?uuid=2299b90d-1ada-4897-b75e-ee0ee8a4e064"]},{"id":"ITEM-2","itemData":{"ISBN":"1559-5404","author":[{"dropping-particle":"","family":"Gensini","given":"Victor A.","non-dropping-particle":"","parse-names":false,"suffix":""},{"dropping-particle":"","family":"Ashley","given":"Walker S.","non-dropping-particle":"","parse-names":false,"suffix":""}],"container-title":"E-Journal of Severe Storms Meteorology","id":"ITEM-2","issue":"8","issued":{"date-parts":[["2011"]]},"page":"1-40","title":"Climatology of potentially severe convective environments from the North American Regional Reanalysis","type":"article-journal","volume":"6"},"uris":["http://www.mendeley.com/documents/?uuid=c00b076a-fd2d-4516-ac75-69faf6495920"]}],"mendeley":{"formattedCitation":"(Brooks et al., 2003b; Gensini and Ashley, 2011)","plainTextFormattedCitation":"(Brooks et al., 2003b; Gensini and Ashley, 2011)","previouslyFormattedCitation":"(Brooks et al., 2003b; Gensini and Ashley, 2011)"},"properties":{"noteIndex":0},"schema":"https://github.com/citation-style-language/schema/raw/master/csl-citation.json"}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2003b; Gensini and Ashley, 2011)</w:t>
      </w:r>
      <w:r w:rsidRPr="004F469F">
        <w:fldChar w:fldCharType="end"/>
      </w:r>
      <w:r w:rsidRPr="004F469F">
        <w:t xml:space="preserve">. The use of more data will enable the development of proximity soundings with atmospheric environments more representative of tornadoes </w:t>
      </w:r>
      <w:r w:rsidRPr="004F469F">
        <w:fldChar w:fldCharType="begin" w:fldLock="1"/>
      </w:r>
      <w:r w:rsidR="00123266">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data","type":"article-journal","volume":"67"},"uris":["http://www.mendeley.com/documents/?uuid=2299b90d-1ada-4897-b75e-ee0ee8a4e064"]},{"id":"ITEM-2","itemData":{"author":[{"dropping-particle":"","family":"Lee","given":"James Wynn","non-dropping-particle":"","parse-names":false,"suffix":""}],"id":"ITEM-2","issued":{"date-parts":[["2002"]]},"publisher":"University of Oklahoma","title":"Tornado proximity soundings from the NCEP/NCAR reanalysis data","type":"thesis"},"uris":["http://www.mendeley.com/documents/?uuid=bba92b88-62e5-40bc-afd0-bd991c88247b"]}],"mendeley":{"formattedCitation":"(Lee, 2002; Brooks et al., 2003b)","plainTextFormattedCitation":"(Lee, 2002; Brooks et al., 2003b)","previouslyFormattedCitation":"(Lee, 2002; Brooks et al., 2003b)"},"properties":{"noteIndex":0},"schema":"https://github.com/citation-style-language/schema/raw/master/csl-citation.json"}</w:instrText>
      </w:r>
      <w:r w:rsidRPr="004F469F">
        <w:fldChar w:fldCharType="separate"/>
      </w:r>
      <w:r w:rsidR="00123266" w:rsidRPr="00123266">
        <w:rPr>
          <w:noProof/>
        </w:rPr>
        <w:t xml:space="preserve">(Lee, 2002; Brooks </w:t>
      </w:r>
      <w:r w:rsidR="00123266" w:rsidRPr="00453357">
        <w:rPr>
          <w:i/>
          <w:iCs/>
          <w:noProof/>
        </w:rPr>
        <w:t>et al.</w:t>
      </w:r>
      <w:r w:rsidR="00123266" w:rsidRPr="00123266">
        <w:rPr>
          <w:noProof/>
        </w:rPr>
        <w:t>, 2003b)</w:t>
      </w:r>
      <w:r w:rsidRPr="004F469F">
        <w:fldChar w:fldCharType="end"/>
      </w:r>
      <w:r w:rsidRPr="004F469F">
        <w:t xml:space="preserve">. </w:t>
      </w:r>
      <w:r w:rsidRPr="004F469F">
        <w:lastRenderedPageBreak/>
        <w:t>The proposed improvements in the proximity soundings are expected to increase the accuracy of the logistic regressions and allow better tornado and tornado day forecasts.</w:t>
      </w:r>
    </w:p>
    <w:p w14:paraId="765703E3" w14:textId="626430D9" w:rsidR="00DF5082" w:rsidRPr="004F469F" w:rsidRDefault="00DF5082" w:rsidP="00043957">
      <w:pPr>
        <w:spacing w:after="120" w:line="480" w:lineRule="auto"/>
        <w:ind w:firstLine="720"/>
      </w:pPr>
      <w:r w:rsidRPr="004F469F">
        <w:t xml:space="preserve">The research described in Chapter 3 displays a first attempt at linking daily atmospheric environments with tornado impacts by using the newly developed model TorDIS. There are three advantages to this new approach. (1) By using a model with a daily time step, it is possible to project future tornado impacts on a given high-risk day. While it was previously possible to do such projections using the Storm Prediction Center’s Convective Outlooks </w:t>
      </w:r>
      <w:r w:rsidRPr="004F469F">
        <w:fldChar w:fldCharType="begin" w:fldLock="1"/>
      </w:r>
      <w:r w:rsidR="0010658B">
        <w:instrText>ADDIN CSL_CITATION {"citationItems":[{"id":"ITEM-1","itemData":{"DOI":"10.1175/WAF-D-13-00132.1","ISSN":"0882-8156","abstract":"The Storm Prediction Center issues four categorical convective outlooks with lead times as long as 48 h, the so-called day 3 outlook issued at 1200 UTC, and as short as 6 h, the day 1 outlook issued at 0600 UTC. Additionally, there are four outlooks issued during the 24-h target period (which begins at 1200 UTC on day 1) that serve as updates to the last outlook issued prior to the target period. These outlooks, issued daily, are evaluated over a relatively long period of record, 1999–2011, using standard verification measures to assess accuracy; practically perfect forecasts are used to assess skill. Results show a continual increase in the skill of all outlooks during the study period, and increases in the frequency at which these outlooks are skillful on an annual basis.","author":[{"dropping-particle":"","family":"Hitchens","given":"Nathan M.","non-dropping-particle":"","parse-names":false,"suffix":""},{"dropping-particle":"","family":"Brooks","given":"Harold E.","non-dropping-particle":"","parse-names":false,"suffix":""}],"container-title":"Weather and Forecasting","id":"ITEM-1","issue":"5","issued":{"date-parts":[["2014"]]},"page":"1134-1142","title":"Evaluation of the Storm Prediction Center’s Convective Outlooks from Day 3 through Day 1","type":"article-journal","volume":"29"},"uris":["http://www.mendeley.com/documents/?uuid=f12ef95b-24ab-4351-817e-b1945d2f2978"]}],"mendeley":{"formattedCitation":"(Hitchens and Brooks, 2014)","plainTextFormattedCitation":"(Hitchens and Brooks, 2014)","previouslyFormattedCitation":"(Hitchens and Brooks, 2014)"},"properties":{"noteIndex":0},"schema":"https://github.com/citation-style-language/schema/raw/master/csl-citation.json"}</w:instrText>
      </w:r>
      <w:r w:rsidRPr="004F469F">
        <w:fldChar w:fldCharType="separate"/>
      </w:r>
      <w:r w:rsidR="0010658B" w:rsidRPr="0010658B">
        <w:rPr>
          <w:noProof/>
        </w:rPr>
        <w:t>(Hitchens and Brooks, 2014)</w:t>
      </w:r>
      <w:r w:rsidRPr="004F469F">
        <w:fldChar w:fldCharType="end"/>
      </w:r>
      <w:r w:rsidRPr="004F469F">
        <w:t xml:space="preserve">, it was only possible to use probabilistic forecasts for tornadoes for up to 24 hours out </w:t>
      </w:r>
      <w:r w:rsidRPr="004F469F">
        <w:fldChar w:fldCharType="begin" w:fldLock="1"/>
      </w:r>
      <w:r w:rsidR="00123266">
        <w:instrText>ADDIN CSL_CITATION {"citationItems":[{"id":"ITEM-1","itemData":{"author":[{"dropping-particle":"","family":"Grams","given":"Jeremy","non-dropping-particle":"","parse-names":false,"suffix":""},{"dropping-particle":"","family":"Bunting","given":"Bill","non-dropping-particle":"","parse-names":false,"suffix":""},{"dropping-particle":"","family":"Weiss","given":"Steven","non-dropping-particle":"","parse-names":false,"suffix":""}],"id":"ITEM-1","issued":{"date-parts":[["2014"]]},"title":"SPC Convective Outlooks","type":"webpage"},"uris":["http://www.mendeley.com/documents/?uuid=d130fcef-7f25-43ba-85f8-0efa70406553"]}],"mendeley":{"formattedCitation":"(Grams et al., 2014)","plainTextFormattedCitation":"(Grams et al., 2014)","previouslyFormattedCitation":"(Grams et al., 2014)"},"properties":{"noteIndex":0},"schema":"https://github.com/citation-style-language/schema/raw/master/csl-citation.json"}</w:instrText>
      </w:r>
      <w:r w:rsidRPr="004F469F">
        <w:fldChar w:fldCharType="separate"/>
      </w:r>
      <w:r w:rsidR="00123266" w:rsidRPr="00123266">
        <w:rPr>
          <w:noProof/>
        </w:rPr>
        <w:t xml:space="preserve">(Grams </w:t>
      </w:r>
      <w:r w:rsidR="00123266" w:rsidRPr="00453357">
        <w:rPr>
          <w:i/>
          <w:iCs/>
          <w:noProof/>
        </w:rPr>
        <w:t>et al.</w:t>
      </w:r>
      <w:r w:rsidR="00123266" w:rsidRPr="00123266">
        <w:rPr>
          <w:noProof/>
        </w:rPr>
        <w:t>, 2014)</w:t>
      </w:r>
      <w:r w:rsidRPr="004F469F">
        <w:fldChar w:fldCharType="end"/>
      </w:r>
      <w:r w:rsidRPr="004F469F">
        <w:t>. (2) Using information provided by the atmospheric environment to constrain the simulation of tornado intensity and path direction may allow for a more realistically drawn sample from the observed data. (3) By using atmospheric environmental data to constrain and distribute simulated tornadoes, it is possible to test the potential effects of climate change on tornado impacts (see Chapter 4).</w:t>
      </w:r>
    </w:p>
    <w:p w14:paraId="033D22DD" w14:textId="3441FB44" w:rsidR="00DF5082" w:rsidRPr="004F469F" w:rsidRDefault="00DF5082" w:rsidP="00043957">
      <w:pPr>
        <w:spacing w:after="120" w:line="480" w:lineRule="auto"/>
        <w:ind w:firstLine="720"/>
      </w:pPr>
      <w:r w:rsidRPr="004F469F">
        <w:t xml:space="preserve">Chapter 4 describes an application example of using TorDIS to assess the isolated and combined impacts of climate change and urban development in the three-county Oklahoma City Metropolitan Area (Canadian, Cleveland, and Oklahoma Counties). This study showed how the logistic regressions used by TorDIS to distribute tornado footprints could be calibrated against climate model output as well as reanalysis data. In this case, I calibrated the logistic regressions against the current (1990 – 1999) atmospheric environmental data from the North American Regional Climate Change Assessment (NARCCAP). I also collected projected future (2045 – 2054) atmospheric environmental data from NARCCAP. The cost surface data used by TorDIS for this study were the current (derived from the 2010 US census) population estimates distributed to the parcel level in the Oklahoma City Metropolitan Area and future population </w:t>
      </w:r>
      <w:r w:rsidRPr="004F469F">
        <w:lastRenderedPageBreak/>
        <w:t xml:space="preserve">simulations (projected to 2050 assuming a business-as-usual development paradigm), developed with the ENVISION framework </w:t>
      </w:r>
      <w:r w:rsidRPr="004F469F">
        <w:fldChar w:fldCharType="begin" w:fldLock="1"/>
      </w:r>
      <w:r w:rsidR="00123266">
        <w:instrText>ADDIN CSL_CITATION {"citationItems":[{"id":"ITEM-1","itemData":{"DOI":"10.1016/j.envsoft.2005.12.033","ISBN":"1364-8152","ISSN":"13648152","PMID":"23554226","abstract":"Increasingly, models (and modelers) are being asked to address the interactions between human influences, ecological processes, and landscape dynamics that impact many diverse aspects of managing complex coupled human and natural systems. These systems may be profoundly influenced by human decisions at multiple spatial and temporal scales, and the limitations of traditional process-level ecosystems modeling approaches for representing the richness of factors shaping landscape dynamics in these coupled systems has resulted in the need for new analysis approaches. New tools in the areas of spatial data management and analysis, multicriteria decision-making, individual-based modeling, and complexity science have all begun to impact how we approach modeling these systems. The term \"biocomplexity\" has emerged as a descriptor of the rich patterns of interactions and behaviors in human and natural systems, and the challenges of analyzing biocomplex behavior is resulting in a convergence of approaches leading to new ways of understanding these systems. Important questions related to system vulnerability and resilience, adaptation, feedback processing, cycling, non-linearities and other complex behaviors are being addressed using models employing new representational approaches to analysis. The complexity inherent in these systems challenges the modeling community to provide tools that capture sufficiently the richness of human and ecosystem processes and interactions in ways that are computationally tractable and understandable. We examine one such tool, EvoLand, which uses an actor-based approach to conduct alternative futures analyses in the Willamette Basin, Oregon. ?? 2006 Elsevier Ltd. All rights reserved.","author":[{"dropping-particle":"","family":"Bolte","given":"John P.","non-dropping-particle":"","parse-names":false,"suffix":""},{"dropping-particle":"","family":"Hulse","given":"David W.","non-dropping-particle":"","parse-names":false,"suffix":""},{"dropping-particle":"V.","family":"Gregory","given":"Stanley","non-dropping-particle":"","parse-names":false,"suffix":""},{"dropping-particle":"","family":"Smith","given":"Court","non-dropping-particle":"","parse-names":false,"suffix":""}],"container-title":"Environmental Modelling and Software","id":"ITEM-1","issue":"5","issued":{"date-parts":[["2007"]]},"page":"570-579","title":"Modeling biocomplexity - actors, landscapes and alternative futures","type":"article-journal","volume":"22"},"uris":["http://www.mendeley.com/documents/?uuid=84a27fec-f909-4768-ab1c-ce75cc6ad7d7"]}],"mendeley":{"formattedCitation":"(Bolte et al., 2007)","plainTextFormattedCitation":"(Bolte et al., 2007)","previouslyFormattedCitation":"(Bolte et al., 2007)"},"properties":{"noteIndex":0},"schema":"https://github.com/citation-style-language/schema/raw/master/csl-citation.json"}</w:instrText>
      </w:r>
      <w:r w:rsidRPr="004F469F">
        <w:fldChar w:fldCharType="separate"/>
      </w:r>
      <w:r w:rsidR="0010658B" w:rsidRPr="00123266">
        <w:rPr>
          <w:noProof/>
        </w:rPr>
        <w:t xml:space="preserve">(Bolte </w:t>
      </w:r>
      <w:r w:rsidR="0010658B" w:rsidRPr="00453357">
        <w:rPr>
          <w:i/>
          <w:iCs/>
          <w:noProof/>
        </w:rPr>
        <w:t>et al.</w:t>
      </w:r>
      <w:r w:rsidR="0010658B" w:rsidRPr="00123266">
        <w:rPr>
          <w:noProof/>
        </w:rPr>
        <w:t>, 2007)</w:t>
      </w:r>
      <w:r w:rsidRPr="004F469F">
        <w:fldChar w:fldCharType="end"/>
      </w:r>
      <w:r w:rsidRPr="004F469F">
        <w:t xml:space="preserve">. </w:t>
      </w:r>
    </w:p>
    <w:p w14:paraId="5B6F3474" w14:textId="7CE60AA5" w:rsidR="00DF5082" w:rsidRPr="004F469F" w:rsidRDefault="00DF5082" w:rsidP="00043957">
      <w:pPr>
        <w:spacing w:after="120" w:line="480" w:lineRule="auto"/>
        <w:ind w:firstLine="720"/>
      </w:pPr>
      <w:r w:rsidRPr="004F469F">
        <w:t xml:space="preserve">The study tested and quantified the relative importance of climate change and urban development to annual tornado impacts by running four simulations: (1) a baseline simulation with the current climate and population distribution; (2) a climate change only scenario using the future climate with current population distribution; (3) an urban development only scenario using current climate with the future population distribution; and (4) an urban development and climate change scenario using the future climate and population distributions. I found that despite the fact that climate change was leading to a slight reduction of tornado risk over the Oklahoma City Metropolitan Area, the combined effects of climate change and urban development led to a significant increase in annual tornado impacts by 2050, under the conditions tested. The simulation results indicated that urban development was the dominant force in future changes in annual tornado impacts. This is line with findings from other studies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potential","type":"article-journal","volume":"141"},"uris":["http://www.mendeley.com/documents/?uuid=f875dd0e-da5d-4186-8536-d8e3921d37a0"]},{"id":"ITEM-2","itemData":{"author":[{"dropping-particle":"","family":"Ashley","given":"Walker S.","non-dropping-particle":"","parse-names":false,"suffix":""},{"dropping-particle":"","family":"Strader","given":"Stephen M.","non-dropping-particle":"","parse-names":false,"suffix":""}],"container-title":"Bulletin of the American Meteorological Society","id":"ITEM-2","issue":"5","issued":{"date-parts":[["2016"]]},"page":"767-786","title":"Recipe for disaster: how the dynamic ingredients of risk and exposure are changing the tornado disaster landscape","type":"article-journal","volume":"97"},"uris":["http://www.mendeley.com/documents/?uuid=f66d6182-0c44-4efe-84e8-83956e5e4d92"]}],"mendeley":{"formattedCitation":"(Ashley and Strader, 2016; Strader et al., 2017a)","plainTextFormattedCitation":"(Ashley and Strader, 2016; Strader et al., 2017a)","previouslyFormattedCitation":"(Ashley and Strader, 2016; Strader et al., 2017a)"},"properties":{"noteIndex":0},"schema":"https://github.com/citation-style-language/schema/raw/master/csl-citation.json"}</w:instrText>
      </w:r>
      <w:r w:rsidRPr="004F469F">
        <w:fldChar w:fldCharType="separate"/>
      </w:r>
      <w:r w:rsidR="00123266" w:rsidRPr="00123266">
        <w:rPr>
          <w:noProof/>
        </w:rPr>
        <w:t xml:space="preserve">(Ashley and Strader, 2016; Strader </w:t>
      </w:r>
      <w:r w:rsidR="00123266" w:rsidRPr="00453357">
        <w:rPr>
          <w:i/>
          <w:iCs/>
          <w:noProof/>
        </w:rPr>
        <w:t>et al.</w:t>
      </w:r>
      <w:r w:rsidR="00123266" w:rsidRPr="00123266">
        <w:rPr>
          <w:noProof/>
        </w:rPr>
        <w:t>, 2017a)</w:t>
      </w:r>
      <w:r w:rsidRPr="004F469F">
        <w:fldChar w:fldCharType="end"/>
      </w:r>
      <w:r w:rsidRPr="004F469F">
        <w:t>.</w:t>
      </w:r>
    </w:p>
    <w:p w14:paraId="543C1A83" w14:textId="599DB5AF" w:rsidR="00DF5082" w:rsidRPr="004F469F" w:rsidRDefault="00DF5082" w:rsidP="00043957">
      <w:pPr>
        <w:spacing w:after="120" w:line="480" w:lineRule="auto"/>
        <w:ind w:firstLine="720"/>
      </w:pPr>
      <w:r w:rsidRPr="004F469F">
        <w:t xml:space="preserve">Chapter 4 showcased the ability of TorDIS to use future projections of the atmospheric environment to assess changes in tornado risk due to a changing climate </w:t>
      </w:r>
      <w:r w:rsidRPr="004F469F">
        <w:fldChar w:fldCharType="begin" w:fldLock="1"/>
      </w:r>
      <w:r w:rsidR="00123266">
        <w:instrText>ADDIN CSL_CITATION {"citationItems":[{"id":"ITEM-1","itemData":{"DOI":"10.1073/pnas.0705494104","ISBN":"0027-8424","abstract":"Severe thunderstorms comprise an extreme class of deep convec- tive clouds and produce high-impact weather such as destructive surface winds, hail, and tornadoes. This study addresses the question of how severe thunderstorm frequency in the United States might change because of enhanced global radiative forcing associated with elevated greenhouse gas concentrations. We use global climate models and a high-resolution regional climate model to examine the larger-scale (or ‘‘environmental’’) meteorological conditions that foster severe thunderstorm formation. Across this model suite, we find a net increase during the late 21st century in the number of days in which these severe thunderstorm environ- mental conditions (NDSEV) occur. Attributed primarily to increases in atmospheric water vapor within the planetary boundary layer, the largest increases in NDSEV are shown during the summer season, in proximity to the Gulf of Mexico and Atlantic coastal regions. For example, this analysis suggests a future increase in NDSEV of 100% or more in locations such as Atlanta, GA, and New York, NY. Any direct application of these results to the frequency of actual storms also must consider the storm initiation. climate","author":[{"dropping-particle":"","family":"Trapp","given":"Robert J","non-dropping-particle":"","parse-names":false,"suffix":""},{"dropping-particle":"","family":"Diffenbaugh","given":"Noah S","non-dropping-particle":"","parse-names":false,"suffix":""},{"dropping-particle":"","family":"Brooks","given":"Harold E","non-dropping-particle":"","parse-names":false,"suffix":""},{"dropping-particle":"","family":"Baldwin","given":"Michael E","non-dropping-particle":"","parse-names":false,"suffix":""},{"dropping-particle":"","family":"Robinson","given":"Eric D","non-dropping-particle":"","parse-names":false,"suffix":""},{"dropping-particle":"","family":"Pal","given":"Jeremy S","non-dropping-particle":"","parse-names":false,"suffix":""}],"container-title":"Proceedings of the National Academy of Sciences","id":"ITEM-1","issue":"50","issued":{"date-parts":[["2007"]]},"page":"19719-19723","title":"Changes in severe thunderstorm environment frequency during the 21st century caused by anthropogenically enhanced global radiative forcing","type":"article-journal","volume":"104"},"uris":["http://www.mendeley.com/documents/?uuid=ff306650-3c82-4142-8d04-d598e3b78415"]},{"id":"ITEM-2","itemData":{"DOI":"10.1029/2008EO530001","ISBN":"2324-9250","ISSN":"00963941","abstract":"Tornadoes and other severe thunderstorm phenomena frequently cause as much annual property damage in the United States as do hurricanes, and often cause more fatalities (see http://www.nws.noaa.gov/om/hazstats.shtml). In 2008, there were 2176 preliminary tornado reports logged through mid-December, with 1600 “actual counts” (duplicate reports removed) through September, the highest total in the past half century (Figure 1). The mass media have covered these events extensively, and experts have been deluged with requests for explanations, including possible links to anthropogenic global warming. Although recent research has yielded insight into the connections between global warming and tornado and severe thunderstorm forcing, these relationships remain mostly unexplored, largely because of the challenges in observing and numerically simulating tornadoes.","author":[{"dropping-particle":"","family":"Diffenbaugh","given":"Noah S.","non-dropping-particle":"","parse-names":false,"suffix":""},{"dropping-particle":"","family":"Brooks","given":"Harold","non-dropping-particle":"","parse-names":false,"suffix":""},{"dropping-particle":"","family":"Trapp","given":"Robert J.","non-dropping-particle":"","parse-names":false,"suffix":""}],"container-title":"Eos, Transactions American Geophysical Union","id":"ITEM-2","issue":"53","issued":{"date-parts":[["2008"]]},"page":"553-554","title":"Does global warming influence tornado activity?","type":"article-journal","volume":"89"},"uris":["http://www.mendeley.com/documents/?uuid=3e309387-b981-4120-ba7b-ece4c9971012"]},{"id":"ITEM-3","itemData":{"author":[{"dropping-particle":"","family":"Gensini","given":"Victor A.","non-dropping-particle":"","parse-names":false,"suffix":""},{"dropping-particle":"","family":"Mote","given":"Thomas L.","non-dropping-particle":"","parse-names":false,"suffix":""}],"container-title":"Climatic Change","id":"ITEM-3","issue":"1-2","issued":{"date-parts":[["2015"]]},"page":"307-321","publisher":"Springer","title":"Downscaled estimates of late 21st century severe weather from CCSM3","type":"article-journal","volume":"129"},"uris":["http://www.mendeley.com/documents/?uuid=18e2bc25-26e3-4cdd-b884-615f1f068201"]}],"mendeley":{"formattedCitation":"(Trapp et al., 2007; Diffenbaugh et al., 2008; Gensini and Mote, 2015)","plainTextFormattedCitation":"(Trapp et al., 2007; Diffenbaugh et al., 2008; Gensini and Mote, 2015)","previouslyFormattedCitation":"(Trapp et al., 2007; Diffenbaugh et al., 2008; Gensini and Mote, 2015)"},"properties":{"noteIndex":0},"schema":"https://github.com/citation-style-language/schema/raw/master/csl-citation.json"}</w:instrText>
      </w:r>
      <w:r w:rsidRPr="004F469F">
        <w:fldChar w:fldCharType="separate"/>
      </w:r>
      <w:r w:rsidR="00123266" w:rsidRPr="00123266">
        <w:rPr>
          <w:noProof/>
        </w:rPr>
        <w:t xml:space="preserve">(Trapp </w:t>
      </w:r>
      <w:r w:rsidR="00123266" w:rsidRPr="00453357">
        <w:rPr>
          <w:i/>
          <w:iCs/>
          <w:noProof/>
        </w:rPr>
        <w:t>et al.</w:t>
      </w:r>
      <w:r w:rsidR="00123266" w:rsidRPr="00123266">
        <w:rPr>
          <w:noProof/>
        </w:rPr>
        <w:t xml:space="preserve">, 2007; Diffenbaugh </w:t>
      </w:r>
      <w:r w:rsidR="00123266" w:rsidRPr="00453357">
        <w:rPr>
          <w:i/>
          <w:iCs/>
          <w:noProof/>
        </w:rPr>
        <w:t>et al.</w:t>
      </w:r>
      <w:r w:rsidR="00123266" w:rsidRPr="00123266">
        <w:rPr>
          <w:noProof/>
        </w:rPr>
        <w:t>, 2008; Gensini and Mote, 2015)</w:t>
      </w:r>
      <w:r w:rsidRPr="004F469F">
        <w:fldChar w:fldCharType="end"/>
      </w:r>
      <w:r w:rsidRPr="004F469F">
        <w:t xml:space="preserve">. A previous study by Strader </w:t>
      </w:r>
      <w:r w:rsidR="008F75F4" w:rsidRPr="00453357">
        <w:rPr>
          <w:i/>
          <w:iCs/>
        </w:rPr>
        <w:t>et al.</w:t>
      </w:r>
      <w:r w:rsidRPr="004F469F">
        <w:t xml:space="preserve"> </w:t>
      </w:r>
      <w:r w:rsidRPr="004F469F">
        <w:fldChar w:fldCharType="begin" w:fldLock="1"/>
      </w:r>
      <w:r w:rsidR="00123266">
        <w:instrText>ADDIN CSL_CITATION {"citationItems":[{"id":"ITEM-1","itemData":{"DOI":"10.1007/s10584-017-1905-4","author":[{"dropping-particle":"","family":"Strader","given":"Stephen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J.","non-dropping-particle":"","parse-names":false,"suffix":""}],"container-title":"Climatic Change","id":"ITEM-1","issue":"2","issued":{"date-parts":[["2017"]]},"page":"301-313","publisher":"Springer","title":"Projected 21st century changes in tornado exposure, risk, and disaster potential","type":"article-journal","volume":"141"},"suppress-author":1,"uris":["http://www.mendeley.com/documents/?uuid=f875dd0e-da5d-4186-8536-d8e3921d37a0"]}],"mendeley":{"formattedCitation":"(2017a)","plainTextFormattedCitation":"(2017a)","previouslyFormattedCitation":"(2017a)"},"properties":{"noteIndex":0},"schema":"https://github.com/citation-style-language/schema/raw/master/csl-citation.json"}</w:instrText>
      </w:r>
      <w:r w:rsidRPr="004F469F">
        <w:fldChar w:fldCharType="separate"/>
      </w:r>
      <w:r w:rsidR="00123266" w:rsidRPr="00123266">
        <w:rPr>
          <w:noProof/>
        </w:rPr>
        <w:t>(2017a)</w:t>
      </w:r>
      <w:r w:rsidRPr="004F469F">
        <w:fldChar w:fldCharType="end"/>
      </w:r>
      <w:r w:rsidRPr="004F469F">
        <w:t xml:space="preserve"> simulated the effects of climate change by employing a flat percent increase in tornado frequency and another one in the interannual variability of tornadoes. However, the advantage of the approach in Chapter 4 is that changes in tornado frequency are not likely to be uniform across the US. There are currently indications that tornado risk is shifting to the east away from the traditional Tornado Alley as the western states become drier </w:t>
      </w:r>
      <w:r w:rsidRPr="004F469F">
        <w:fldChar w:fldCharType="begin" w:fldLock="1"/>
      </w:r>
      <w:r w:rsidR="00123266">
        <w:instrText>ADDIN CSL_CITATION {"citationItems":[{"id":"ITEM-1","itemData":{"author":[{"dropping-particle":"","family":"Gensini","given":"Victor A.","non-dropping-particle":"","parse-names":false,"suffix":""},{"dropping-particle":"","family":"Brooks","given":"Harold E.","non-dropping-particle":"","parse-names":false,"suffix":""}],"container-title":"npj Climate and Atmospheric Science","id":"ITEM-1","issue":"1","issued":{"date-parts":[["2018"]]},"page":"38","publisher":"Nature Publishing Group","title":"Spatial trends in United States tornado frequency","type":"article-journal","volume":"1"},"uris":["http://www.mendeley.com/documents/?uuid=7cab4c3c-c328-479b-a5a4-be4e6b605bd6"]},{"id":"ITEM-2","itemData":{"author":[{"dropping-particle":"","family":"Seager","given":"Richard","non-dropping-particle":"","parse-names":false,"suffix":""},{"dropping-particle":"","family":"Lis","given":"Nathan","non-dropping-particle":"","parse-names":false,"suffix":""},{"dropping-particle":"","family":"Feldman","given":"Jamie","non-dropping-particle":"","parse-names":false,"suffix":""},{"dropping-particle":"","family":"Ting","given":"Mingfang","non-dropping-particle":"","parse-names":false,"suffix":""},{"dropping-particle":"","family":"Williams","given":"A Park","non-dropping-particle":"","parse-names":false,"suffix":""},{"dropping-particle":"","family":"Nakamura","given":"Jennifer","non-dropping-particle":"","parse-names":false,"suffix":""},{"dropping-particle":"","family":"Liu","given":"Haibo","non-dropping-particle":"","parse-names":false,"suffix":""},{"dropping-particle":"","family":"Henderson","given":"Naomi","non-dropping-particle":"","parse-names":false,"suffix":""}],"container-title":"Earth Interactions","id":"ITEM-2","issue":"5","issued":{"date-parts":[["2018"]]},"page":"1-22","title":"Whither the 100th Meridian? The once and future physical and human geography of America’s arid--humid divide. Part I: The story so far","type":"article-journal","volume":"22"},"uris":["http://www.mendeley.com/documents/?uuid=af51e12a-cbd9-4484-acf6-e9cd9e5fc387"]}],"mendeley":{"formattedCitation":"(Gensini and Brooks, 2018; Seager et al., 2018)","plainTextFormattedCitation":"(Gensini and Brooks, 2018; Seager et al., 2018)","previouslyFormattedCitation":"(Gensini and Brooks, 2018; Seager et al., 2018)"},"properties":{"noteIndex":0},"schema":"https://github.com/citation-style-language/schema/raw/master/csl-citation.json"}</w:instrText>
      </w:r>
      <w:r w:rsidRPr="004F469F">
        <w:fldChar w:fldCharType="separate"/>
      </w:r>
      <w:r w:rsidR="0010658B" w:rsidRPr="00123266">
        <w:rPr>
          <w:noProof/>
        </w:rPr>
        <w:t xml:space="preserve">(Gensini and Brooks, 2018; Seager </w:t>
      </w:r>
      <w:r w:rsidR="0010658B" w:rsidRPr="00453357">
        <w:rPr>
          <w:i/>
          <w:iCs/>
          <w:noProof/>
        </w:rPr>
        <w:lastRenderedPageBreak/>
        <w:t>et al.</w:t>
      </w:r>
      <w:r w:rsidR="0010658B" w:rsidRPr="00123266">
        <w:rPr>
          <w:noProof/>
        </w:rPr>
        <w:t>, 2018)</w:t>
      </w:r>
      <w:r w:rsidRPr="004F469F">
        <w:fldChar w:fldCharType="end"/>
      </w:r>
      <w:r w:rsidRPr="004F469F">
        <w:t>. If this trend holds true in the future, then a flat change in tornado climatology would yield unrealistic future tornado risk maps.</w:t>
      </w:r>
    </w:p>
    <w:p w14:paraId="20D1F24D" w14:textId="47581B27" w:rsidR="00DF5082" w:rsidRPr="004F469F" w:rsidRDefault="00DF5082" w:rsidP="00043957">
      <w:pPr>
        <w:spacing w:after="120" w:line="480" w:lineRule="auto"/>
        <w:ind w:firstLine="720"/>
      </w:pPr>
      <w:r w:rsidRPr="004F469F">
        <w:t xml:space="preserve">The primary limitation of this study was in the use of only one data set each to represent possible future tornado environments and population growth. Climate projections tend to use multiple climate models forced with multiple emissions scenarios to determine how climate change may influence future atmospheric hazards </w:t>
      </w:r>
      <w:r w:rsidRPr="004F469F">
        <w:fldChar w:fldCharType="begin" w:fldLock="1"/>
      </w:r>
      <w:r w:rsidR="00123266">
        <w:instrText>ADDIN CSL_CITATION {"citationItems":[{"id":"ITEM-1","itemData":{"DOI":"10.1017/CBO9781107415324.004","ISBN":"9788578110796","ISSN":"16130073","PMID":"25246403","author":[{"dropping-particle":"","family":"IPCC","given":"","non-dropping-particle":"","parse-names":false,"suffix":""}],"container-title":"Climate Change 2013: The Physical Science Basis. Contribution of Working Group I to the Fifth Assessment Report of the Intergovernmental Panel on Climate Change","editor":[{"dropping-particle":"","family":"Stocker","given":"TF","non-dropping-particle":"","parse-names":false,"suffix":""},{"dropping-particle":"","family":"Qin","given":"D","non-dropping-particle":"","parse-names":false,"suffix":""},{"dropping-particle":"","family":"Plattner","given":"GK","non-dropping-particle":"","parse-names":false,"suffix":""},{"dropping-particle":"","family":"Tignor","given":"M","non-dropping-particle":"","parse-names":false,"suffix":""},{"dropping-particle":"","family":"Allen","given":"SK","non-dropping-particle":"","parse-names":false,"suffix":""},{"dropping-particle":"","family":"Boschung","given":"J","non-dropping-particle":"","parse-names":false,"suffix":""},{"dropping-particle":"","family":"Nauels","given":"A","non-dropping-particle":"","parse-names":false,"suffix":""},{"dropping-particle":"","family":"Xia","given":"Y","non-dropping-particle":"","parse-names":false,"suffix":""},{"dropping-particle":"","family":"Bex","given":"V","non-dropping-particle":"","parse-names":false,"suffix":""},{"dropping-particle":"","family":"Midgley","given":"PM","non-dropping-particle":"","parse-names":false,"suffix":""}],"id":"ITEM-1","issued":{"date-parts":[["2013"]]},"number-of-pages":"29","publisher":"Cambridge University Press","publisher-place":"Cambridge, United Kingdom","title":"Summary for Policymakers","type":"book"},"uris":["http://www.mendeley.com/documents/?uuid=3ce32abb-506a-44e7-ac38-af4f8388a2f4"]},{"id":"ITEM-2","itemData":{"DOI":"10.7930/J0J1012N","ISBN":"9780160924026","abstract":"(Mote et al, 2014)","author":[{"dropping-particle":"","family":"Pryor","given":"S. C.","non-dropping-particle":"","parse-names":false,"suffix":""},{"dropping-particle":"","family":"Scavia","given":"D.","non-dropping-particle":"","parse-names":false,"suffix":""},{"dropping-particle":"","family":"Downer","given":"C.","non-dropping-particle":"","parse-names":false,"suffix":""},{"dropping-particle":"","family":"Gaden","given":"M.","non-dropping-particle":"","parse-names":false,"suffix":""},{"dropping-particle":"","family":"Iverson","given":"Louis R.","non-dropping-particle":"","parse-names":false,"suffix":""},{"dropping-particle":"","family":"Nordstrom","given":"R.","non-dropping-particle":"","parse-names":false,"suffix":""},{"dropping-particle":"","family":"Patz","given":"J.","non-dropping-particle":"","parse-names":false,"suffix":""},{"dropping-particle":"","family":"Robertson","given":"G. P.","non-dropping-particle":"","parse-names":false,"suffix":""}],"container-title":"Climate Change Impacts in the United States: The Third National Climate Assessment","id":"ITEM-2","issued":{"date-parts":[["2014"]]},"number-of-pages":"418-440","title":"Midwest","type":"book"},"uris":["http://www.mendeley.com/documents/?uuid=598c32ed-3f95-4ef6-9b5f-4fd99c8eb3dd"]}],"mendeley":{"formattedCitation":"(IPCC, 2013; Pryor et al., 2014)","plainTextFormattedCitation":"(IPCC, 2013; Pryor et al., 2014)","previouslyFormattedCitation":"(IPCC, 2013; Pryor et al., 2014)"},"properties":{"noteIndex":0},"schema":"https://github.com/citation-style-language/schema/raw/master/csl-citation.json"}</w:instrText>
      </w:r>
      <w:r w:rsidRPr="004F469F">
        <w:fldChar w:fldCharType="separate"/>
      </w:r>
      <w:r w:rsidR="0010658B" w:rsidRPr="00123266">
        <w:rPr>
          <w:noProof/>
        </w:rPr>
        <w:t xml:space="preserve">(IPCC, 2013; Pryor </w:t>
      </w:r>
      <w:r w:rsidR="0010658B" w:rsidRPr="00453357">
        <w:rPr>
          <w:i/>
          <w:iCs/>
          <w:noProof/>
        </w:rPr>
        <w:t>et al.</w:t>
      </w:r>
      <w:r w:rsidR="0010658B" w:rsidRPr="00123266">
        <w:rPr>
          <w:noProof/>
        </w:rPr>
        <w:t>, 2014)</w:t>
      </w:r>
      <w:r w:rsidRPr="004F469F">
        <w:fldChar w:fldCharType="end"/>
      </w:r>
      <w:r w:rsidRPr="004F469F">
        <w:t xml:space="preserve">. Urban development can also take many different paths forward, resulting in multiple possible population growth scenarios </w:t>
      </w:r>
      <w:r w:rsidRPr="004F469F">
        <w:fldChar w:fldCharType="begin" w:fldLock="1"/>
      </w:r>
      <w:r w:rsidR="00123266">
        <w:instrText>ADDIN CSL_CITATION {"citationItems":[{"id":"ITEM-1","itemData":{"DOI":"10.1007/s00267-002-2630-x","ISBN":"0364-152X","ISSN":"0364152X","PMID":"12148073","abstract":"Land-use change models are important tools for integrated environmental management. Through scenario analysis they can help to identify near-future critical locations in the face of environmental change. A dynamic, spatially explicit, land-use change model is presented for the regional scale: CLUE-S. The model is specifically developed for the analysis of land use in small regions (e.g., a watershed or province) at a fine spatial resolution. The model structure is based on systems theory to allow the integrated analysis of land-use change in relation to socio-economic and biophysical driving factors. The model explicitly addresses the hierarchical organization of land use systems, spatial connectivity between locations and stability. Stability is incorporated by a set of variables that define the relative elasticity of the actual land-use type to conversion. The user can specify these settings based on expert knowledge or survey data. Two applications of the model in the Philippines and Malaysia are used to illustrate the functioning of the model and its validation.","author":[{"dropping-particle":"","family":"Verburg","given":"Peter H.","non-dropping-particle":"","parse-names":false,"suffix":""},{"dropping-particle":"","family":"Soepboer","given":"Welmoed","non-dropping-particle":"","parse-names":false,"suffix":""},{"dropping-particle":"","family":"Veldkamp","given":"A.","non-dropping-particle":"","parse-names":false,"suffix":""},{"dropping-particle":"","family":"Limpiada","given":"Ramil","non-dropping-particle":"","parse-names":false,"suffix":""},{"dropping-particle":"","family":"Espaldon","given":"Victoria","non-dropping-particle":"","parse-names":false,"suffix":""},{"dropping-particle":"","family":"Mastura","given":"Sharifah S.A.","non-dropping-particle":"","parse-names":false,"suffix":""}],"container-title":"Environmental Management","id":"ITEM-1","issue":"3","issued":{"date-parts":[["2002"]]},"page":"391-405","title":"Modeling the spatial dynamics of regional land use: The CLUE-S model","type":"article-journal","volume":"30"},"uris":["http://www.mendeley.com/documents/?uuid=9f5cb9d7-152d-4b2f-beae-3d165c2bf69e"]},{"id":"ITEM-2","itemData":{"DOI":"10.1016/j.landurbplan.2014.11.011","ISBN":"01692046 (ISSN)","ISSN":"01692046","abstract":"Land that is of great value for conservation can also be highly suitable for human use, resulting in competition between urban development and the protection of natural resources. To assess the effectiveness of proposed regional land conservation strategies in the context of rapid urbanization, we measured the impacts of simulated development patterns on two distinct conservation goals: protecting priority natural resources and limiting landscape fragmentation. Using a stochastic, patch-based land change model (FUTURES) we projected urbanization in the North Carolina Piedmont according to status quo trends and several conservation-planning strategies, including constraints on the spatial distribution of development, encouraging infill, and increasing development density. This approach allows simulation of population-driven land consumption without excluding the possibility of development, even in areas of high conservation value. We found that if current trends continue, new development will consume 11% of priority resource lands, 21% of forested land, and 14% of farmlands regionally by 2032. We also found that no single conservation strategy was optimal for achieving both conservation goals. For example, strategies that excluded development from priority areas caused increased fragmentation of forests and farmlands, while infill strategies increased loss of priority resources proximal to urban areas. Exploration of these land change scenarios not only confirmed that a failure to act is likely to result in irreconcilable losses to a conservation network, but that all conservation plans are not equivalent in effect, highlighting the importance of analyzing tradeoffs between alternative conservation planning approaches.","author":[{"dropping-particle":"","family":"Dorning","given":"Monica A.","non-dropping-particle":"","parse-names":false,"suffix":""},{"dropping-particle":"","family":"Koch","given":"Jennifer","non-dropping-particle":"","parse-names":false,"suffix":""},{"dropping-particle":"","family":"Shoemaker","given":"Douglas A.","non-dropping-particle":"","parse-names":false,"suffix":""},{"dropping-particle":"","family":"Meentemeyer","given":"Ross K.","non-dropping-particle":"","parse-names":false,"suffix":""}],"container-title":"Landscape and Urban Planning","id":"ITEM-2","issued":{"date-parts":[["2015"]]},"page":"28-39","publisher":"Elsevier B.V.","title":"Simulating urbanization scenarios reveals tradeoffs between conservation planning strategies","type":"article-journal","volume":"136"},"uris":["http://www.mendeley.com/documents/?uuid=0b2dfd0d-e196-4584-8a98-a91d80e31dd0"]}],"mendeley":{"formattedCitation":"(Verburg et al., 2002; Dorning et al., 2015)","plainTextFormattedCitation":"(Verburg et al., 2002; Dorning et al., 2015)","previouslyFormattedCitation":"(Verburg et al., 2002; Dorning et al., 2015)"},"properties":{"noteIndex":0},"schema":"https://github.com/citation-style-language/schema/raw/master/csl-citation.json"}</w:instrText>
      </w:r>
      <w:r w:rsidRPr="004F469F">
        <w:fldChar w:fldCharType="separate"/>
      </w:r>
      <w:r w:rsidR="0010658B" w:rsidRPr="00123266">
        <w:rPr>
          <w:noProof/>
        </w:rPr>
        <w:t xml:space="preserve">(Verburg </w:t>
      </w:r>
      <w:r w:rsidR="0010658B" w:rsidRPr="00453357">
        <w:rPr>
          <w:i/>
          <w:iCs/>
          <w:noProof/>
        </w:rPr>
        <w:t>et al.</w:t>
      </w:r>
      <w:r w:rsidR="0010658B" w:rsidRPr="00123266">
        <w:rPr>
          <w:noProof/>
        </w:rPr>
        <w:t xml:space="preserve">, 2002; Dorning </w:t>
      </w:r>
      <w:r w:rsidR="0010658B" w:rsidRPr="00453357">
        <w:rPr>
          <w:i/>
          <w:iCs/>
          <w:noProof/>
        </w:rPr>
        <w:t>et al.</w:t>
      </w:r>
      <w:r w:rsidR="0010658B" w:rsidRPr="00123266">
        <w:rPr>
          <w:noProof/>
        </w:rPr>
        <w:t>, 2015)</w:t>
      </w:r>
      <w:r w:rsidRPr="004F469F">
        <w:fldChar w:fldCharType="end"/>
      </w:r>
      <w:r w:rsidRPr="004F469F">
        <w:t>. Future studies will add multiple climate change and urban development scenarios (</w:t>
      </w:r>
      <w:r w:rsidRPr="004F469F">
        <w:rPr>
          <w:i/>
          <w:iCs/>
        </w:rPr>
        <w:t>e.g.</w:t>
      </w:r>
      <w:r w:rsidRPr="004F469F">
        <w:t>, sprawl versus infill) to assess a more complete picture of potential future tornado impacts over the Oklahoma City Metropolitan Area.</w:t>
      </w:r>
    </w:p>
    <w:p w14:paraId="31493E3A" w14:textId="571FE93B" w:rsidR="00DF5082" w:rsidRPr="004F469F" w:rsidRDefault="00DF5082" w:rsidP="00043957">
      <w:pPr>
        <w:spacing w:after="120" w:line="480" w:lineRule="auto"/>
        <w:ind w:firstLine="720"/>
      </w:pPr>
      <w:r w:rsidRPr="004F469F">
        <w:t xml:space="preserve">This study also looked at how projected urban development patterns of a sprawling city, such as Oklahoma City, could affect tornado impacts. Previous studies have shown that median impacts from hazards, such as tornadoes, are higher in sprawling cities because there are more people and buildings in the path of any potential tornado. Development using an infill-type paradigm (building up or filling in instead of building out) can lead to reduced median impacts </w:t>
      </w:r>
      <w:r w:rsidRPr="004F469F">
        <w:fldChar w:fldCharType="begin" w:fldLock="1"/>
      </w:r>
      <w:r w:rsidRPr="004F469F">
        <w:instrText>ADDIN CSL_CITATION {"citationItems":[{"id":"ITEM-1","itemData":{"author":[{"dropping-particle":"","family":"Etkin","given":"David","non-dropping-particle":"","parse-names":false,"suffix":""}],"container-title":"Global Environmental Change Part B: Environmental Hazards","id":"ITEM-1","issue":"2","issued":{"date-parts":[["1999"]]},"page":"69-75","publisher":"Taylor &amp; Francis","title":"Risk transference and related trends: driving forces towards more mega-disasters","type":"article-journal","volume":"1"},"uris":["http://www.mendeley.com/documents/?uuid=e2e3326a-6e02-4549-96cb-e9e05aabd3da"]}],"mendeley":{"formattedCitation":"(Etkin, 1999)","plainTextFormattedCitation":"(Etkin, 1999)","previouslyFormattedCitation":"(Etkin, 1999)"},"properties":{"noteIndex":0},"schema":"https://github.com/citation-style-language/schema/raw/master/csl-citation.json"}</w:instrText>
      </w:r>
      <w:r w:rsidRPr="004F469F">
        <w:fldChar w:fldCharType="separate"/>
      </w:r>
      <w:r w:rsidRPr="004F469F">
        <w:rPr>
          <w:noProof/>
        </w:rPr>
        <w:t>(Etkin, 1999)</w:t>
      </w:r>
      <w:r w:rsidRPr="004F469F">
        <w:fldChar w:fldCharType="end"/>
      </w:r>
      <w:r w:rsidRPr="004F469F">
        <w:t xml:space="preserve">. However, the maximum impacts tend to increase as the number of people in the path of, the rare large tornado that hits an urban core, increases impacts </w:t>
      </w:r>
      <w:r w:rsidRPr="004F469F">
        <w:fldChar w:fldCharType="begin" w:fldLock="1"/>
      </w:r>
      <w:r w:rsidR="00123266">
        <w:instrText>ADDIN CSL_CITATION {"citationItems":[{"id":"ITEM-1","itemData":{"DOI":"10.1007/s11069-015-1704-z","ISBN":"1106901517","ISSN":"0921030X","abstract":"Weather-related disasters and affiliated losses in the USA have amplified over time. However, prior research using normalization schemes on damage tallies suggests that weather hazard losses are not necessarily rising when inflation, changes in wealth, and growth in population are accounted. This study evaluates the latter factor, assessing if population changes and a sprawling development mode have led to increasing potential for tornado disasters in the USA. Specifically, this research shows where and how quickly tornado exposure is growing by appraising spatiotemporal trends in gridded population and housing unit data for five metropolitan statistical areas (MSAs). The macroscale risk to tornadoes is represented by tornado day climatology and is related to the exposure of the five MSAs, which include Atlanta, GA; Chicago, IL; Dallas/Fort Worth, TX; Oklahoma City, OK; and St. Louis, MO. Supplementing the macroscale investigation, an observa- tionally derived, hypothetical violent tornado track is transposed on various development types in each MSA to determine the microscale changes in human and built-environment exposure. Results demonstrate increased exposure in all MSAs at both the macro- and microscale. Of the five MSAs studied, Dallas, TX, had the greatest potential for a tornado disaster due to the higher risk for tornado occurrence comingling with the amount of MSA exposure. These results reveal further that amplifying exposure is a major impetus behind intensifying severe weather impacts and losses.","author":[{"dropping-particle":"","family":"Rosencrants","given":"Troy D.","non-dropping-particle":"","parse-names":false,"suffix":""},{"dropping-particle":"","family":"Ashley","given":"Walker S.","non-dropping-particle":"","parse-names":false,"suffix":""}],"container-title":"Natural Hazards","id":"ITEM-1","issue":"1","issued":{"date-parts":[["2015"]]},"page":"121-140","publisher":"Springer Netherlands","title":"Spatiotemporal analysis of tornado exposure in five US metropolitan areas","type":"article-journal","volume":"78"},"uris":["http://www.mendeley.com/documents/?uuid=d44d442f-d7b1-46d3-9316-83a25acff696"]},{"id":"ITEM-2","itemData":{"DOI":"10.1016/j.apgeog.2018.03.005","ISSN":"01436228","abstract":"This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Geography","id":"ITEM-2","issue":"March 2017","issued":{"date-parts":[["2018"]]},"page":"18-29","publisher":"Elsevier Ltd","title":"How land use alters the tornado disaster landscape","type":"article-journal","volume":"94"},"uris":["http://www.mendeley.com/documents/?uuid=d9748686-b846-458c-a837-e1e5ffc60746"]}],"mendeley":{"formattedCitation":"(Rosencrants and Ashley, 2015; Strader et al., 2018)","plainTextFormattedCitation":"(Rosencrants and Ashley, 2015; Strader et al., 2018)","previouslyFormattedCitation":"(Rosencrants and Ashley, 2015; Strader et al., 2018)"},"properties":{"noteIndex":0},"schema":"https://github.com/citation-style-language/schema/raw/master/csl-citation.json"}</w:instrText>
      </w:r>
      <w:r w:rsidRPr="004F469F">
        <w:fldChar w:fldCharType="separate"/>
      </w:r>
      <w:r w:rsidR="0010658B" w:rsidRPr="00123266">
        <w:rPr>
          <w:noProof/>
        </w:rPr>
        <w:t xml:space="preserve">(Rosencrants and Ashley, 2015; Strader </w:t>
      </w:r>
      <w:r w:rsidR="0010658B" w:rsidRPr="00453357">
        <w:rPr>
          <w:i/>
          <w:iCs/>
          <w:noProof/>
        </w:rPr>
        <w:t>et al.</w:t>
      </w:r>
      <w:r w:rsidR="0010658B" w:rsidRPr="00123266">
        <w:rPr>
          <w:noProof/>
        </w:rPr>
        <w:t>, 2018)</w:t>
      </w:r>
      <w:r w:rsidRPr="004F469F">
        <w:fldChar w:fldCharType="end"/>
      </w:r>
      <w:r w:rsidRPr="004F469F">
        <w:t xml:space="preserve">. The knowledge that median tornado impacts increase as cities become more sprawled can act as an incentive to promote an infill-type development paradigm in cities in high-risk areas such as Oklahoma and Alabama. While infill increases the impacts for potential urban tornadoes, this fact could also incentivize the investment in public </w:t>
      </w:r>
      <w:r w:rsidRPr="004F469F">
        <w:lastRenderedPageBreak/>
        <w:t xml:space="preserve">storm shelters in heavily populated areas where more people are at risk </w:t>
      </w:r>
      <w:r w:rsidRPr="004F469F">
        <w:fldChar w:fldCharType="begin" w:fldLock="1"/>
      </w:r>
      <w:r w:rsidR="00123266">
        <w:instrText>ADDIN CSL_CITATION {"citationItems":[{"id":"ITEM-1","itemData":{"DOI":"10.1111/1467-7717.00132","author":[{"dropping-particle":"","family":"Balluz","given":"Lina","non-dropping-particle":"","parse-names":false,"suffix":""},{"dropping-particle":"","family":"Schieve","given":"Laura","non-dropping-particle":"","parse-names":false,"suffix":""},{"dropping-particle":"","family":"Holmes","given":"Talmage","non-dropping-particle":"","parse-names":false,"suffix":""},{"dropping-particle":"","family":"Malilay","given":"Josephine","non-dropping-particle":"","parse-names":false,"suffix":""}],"container-title":"Disasters","id":"ITEM-1","issue":"March 1997","issued":{"date-parts":[["2000"]]},"page":"71-77","title":"Predictors for People' s Response to a Tornado Warning : Arkansas , 1 March 1997","type":"article-journal","volume":"24"},"uris":["http://www.mendeley.com/documents/?uuid=de1516b0-cd53-4b01-82ab-2e1f14f29b45"]},{"id":"ITEM-2","itemData":{"author":[{"dropping-particle":"","family":"Liu","given":"Simin","non-dropping-particle":"","parse-names":false,"suffix":""},{"dropping-particle":"","family":"Quenemoen","given":"Lynn E","non-dropping-particle":"","parse-names":false,"suffix":""},{"dropping-particle":"","family":"Malilay","given":"Josephine","non-dropping-particle":"","parse-names":false,"suffix":""},{"dropping-particle":"","family":"Noji","given":"Eric","non-dropping-particle":"","parse-names":false,"suffix":""},{"dropping-particle":"","family":"Sinks","given":"Thomas","non-dropping-particle":"","parse-names":false,"suffix":""},{"dropping-particle":"","family":"Mendlein","given":"James","non-dropping-particle":"","parse-names":false,"suffix":""}],"container-title":"American journal of public health","id":"ITEM-2","issue":"1","issued":{"date-parts":[["1996"]]},"page":"87-89","publisher":"American Public Health Association","title":"Assessment of a severe-weather warning system and disaster preparedness, Calhoun County, Alabama, 1994.","type":"article-journal","volume":"86"},"uris":["http://www.mendeley.com/documents/?uuid=3a582e39-e5e0-4d15-aed1-8cbd98cb832f"]}],"mendeley":{"formattedCitation":"(Liu et al., 1996; Balluz et al., 2000)","plainTextFormattedCitation":"(Liu et al., 1996; Balluz et al., 2000)","previouslyFormattedCitation":"(Liu et al., 1996; Balluz et al., 2000)"},"properties":{"noteIndex":0},"schema":"https://github.com/citation-style-language/schema/raw/master/csl-citation.json"}</w:instrText>
      </w:r>
      <w:r w:rsidRPr="004F469F">
        <w:fldChar w:fldCharType="separate"/>
      </w:r>
      <w:r w:rsidR="0010658B" w:rsidRPr="00123266">
        <w:rPr>
          <w:noProof/>
        </w:rPr>
        <w:t xml:space="preserve">(Liu </w:t>
      </w:r>
      <w:r w:rsidR="0010658B" w:rsidRPr="00453357">
        <w:rPr>
          <w:i/>
          <w:iCs/>
          <w:noProof/>
        </w:rPr>
        <w:t>et al.</w:t>
      </w:r>
      <w:r w:rsidR="0010658B" w:rsidRPr="00123266">
        <w:rPr>
          <w:noProof/>
        </w:rPr>
        <w:t xml:space="preserve">, 1996; Balluz </w:t>
      </w:r>
      <w:r w:rsidR="0010658B" w:rsidRPr="00453357">
        <w:rPr>
          <w:i/>
          <w:iCs/>
          <w:noProof/>
        </w:rPr>
        <w:t>et al.</w:t>
      </w:r>
      <w:r w:rsidR="0010658B" w:rsidRPr="00123266">
        <w:rPr>
          <w:noProof/>
        </w:rPr>
        <w:t>, 2000)</w:t>
      </w:r>
      <w:r w:rsidRPr="004F469F">
        <w:fldChar w:fldCharType="end"/>
      </w:r>
      <w:r w:rsidRPr="004F469F">
        <w:t>.</w:t>
      </w:r>
    </w:p>
    <w:p w14:paraId="61E51122" w14:textId="4CD5DA3B" w:rsidR="00DF5082" w:rsidRPr="004F469F" w:rsidRDefault="00DF5082" w:rsidP="00043957">
      <w:pPr>
        <w:spacing w:after="120" w:line="480" w:lineRule="auto"/>
        <w:ind w:firstLine="720"/>
      </w:pPr>
      <w:r w:rsidRPr="004F469F">
        <w:t xml:space="preserve">Overall the research presented in this dissertation improved the understanding of the spatial impacts of tornadoes in the following ways. (1) It created a clear definition of near-misses for tornadoes as well as a transparent methodology for studying them. This methodology could be employed to further study the spatial distribution of near-misses for all intensity classes of tornadoes and not just violent ones. (2) It introduced a new spatially explicit and environmentally driven tornado impacts model that operates at a daily time step, TorDIS. I showed how this model could be used to assess the potential impacts for tornadoes on a given high-risk day. The identification of potential future impacts could allow emergency managers to be aware of areas that may have increased risk and allow them to prepare their resources in advance and perhaps save lives. (3) I showed how by using atmospheric environmental data from climate models, it is possible to assess how climate change may influence tornado risk and where these influences might be positive or negative. (4) Finally, I showed how business-as-usual development scenario in the Oklahoma City Metropolitan Area could lead to a significant increase in tornado impacts as sprawl dominates the development. Oklahoma City has already begun incentivizing infill-type development in its latest comprehensive development plan </w:t>
      </w:r>
      <w:r w:rsidRPr="004F469F">
        <w:fldChar w:fldCharType="begin" w:fldLock="1"/>
      </w:r>
      <w:r w:rsidRPr="004F469F">
        <w:instrText>ADDIN CSL_CITATION {"citationItems":[{"id":"ITEM-1","itemData":{"author":[{"dropping-particle":"","family":"Oklahoma City Planning Commission","given":"","non-dropping-particle":"","parse-names":false,"suffix":""}],"id":"ITEM-1","issued":{"date-parts":[["2017"]]},"number-of-pages":"426","title":"PlanOKC","type":"report"},"uris":["http://www.mendeley.com/documents/?uuid=b5cd0a19-c97e-4a6b-9e6d-5e9a50dd8cc6"]}],"mendeley":{"formattedCitation":"(Oklahoma City Planning Commission, 2017)","plainTextFormattedCitation":"(Oklahoma City Planning Commission, 2017)","previouslyFormattedCitation":"(Oklahoma City Planning Commission, 2017)"},"properties":{"noteIndex":0},"schema":"https://github.com/citation-style-language/schema/raw/master/csl-citation.json"}</w:instrText>
      </w:r>
      <w:r w:rsidRPr="004F469F">
        <w:fldChar w:fldCharType="separate"/>
      </w:r>
      <w:r w:rsidRPr="004F469F">
        <w:rPr>
          <w:noProof/>
        </w:rPr>
        <w:t>(Oklahoma City Planning Commission, 2017)</w:t>
      </w:r>
      <w:r w:rsidRPr="004F469F">
        <w:fldChar w:fldCharType="end"/>
      </w:r>
      <w:r w:rsidRPr="004F469F">
        <w:t xml:space="preserve">. This research could add further incentive for infill-type development in order to reduce </w:t>
      </w:r>
      <w:r w:rsidR="00B80B3E" w:rsidRPr="004F469F">
        <w:t xml:space="preserve">the </w:t>
      </w:r>
      <w:r w:rsidRPr="004F469F">
        <w:t>risk of tornado exposure.</w:t>
      </w:r>
    </w:p>
    <w:p w14:paraId="2BCF2BEE" w14:textId="77777777" w:rsidR="00DF5082" w:rsidRPr="004F469F" w:rsidRDefault="00DF5082" w:rsidP="00043957">
      <w:pPr>
        <w:spacing w:after="120" w:line="480" w:lineRule="auto"/>
        <w:ind w:firstLine="720"/>
      </w:pPr>
      <w:r w:rsidRPr="004F469F">
        <w:t xml:space="preserve">There are a few lines of future research suggested by my findings. First, I plan to make improvements to the accuracy of the tornado day forecasts and probabilistic tornado forecast maps used by TorDIS. The model currently has a known bias towards the overproduction of tornadoes and the overestimation of the number of tornado days. This study used only one time </w:t>
      </w:r>
      <w:r w:rsidRPr="004F469F">
        <w:lastRenderedPageBreak/>
        <w:t>step a day for the atmospheric environmental data, which means that many tornado reports were associated with environmental conditions occurring up to 12 hours before or after the tornado occurred. Since data is available up to eight times daily for many reanalysis data sets and climate models, future work will attempt to link tornadoes to atmospheric conditions that are within 1.5 – 3 hours of the event. This will ensure that the atmospheric environments are more representative of the tornadoes being forecast and hopefully will improve the accuracy. Eventually, I hope that once the accuracy of the tornado probability forecasts can be improved, the model can be tested for operational use.</w:t>
      </w:r>
    </w:p>
    <w:p w14:paraId="45D5167D" w14:textId="0C75A835" w:rsidR="00DF5082" w:rsidRPr="004F469F" w:rsidRDefault="00DF5082" w:rsidP="00043957">
      <w:pPr>
        <w:spacing w:after="120" w:line="480" w:lineRule="auto"/>
        <w:ind w:firstLine="720"/>
      </w:pPr>
      <w:r w:rsidRPr="004F469F">
        <w:t xml:space="preserve">I plan to use atmospheric environments from an ensemble of downscaled climate models with TorDIS to get a broader picture of the potential impacts of climate change on tornado risk. Future work will also employ multiple developmental paradigms for different metropolitan areas to see specifically how realistic development changes the tornado impacts as opposed to theoretical development paradigms as employed in Strader </w:t>
      </w:r>
      <w:r w:rsidR="008F75F4" w:rsidRPr="00453357">
        <w:rPr>
          <w:i/>
          <w:iCs/>
        </w:rPr>
        <w:t>et al.</w:t>
      </w:r>
      <w:r w:rsidRPr="004F469F">
        <w:t xml:space="preserve"> </w:t>
      </w:r>
      <w:r w:rsidRPr="004F469F">
        <w:fldChar w:fldCharType="begin" w:fldLock="1"/>
      </w:r>
      <w:r w:rsidRPr="004F469F">
        <w:instrText>ADDIN CSL_CITATION {"citationItems":[{"id":"ITEM-1","itemData":{"DOI":"10.1016/j.apgeog.2018.03.005","ISSN":"01436228","abstract":"This research assesses how the spatial character of land use influences tornado disaster potential at regional and metropolitan scales. Fine-scale, residential built-environment data for the Central Plains (regional) and Wichita, KS (metropolitan) domains are used in a Monte Carlo tornado simulation framework to estimate significant tornado impact magnitude and disaster potential. The land use patterns of the domains are hypothetically adjusted using the 2010 observed data surface as a baseline to explore how the density and spatial character of land use affects the possibility of significant tornado impacts. As residential built-environment density is reduced and the footprint of developed land grows, tornado impact probability and magnitude increases. Conversely, restricting sprawl while, at the same time, adopting a more concentrated land use pattern, lowers the odds of tornado impact and disaster. Results reveal that the geographic character of land use is important in determining an area's tornado disaster potential. This finding is especially unique and critical for develop proactive disaster mitigation strategies. Pre-disaster mitigation efforts such as effective land planning and building code improvement and enforcement are required to reduce future tornado impacts.","author":[{"dropping-particle":"","family":"Strader","given":"Stephen M.","non-dropping-particle":"","parse-names":false,"suffix":""},{"dropping-particle":"","family":"Ashley","given":"Walker S.","non-dropping-particle":"","parse-names":false,"suffix":""},{"dropping-particle":"","family":"Pingel","given":"Thomas J.","non-dropping-particle":"","parse-names":false,"suffix":""},{"dropping-particle":"","family":"Krmenec","given":"Andrew J.","non-dropping-particle":"","parse-names":false,"suffix":""}],"container-title":"Applied Geography","id":"ITEM-1","issue":"March 2017","issued":{"date-parts":[["2018"]]},"page":"18-29","publisher":"Elsevier Ltd","title":"How land use alters the tornado disaster landscape","type":"article-journal","volume":"94"},"suppress-author":1,"uris":["http://www.mendeley.com/documents/?uuid=d9748686-b846-458c-a837-e1e5ffc60746"]}],"mendeley":{"formattedCitation":"(2018)","plainTextFormattedCitation":"(2018)","previouslyFormattedCitation":"(2018)"},"properties":{"noteIndex":0},"schema":"https://github.com/citation-style-language/schema/raw/master/csl-citation.json"}</w:instrText>
      </w:r>
      <w:r w:rsidRPr="004F469F">
        <w:fldChar w:fldCharType="separate"/>
      </w:r>
      <w:r w:rsidRPr="004F469F">
        <w:rPr>
          <w:noProof/>
        </w:rPr>
        <w:t>(2018)</w:t>
      </w:r>
      <w:r w:rsidRPr="004F469F">
        <w:fldChar w:fldCharType="end"/>
      </w:r>
      <w:r w:rsidRPr="004F469F">
        <w:t>. Furthermore, I plan to look at Oklahoma City, and other cities, to see how tornado impacts from business-as-usual scenarios compare to scenarios where sprawl or infill are promoted. Such studies could be presented to city planners to help encourage infill as a way of reducing tornado impacts.</w:t>
      </w:r>
    </w:p>
    <w:p w14:paraId="1ACC88C3" w14:textId="01E29470" w:rsidR="00DF5082" w:rsidRPr="004F469F" w:rsidRDefault="00DF5082" w:rsidP="00043957">
      <w:pPr>
        <w:spacing w:after="120" w:line="480" w:lineRule="auto"/>
        <w:ind w:firstLine="720"/>
      </w:pPr>
      <w:r w:rsidRPr="004F469F">
        <w:t>As a long term goal for the simulation model introduced in this dissertation, I hope that improvements of TorDIS will lead to a sufficient level of model accuracy to make the simulation tool useable for operational forecasts of potential tornado impacts on high-risk days. With the future addition of measures of vulnerability (</w:t>
      </w:r>
      <w:r w:rsidRPr="002614B3">
        <w:rPr>
          <w:i/>
          <w:iCs/>
        </w:rPr>
        <w:t>e.g.</w:t>
      </w:r>
      <w:r w:rsidRPr="004F469F">
        <w:t>, poverty, visibility, language barriers</w:t>
      </w:r>
      <w:r w:rsidR="003642A7">
        <w:t>;</w:t>
      </w:r>
      <w:r w:rsidRPr="004F469F">
        <w:t xml:space="preserve"> </w:t>
      </w:r>
      <w:r w:rsidRPr="004F469F">
        <w:fldChar w:fldCharType="begin" w:fldLock="1"/>
      </w:r>
      <w:r w:rsidR="003642A7">
        <w:instrText>ADDIN CSL_CITATION {"citationItems":[{"id":"ITEM-1","itemData":{"DOI":"10.1177/030913259602000407","ISSN":"0309-1325","author":[{"dropping-particle":"","family":"Cutter","given":"Susan L","non-dropping-particle":"","parse-names":false,"suffix":""}],"container-title":"Progress in Human Geography","id":"ITEM-1","issue":"4","issued":{"date-parts":[["1996"]]},"page":"529-539","title":"Vulnerability to hazards","type":"article-journal","volume":"20"},"uris":["http://www.mendeley.com/documents/?uuid=e022b702-1c39-438c-96e7-5a2253ccdddf"]},{"id":"ITEM-2","itemData":{"ISBN":"9781878220998","author":[{"dropping-particle":"","family":"Simmons","given":"Kevin M.","non-dropping-particle":"","parse-names":false,"suffix":""},{"dropping-particle":"","family":"Sutter","given":"Daniel","non-dropping-particle":"","parse-names":false,"suffix":""}],"edition":"1","id":"ITEM-2","issued":{"date-parts":[["2011"]]},"number-of-pages":"282","publisher":"American Meteorological Society","publisher-place":"Boston, MA","title":"Economic and societal impacts of tornadoes","type":"book"},"uris":["http://www.mendeley.com/documents/?uuid=679dd86e-3cb6-4bd9-aa65-841ad4dddd4a"]}],"mendeley":{"formattedCitation":"(Cutter, 1996; Simmons and Sutter, 2011)","manualFormatting":"Cutter, 1996; Simmons and Sutter, 2011","plainTextFormattedCitation":"(Cutter, 1996; Simmons and Sutter, 2011)","previouslyFormattedCitation":"(Cutter, 1996; Simmons and Sutter, 2011)"},"properties":{"noteIndex":0},"schema":"https://github.com/citation-style-language/schema/raw/master/csl-citation.json"}</w:instrText>
      </w:r>
      <w:r w:rsidRPr="004F469F">
        <w:fldChar w:fldCharType="separate"/>
      </w:r>
      <w:r w:rsidR="0010658B" w:rsidRPr="0010658B">
        <w:rPr>
          <w:noProof/>
        </w:rPr>
        <w:t>Cutter, 1996; Simmons and Sutter, 2011</w:t>
      </w:r>
      <w:r w:rsidRPr="004F469F">
        <w:fldChar w:fldCharType="end"/>
      </w:r>
      <w:r w:rsidRPr="004F469F">
        <w:t xml:space="preserve">), we could project casualty estimates as well so that emergency managers will be made aware, in advance, of what resources they may need on a given day. Future modeling studies using TorDIS could be conducted by city planners to test the effect of </w:t>
      </w:r>
      <w:r w:rsidRPr="004F469F">
        <w:lastRenderedPageBreak/>
        <w:t xml:space="preserve">local changes on land use in tornado impacts. Finally, TorDIS could be used by emergency managers to promote the establishment of public storm shelters to offset the increased risk of high impact events when infill-type development is encouraged by city planners, as a way to reduce the overall risk of tornado impacts. </w:t>
      </w:r>
    </w:p>
    <w:p w14:paraId="2073EED0" w14:textId="22BE933D" w:rsidR="005C4E5F" w:rsidRPr="004F469F" w:rsidRDefault="005C4E5F" w:rsidP="00043957">
      <w:pPr>
        <w:spacing w:after="120" w:line="480" w:lineRule="auto"/>
        <w:ind w:firstLine="720"/>
      </w:pPr>
    </w:p>
    <w:p w14:paraId="04233D37" w14:textId="56F02758" w:rsidR="00657E2A" w:rsidRPr="004F469F" w:rsidRDefault="00657E2A" w:rsidP="00C645E5">
      <w:pPr>
        <w:spacing w:after="120" w:line="480" w:lineRule="auto"/>
      </w:pPr>
    </w:p>
    <w:p w14:paraId="562235EE" w14:textId="797BD8EE" w:rsidR="00657E2A" w:rsidRPr="004F469F" w:rsidRDefault="00657E2A" w:rsidP="00C645E5">
      <w:pPr>
        <w:spacing w:after="120" w:line="480" w:lineRule="auto"/>
      </w:pPr>
    </w:p>
    <w:p w14:paraId="1F3E0AC3" w14:textId="2A2FAEB0" w:rsidR="00657E2A" w:rsidRPr="004F469F" w:rsidRDefault="00657E2A" w:rsidP="00C645E5">
      <w:pPr>
        <w:spacing w:after="120" w:line="480" w:lineRule="auto"/>
      </w:pPr>
    </w:p>
    <w:p w14:paraId="024D533C" w14:textId="6B7EC83C" w:rsidR="00657E2A" w:rsidRPr="004F469F" w:rsidRDefault="00657E2A" w:rsidP="00C645E5">
      <w:pPr>
        <w:spacing w:after="120" w:line="480" w:lineRule="auto"/>
      </w:pPr>
    </w:p>
    <w:p w14:paraId="79D4A2C7" w14:textId="6D759C4F" w:rsidR="00657E2A" w:rsidRPr="004F469F" w:rsidRDefault="00657E2A" w:rsidP="00C645E5">
      <w:pPr>
        <w:spacing w:after="120" w:line="480" w:lineRule="auto"/>
      </w:pPr>
    </w:p>
    <w:p w14:paraId="53FA71D1" w14:textId="49ED4727" w:rsidR="00657E2A" w:rsidRPr="004F469F" w:rsidRDefault="00657E2A" w:rsidP="00C645E5">
      <w:pPr>
        <w:spacing w:after="120" w:line="480" w:lineRule="auto"/>
      </w:pPr>
    </w:p>
    <w:p w14:paraId="2ECF700C" w14:textId="670A3DC5" w:rsidR="00657E2A" w:rsidRPr="004F469F" w:rsidRDefault="00657E2A" w:rsidP="00C645E5">
      <w:pPr>
        <w:spacing w:after="120" w:line="480" w:lineRule="auto"/>
      </w:pPr>
    </w:p>
    <w:p w14:paraId="0EF09E5D" w14:textId="3FF80990" w:rsidR="00657E2A" w:rsidRPr="004F469F" w:rsidRDefault="00657E2A" w:rsidP="00C645E5">
      <w:pPr>
        <w:spacing w:after="120" w:line="480" w:lineRule="auto"/>
      </w:pPr>
    </w:p>
    <w:p w14:paraId="2993A07F" w14:textId="1F80F10B" w:rsidR="00657E2A" w:rsidRPr="004F469F" w:rsidRDefault="00657E2A" w:rsidP="00C645E5">
      <w:pPr>
        <w:spacing w:after="120" w:line="480" w:lineRule="auto"/>
      </w:pPr>
    </w:p>
    <w:p w14:paraId="30AC02B9" w14:textId="51F130DF" w:rsidR="00657E2A" w:rsidRPr="004F469F" w:rsidRDefault="00657E2A" w:rsidP="00C645E5">
      <w:pPr>
        <w:spacing w:after="120" w:line="480" w:lineRule="auto"/>
      </w:pPr>
    </w:p>
    <w:p w14:paraId="2CECC7A9" w14:textId="12B46069" w:rsidR="00657E2A" w:rsidRPr="004F469F" w:rsidRDefault="00657E2A" w:rsidP="00C645E5">
      <w:pPr>
        <w:spacing w:after="120" w:line="480" w:lineRule="auto"/>
      </w:pPr>
    </w:p>
    <w:p w14:paraId="2CE35099" w14:textId="2797B6C1" w:rsidR="00657E2A" w:rsidRPr="004F469F" w:rsidRDefault="00657E2A" w:rsidP="00C645E5">
      <w:pPr>
        <w:spacing w:after="120" w:line="480" w:lineRule="auto"/>
      </w:pPr>
    </w:p>
    <w:p w14:paraId="024AD44C" w14:textId="0BBF1458" w:rsidR="00657E2A" w:rsidRPr="004F469F" w:rsidRDefault="00657E2A" w:rsidP="00C645E5">
      <w:pPr>
        <w:spacing w:after="120" w:line="480" w:lineRule="auto"/>
      </w:pPr>
    </w:p>
    <w:p w14:paraId="3C7C384E" w14:textId="0488EBFC" w:rsidR="00657E2A" w:rsidRPr="004F469F" w:rsidRDefault="00657E2A" w:rsidP="00C645E5">
      <w:pPr>
        <w:spacing w:after="120" w:line="480" w:lineRule="auto"/>
      </w:pPr>
    </w:p>
    <w:p w14:paraId="1AECE74F" w14:textId="0D728CDB" w:rsidR="00657E2A" w:rsidRPr="004F469F" w:rsidRDefault="00657E2A" w:rsidP="00C645E5">
      <w:pPr>
        <w:spacing w:after="120" w:line="480" w:lineRule="auto"/>
      </w:pPr>
    </w:p>
    <w:p w14:paraId="5E58F36A" w14:textId="0A810069" w:rsidR="00657E2A" w:rsidRPr="00693375" w:rsidRDefault="00C22938" w:rsidP="00693375">
      <w:pPr>
        <w:pStyle w:val="Heading1"/>
        <w:numPr>
          <w:ilvl w:val="0"/>
          <w:numId w:val="0"/>
        </w:numPr>
        <w:spacing w:before="0" w:after="240"/>
        <w:rPr>
          <w:rFonts w:ascii="Times New Roman" w:eastAsia="Times New Roman" w:hAnsi="Times New Roman" w:cs="Times New Roman"/>
          <w:b/>
          <w:bCs/>
          <w:color w:val="auto"/>
        </w:rPr>
      </w:pPr>
      <w:bookmarkStart w:id="106" w:name="_Toc21861339"/>
      <w:r w:rsidRPr="004F469F">
        <w:rPr>
          <w:rFonts w:ascii="Times New Roman" w:eastAsia="Times New Roman" w:hAnsi="Times New Roman" w:cs="Times New Roman"/>
          <w:b/>
          <w:bCs/>
          <w:color w:val="auto"/>
        </w:rPr>
        <w:lastRenderedPageBreak/>
        <w:t>References</w:t>
      </w:r>
      <w:bookmarkEnd w:id="106"/>
    </w:p>
    <w:p w14:paraId="787A563E" w14:textId="275AD461" w:rsidR="004018A9" w:rsidRPr="004018A9" w:rsidRDefault="00657E2A" w:rsidP="00F26DDF">
      <w:pPr>
        <w:keepNext/>
        <w:keepLines/>
        <w:widowControl w:val="0"/>
        <w:autoSpaceDE w:val="0"/>
        <w:autoSpaceDN w:val="0"/>
        <w:adjustRightInd w:val="0"/>
        <w:spacing w:after="120"/>
        <w:ind w:left="480" w:hanging="480"/>
        <w:rPr>
          <w:noProof/>
        </w:rPr>
      </w:pPr>
      <w:r w:rsidRPr="004F469F">
        <w:fldChar w:fldCharType="begin" w:fldLock="1"/>
      </w:r>
      <w:r w:rsidRPr="004F469F">
        <w:instrText xml:space="preserve">ADDIN Mendeley Bibliography CSL_BIBLIOGRAPHY </w:instrText>
      </w:r>
      <w:r w:rsidRPr="004F469F">
        <w:fldChar w:fldCharType="separate"/>
      </w:r>
      <w:r w:rsidR="004018A9" w:rsidRPr="004018A9">
        <w:rPr>
          <w:noProof/>
        </w:rPr>
        <w:t>Abbey, R.F., 1976. Risk probabilities associated with tornado wind speeds, in: Abbey, R.F., Mehta, K.C. (Eds.), Proceedings of the Symposium on Tornadoes: Assessment of Knowledge and Implications for Man. Lubbock, TX, pp. 177–236.</w:t>
      </w:r>
    </w:p>
    <w:p w14:paraId="084B78B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Adlerman, E.J., Droegemeier, K.K., Davies-Jones, R., 1999. A numerical simulation of cyclic mesocyclogenesis. J. Atmos. Sci. 56, 2045–2069.</w:t>
      </w:r>
    </w:p>
    <w:p w14:paraId="5261F4F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Agee, E., Childs, S., 2014. Adjustments in tornado counts, F-scale intensity, and path width for assessing significant tornado destruction. J. Appl. Meteorol. Climatol. 53, 1494–1505. https://doi.org/10.1175/JAMC-D-13-0235.1</w:t>
      </w:r>
    </w:p>
    <w:p w14:paraId="1300942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Ali, K., Partridge, M.D., Olfert, M.R., 2007. Can geographically weighted regressions improve regional analysis and policy making? Int. Reg. Sci. Rev. 30, 300–329.</w:t>
      </w:r>
    </w:p>
    <w:p w14:paraId="184195B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Alig, R.J., Kline, J.D., Lichtenstein, M., 2004. Urbanization on the US landscape: looking ahead in the 21st century. Landsc. Urban Plan. 69, 219–234.</w:t>
      </w:r>
    </w:p>
    <w:p w14:paraId="271A0BC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Anselin, L., 1995. Local indicators of spatial association-LISA. Geogr. Anal. 27, 93–115.</w:t>
      </w:r>
    </w:p>
    <w:p w14:paraId="2D430A9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Arnold, K., Golino, D.A., McRoberts, N., 2017. A synoptic analysis of the temporal and spatial aspects of grapevine leafroll disease in a historic Napa vineyard and experimental vine blocks. Phytopathology 107, 418–426.</w:t>
      </w:r>
    </w:p>
    <w:p w14:paraId="7FFA244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Ashley, W.S., 2007. Spatial and Temporal Analysis of Tornado Fatalities in the United States: 1880–2005. Weather Forecast. 22, 1214–1228. https://doi.org/10.1175/2007WAF2007004.1</w:t>
      </w:r>
    </w:p>
    <w:p w14:paraId="3A4DFD4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Ashley, W.S., Krmenec, A.J., Schwantes, R., 2008. Vulnerability due to Nocturnal Tornadoes. Weather Forecast. 23, 795–807. https://doi.org/10.1175/2008WAF2222132.1</w:t>
      </w:r>
    </w:p>
    <w:p w14:paraId="5CFA45A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Ashley, W.S., Strader, S.M., 2016. Recipe for disaster: how the dynamic ingredients of risk and exposure are changing the tornado disaster landscape. Bull. Am. Meteorol. Soc. 97, 767–786.</w:t>
      </w:r>
    </w:p>
    <w:p w14:paraId="084F5F6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Ashley, W.S., Strader, S.M., Rosencrants, T., Krmenec, A.J., 2014. Spatiotemporal changes in tornado hazard exposure: The case of the expanding bull’s-eye effect in Chicago, illinois. Weather. Clim. Soc. 6, 175–193.</w:t>
      </w:r>
    </w:p>
    <w:p w14:paraId="680CBC2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Atkins, N.T., Butler, K.M., Flynn, K.R., Wakimoto, R.M., 2014. An integrated damage, visual, and radar analysis of the 2013 Moore, Oklahoma, EF5 Tornado. Bull. Am. Meteorol. Soc. 95, 1549–1561. https://doi.org/10.1175/BAMS-D-14-00033.1</w:t>
      </w:r>
    </w:p>
    <w:p w14:paraId="4B9BF38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Balluz, L., Schieve, L., Holmes, T., Malilay, J., 2000. Predictors for People’ s Response to a Tornado Warning : Arkansas , 1 March 1997. Disasters 24, 71–77. https://doi.org/10.1111/1467-7717.00132</w:t>
      </w:r>
    </w:p>
    <w:p w14:paraId="38DB1C9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Barker, S., 2012. 2012 Demographic State of the State Report, Oklahoma City.</w:t>
      </w:r>
    </w:p>
    <w:p w14:paraId="48E4F22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Barnes, L.R., Gruntfest, E.C., Hayden, M.H., Schultz, D.M., Benight, C., 2007. False alarms and close calls: A conceptual model of warning accuracy. Weather Forecast. 22, 1140–1147.</w:t>
      </w:r>
    </w:p>
    <w:p w14:paraId="122A6A1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Biddle, M.D., 1994. Tornado hazards, coping styles and modernized warning systems. University of Oklahoma.</w:t>
      </w:r>
    </w:p>
    <w:p w14:paraId="0035608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Bierwagen, B.G., Theobald, D.M., Pyke, C.R., Choate, A., Groth, P., Thomas, J. V, Morefield, P., 2010. National housing and impervious surface scenarios for integrated climate impact assessments. Proc. Natl. Acad. Sci. 107, 20887–20892.</w:t>
      </w:r>
    </w:p>
    <w:p w14:paraId="1AC5094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Billet, J., DeLisi, M., Smith, B.G., Gates, C., 1997. Use of regression techniques to predict hail size and the probability of large hail. Weather Forecast. 12, 154–164.</w:t>
      </w:r>
    </w:p>
    <w:p w14:paraId="1401309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Blair, S.F., Lunde, E.P.K., 2010. Tornadoes impacting interstates: Service and societal considerations. E-Journal Sev. Storms Meteorol. 5.</w:t>
      </w:r>
    </w:p>
    <w:p w14:paraId="0CB23CF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Bluestein, H.B., Snyder, J.C., Houser, J.B., 2015. A multiscale overview of the El Reno, Oklahoma, tornadic supercell of 31 May 2013. Weather Forecast. 30, 525–552. https://doi.org/10.1175/WAF-D-14-00152.1</w:t>
      </w:r>
    </w:p>
    <w:p w14:paraId="2CD9B25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Bolte, J.P., Hulse, D.W., Gregory, S. V., Smith, C., 2007. Modeling biocomplexity - actors, landscapes and alternative futures. Environ. Model. Softw. 22, 570–579. https://doi.org/10.1016/j.envsoft.2005.12.033</w:t>
      </w:r>
    </w:p>
    <w:p w14:paraId="369B689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Boruff, B.J., Easoz, J.A., Jones, S.D., Landry, H.R., Mitchem, J.D., Cutter, S.L., 2003. Tornado hazards in the United States. Clim. Res. 24, 103–117.</w:t>
      </w:r>
    </w:p>
    <w:p w14:paraId="0307DFB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Bouwer, L.M., 2011. Have disaster losses increased due to anthropogenic climate change? Bull. Am. Meteorol. Soc. 92, 39–46.</w:t>
      </w:r>
    </w:p>
    <w:p w14:paraId="601E432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Bouwer, L.M., 2013. Projections of future extreme weather losses under changes in climate and exposure. Risk Anal. 33, 915–930.</w:t>
      </w:r>
    </w:p>
    <w:p w14:paraId="0403EB1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Bowser, G.C., Cutter, S.L., 2015. Stay or go? Examining decision making and behavior in hurricane evacuations. Environ. Sci. Policy Sustain. Dev. 57, 28–41.</w:t>
      </w:r>
    </w:p>
    <w:p w14:paraId="255DD43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2004. On the relationship of tornado path length and width to intensity. Weather Forecast. 19, 310–319.</w:t>
      </w:r>
    </w:p>
    <w:p w14:paraId="1BA381E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Anderson, A.R., Riemann, K., Ebbers, I., Flachs, H., 2007. Climatological aspects of convective parameters from the NCAR/NCEP reanalysis. Atmos. Res. 83, 294–305.</w:t>
      </w:r>
    </w:p>
    <w:p w14:paraId="6ABA28D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Carbin, G.W., Marsh, P.T., 2014. Increased variability of tornado occurrence in the United States. Science (80-. ). 346, 349–352. https://doi.org/10.1126/science.1257460</w:t>
      </w:r>
    </w:p>
    <w:p w14:paraId="02BCCDD8" w14:textId="5F8E5AE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Doswell, C.A.</w:t>
      </w:r>
      <w:r w:rsidR="00A4292E">
        <w:rPr>
          <w:noProof/>
        </w:rPr>
        <w:t xml:space="preserve"> II</w:t>
      </w:r>
      <w:r w:rsidRPr="004018A9">
        <w:rPr>
          <w:noProof/>
        </w:rPr>
        <w:t>I., 2001a. Normalized Damage from Major Tornadoes in the United States: 1890–1999. Weather Forecast. 16, 168–176. https://doi.org/10.1175/1520-0434(2001)016&lt;0168:NDFMTI&gt;2.0.CO;2</w:t>
      </w:r>
    </w:p>
    <w:p w14:paraId="20318ADF" w14:textId="32DAED69"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Doswell, C.A.</w:t>
      </w:r>
      <w:r w:rsidR="00A4292E">
        <w:rPr>
          <w:noProof/>
        </w:rPr>
        <w:t xml:space="preserve"> II</w:t>
      </w:r>
      <w:r w:rsidRPr="004018A9">
        <w:rPr>
          <w:noProof/>
        </w:rPr>
        <w:t>I., 2001b. Some aspects of the international climatology of tornadoes by damage classification. Atmos. Res. 56, 191–201.</w:t>
      </w:r>
    </w:p>
    <w:p w14:paraId="27A957B8" w14:textId="1AADD8A9"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Doswell, C.A.</w:t>
      </w:r>
      <w:r w:rsidR="00A4292E">
        <w:rPr>
          <w:noProof/>
        </w:rPr>
        <w:t xml:space="preserve"> II</w:t>
      </w:r>
      <w:r w:rsidRPr="004018A9">
        <w:rPr>
          <w:noProof/>
        </w:rPr>
        <w:t>I., 2002. Deaths in the 3 May 1999 Oklahoma City Tornado from a Historical Perspective. Weather Forecast. 17, 354–361. https://doi.org/10.1175/1520-0434(2002)017&lt;0354:DITMOC&gt;2.0.CO;2</w:t>
      </w:r>
    </w:p>
    <w:p w14:paraId="2696FBFF" w14:textId="3AC7FB86"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Doswell, C.A.</w:t>
      </w:r>
      <w:r w:rsidR="00A4292E">
        <w:rPr>
          <w:noProof/>
        </w:rPr>
        <w:t xml:space="preserve"> II</w:t>
      </w:r>
      <w:r w:rsidRPr="004018A9">
        <w:rPr>
          <w:noProof/>
        </w:rPr>
        <w:t>I., Kay, M.P., 2003a. Climatological estimates of local daily tornado probability for the United States. Weather Forecast. 18, 626–640. https://doi.org/10.1175/1520-0434(2003)018&lt;0626:CEOLDT&gt;2.0.CO;2</w:t>
      </w:r>
    </w:p>
    <w:p w14:paraId="094E2A6D" w14:textId="51B07F11"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Brooks, H.E., Doswell, C.A.</w:t>
      </w:r>
      <w:r w:rsidR="00A4292E">
        <w:rPr>
          <w:noProof/>
        </w:rPr>
        <w:t xml:space="preserve"> II</w:t>
      </w:r>
      <w:r w:rsidRPr="004018A9">
        <w:rPr>
          <w:noProof/>
        </w:rPr>
        <w:t>I., Sutter, D., 2008. Low-level winds in tornadoes and potential catastrophic tornado impacts in urban areas. Bull. Am. Meteorol. Soc. 89, 87–90. https://doi.org/10.1175/BAMS-89-1-87</w:t>
      </w:r>
    </w:p>
    <w:p w14:paraId="16BE415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Brooks, H.E., Lee, J.W., Craven, J.P., 2003b. The spatial distribution of severe thunderstorm and tornado environments from global reanalysis data. Atmos. Res. 67, 73–94.</w:t>
      </w:r>
    </w:p>
    <w:p w14:paraId="1BDD3A6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Brotzge, J., Donner, W., 2013. The tornado warning process: A review of current research, challenges, and opportunities. Bull. Am. Meteorol. Soc. 94, 1715–1733. https://doi.org/10.1175/BAMS-D-12-00147.1</w:t>
      </w:r>
    </w:p>
    <w:p w14:paraId="1115C002" w14:textId="6C95DF4F"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Brotzge, J., Erickson, S., Brooks, H.</w:t>
      </w:r>
      <w:r w:rsidR="00A4292E">
        <w:rPr>
          <w:noProof/>
        </w:rPr>
        <w:t>E.</w:t>
      </w:r>
      <w:r w:rsidRPr="004018A9">
        <w:rPr>
          <w:noProof/>
        </w:rPr>
        <w:t>, 2011. A 5-yr climatology of tornado false alarms. Weather Forecast. 26, 534–544. https://doi.org/10.1175/WAF-D-10-05004.1</w:t>
      </w:r>
    </w:p>
    <w:p w14:paraId="0A73D09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Buckley, J.W., 2002. After the storm: Building a safe shelter for the school children of Mulhall, Oklahoma. Weather Forecast. 17, 626–634.</w:t>
      </w:r>
    </w:p>
    <w:p w14:paraId="1816E03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Bunkers, M.J., Klimowski, B.A., Zeitler, J.W., Thompson, R.L., Weisman, M.L., 2000. Predicting supercell motion using a new hodograph technique. Weather Forecast. 15, 61–79. https://doi.org/10.1175/1520-0434(2000)015&lt;0061:PSMUAN&gt;2.0.CO;2</w:t>
      </w:r>
    </w:p>
    <w:p w14:paraId="40A56FC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Bunkers, M.J., Wetenkamp Jr, J.R., Schild, J.J., Fischer, A., 2010. Observations of the relationship between 700-mb temperatures and severe weather reports across the contiguous United States. Weather Forecast. 25, 799–814.</w:t>
      </w:r>
    </w:p>
    <w:p w14:paraId="25BD390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Burgess, D., Ortega, K., Stumpf, G., Garfield, G., Karstens, C., Meyer, T., Smith, B., Speheger, D., Ladue, J., Smith, R., Marshall, T., 2014. 20 May 2013 Moore, Oklahoma, Tornado: Damage Survey and Analysis. Weather Forecast. 29, 1229–1237. https://doi.org/10.1175/WAF-D-14-00039.1</w:t>
      </w:r>
    </w:p>
    <w:p w14:paraId="674162F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Burton, C.G., 2010. Social vulnerability and hurricane impact modeling. Nat. Hazards Rev. 11, 58–68.</w:t>
      </w:r>
    </w:p>
    <w:p w14:paraId="527E51A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Center for International Earth Science Information Network - CIESIN - Columbia University, 2017. U.S. Census Grids (Summary File 1), 2010.</w:t>
      </w:r>
    </w:p>
    <w:p w14:paraId="530F6F2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Chaney, P.L., Herbert, J., Curtis, A., 2013a. A Climatological Perspective on the 2011 Alabama Tornado Outbreak. J. Oper. Meteorol. 1.</w:t>
      </w:r>
    </w:p>
    <w:p w14:paraId="1227EBD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Chaney, P.L., Weaver, G.S., 2010. The Vulnerability of Mobile Home Residents in Tornado Disasters: The 2008 Super Tuesday Tornado in Macon County, Tennessee. Weather. Clim. Soc. 2, 190–199. https://doi.org/10.1175/2010wcas1042.1</w:t>
      </w:r>
    </w:p>
    <w:p w14:paraId="208F1AD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Chaney, P.L., Weaver, G.S., Youngblood, S.A., Pitts, K., 2013b. Household Preparedness for Tornado Hazards: The 2011 Disaster in DeKalb County, Alabama. Weather. Clim. Soc. 5, 345–358. https://doi.org/10.1175/WCAS-D-12-00046.1</w:t>
      </w:r>
    </w:p>
    <w:p w14:paraId="2D05FA2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Coleman, T.A., Dixon, P.G., 2014. An objective analysis of tornado risk in the United States. Weather Forecast. 29, 366–376. https://doi.org/10.1175/WAF-D-13-00057.1</w:t>
      </w:r>
    </w:p>
    <w:p w14:paraId="595BA08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Coleman, T.A., Knupp, K.R., Spann, J., Elliott, J.B., Peters, B.E., 2011. The history (and future) of tornado warning dissemination in the United States. Bull. Am. Meteorol. Soc. 92, 567.</w:t>
      </w:r>
    </w:p>
    <w:p w14:paraId="2B29875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Colquhoun, J.R., Riley, P.A., 1996. Relationships between tornado intensity and various wind and thermodynamic variables. Weather Forecast. 11, 360–371.</w:t>
      </w:r>
    </w:p>
    <w:p w14:paraId="733A3F4A" w14:textId="79CC04CD"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Concannon, P.R., Brooks, H.E., Doswell, C.A.</w:t>
      </w:r>
      <w:r w:rsidR="00A4292E">
        <w:rPr>
          <w:noProof/>
        </w:rPr>
        <w:t xml:space="preserve"> II</w:t>
      </w:r>
      <w:r w:rsidRPr="004018A9">
        <w:rPr>
          <w:noProof/>
        </w:rPr>
        <w:t>I., 2000. Climatological risk of strong and violent tornadoes in the United States, in: Preprints, 2nd Conf. on Environmental Applications. American Meteorological Society, Long Beach, CA, pp. 212–219.</w:t>
      </w:r>
    </w:p>
    <w:p w14:paraId="1C9AF18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Confalonieri, R., 2010. Monte Carlo based sensitivity analysis of two crop simulators and considerations on model balance. Eur. J. Agron. 33, 89–93.</w:t>
      </w:r>
    </w:p>
    <w:p w14:paraId="7F313E7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Corfidi, S.F., Weiss, S.J., Kain, J.S., Corfidi, S.J., Rabin, R.M., Levit, J.J., 2010. Revisiting the 3–4 April 1974 super outbreak of tornadoes. Weather Forecast. 25, 465–510. https://doi.org/10.1175/2009WAF2222297.1</w:t>
      </w:r>
    </w:p>
    <w:p w14:paraId="1F36DE7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Cutter, S.L., 1996. Vulnerability to hazards. Prog. Hum. Geogr. 20, 529–539. https://doi.org/10.1177/030913259602000407</w:t>
      </w:r>
    </w:p>
    <w:p w14:paraId="170200C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Cutter, S.L., Boruff, B.J., Shirley, W.L., 2003. Social vulnerability to environmental hazards. Soc. Sci. Q. 84, 242–261. https://doi.org/10.1111/1540-6237.8402002</w:t>
      </w:r>
    </w:p>
    <w:p w14:paraId="42E5BCC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d’Amour, C.B., Reitsma, F., Baiocchi, G., Barthel, S., Güneralp, B., Erb, K.-H., Haberl, H., Creutzig, F., Seto, K.C., 2017. Future urban land expansion and implications for global croplands. Proc. Natl. Acad. Sci. 114, 8939–8944.</w:t>
      </w:r>
    </w:p>
    <w:p w14:paraId="0288AF6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Daneshvaran, S., Morden, R.E., 2007. Tornado risk analysis in the United States. J. Risk Financ. 8, 97–111.</w:t>
      </w:r>
    </w:p>
    <w:p w14:paraId="50BE05B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Danielsen, K.A., Lang, R.E., Fulton, W., 1999. Retracting suburbia: Smart growth and the future of housing.</w:t>
      </w:r>
    </w:p>
    <w:p w14:paraId="24ED3A2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Davies, J.M., Fischer, A., 2009. Environmental characteristics associated with nighttime tornadoes. Electron. J. Oper. Meteor 10, 1–29.</w:t>
      </w:r>
    </w:p>
    <w:p w14:paraId="3BDC0B3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Dean, A.R., Schneider, R.S., 2008. 9A. 2 Forecast Challenges at the NWS Storm Prediction Center Relating to the Frequency of Favorable Severe Storm Environments.</w:t>
      </w:r>
    </w:p>
    <w:p w14:paraId="03A7D15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Dell’Acqua, F., Gamba, P., Jaiswal, K., 2013. Spatial aspects of building and population exposure data and their implications for global earthquake exposure modeling. Nat. hazards 68, 1291–1309.</w:t>
      </w:r>
    </w:p>
    <w:p w14:paraId="5815E611" w14:textId="6605F662"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Diffenbaugh, N.S., Brooks, H.</w:t>
      </w:r>
      <w:r w:rsidR="00A4292E">
        <w:rPr>
          <w:noProof/>
        </w:rPr>
        <w:t>E.</w:t>
      </w:r>
      <w:r w:rsidRPr="004018A9">
        <w:rPr>
          <w:noProof/>
        </w:rPr>
        <w:t>, Trapp, R.J., 2008. Does global warming influence tornado activity? Eos, Trans. Am. Geophys. Union 89, 553–554. https://doi.org/10.1029/2008EO530001</w:t>
      </w:r>
    </w:p>
    <w:p w14:paraId="5B280B9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Diffenbaugh, N.S., Scherer, M., Trapp, R.J., 2013. Robust increases in severe thunderstorm environments in response to greenhouse forcing. Proc. Natl. Acad. Sci. 201307758.</w:t>
      </w:r>
    </w:p>
    <w:p w14:paraId="2A52866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Dileckli, N., Koch, J., Jawarneh, R.N., n.d. A Spatial Analysis of Historical and Potential Future Urbanization Patterns in the Oklahoma City Metropolitan Area. Unpubl. Work.</w:t>
      </w:r>
    </w:p>
    <w:p w14:paraId="3AFA639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Dillon, R.L., Tinsley, C.H., 2016. Near-miss events, risk messages, and decision making. Environ. Syst. Decis. 36, 34–44. https://doi.org/10.1007/s10669-015-9578-x</w:t>
      </w:r>
    </w:p>
    <w:p w14:paraId="32CACF8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Dillon, R.L., Tinsley, C.H., Burns, W.J., 2014. Near-misses and future disaster preparedness. Risk Anal. 34, 1907–1922. https://doi.org/10.1111/risa.12209</w:t>
      </w:r>
    </w:p>
    <w:p w14:paraId="2989233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Dillon, R.L., Tinsley, C.H., Cronin, M., 2011. Why near-miss events can decrease an individual’s protective response to hurricanes. Risk Anal. 31, 440–449. https://doi.org/10.1111/j.1539-6924.2010.01506.x</w:t>
      </w:r>
    </w:p>
    <w:p w14:paraId="0D18203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Dixon, P.G., Mercer, A.E., Choi, J., Allen, J.S., 2011. Tornado risk analysis: is Dixie Alley an extension of Tornado Alley? Bull. Am. Meteorol. Soc. 92, 433. https://doi.org/10.1175/2010BAMS3102.1</w:t>
      </w:r>
    </w:p>
    <w:p w14:paraId="71998D4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Dixon, R.W., Moore, T.W., 2012. Tornado Vulnerability in Texas. Weather. Clim. Soc. 4, 59–68. https://doi.org/10.1175/WCAS-D-11-00004.1</w:t>
      </w:r>
    </w:p>
    <w:p w14:paraId="2ACE348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Dorning, M.A., Koch, J., Shoemaker, D.A., Meentemeyer, R.K., 2015. Simulating urbanization scenarios reveals tradeoffs between conservation planning strategies. Landsc. Urban Plan. 136, 28–39. https://doi.org/10.1016/j.landurbplan.2014.11.011</w:t>
      </w:r>
    </w:p>
    <w:p w14:paraId="43C15D55" w14:textId="6BFD01C2"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2007. Small sample size and data quality issues illustrated using tornado occurrence data. E-Journal Sev. Storms Meteorol. 2, 1–16.</w:t>
      </w:r>
    </w:p>
    <w:p w14:paraId="6C265440" w14:textId="7ABC663F"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Brooks, H.E., Dotzek, N., 2009. On the implementation of the enhanced Fujita scale in the USA. Atmos. Res. 93, 554–563. https://doi.org/10.1016/j.atmosres.2008.11.003</w:t>
      </w:r>
    </w:p>
    <w:p w14:paraId="157B1B4E" w14:textId="127D5F50"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Burgess, D.W., 1988. On some issues of United States tornado climatology. Mon. Weather Rev. 116, 495–501. https://doi.org/10.1175/1520-0493(1988)116&lt;0495:OSIOUS&gt;2.0.CO;2</w:t>
      </w:r>
    </w:p>
    <w:p w14:paraId="2ED34326" w14:textId="74A229B2"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Carbin, G.W., Brooks, H.E., 2012. The tornadoes of spring 2011 in the USA: An historical perspective. Weather 67, 88–94.</w:t>
      </w:r>
    </w:p>
    <w:p w14:paraId="79C3CB0A" w14:textId="32452635"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Edwards, R., Thompson, R.L., Hart, J.A., Crosbie, K.C., 2006. A Simple and Flexible Method for Ranking Severe Weather Events. Weather Forecast. 21, 939–951. https://doi.org/10.1175/WAF959.1</w:t>
      </w:r>
    </w:p>
    <w:p w14:paraId="67512E59" w14:textId="29AF512F"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Doswell, C.A.</w:t>
      </w:r>
      <w:r w:rsidR="00A4292E">
        <w:rPr>
          <w:noProof/>
        </w:rPr>
        <w:t xml:space="preserve"> II</w:t>
      </w:r>
      <w:r w:rsidRPr="004018A9">
        <w:rPr>
          <w:noProof/>
        </w:rPr>
        <w:t>I., Moller, A.R., Brooks, H.E., 1999. Storm Spotting and Public Awareness since the First Tornado Forecasts of 1948. Weather Forecast. 14, 544–557. https://doi.org/10.1175/1520-0434(1999)014&lt;0544:SSAPAS&gt;2.0.CO;2</w:t>
      </w:r>
    </w:p>
    <w:p w14:paraId="306C05F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Droegemeier, K.K., Lazarus, S.M., Davies-Jones, R., 1993. The influence of helicity on numerically simulated convective storms. Mon. Weather Rev. 121, 2005–2029.</w:t>
      </w:r>
    </w:p>
    <w:p w14:paraId="3B2CC0D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Eakin, H., Luers, A.L., 2006. Assessing the vulnerability of social-environmental systems. Annu. Rev. Environ. Resour. 31, 365–394.</w:t>
      </w:r>
    </w:p>
    <w:p w14:paraId="3EEE231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Edwards, R., La Due, J.G., Ferree, J.T., Scharfenberg, K., Maier, C., Coulbourne, W.L., LaDue, J.G., Ferree, J.T., Scharfenberg, K., Maier, C., Coulbourne, W.L., 2013. Tornado intensity estimation: Past, present, and future. Bull. Am. Meteorol. Soc. 94, 641–653. https://doi.org/10.1175/BAMS-D-11-00006.1</w:t>
      </w:r>
    </w:p>
    <w:p w14:paraId="50C3F06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Edwards, R., Schaefer, J., 2012. Downtown tornadoes. Accessed through NOAA 13.</w:t>
      </w:r>
    </w:p>
    <w:p w14:paraId="07EBA11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Elsner, J.B., Elsner, S.C., Jagger, T.H., 2015. The increasing efficiency of tornado days in the United States. Clim. Dyn. 45, 651–659. https://doi.org/10.1007/s00382-014-2277-3</w:t>
      </w:r>
    </w:p>
    <w:p w14:paraId="758F2C1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Elsner, J.B., Fricker, T., Berry, W.D., 2018. A model for US tornado casualties involving interaction between damage path estimates of population density and energy dissipation. J. Appl. Meteorol. Climatol. 57, 2035–2046.</w:t>
      </w:r>
    </w:p>
    <w:p w14:paraId="109A840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Elsner, J.B., Jagger, T.H., Fricker, T., 2016. Statistical models for tornado climatology: long and short-term views. PLoS One 11, e0166895.</w:t>
      </w:r>
    </w:p>
    <w:p w14:paraId="12C80A7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Elsner, J.B., Jagger, T.H., Widen, H.M., Chavas, D.R., 2014. Daily tornado frequency distributions in the United States. Environ. Res. Lett. 9, 24018.</w:t>
      </w:r>
    </w:p>
    <w:p w14:paraId="1F47204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Elsner, J.B., Michaels, L.E., Scheitlin, K.N., Elsner, I.J., 2013a. The decreasing population bias in tornado reports across the central Plains. Weather. Clim. Soc. 5, 221–232.</w:t>
      </w:r>
    </w:p>
    <w:p w14:paraId="06ACEBA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Elsner, J.B., Murnane, R.J., Jagger, T.H., Widen, H.M., 2013b. A Spatial Point Process Model for Violent Tornado Occurrence in the US Great Plains. Math. Geosci. 45, 667–679. https://doi.org/10.1007/s11004-013-9458-1</w:t>
      </w:r>
    </w:p>
    <w:p w14:paraId="32D831B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EPA, 2009. Land-use scenarios: National-scale housing-density scenarios consistent with climate change storylines.</w:t>
      </w:r>
    </w:p>
    <w:p w14:paraId="2AF7219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Etkin, D., 1999. Risk transference and related trends: driving forces towards more mega-disasters. Glob. Environ. Chang. Part B Environ. Hazards 1, 69–75.</w:t>
      </w:r>
    </w:p>
    <w:p w14:paraId="65D0E3A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Federal Emergency Management Agency, 2018. Be prepared for a tornado [WWW Document]. FEMA V-1010.</w:t>
      </w:r>
    </w:p>
    <w:p w14:paraId="19BADEF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Field, C.B., Barros, V., Stocker, T.F., Dahe, Q., 2012. Managing the risks of extreme events and disasters to advance climate change adaptation: special report of the intergovernmental panel on climate change. Cambridge University Press.</w:t>
      </w:r>
    </w:p>
    <w:p w14:paraId="3108FE1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Foley, J.A., DeFries, R., Asner, G.P., Barford, C., Bonan, G., Carpenter, S.R., Chapin, F.S., Coe, M.T., Daily, G.C., Gibbs, H.K., others, 2005. Global consequences of land use. Science (80-. ). 309, 570–574.</w:t>
      </w:r>
    </w:p>
    <w:p w14:paraId="4108164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Fraedrich, K., Gerstengarbe, F.-W., Werner, P.C., 2001. Climate shifts during the last century. Clim. Change 50, 405–417.</w:t>
      </w:r>
    </w:p>
    <w:p w14:paraId="6E4AEFB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Fricker, T., Elsner, J.B., 2015. Kinetic energy of tornadoes in the United States. PLoS One 10, e0131090.</w:t>
      </w:r>
    </w:p>
    <w:p w14:paraId="4BDC18F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Fricker, T., Elsner, J.B., 2019. Unusually devastating tornadoes in the United States: 1995--2016. Ann. Am. Assoc. Geogr. 1–15.</w:t>
      </w:r>
    </w:p>
    <w:p w14:paraId="55B6F74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Frumkin, H., 2016. Urban sprawl and public health. Public Health Rep.</w:t>
      </w:r>
    </w:p>
    <w:p w14:paraId="67392B1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Fujita, T.T., 1971. Proposed characterization of tornadoes and hurricanes by area and intensity (No. 91), Satellite &amp; Mesometeorology Research Project. Chicago, IL.</w:t>
      </w:r>
    </w:p>
    <w:p w14:paraId="173627E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Fujita, T.T., Pearson, A.D., 1973. Results of FPP classification of 1971 and 1972 tornadoes, in: Bulletin of the American Meteorological Society.</w:t>
      </w:r>
    </w:p>
    <w:p w14:paraId="13A6BFD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Galway, J.G., 1981. Ten famous tornado outbreaks. Weatherwise 34, 100–109. https://doi.org/10.1080/00431672.1981.9931955 To</w:t>
      </w:r>
    </w:p>
    <w:p w14:paraId="7F1B320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Gensini, V.A., Ashley, W.S., 2011. Climatology of potentially severe convective environments from the North American Regional Reanalysis. E-Journal Sev. Storms Meteorol. 6, 1–40.</w:t>
      </w:r>
    </w:p>
    <w:p w14:paraId="515C732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Gensini, V.A., Brooks, H.E., 2018. Spatial trends in United States tornado frequency. npj Clim. Atmos. Sci. 1, 38.</w:t>
      </w:r>
    </w:p>
    <w:p w14:paraId="62BB0D1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Gensini, V.A., Mote, T.L., 2015. Downscaled estimates of late 21st century severe weather from CCSM3. Clim. Change 129, 307–321.</w:t>
      </w:r>
    </w:p>
    <w:p w14:paraId="3CF113D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Gensini, V.A., Mote, T.L., Brooks, H.E., 2014a. Severe-Thunderstorm Reanalysis Environments and Collocated Radiosonde Observations. J. Appl. Meteorol. Climatol. 53, 742–751. https://doi.org/10.1175/jamc-d-13-0263.1</w:t>
      </w:r>
    </w:p>
    <w:p w14:paraId="0793616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Gensini, V.A., Ramseyer, C., Mote, T.L., 2014b. Future convective environments using NARCCAP. Int. J. Climatol. 34, 1699–1705. https://doi.org/10.1002/joc.3769</w:t>
      </w:r>
    </w:p>
    <w:p w14:paraId="3C0C394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Giglioli, N., Saltelli, A., 2008. Simlab 2.2 Reference Manual. Ispra, Italy Inst. Syst. Informatics Saf. (Joint Res. Centre, Eur. Comm.</w:t>
      </w:r>
    </w:p>
    <w:p w14:paraId="3BFF487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Goliger, A.M., Milford, R. V., 1998. A review of worldwide occurrence of tornadoes. J. Wind Eng. Ind. Aerodyn. 74–76, 111–121. https://doi.org/10.1016/S0167-6105(98)00009-9</w:t>
      </w:r>
    </w:p>
    <w:p w14:paraId="4B8BE2F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Grams, J., Bunting, B., Weiss, S., 2014. SPC Convective Outlooks [WWW Document].</w:t>
      </w:r>
    </w:p>
    <w:p w14:paraId="508FAAA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Grazulis, T.P., 1993. Significant Tornadoes: 1680-1991. Enviromental Films.</w:t>
      </w:r>
    </w:p>
    <w:p w14:paraId="329278A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Grazulis, T.P., 1997. Significant Tornadoes (Update): 1992-1995. Environmental Films.</w:t>
      </w:r>
    </w:p>
    <w:p w14:paraId="382A4F3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Greenbaum, R.T., 2002. A spatial study of teachers’ salaries in Pennsylvania school districts. J. Labor Res. 23, 69–86.</w:t>
      </w:r>
    </w:p>
    <w:p w14:paraId="4A2CE61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Griffith, D.A., Haining, R., 2006. Beyond mule kicks: The Poisson distribution in geographical analysis. Geogr. Anal. 38, 123–139.</w:t>
      </w:r>
    </w:p>
    <w:p w14:paraId="3782D6C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Groenemeijer, P., Kühne, T., 2014. A climatology of tornadoes in Europe: Results from the European Severe Weather Database. Mon. Weather Rev. 142, 4775–4790.</w:t>
      </w:r>
    </w:p>
    <w:p w14:paraId="3177019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Halbert, K.T., Blumberg, W.G., Marsh, P.T., 2015. SHARPpy: Fueling the Python Cult, in: Preprints, 5th Symposium on Advances in Modeling and Analysis Using Python, Phoenix AZ.</w:t>
      </w:r>
    </w:p>
    <w:p w14:paraId="3D83C6A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Hall, S.G., Ashley, W.S., 2008. Effects of Urban Sprawl on the Vulnerability to a Significant Tornado Impact in Northeastern Illinois. Nat. Hazards Rev. 9, 209–219. https://doi.org/10.1061/͑ASCE͒1527-6988͑2008͒9:4͑209͒</w:t>
      </w:r>
    </w:p>
    <w:p w14:paraId="0368F09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Hamidi, S., Ewing, R., 2014. A longitudinal study of changes in urban sprawl between 2000 and 2010 in the United States. Landsc. Urban Plan. 128, 72–82.</w:t>
      </w:r>
    </w:p>
    <w:p w14:paraId="6BE3080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Handy, S., 2005. Smart growth and the transportation-land use connection: What does the research tell us? Int. Reg. Sci. Rev. 28, 146–167.</w:t>
      </w:r>
    </w:p>
    <w:p w14:paraId="7FB8DF3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Hatzis, J.J., Koch, J., Brooks, H.E., 2019. Spatiotemporal Analysis of Near-Miss Violent Tornadoes in the United States. Weather. Clim. Soc. 11, 159–182.</w:t>
      </w:r>
    </w:p>
    <w:p w14:paraId="7257606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Hatzis, J.J., Koch, J., Brooks, H.E., n.d. A Tornado Daily Impacts Simulator for the Central and Southern United States. Unpubl. Work.</w:t>
      </w:r>
    </w:p>
    <w:p w14:paraId="1D19FDC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Hitchens, N.M., Brooks, H.E., 2014. Evaluation of the Storm Prediction Center’s Convective Outlooks from Day 3 through Day 1. Weather Forecast. 29, 1134–1142. https://doi.org/10.1175/WAF-D-13-00132.1</w:t>
      </w:r>
    </w:p>
    <w:p w14:paraId="092A65B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Hitchens, N.M., Brooks, H.E., Kay, M.P., 2013. Objective limits on forecasting skill of rare events. Wea.\ Forecast. 28, 525–534. https://doi.org/10.1175/WAF-D-12-00113.1</w:t>
      </w:r>
    </w:p>
    <w:p w14:paraId="3A8DA2FB" w14:textId="09C315E9"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Hoekstra, S., Klockow, K., Riley, R., Brotzge, J., Brooks, H.</w:t>
      </w:r>
      <w:r w:rsidR="00A4292E">
        <w:rPr>
          <w:noProof/>
        </w:rPr>
        <w:t>E.</w:t>
      </w:r>
      <w:r w:rsidRPr="004018A9">
        <w:rPr>
          <w:noProof/>
        </w:rPr>
        <w:t>, Erickson, S., 2011. A Preliminary Look at the Social Perspective of Warn-on-Forecast: Preferred Tornado Warning Lead Time and the General Public’s Perceptions of Weather Risks. Weather. Clim. Soc. 3, 128–140. https://doi.org/10.1175/2011WCAS1076.1</w:t>
      </w:r>
    </w:p>
    <w:p w14:paraId="66B24E2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Hoffman, R.L., 2013. To the Southwest Corner: Tornado Myths and Socio-Demographic Vulnerability. Kent State University.</w:t>
      </w:r>
    </w:p>
    <w:p w14:paraId="616DE9C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Hollander, M., Wolfe, D.A., Chicken, E., 2013. Nonparametric statistical methods. John Wiley &amp; Sons.</w:t>
      </w:r>
    </w:p>
    <w:p w14:paraId="50ADE0B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IPCC, 2013. Summary for Policymakers, Climate Change 2013: The Physical Science Basis. Contribution of Working Group I to the Fifth Assessment Report of the Intergovernmental Panel on Climate Change. Cambridge University Press, Cambridge, United Kingdom. https://doi.org/10.1017/CBO9781107415324.004</w:t>
      </w:r>
    </w:p>
    <w:p w14:paraId="3993990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IPCC, 2019. Special Report on Climate Change and Land.</w:t>
      </w:r>
    </w:p>
    <w:p w14:paraId="6E61E69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Ivajnšič, D., Kaligarič, M., Žiberna, I., 2014. Geographically weighted regression of the urban heat island of a small city. Appl. Geogr. 53, 341–353.</w:t>
      </w:r>
    </w:p>
    <w:p w14:paraId="3CD7711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Jones, B., 2017. Natural disasters: Cities build their vulnerability. Nat. Clim. Chang. 7, 237–238.</w:t>
      </w:r>
    </w:p>
    <w:p w14:paraId="301B4BF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Kanamitsu, M., Ebisuzaki, W., Woollen, J., Yang, S.-K., Hnilo, J.J., Fiorino, M., Potter, G.L., 2002. Ncep--doe amip-ii reanalysis (r-2). Bull. Am. Meteorol. Soc. 83, 1631–1644.</w:t>
      </w:r>
    </w:p>
    <w:p w14:paraId="223E01D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Kaplan, S., Garrick, B.J., 1981. On the quantitative definition of risk. Risk Anal. 1, 11–27. https://doi.org/10.1111/j.1539-6924.1981.tb01350.x</w:t>
      </w:r>
    </w:p>
    <w:p w14:paraId="3FD8ACE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Karstens, C.D., Stumpf, G., Ling, C., Hua, L., Kingfield, D., Smith, T.M., Correia Jr, J., Calhoun, K., Ortega, K., Melick, C., others, 2015. Evaluation of a probabilistic forecasting methodology for severe convective weather in the 2014 Hazardous Weather Testbed. Weather Forecast. 30, 1551–1570.</w:t>
      </w:r>
    </w:p>
    <w:p w14:paraId="766D1A8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Kay, M.P., Brooks, H.E., 2000. Verification of probabilistic severe storm forecasts at the SPC, in: Preprints, 20th Conf. on Severe Local Storms, Orlando, FL, Amer. Meteor. Soc.</w:t>
      </w:r>
    </w:p>
    <w:p w14:paraId="52A0021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Kendall, M.G., 1975. Rank Correlation Methods 4th edition. Charles Griffin, London.</w:t>
      </w:r>
    </w:p>
    <w:p w14:paraId="5F7C093C" w14:textId="0DC9FF45"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Kis, A.K., Straka, J.M., 2010. Nocturnal Tornado Climatology. Weather Forecast. 25, 545–561. https://doi.org/10.1175/2009waf2222294.1</w:t>
      </w:r>
    </w:p>
    <w:p w14:paraId="347B327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Klockow, K.E., Peppler, R.A., McPherson, R.A., 2014. Tornado folk science in Alabama and Mississippi in the 27 April 2011 tornado outbreak. GeoJournal 79, 791–804. https://doi.org/10.1007/s10708-013-9518-6</w:t>
      </w:r>
    </w:p>
    <w:p w14:paraId="754AE54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Knupp, K.R., Murphy, T.A., Coleman, T.A., Wade, R.A., Mullins, S.A., Schultz, C.J., Schultz, E. V., Carey, L., Sherrer, A., McCaul, E.W., Carcione, B., Latimer, S., Kula, A., Laws, K., Marsh, P.T., Klockow, K., 2014. Meteorological overview of the devastating 27 april 2011 tornado outbreak. Bull. Am. Meteorol. Soc. 95, 1041–1062. https://doi.org/10.1175/BAMS-D-11-00229.1</w:t>
      </w:r>
    </w:p>
    <w:p w14:paraId="5549BE0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Koch, J., 2010. Modeling the impacts of land-use change on ecosystems at the regional and continental scale. kassel university press GmbH.</w:t>
      </w:r>
    </w:p>
    <w:p w14:paraId="090C4DC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Krocak, M.J., Brooks, H.E., 2018. Climatological estimates of hourly tornado probability for the United States. Weather Forecast. 33, 59–69.</w:t>
      </w:r>
    </w:p>
    <w:p w14:paraId="3811152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Kuligowski, E.D., Lombardo, F.T., Phan, L.T., Levitan, M.L., Jorgensen, D.P., 2014. Technical investigation of the May 22, 2011 tornado in Joplin, Missouri. Gaithersburg, Maryland.</w:t>
      </w:r>
    </w:p>
    <w:p w14:paraId="026539A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Kurdzo, J.M., Bodine, D.J., Cheong, B.L., Palmer, R.D., 2015. High-Temporal Resolution Polarimetric X-Band Doppler Radar Observations of the 20 May 2013 Moore, Oklahoma, Tornado. Mon. Weather Rev. 143, 2711–2735. https://doi.org/10.1175/MWR-D-14-00357.1</w:t>
      </w:r>
    </w:p>
    <w:p w14:paraId="0062B11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Laidley, T., 2016. Measuring sprawl: a new index, recent trends, and future research. Urban Aff. Rev. 52, 66–97.</w:t>
      </w:r>
    </w:p>
    <w:p w14:paraId="6531646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Lee, J.W., 2002. Tornado proximity soundings from the NCEP/NCAR reanalysis data. University of Oklahoma.</w:t>
      </w:r>
    </w:p>
    <w:p w14:paraId="32E59D1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Legendre, P., Legendre, L., 2012. Numerical ecology, 3rd English edition. Elsevier, Amsterdam.</w:t>
      </w:r>
    </w:p>
    <w:p w14:paraId="2DC8C84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Lim, J., Loveridge, S., Shupp, R., Skidmore, M., 2017. Double danger in the double wide: Dimensions of poverty, housing quality and tornado impacts. Reg. Sci. Urban Econ. 65, 1–15. https://doi.org/10.1016/j.regsciurbeco.2017.04.003</w:t>
      </w:r>
    </w:p>
    <w:p w14:paraId="0AB86A3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Lindell, M.K., Huang, S.K., Wei, H.L., Samuelson, C.D., 2016. Perceptions and expected immediate reactions to tornado warning polygons. Nat. Hazards 80, 683–707. https://doi.org/10.1007/s11069-015-1990-5</w:t>
      </w:r>
    </w:p>
    <w:p w14:paraId="5FCEB33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Liu, S., Quenemoen, L.E., Malilay, J., Noji, E., Sinks, T., Mendlein, J., 1996. Assessment of a severe-weather warning system and disaster preparedness, Calhoun County, Alabama, 1994. Am. J. Public Health 86, 87–89.</w:t>
      </w:r>
    </w:p>
    <w:p w14:paraId="17BD2D07" w14:textId="353E9ABF"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Lock, N., 2012. An Analysis of Deep Convection Initiation Environments.</w:t>
      </w:r>
      <w:r w:rsidR="00A4292E">
        <w:rPr>
          <w:noProof/>
        </w:rPr>
        <w:t xml:space="preserve"> M.S. Thesis. University of Nebraska.</w:t>
      </w:r>
    </w:p>
    <w:p w14:paraId="4F75314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Mann, H.B., 1945. Nonparametric tests against trend. Econom. J. Econom. Soc. 245–259.</w:t>
      </w:r>
    </w:p>
    <w:p w14:paraId="5DF0FC9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Manson, S., Schroeder, J., Van Riper, D., Ruggles, S., 2017. IPUMS National Historical Geographic Information System: Version 12.0. https://doi.org/10.18128/D050.V12.0</w:t>
      </w:r>
    </w:p>
    <w:p w14:paraId="0116E76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McDonald, J.R., Mehta, K.C., 2006a. A recommendation for an Enhanced Fujita scale (EF-Scale). Wind Science and Engineering Center, Texas Tech University.</w:t>
      </w:r>
    </w:p>
    <w:p w14:paraId="66B7226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McDonald, J.R., Mehta, K.C., 2006b. A Recommendation for an Enhanced Fujita Scale (EF-Scale) 1–95.</w:t>
      </w:r>
    </w:p>
    <w:p w14:paraId="1AAF525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McDonald, J.R., Mehta, K.C., Mani, S., 2003. F-scale modification process and proposed revisions. Preprints, in: Symp. on the F-Scale and Severe-Weather Damage Assessment.</w:t>
      </w:r>
    </w:p>
    <w:p w14:paraId="52F683C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Mearns, L., McGinnis, S., Arritt, R., Biner, S., Duffy, P., Gutowski, W., Held, I., Jones, R., Leung, R., Nunes, A., Snyder, M., Caya, D., Correia, J., Flory, D., Herzmann, D., Laprise, R., Moufouma-Okia, W., Takle, G., Teng, H., Thompson, J., Tucker, S., Wyman, B., Anitha, A., Buja, L., Macintosh, C., McDaniel, L., O’Brien, T., Qian, Y., Sloan, L., Strand, G., Zoellick, C., 2014. The North American Regional Climate Change Assessment Program dataset. https://doi.org/10.5065/D6RN35ST</w:t>
      </w:r>
    </w:p>
    <w:p w14:paraId="562A87F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Mearns, L.O., Sain, S., Leung, L.R., Bukovsky, M.S., McGinnis, S., Biner, S., Caya, D., Arritt, R.W., Gutowski, W., Takle, E., others, 2013. Climate change projections of the North American regional climate change assessment program (NARCCAP). Clim. Change 120, 965–975.</w:t>
      </w:r>
    </w:p>
    <w:p w14:paraId="38AFEA2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Merrell, D., Simmons, K., Sutter, D., 2002. Taking Shelter : Estimating the Safety Benefits of Tornado Safe Rooms. Am. Meteorol. Soc. 17, 619–625. https://doi.org/10.1175/1520-0434(2002)017&lt;0619:TSETSB&gt;2.0.CO;2</w:t>
      </w:r>
    </w:p>
    <w:p w14:paraId="4FB77E1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Merrell, D., Simmons, K.M., Sutter, D., 2005. The determinants of tornado casualties and the benefits of tornado shelters. Land Econ. 81, 87–99.</w:t>
      </w:r>
    </w:p>
    <w:p w14:paraId="4D6D059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Mesinger, F., DiMego, G., Kalnay, E., Mitchell, K., Shafran, P.C., Ebisuzaki, W., Jovic, D., Woollen, J., Rogers, E., Berbery, E.H., 2006. North American regional reanalysis. Bull. Am. Meteorol. Soc. 87, 343–360.</w:t>
      </w:r>
    </w:p>
    <w:p w14:paraId="6A7CEF8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Meyer, C.L., Brooks, H.E., Kay, M.P., 2002. A hazard model for tornado occurrence in the United States, in: Preprints, 16th Conf. on Probability and Statistics, Orlando, FL, Amer. Meteor. Soc., J88--J95.</w:t>
      </w:r>
    </w:p>
    <w:p w14:paraId="55FF4280" w14:textId="6F2884E3"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Moller, A.R., Doswell, C.A.</w:t>
      </w:r>
      <w:r w:rsidR="00A4292E">
        <w:rPr>
          <w:noProof/>
        </w:rPr>
        <w:t xml:space="preserve"> II</w:t>
      </w:r>
      <w:r w:rsidRPr="004018A9">
        <w:rPr>
          <w:noProof/>
        </w:rPr>
        <w:t>I., Foster, M.P., Woodall, G.R., 1994. The operational recognition of supercell thunderstorm environments and storm structures. Weather Forecast. 9, 327–347.</w:t>
      </w:r>
    </w:p>
    <w:p w14:paraId="3CA7048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Mooney, C.Z., 1997. Monte carlo simulation. Sage Publications.</w:t>
      </w:r>
    </w:p>
    <w:p w14:paraId="6E64F18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Moran, P.A.P., 1950. Notes on continuous stochastic phenomena. Biometrika 37, 17–23.</w:t>
      </w:r>
    </w:p>
    <w:p w14:paraId="31929D0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Morss, R.E., Wilhelmi, O. V, Meehl, G.A., Dilling, L., 2011. Improving societal outcomes of extreme weather in a changing climate: an integrated perspective. Annu. Rev. Environ. Resour. 36, 1–25.</w:t>
      </w:r>
    </w:p>
    <w:p w14:paraId="609E5554" w14:textId="17003AD5"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Murphy, T.A., Knupp, K.R., 2013. An analysis of cold season supercell storms using the synthetic dual-Doppler technique. Mon. Wea. Rev. 141, 602–624. https://doi.org/10.1175/MWR-D-12-00035.1</w:t>
      </w:r>
    </w:p>
    <w:p w14:paraId="353C5E2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Nakaya, T., Fotheringham, A.S., Brunsdon, C., Charlton, M., 2005. Geographically weighted Poisson regression for disease association mapping. Stat. Med. 24, 2695–2717.</w:t>
      </w:r>
    </w:p>
    <w:p w14:paraId="67F56B9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Nakicenovic, N., Alcamo, J., Grubler, A., Riahi, K., Roehrl, R.A., Rogner, H.-H., Victor, N., 2000. Special report on emissions scenarios (SRES), a special report of Working Group III of the intergovernmental panel on climate change. Cambridge University Press.</w:t>
      </w:r>
    </w:p>
    <w:p w14:paraId="4D2E57A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Naylor, J., Gilmore, M.S., 2012. Environmental factors influential to the duration and intensity of tornadoes in simulated supercells. Geophys. Res. Lett. 39.</w:t>
      </w:r>
    </w:p>
    <w:p w14:paraId="05E47D0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Notis, C., Stanford, J.L., 1973. The contrasting synoptic and physical character of northeast and southeast advancing tornadoes in Iowa. J. Appl. Meteorol. 12, 1163–1173.</w:t>
      </w:r>
    </w:p>
    <w:p w14:paraId="299E331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Nowotarski, C.J., Jensen, A.A., 2013. Classifying Proximity Soundings with Self-Organizing Maps toward Improving Supercell and Tornado Forecasting. Weather Forecast. 28, 783–801. https://doi.org/10.1175/WAF-D-12-00125.1</w:t>
      </w:r>
    </w:p>
    <w:p w14:paraId="351ACB4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NWS, 1999. The Great Plains tornado outbreak of May 3-4, 1999.</w:t>
      </w:r>
    </w:p>
    <w:p w14:paraId="5FF4448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NWS, 2011. Historic Outbreak of April 27, 2011.</w:t>
      </w:r>
    </w:p>
    <w:p w14:paraId="38F670B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NWS, 2017. 6th anniversary of the Joplin tornado - May 22nd, 2011.</w:t>
      </w:r>
    </w:p>
    <w:p w14:paraId="614F361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NWS, 2018. NWS Damage Assessment Toolkit.</w:t>
      </w:r>
    </w:p>
    <w:p w14:paraId="36DAAB6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Oklahoma City Planning Commission, 2017. PlanOKC.</w:t>
      </w:r>
    </w:p>
    <w:p w14:paraId="7DEE7E3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Paul, B.K., 2011. Environmental hazards and disasters: contexts, perspectives and management. John Wiley &amp; Sons.</w:t>
      </w:r>
    </w:p>
    <w:p w14:paraId="416CB7C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Paul, B.K., Stimers, M., 2012. Exploring probable reasons for record fatalities: the case of 2011 Joplin, Missouri, tornado. Nat. Hazards 64, 1511–1526. https://doi.org/10.1007/s11069-012-0313-3</w:t>
      </w:r>
    </w:p>
    <w:p w14:paraId="02D254B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Paul, B.K., Stimers, M., Caldas, M., 2015. Predictors of compliance with tornado warnings issued in Joplin, Missouri, in 2011. Disasters 39, 108–124.</w:t>
      </w:r>
    </w:p>
    <w:p w14:paraId="5A09802B" w14:textId="72066568"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 xml:space="preserve">Paulikas, M.J., 2015. Potential tornado vulnerability variance over a 24-hour cycle for an urban metropolitan region. </w:t>
      </w:r>
      <w:r w:rsidR="00A4292E">
        <w:rPr>
          <w:noProof/>
        </w:rPr>
        <w:t xml:space="preserve">Dissertation. </w:t>
      </w:r>
      <w:r w:rsidRPr="004018A9">
        <w:rPr>
          <w:noProof/>
        </w:rPr>
        <w:t>Kent State University.</w:t>
      </w:r>
    </w:p>
    <w:p w14:paraId="3986E39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Peduzzi, P., Chatenoux, B., Dao, H., De Bono, A., Herold, C., Kossin, J., Mouton, F., Nordbeck, O., 2012. Global trends in tropical cyclone risk. Nat. Clim. Chang. 2, 289.</w:t>
      </w:r>
    </w:p>
    <w:p w14:paraId="06D5ECE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Pinelli, J.-P., Simiu, E., Gurley, K., Subramanian, C., Zhang, L., Cope, A., Filliben, J.J., Hamid, S., 2004. Hurricane damage prediction model for residential structures. J. Struct. Eng. 130, 1685–1691.</w:t>
      </w:r>
    </w:p>
    <w:p w14:paraId="57EE139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Pohar, M., Blas, M., Turk, S., 2004. Comparison of logistic regression and linear discriminant analysis: a simulation study. Metod. Zv. 1, 143.</w:t>
      </w:r>
    </w:p>
    <w:p w14:paraId="637342A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Powell, J.A., 1998. Race and space: What really drives metropolitan growth. Brookings Rev. 16, 20.</w:t>
      </w:r>
    </w:p>
    <w:p w14:paraId="57CFF71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Powell, M.D., Aberson, S.D., 2001. Accuracy of United States tropical cyclone landfall forecasts in the Atlantic basin (1976-2000). Bull. Am. Meteorol. Soc. 82, 2749–2767.</w:t>
      </w:r>
    </w:p>
    <w:p w14:paraId="6047676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Prevatt, D.O., van de Lindt, J.W., Back, E.W., Graettinger, A.J., Pei, S., Coulbourne, W., Gupta, R., James, D., Agdas, D., 2012. Making the case for improved structural design: Tornado outbreaks of 2011. Leadersh. Manag. Eng. 12, 254–270.</w:t>
      </w:r>
    </w:p>
    <w:p w14:paraId="2E56B4C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Prosser, N.E., 1976. Denver’s near-miss tornado of 1975. Mon. Weather Rev. 104, 800–803.</w:t>
      </w:r>
    </w:p>
    <w:p w14:paraId="4F6238B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Pryor, S.C., Scavia, D., Downer, C., Gaden, M., Iverson, L.R., Nordstrom, R., Patz, J., Robertson, G.P., 2014. Midwest, Climate Change Impacts in the United States: The Third National Climate Assessment. https://doi.org/10.7930/J0J1012N</w:t>
      </w:r>
    </w:p>
    <w:p w14:paraId="0627B3E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Radeloff, V.C., Hammer, R.B., Stewart, S.I., 2005. Rural and suburban sprawl in the US Midwest from 1940 to 2000 and its relation to forest fragmentation. Conserv. Biol. 19, 793–805.</w:t>
      </w:r>
    </w:p>
    <w:p w14:paraId="3C2E824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Rae, S., Stefkovich, J., 2000. The tornado damage risk assessment predicting the impact of a big outbreak in Dallas-Fort Worth, Texas. Ext. Abstr. 20th Conf. Sev. Local Storms 9.6.</w:t>
      </w:r>
    </w:p>
    <w:p w14:paraId="5F49EA2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Rasmussen, E.N., Blanchard, D.O., 1998. A Baseline Climatology of Sounding-Derived Supercell andTornado Forecast Parameters. Weather Forecast. 13, 1148–1164. https://doi.org/10.1175/1520-0434(1998)013&lt;1148:ABCOSD&gt;2.0.CO;2</w:t>
      </w:r>
    </w:p>
    <w:p w14:paraId="31A9227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Ratcliffe, M., Burd, C., Holder, K., Fields, A., 2016. Defining rural at the US Census Bureau. Am. community Surv. Geogr. Br. 1–8.</w:t>
      </w:r>
    </w:p>
    <w:p w14:paraId="409B83C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Remo, J.W.F., Carlson, M., Pinter, N., 2012. Hydraulic and flood-loss modeling of levee, floodplain, and river management strategies, Middle Mississippi River, USA. Nat. hazards 61, 551–575.</w:t>
      </w:r>
    </w:p>
    <w:p w14:paraId="291B0F4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Remo, J.W.F., Pinter, N., 2012. Hazus-MH earthquake modeling in the central USA. Nat. hazards 63, 1055–1081.</w:t>
      </w:r>
    </w:p>
    <w:p w14:paraId="0E261A8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Rosencrants, T.D., Ashley, W.S., 2015. Spatiotemporal analysis of tornado exposure in five US metropolitan areas. Nat. Hazards 78, 121–140. https://doi.org/10.1007/s11069-015-1704-z</w:t>
      </w:r>
    </w:p>
    <w:p w14:paraId="66D4203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Saltelli, A., 2002. Making best use of model evaluations to compute sensitivity indices. Comput. Phys. Commun. 145, 280–297.</w:t>
      </w:r>
    </w:p>
    <w:p w14:paraId="72E54EF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Sayemuzzaman, M., Jha, M.K., 2014. Seasonal and annual precipitation time series trend analysis in North Carolina, United States. Atmos. Res. 137, 183–194.</w:t>
      </w:r>
    </w:p>
    <w:p w14:paraId="6212A01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Scheidel, A., Sorman, A.H., 2012. Energy transitions and the global land rush: Ultimate drivers and persistent consequences. Glob. Environ. Chang. 22, 588–595.</w:t>
      </w:r>
    </w:p>
    <w:p w14:paraId="7F95384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Schmidlin, T.W., Hammer, B.O., Ono, Y., King, P.S., 2009. Tornado shelter-seeking behavior and tornado shelter options among mobile home residents in the United States. Nat. Hazards 48, 191–201. https://doi.org/10.1007/s11069-008-9257-z</w:t>
      </w:r>
    </w:p>
    <w:p w14:paraId="1A9DAB8E" w14:textId="67CAD76F"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Schultz, D.M., Richardson, Y.P., Markowski, P.M., Doswell, C.A.</w:t>
      </w:r>
      <w:r w:rsidR="00A4292E">
        <w:rPr>
          <w:noProof/>
        </w:rPr>
        <w:t xml:space="preserve"> II</w:t>
      </w:r>
      <w:r w:rsidRPr="004018A9">
        <w:rPr>
          <w:noProof/>
        </w:rPr>
        <w:t>I., 2014. Tornadoes in the central United States and the “Clash of Air Masses.” Bull. Am. Meteorol. Soc. 95, 1704–1712. https://doi.org/10.1175/BAMS-D-13-00252.1</w:t>
      </w:r>
    </w:p>
    <w:p w14:paraId="2DCB287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Seager, R., Lis, N., Feldman, J., Ting, M., Williams, A.P., Nakamura, J., Liu, H., Henderson, N., 2018. Whither the 100th Meridian? The once and future physical and human geography of America’s arid--humid divide. Part I: The story so far. Earth Interact. 22, 1–22.</w:t>
      </w:r>
    </w:p>
    <w:p w14:paraId="65DB90A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Seto, K.C., Fragkias, M., Güneralp, B., Reilly, M.K., 2011. A meta-analysis of global urban land expansion. PLoS One 6, e23777.</w:t>
      </w:r>
    </w:p>
    <w:p w14:paraId="33493E7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Seto, K.C., Güneralp, B., Hutyra, L.R., 2012. Global forecasts of urban expansion to 2030 and direct impacts on biodiversity and carbon pools. Proc. Natl. Acad. Sci. 109, 16083–16088.</w:t>
      </w:r>
    </w:p>
    <w:p w14:paraId="1BED64D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Seto, K.C., Ramankutty, N., 2016. Hidden linkages between urbanization and food systems. Science (80-. ). 352, 943–945.</w:t>
      </w:r>
    </w:p>
    <w:p w14:paraId="7D428C9B" w14:textId="384F4B2C"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Shafer, C.M., Mercer, A.E., Richman, M.B., Leslie, L.M., Doswell, C.A.</w:t>
      </w:r>
      <w:r w:rsidR="00A4292E">
        <w:rPr>
          <w:noProof/>
        </w:rPr>
        <w:t xml:space="preserve"> II</w:t>
      </w:r>
      <w:r w:rsidRPr="004018A9">
        <w:rPr>
          <w:noProof/>
        </w:rPr>
        <w:t>I., 2012. An Assessment of Areal Coverage of Severe Weather Parameters for Severe Weather Outbreak Diagnosis. Weather Forecast. 27, 809–831. https://doi.org/10.1175/WAF-D-11-00142.1</w:t>
      </w:r>
    </w:p>
    <w:p w14:paraId="7D1903D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Sharma, L., Pandey, P.C., Nathawat, M.S., 2012. Assessment of land consumption rate with urban dynamics change using geospatial techniques. J. Land Use Sci. 7, 135–148.</w:t>
      </w:r>
    </w:p>
    <w:p w14:paraId="43B5B19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Sherburn, K.D., Parker, M.D., 2014. Climatology and ingredients of significant severe convection in high-shear, low-CAPE environments. Weather Forecast. 29, 854–877.</w:t>
      </w:r>
    </w:p>
    <w:p w14:paraId="2C6BB1C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Sherman-Morris, K., 2010. Tornado warning dissemination and response at a university campus. Nat. Hazards 52, 623–638. https://doi.org/10.1007/s11069-009-9405-0</w:t>
      </w:r>
    </w:p>
    <w:p w14:paraId="3A8FB55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Simmons, K.M., Sutter, D., 2006. Direct estimation of the cost effectiveness of tornado shelters. Risk Anal. 26, 945–954. https://doi.org/10.1111/j.1539-6924.2006.00790.x</w:t>
      </w:r>
    </w:p>
    <w:p w14:paraId="362BF41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Simmons, K.M., Sutter, D., 2007. Tornado shelters and the manufactured home parks market. Nat. Hazards 43, 365–378. https://doi.org/10.1007/s11069-007-9123-4</w:t>
      </w:r>
    </w:p>
    <w:p w14:paraId="4F3EEB8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Simmons, K.M., Sutter, D., 2009. False alarms, tornado warnings, and tornado casualties. Weather. Clim. Soc. 1, 38–53. https://doi.org/10.1175/2009WCAS1005.1</w:t>
      </w:r>
    </w:p>
    <w:p w14:paraId="3BDE21C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Simmons, K.M., Sutter, D., 2011. Economic and societal impacts of tornadoes, 1st ed. American Meteorological Society, Boston, MA.</w:t>
      </w:r>
    </w:p>
    <w:p w14:paraId="53C2048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Simmons, K.M., Sutter, D., 2012. The 2011 tornadoes and the future of tornado research. Bull. Am. Meteorol. Soc. 93, 959–961. https://doi.org/10.1175/BAMS-D-11-00126.1</w:t>
      </w:r>
    </w:p>
    <w:p w14:paraId="55340B2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Simmons, K.M., Sutter, D., Pielke, R., 2013. Normalized tornado damage in the United States: 1950--2011. Environ. Hazards 12, 132–147.</w:t>
      </w:r>
    </w:p>
    <w:p w14:paraId="489CB0C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Smith, A.B., Katz, R.W., 2013. US billion-dollar weather and climate disasters: Data sources, trends, accuracy and biases. Nat. Hazards 67, 387–410. https://doi.org/10.1007/s11069-013-0566-5</w:t>
      </w:r>
    </w:p>
    <w:p w14:paraId="3E36CBC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Smith, B.T., Thompson, R.L., Dean, A.R., Marsh, P.T., 2015. Diagnosing the conditional probability of tornado damage rating using environmental and radar attributes. Weather Forecast. 30, 914–932.</w:t>
      </w:r>
    </w:p>
    <w:p w14:paraId="5734C3C5"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Snyder, J.C., Bluestein, H.B., 2014. Some considerations for the use of high-resolution mobile radar data in tornado intensity determination. Weather Forecast. 29, 799–827.</w:t>
      </w:r>
    </w:p>
    <w:p w14:paraId="1E47500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Sobash, R.A., Kain, J.S., Bright, D.R., Dean, A.R., Coniglio, M.C., Weiss, S.J., 2011. Probabilistic Forecast Guidance for Severe Thunderstorms Based on the Identification of Extreme Phenomena in Convection-Allowing Model Forecasts. Weather Forecast. 26, 714–728. https://doi.org/10.1175/WAF-D-10-05046.1</w:t>
      </w:r>
    </w:p>
    <w:p w14:paraId="30D6193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Sobol, I.M., 1993. Sensitivity estimates for nonlinear mathematical models. Math. Model. Comput. Exp. 1, 407–414.</w:t>
      </w:r>
    </w:p>
    <w:p w14:paraId="2092832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SPC, 2017. SVRGIS.</w:t>
      </w:r>
    </w:p>
    <w:p w14:paraId="2FBDB0F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Spies, T.A., White, E., Ager, A., Kline, J.D., Bolte, J.P., Platt, E.K., Olsen, K.A., Pabst, R.J., Barros, A.M.G., Bailey, J.D., others, 2017. Using an agent-based model to examine forest management outcomes in a fire-prone landscape in Oregon, USA. Ecol. Soc. 22 25. 22, 25.</w:t>
      </w:r>
    </w:p>
    <w:p w14:paraId="1B3B49C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Stensrud, D.J., Xue, M., Wicker, L.J., Kelleher, K.E., Foster, M.P., Schaefer, J.T., Schneider, R.S., Benjamin, S.G., Weygandt, S.S., Ferree, J.T., others, 2009. Convective-scale warn-on-forecast system: A vision for 2020. Bull. Am. Meteorol. Soc. 90, 1487–1500.</w:t>
      </w:r>
    </w:p>
    <w:p w14:paraId="4C8B154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Stewart, A.E., Knox, J.A., Schneider, P., 2018. Reaching students and parents through weather science and safety workshops for teachers. Bull. Am. Meteorol. Soc. 99, 1545–1555.</w:t>
      </w:r>
    </w:p>
    <w:p w14:paraId="0EBC8D3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Stone, B., Hess, J.J., Frumkin, H., 2010. Urban form and extreme heat events: are sprawling cities more vulnerable to climate change than compact cities? Environ. Health Perspect. 118, 1425–1428.</w:t>
      </w:r>
    </w:p>
    <w:p w14:paraId="7282BFA3"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Strader, S.M., Ash, K., Wagner, E., Sherrod, C., 2019. Mobile home resident evacuation vulnerability and emergency medical service access during tornado events in the Southeast United States. Int. J. Disaster Risk Reduct. 101210.</w:t>
      </w:r>
    </w:p>
    <w:p w14:paraId="1CFEBAB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Strader, S.M., Ashley, W.S., Irizarry, A., Hall, S., 2015. A climatology of tornado intensity assessments. Meteorol. Appl. 22, 513–524. https://doi.org/10.1002/met.1482</w:t>
      </w:r>
    </w:p>
    <w:p w14:paraId="734CD01F"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Strader, S.M., Ashley, W.S., Pingel, T.J., Krmenec, A.J., 2017a. Projected 21st century changes in tornado exposure, risk, and disaster potential. Clim. Change 141, 301–313. https://doi.org/10.1007/s10584-017-1905-4</w:t>
      </w:r>
    </w:p>
    <w:p w14:paraId="64D91B7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Strader, S.M., Ashley, W.S., Pingel, T.J., Krmenec, A.J., 2017b. Observed and projected changes in United States tornado exposure. Weather. Clim. Soc. 9, 109–123.</w:t>
      </w:r>
    </w:p>
    <w:p w14:paraId="77FF74C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Strader, S.M., Ashley, W.S., Pingel, T.J., Krmenec, A.J., 2018. How land use alters the tornado disaster landscape. Appl. Geogr. 94, 18–29. https://doi.org/10.1016/j.apgeog.2018.03.005</w:t>
      </w:r>
    </w:p>
    <w:p w14:paraId="1E2FDA4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Strader, S.M., Pingel, T.J., Ashley, W.S., 2016. A Monte Carlo model for estimating tornado impacts. Meteorol. Appl. 23, 269–281. https://doi.org/10.1002/met.1552</w:t>
      </w:r>
    </w:p>
    <w:p w14:paraId="2CD488B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Suckling, P.W., Ashley, W.S., 2006. Spatial and temporal characteristics of tornado path direction. Prof. Geogr. 58, 20–38. https://doi.org/10.1111/j.1467-9272.2006.00509.x</w:t>
      </w:r>
    </w:p>
    <w:p w14:paraId="708DA88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Thompson, R.L., Edwards, R., 2000. An Overview of Environmental Conditions and Forecast Implications of the 3 May 1999 Tornado Outbreak. Weather Forecast. 15, 682–699. https://doi.org/10.1175/1520-0434(2000)015&lt;0682:AOOECA&gt;2.0.CO;2</w:t>
      </w:r>
    </w:p>
    <w:p w14:paraId="0587FB6C"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Thompson, W.R., 2009. Variable selection of correlated predictors in logistic regression: investigating the diet-heart hypothesis. Florida State University.</w:t>
      </w:r>
    </w:p>
    <w:p w14:paraId="4CC51BC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Tinsley, C.H., Dillon, R.L., Cronin, M.A., 2012. How near-miss events amplify or attenuate risky decision making. Manage. Sci. 58, 1596–1613. https://doi.org/10.1287/mnsc.1120.1517</w:t>
      </w:r>
    </w:p>
    <w:p w14:paraId="40C6737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Tippett, M.K., Allen, J.T., Gensini, V.A., Brooks, H.E., 2015. Climate and Hazardous Convective Weather. Curr. Clim. Chang. Reports 1, 60–73. https://doi.org/10.1007/s40641-015-0006-6</w:t>
      </w:r>
    </w:p>
    <w:p w14:paraId="18484020"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Tippett, M.K., Cohen, J.E., 2016. Tornado outbreak variability follows Taylor’s power law of fluctuation scaling and increases dramatically with severity. Nat. Commun. 7, 10668.</w:t>
      </w:r>
    </w:p>
    <w:p w14:paraId="26D0BF54"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Trapp, R.J., Diffenbaugh, N.S., Brooks, H.E., Baldwin, M.E., Robinson, E.D., Pal, J.S., 2007. Changes in severe thunderstorm environment frequency during the 21st century caused by anthropogenically enhanced global radiative forcing. Proc. Natl. Acad. Sci. 104, 19719–19723. https://doi.org/10.1073/pnas.0705494104</w:t>
      </w:r>
    </w:p>
    <w:p w14:paraId="3148B9BB" w14:textId="561350F1"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Trapp, R.J., Tessendorf, S.A., Godfrey, E.S., Brooks, H.E., 2005. Tornadoes from squall lines and bow echoes. Part I: Climatological distribution. Wea.</w:t>
      </w:r>
      <w:r w:rsidR="00A4292E">
        <w:rPr>
          <w:noProof/>
        </w:rPr>
        <w:t xml:space="preserve"> </w:t>
      </w:r>
      <w:r w:rsidRPr="004018A9">
        <w:rPr>
          <w:noProof/>
        </w:rPr>
        <w:t>Forecast. 20, 23–34. https://doi.org/10.1175/WAF-835.1</w:t>
      </w:r>
    </w:p>
    <w:p w14:paraId="4E0A07F6"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U.S. Census Bureau, 2010. American Fact Finder [WWW Document]. URL https://factfinder.census.gov (accessed 7.18.19).</w:t>
      </w:r>
    </w:p>
    <w:p w14:paraId="71E037B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U.S. Census Bureau, 2015. 2011-2015 American Community Survey 5-Year Estimates.</w:t>
      </w:r>
    </w:p>
    <w:p w14:paraId="41C64F0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U.S. Census Bureau, 2018. QuickFacts: Oklahoma City city, Oklahoma [WWW Document].</w:t>
      </w:r>
    </w:p>
    <w:p w14:paraId="6FD2C0F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lastRenderedPageBreak/>
        <w:t>Uccellini, L.W., 2014. May 2013 Oklahoma Tornadoes and Flash Flooding National Oceanic and Atmospheric Administration 63.</w:t>
      </w:r>
    </w:p>
    <w:p w14:paraId="0340D1FE"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United Nations, 2018. 2018 revision of world urbanization prospects.</w:t>
      </w:r>
    </w:p>
    <w:p w14:paraId="68C4BB3D"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Verbout, S.M., Brooks, H.E., Leslie, L.M., Schultz, D.M., 2006. Evolution of the U.S. tornado database: 1954-2003. Weather Forecast. 21, 86–93. https://doi.org/10.1175/WAF910.1</w:t>
      </w:r>
    </w:p>
    <w:p w14:paraId="5E4FF551"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Verburg, P.H., Soepboer, W., Veldkamp, A., Limpiada, R., Espaldon, V., Mastura, S.S.A., 2002. Modeling the spatial dynamics of regional land use: The CLUE-S model. Environ. Manage. 30, 391–405. https://doi.org/10.1007/s00267-002-2630-x</w:t>
      </w:r>
    </w:p>
    <w:p w14:paraId="3C831352"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Westra, S., Alexander, L. V, Zwiers, F.W., 2013. Global increasing trends in annual maximum daily precipitation. J. Clim. 26, 3904–3918.</w:t>
      </w:r>
    </w:p>
    <w:p w14:paraId="0B89040A"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Wurman, J., Alexander, C., Robinson, P., Richardson, Y., 2007. Low-level winds in tornadoes and potential catastrophic tornado impacts in urban areas. Bull. Am. Meteorol. Soc. 88, 31–46. https://doi.org/10.1175/BAMS-88-1-31</w:t>
      </w:r>
    </w:p>
    <w:p w14:paraId="226C9F8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Wurman, J., Kosiba, K., Robinson, P., Marshall, T., 2014. The role of multiple-vortex tornado structure in causing storm researcher fatalities. Bull. Am. Meteorol. Soc. 95, 31–45. https://doi.org/10.1175/BAMS-D-13-00221.1</w:t>
      </w:r>
    </w:p>
    <w:p w14:paraId="3C315BE8"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Yohe, G., Tol, R.S.J., 2002. Indicators for social and economic coping capacity—moving toward a working definition of adaptive capacity. Glob. Environ. Chang. 12, 25–40.</w:t>
      </w:r>
    </w:p>
    <w:p w14:paraId="4C9FA6E7"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Yue, S., Pilon, P., Cavadias, G., 2002. Power of the Mann--Kendall and Spearman’s rho tests for detecting monotonic trends in hydrological series. J. Hydrol. 259, 254–271.</w:t>
      </w:r>
    </w:p>
    <w:p w14:paraId="23D2BAAB"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Zoraster, R.M., 2010. Vulnerable populations: Hurricane Katrina as a case study. Prehosp. Disaster Med. 25, 74–78.</w:t>
      </w:r>
    </w:p>
    <w:p w14:paraId="66500849" w14:textId="77777777" w:rsidR="004018A9" w:rsidRPr="004018A9" w:rsidRDefault="004018A9" w:rsidP="00F26DDF">
      <w:pPr>
        <w:keepNext/>
        <w:keepLines/>
        <w:widowControl w:val="0"/>
        <w:autoSpaceDE w:val="0"/>
        <w:autoSpaceDN w:val="0"/>
        <w:adjustRightInd w:val="0"/>
        <w:spacing w:after="120"/>
        <w:ind w:left="480" w:hanging="480"/>
        <w:rPr>
          <w:noProof/>
        </w:rPr>
      </w:pPr>
      <w:r w:rsidRPr="004018A9">
        <w:rPr>
          <w:noProof/>
        </w:rPr>
        <w:t>Zuur, A.F., Ieno, E.N., Elphick, C.S., 2010. A protocol for data exploration to avoid common statistical problems. Methods Ecol. Evol. 1, 3–14. https://doi.org/10.1111/j.2041-210X.2009.00001.x</w:t>
      </w:r>
    </w:p>
    <w:p w14:paraId="1A695757" w14:textId="32F471F2" w:rsidR="00F26DDF" w:rsidRDefault="00657E2A" w:rsidP="00F26DDF">
      <w:pPr>
        <w:widowControl w:val="0"/>
        <w:autoSpaceDE w:val="0"/>
        <w:autoSpaceDN w:val="0"/>
        <w:adjustRightInd w:val="0"/>
        <w:spacing w:after="120"/>
      </w:pPr>
      <w:r w:rsidRPr="004F469F">
        <w:fldChar w:fldCharType="end"/>
      </w:r>
    </w:p>
    <w:p w14:paraId="66C41B8A" w14:textId="0C617A0B" w:rsidR="00F26DDF" w:rsidRDefault="00F26DDF" w:rsidP="00F26DDF">
      <w:pPr>
        <w:widowControl w:val="0"/>
        <w:autoSpaceDE w:val="0"/>
        <w:autoSpaceDN w:val="0"/>
        <w:adjustRightInd w:val="0"/>
        <w:spacing w:after="120"/>
      </w:pPr>
    </w:p>
    <w:p w14:paraId="1293A39C" w14:textId="377437AC" w:rsidR="00F26DDF" w:rsidRDefault="00F26DDF" w:rsidP="00F26DDF">
      <w:pPr>
        <w:widowControl w:val="0"/>
        <w:autoSpaceDE w:val="0"/>
        <w:autoSpaceDN w:val="0"/>
        <w:adjustRightInd w:val="0"/>
        <w:spacing w:after="120"/>
      </w:pPr>
    </w:p>
    <w:p w14:paraId="0088A5BF" w14:textId="047AB058" w:rsidR="00F26DDF" w:rsidRDefault="00F26DDF" w:rsidP="00F26DDF">
      <w:pPr>
        <w:widowControl w:val="0"/>
        <w:autoSpaceDE w:val="0"/>
        <w:autoSpaceDN w:val="0"/>
        <w:adjustRightInd w:val="0"/>
        <w:spacing w:after="120"/>
      </w:pPr>
    </w:p>
    <w:p w14:paraId="71CBDD25" w14:textId="6EC06C93" w:rsidR="00F26DDF" w:rsidRDefault="00F26DDF" w:rsidP="00F26DDF">
      <w:pPr>
        <w:widowControl w:val="0"/>
        <w:autoSpaceDE w:val="0"/>
        <w:autoSpaceDN w:val="0"/>
        <w:adjustRightInd w:val="0"/>
        <w:spacing w:after="120"/>
      </w:pPr>
    </w:p>
    <w:p w14:paraId="67124733" w14:textId="27B01941" w:rsidR="00F26DDF" w:rsidRDefault="00F26DDF" w:rsidP="00F26DDF">
      <w:pPr>
        <w:widowControl w:val="0"/>
        <w:autoSpaceDE w:val="0"/>
        <w:autoSpaceDN w:val="0"/>
        <w:adjustRightInd w:val="0"/>
        <w:spacing w:after="120"/>
      </w:pPr>
    </w:p>
    <w:p w14:paraId="29C58F28" w14:textId="1FD1BA96" w:rsidR="00F26DDF" w:rsidRDefault="00F26DDF" w:rsidP="00F26DDF">
      <w:pPr>
        <w:widowControl w:val="0"/>
        <w:autoSpaceDE w:val="0"/>
        <w:autoSpaceDN w:val="0"/>
        <w:adjustRightInd w:val="0"/>
        <w:spacing w:after="120"/>
      </w:pPr>
    </w:p>
    <w:p w14:paraId="4BEFD420" w14:textId="77777777" w:rsidR="00F26DDF" w:rsidRPr="004F469F" w:rsidRDefault="00F26DDF" w:rsidP="00F26DDF">
      <w:pPr>
        <w:widowControl w:val="0"/>
        <w:autoSpaceDE w:val="0"/>
        <w:autoSpaceDN w:val="0"/>
        <w:adjustRightInd w:val="0"/>
        <w:spacing w:after="120"/>
      </w:pPr>
    </w:p>
    <w:p w14:paraId="740A8194" w14:textId="7D396585" w:rsidR="00637543" w:rsidRPr="004F469F" w:rsidRDefault="00337029" w:rsidP="00043957">
      <w:pPr>
        <w:pStyle w:val="AppendixHeading1"/>
        <w:spacing w:before="0" w:after="120"/>
        <w:rPr>
          <w:rFonts w:ascii="Times New Roman" w:hAnsi="Times New Roman" w:cs="Times New Roman"/>
          <w:b/>
          <w:bCs/>
          <w:color w:val="auto"/>
        </w:rPr>
      </w:pPr>
      <w:bookmarkStart w:id="107" w:name="_Toc21861340"/>
      <w:r>
        <w:rPr>
          <w:rFonts w:ascii="Times New Roman" w:hAnsi="Times New Roman" w:cs="Times New Roman"/>
          <w:b/>
          <w:bCs/>
          <w:color w:val="auto"/>
        </w:rPr>
        <w:lastRenderedPageBreak/>
        <w:t xml:space="preserve">- </w:t>
      </w:r>
      <w:r w:rsidR="00C22938" w:rsidRPr="004F469F">
        <w:rPr>
          <w:rFonts w:ascii="Times New Roman" w:hAnsi="Times New Roman" w:cs="Times New Roman"/>
          <w:b/>
          <w:bCs/>
          <w:color w:val="auto"/>
        </w:rPr>
        <w:t xml:space="preserve">Supplementary Material </w:t>
      </w:r>
      <w:r w:rsidR="00C22938">
        <w:rPr>
          <w:rFonts w:ascii="Times New Roman" w:hAnsi="Times New Roman" w:cs="Times New Roman"/>
          <w:b/>
          <w:bCs/>
          <w:color w:val="auto"/>
        </w:rPr>
        <w:t>f</w:t>
      </w:r>
      <w:r w:rsidR="00C22938" w:rsidRPr="004F469F">
        <w:rPr>
          <w:rFonts w:ascii="Times New Roman" w:hAnsi="Times New Roman" w:cs="Times New Roman"/>
          <w:b/>
          <w:bCs/>
          <w:color w:val="auto"/>
        </w:rPr>
        <w:t>or Tordis Model Validation</w:t>
      </w:r>
      <w:bookmarkEnd w:id="107"/>
    </w:p>
    <w:p w14:paraId="711F3AF5" w14:textId="77777777" w:rsidR="00043957" w:rsidRPr="00F23623" w:rsidRDefault="00043957" w:rsidP="00043957">
      <w:pPr>
        <w:pStyle w:val="AppendixHeading1"/>
        <w:numPr>
          <w:ilvl w:val="0"/>
          <w:numId w:val="0"/>
        </w:numPr>
        <w:spacing w:before="0" w:after="120"/>
        <w:rPr>
          <w:rFonts w:ascii="Times New Roman" w:hAnsi="Times New Roman" w:cs="Times New Roman"/>
          <w:color w:val="auto"/>
        </w:rPr>
      </w:pPr>
    </w:p>
    <w:p w14:paraId="4B042AC6" w14:textId="5625CD8D" w:rsidR="00637543" w:rsidRPr="004F469F" w:rsidRDefault="00637543" w:rsidP="00043957">
      <w:pPr>
        <w:spacing w:after="120" w:line="480" w:lineRule="auto"/>
        <w:ind w:firstLine="720"/>
      </w:pPr>
      <w:r w:rsidRPr="004F469F">
        <w:t>Model validation was conducted on the deterministic components of TorDIS, with comparisons between the stochastic components and the observed record created during the model application examples. For the regression equations and tornado day forecasts the validation was done on the 2015 – 2016 testing data, while the tornado direction was validated against the entire 1979 – 2016 tornado record as none of the data was used to specify the relationship between tornado direction and 500 mb wind direction.</w:t>
      </w:r>
    </w:p>
    <w:p w14:paraId="18204810" w14:textId="65479D44" w:rsidR="00637543" w:rsidRPr="004F469F" w:rsidRDefault="00637543" w:rsidP="00043957">
      <w:pPr>
        <w:pStyle w:val="AppendixHeading2"/>
        <w:spacing w:before="0" w:after="120" w:line="480" w:lineRule="auto"/>
        <w:rPr>
          <w:rFonts w:ascii="Times New Roman" w:hAnsi="Times New Roman" w:cs="Times New Roman"/>
          <w:b/>
          <w:bCs/>
          <w:color w:val="auto"/>
          <w:sz w:val="28"/>
          <w:szCs w:val="28"/>
        </w:rPr>
      </w:pPr>
      <w:bookmarkStart w:id="108" w:name="_Toc21861341"/>
      <w:r w:rsidRPr="004F469F">
        <w:rPr>
          <w:rFonts w:ascii="Times New Roman" w:hAnsi="Times New Roman" w:cs="Times New Roman"/>
          <w:b/>
          <w:bCs/>
          <w:color w:val="auto"/>
          <w:sz w:val="28"/>
          <w:szCs w:val="28"/>
        </w:rPr>
        <w:t>Tornado Forecast Model Selection and Validation</w:t>
      </w:r>
      <w:bookmarkEnd w:id="108"/>
    </w:p>
    <w:p w14:paraId="29793A8C" w14:textId="4777DE6D" w:rsidR="00637543" w:rsidRPr="004F469F" w:rsidRDefault="00637543" w:rsidP="00043957">
      <w:pPr>
        <w:spacing w:after="120" w:line="480" w:lineRule="auto"/>
        <w:ind w:firstLine="720"/>
      </w:pPr>
      <w:r w:rsidRPr="004F469F">
        <w:t xml:space="preserve">The initial tornado forecast model was validated against observed tornado reports from 2015 – 2016 for both, its ability to capture the spatial distribution of tornadoes and its ability to forecast whether a day would be tornadic (at least one tornado reported in the model domain). Three verification metrics were used in the model validation (Table </w:t>
      </w:r>
      <w:r w:rsidR="00587EAE" w:rsidRPr="004F469F">
        <w:t>A.1</w:t>
      </w:r>
      <w:r w:rsidRPr="004F469F">
        <w:t>): probability of detection (POD), false alarm rate (FAR), and Heidke Skill Score (HSS). The initial model had a low HSS (0.9%) for the tornado distribution forecasts and moderate HSS (39.1%) for the tornado day forecasts. To determine whether each variable was necessary to the model, a global sensitivity analysis was conducted, and the Sobol Total Order Index (S</w:t>
      </w:r>
      <w:r w:rsidRPr="004F469F">
        <w:rPr>
          <w:vertAlign w:val="subscript"/>
        </w:rPr>
        <w:t>t</w:t>
      </w:r>
      <w:r w:rsidRPr="004F469F">
        <w:t>) was calculated for each model parameter. All variables with an S</w:t>
      </w:r>
      <w:r w:rsidRPr="004F469F">
        <w:rPr>
          <w:vertAlign w:val="subscript"/>
        </w:rPr>
        <w:t>t</w:t>
      </w:r>
      <w:r w:rsidRPr="004F469F">
        <w:t xml:space="preserve"> of 5% or greater were kept for the final model. At least half of the model output variance was explained by the top two variables for each of the four regressions (</w:t>
      </w:r>
      <w:r w:rsidRPr="004F469F">
        <w:rPr>
          <w:bCs/>
        </w:rPr>
        <w:t>svr</w:t>
      </w:r>
      <w:r w:rsidRPr="004F469F">
        <w:rPr>
          <w:bCs/>
          <w:vertAlign w:val="subscript"/>
        </w:rPr>
        <w:t>low</w:t>
      </w:r>
      <w:r w:rsidRPr="004F469F">
        <w:t xml:space="preserve"> , </w:t>
      </w:r>
      <w:r w:rsidRPr="004F469F">
        <w:rPr>
          <w:bCs/>
        </w:rPr>
        <w:t>torn</w:t>
      </w:r>
      <w:r w:rsidRPr="004F469F">
        <w:rPr>
          <w:bCs/>
          <w:vertAlign w:val="subscript"/>
        </w:rPr>
        <w:t>low</w:t>
      </w:r>
      <w:r w:rsidRPr="004F469F">
        <w:t xml:space="preserve">, </w:t>
      </w:r>
      <w:r w:rsidRPr="004F469F">
        <w:rPr>
          <w:bCs/>
        </w:rPr>
        <w:t>svr</w:t>
      </w:r>
      <w:r w:rsidRPr="004F469F">
        <w:rPr>
          <w:bCs/>
          <w:vertAlign w:val="subscript"/>
        </w:rPr>
        <w:t>mod</w:t>
      </w:r>
      <w:r w:rsidRPr="004F469F">
        <w:rPr>
          <w:bCs/>
        </w:rPr>
        <w:t>, and torn</w:t>
      </w:r>
      <w:r w:rsidRPr="004F469F">
        <w:rPr>
          <w:bCs/>
          <w:vertAlign w:val="subscript"/>
        </w:rPr>
        <w:t>mod</w:t>
      </w:r>
      <w:r w:rsidRPr="004F469F">
        <w:t>) with more than 90% explained by all variables with an S</w:t>
      </w:r>
      <w:r w:rsidRPr="004F469F">
        <w:rPr>
          <w:vertAlign w:val="subscript"/>
        </w:rPr>
        <w:t>t</w:t>
      </w:r>
      <w:r w:rsidRPr="004F469F">
        <w:t xml:space="preserve"> greater than 5% (Figure </w:t>
      </w:r>
      <w:r w:rsidR="00DE572B" w:rsidRPr="004F469F">
        <w:t>A.1</w:t>
      </w:r>
      <w:r w:rsidRPr="004F469F">
        <w:t xml:space="preserve">). The variables to which the regression equations were most sensitive (CAPE for </w:t>
      </w:r>
      <w:r w:rsidRPr="004F469F">
        <w:rPr>
          <w:bCs/>
        </w:rPr>
        <w:t>svr</w:t>
      </w:r>
      <w:r w:rsidRPr="004F469F">
        <w:rPr>
          <w:bCs/>
          <w:vertAlign w:val="subscript"/>
        </w:rPr>
        <w:t>low</w:t>
      </w:r>
      <w:r w:rsidRPr="004F469F">
        <w:t xml:space="preserve"> , VWS1 for </w:t>
      </w:r>
      <w:r w:rsidRPr="004F469F">
        <w:rPr>
          <w:bCs/>
        </w:rPr>
        <w:t>torn</w:t>
      </w:r>
      <w:r w:rsidRPr="004F469F">
        <w:rPr>
          <w:bCs/>
          <w:vertAlign w:val="subscript"/>
        </w:rPr>
        <w:t>low</w:t>
      </w:r>
      <w:r w:rsidRPr="004F469F">
        <w:t xml:space="preserve">, CIN for </w:t>
      </w:r>
      <w:r w:rsidRPr="004F469F">
        <w:rPr>
          <w:bCs/>
        </w:rPr>
        <w:t>svr</w:t>
      </w:r>
      <w:r w:rsidRPr="004F469F">
        <w:rPr>
          <w:bCs/>
          <w:vertAlign w:val="subscript"/>
        </w:rPr>
        <w:t>mod</w:t>
      </w:r>
      <w:r w:rsidRPr="004F469F">
        <w:rPr>
          <w:bCs/>
        </w:rPr>
        <w:t>, and ELEV for torn</w:t>
      </w:r>
      <w:r w:rsidRPr="004F469F">
        <w:rPr>
          <w:bCs/>
          <w:vertAlign w:val="subscript"/>
        </w:rPr>
        <w:t>mod</w:t>
      </w:r>
      <w:r w:rsidRPr="004F469F">
        <w:rPr>
          <w:bCs/>
        </w:rPr>
        <w:t>) were all reasonable.</w:t>
      </w:r>
      <w:r w:rsidRPr="004F469F">
        <w:t xml:space="preserve"> Severe thunderstorms require sufficient instability in order to promote the required </w:t>
      </w:r>
      <w:r w:rsidRPr="004F469F">
        <w:lastRenderedPageBreak/>
        <w:t xml:space="preserve">vertical motion </w:t>
      </w:r>
      <w:r w:rsidRPr="004F469F">
        <w:fldChar w:fldCharType="begin" w:fldLock="1"/>
      </w:r>
      <w:r w:rsidR="00123266">
        <w:instrText>ADDIN CSL_CITATION {"citationItems":[{"id":"ITEM-1","itemData":{"DOI":"10.1175/BAMS-D-13-00252.1","ISBN":"1520-0477","abstract":"After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Society","id":"ITEM-1","issue":"11","issued":{"date-parts":[["2014"]]},"page":"1704-1712","title":"Tornadoes in the central United States and the “Clash of Air Masses”","type":"article-journal","volume":"95"},"uris":["http://www.mendeley.com/documents/?uuid=58c1ddd7-3d45-47c3-9b2a-cf4ed234e964"]}],"mendeley":{"formattedCitation":"(Schultz et al., 2014)","plainTextFormattedCitation":"(Schultz et al., 2014)","previouslyFormattedCitation":"(Schultz et al., 2014)"},"properties":{"noteIndex":0},"schema":"https://github.com/citation-style-language/schema/raw/master/csl-citation.json"}</w:instrText>
      </w:r>
      <w:r w:rsidRPr="004F469F">
        <w:fldChar w:fldCharType="separate"/>
      </w:r>
      <w:r w:rsidR="0010658B" w:rsidRPr="00123266">
        <w:rPr>
          <w:noProof/>
        </w:rPr>
        <w:t xml:space="preserve">(Schultz </w:t>
      </w:r>
      <w:r w:rsidR="0010658B" w:rsidRPr="00453357">
        <w:rPr>
          <w:i/>
          <w:iCs/>
          <w:noProof/>
        </w:rPr>
        <w:t>et al.</w:t>
      </w:r>
      <w:r w:rsidR="0010658B" w:rsidRPr="00123266">
        <w:rPr>
          <w:noProof/>
        </w:rPr>
        <w:t>, 2014)</w:t>
      </w:r>
      <w:r w:rsidRPr="004F469F">
        <w:fldChar w:fldCharType="end"/>
      </w:r>
      <w:r w:rsidRPr="004F469F">
        <w:t xml:space="preserve">. Tornadoes which occur in low CAPE environments typically occur overnight or during the cool season when vertical wind shear is higher </w:t>
      </w:r>
      <w:r w:rsidRPr="004F469F">
        <w:fldChar w:fldCharType="begin" w:fldLock="1"/>
      </w:r>
      <w:r w:rsidR="0010658B">
        <w:instrText>ADDIN CSL_CITATION {"citationItems":[{"id":"ITEM-1","itemData":{"author":[{"dropping-particle":"","family":"Sherburn","given":"Keith D","non-dropping-particle":"","parse-names":false,"suffix":""},{"dropping-particle":"","family":"Parker","given":"Matthew D","non-dropping-particle":"","parse-names":false,"suffix":""}],"container-title":"Weather and forecasting","id":"ITEM-1","issue":"4","issued":{"date-parts":[["2014"]]},"page":"854-877","title":"Climatology and ingredients of significant severe convection in high-shear, low-CAPE environments","type":"article-journal","volume":"29"},"uris":["http://www.mendeley.com/documents/?uuid=b801798a-5229-4b5c-960f-e35b1e287cba"]}],"mendeley":{"formattedCitation":"(Sherburn and Parker, 2014)","plainTextFormattedCitation":"(Sherburn and Parker, 2014)","previouslyFormattedCitation":"(Sherburn and Parker, 2014)"},"properties":{"noteIndex":0},"schema":"https://github.com/citation-style-language/schema/raw/master/csl-citation.json"}</w:instrText>
      </w:r>
      <w:r w:rsidRPr="004F469F">
        <w:fldChar w:fldCharType="separate"/>
      </w:r>
      <w:r w:rsidR="0010658B" w:rsidRPr="0010658B">
        <w:rPr>
          <w:noProof/>
        </w:rPr>
        <w:t>(Sherburn and Parker, 2014)</w:t>
      </w:r>
      <w:r w:rsidRPr="004F469F">
        <w:fldChar w:fldCharType="end"/>
      </w:r>
      <w:r w:rsidRPr="004F469F">
        <w:t xml:space="preserve">. As a result, small changes in CAPE can push the instability to a sufficient value to promote tornadoes. In environments with sufficient CAPE, strong CIN can hamper the development of severe thunderstorms with small reductions in CIN making initiation possible in some circumstances </w:t>
      </w:r>
      <w:r w:rsidRPr="004F469F">
        <w:fldChar w:fldCharType="begin" w:fldLock="1"/>
      </w:r>
      <w:r w:rsidR="00123266">
        <w:instrText>ADDIN CSL_CITATION {"citationItems":[{"id":"ITEM-1","itemData":{"author":[{"dropping-particle":"","family":"Bunkers","given":"Matthew J","non-dropping-particle":"","parse-names":false,"suffix":""},{"dropping-particle":"","family":"Wetenkamp Jr","given":"John R","non-dropping-particle":"","parse-names":false,"suffix":""},{"dropping-particle":"","family":"Schild","given":"Jeffrey J","non-dropping-particle":"","parse-names":false,"suffix":""},{"dropping-particle":"","family":"Fischer","given":"Anthony","non-dropping-particle":"","parse-names":false,"suffix":""}],"container-title":"Weather and Forecasting","id":"ITEM-1","issue":"2","issued":{"date-parts":[["2010"]]},"page":"799-814","title":"Observations of the relationship between 700-mb temperatures and severe weather reports across the contiguous United States","type":"article-journal","volume":"25"},"uris":["http://www.mendeley.com/documents/?uuid=9300fce9-efb9-45bb-ac22-795d6a45c0df"]}],"mendeley":{"formattedCitation":"(Bunkers et al., 2010)","plainTextFormattedCitation":"(Bunkers et al., 2010)","previouslyFormattedCitation":"(Bunkers et al., 2010)"},"properties":{"noteIndex":0},"schema":"https://github.com/citation-style-language/schema/raw/master/csl-citation.json"}</w:instrText>
      </w:r>
      <w:r w:rsidRPr="004F469F">
        <w:fldChar w:fldCharType="separate"/>
      </w:r>
      <w:r w:rsidR="0010658B" w:rsidRPr="00123266">
        <w:rPr>
          <w:noProof/>
        </w:rPr>
        <w:t xml:space="preserve">(Bunkers </w:t>
      </w:r>
      <w:r w:rsidR="0010658B" w:rsidRPr="00453357">
        <w:rPr>
          <w:i/>
          <w:iCs/>
          <w:noProof/>
        </w:rPr>
        <w:t>et al.</w:t>
      </w:r>
      <w:r w:rsidR="0010658B" w:rsidRPr="00123266">
        <w:rPr>
          <w:noProof/>
        </w:rPr>
        <w:t>, 2010)</w:t>
      </w:r>
      <w:r w:rsidRPr="004F469F">
        <w:fldChar w:fldCharType="end"/>
      </w:r>
      <w:r w:rsidRPr="004F469F">
        <w:t xml:space="preserve">. Tornadic thunderstorms require high low-level wind shear in order to have enough rotation to tilt into the updraft </w:t>
      </w:r>
      <w:r w:rsidRPr="004F469F">
        <w:fldChar w:fldCharType="begin" w:fldLock="1"/>
      </w:r>
      <w:r w:rsidR="00123266">
        <w:instrText>ADDIN CSL_CITATION {"citationItems":[{"id":"ITEM-1","itemData":{"DOI":"10.1175/BAMS-D-11-00229.1","ISBN":"10.1175/BAMS-D-11-00229.1","ISSN":"00030007","abstract":"By many metrics, the tornado outbreak on 27 April 2011 was the most significant tornado outbreak since 1950, exceeding the super outbreak of 3–4 April 1974. The number of tornadoes over a 24-h period (midnight to midnight) was 199; the tornado fatalities and injuries were 316 and more than 2,700, respectively; and the insurable loss exceeded $4 billion (U.S. dollars). In this paper, we provide a meteorological overview of this outbreak and illustrate that the event was composed of three mesoscale events: a large early morning quasi-linear convective system (QLCS), a midday QLCS, and numerous afternoon supercell storms. The main data sources include NWS and research radars, profilers, surface measurements, and photos and videos of the tornadoes. The primary motivation for this preliminary research is to document the diverse characteristics (e.g., tornado characteristics and mesoscale organization of deep convection) of this outbreak and summarize preliminary analyses that are worthy of additional research ...","author":[{"dropping-particle":"","family":"Knupp","given":"Kevin R.","non-dropping-particle":"","parse-names":false,"suffix":""},{"dropping-particle":"","family":"Murphy","given":"Todd A.","non-dropping-particle":"","parse-names":false,"suffix":""},{"dropping-particle":"","family":"Coleman","given":"Timothy A.","non-dropping-particle":"","parse-names":false,"suffix":""},{"dropping-particle":"","family":"Wade","given":"Ryan A.","non-dropping-particle":"","parse-names":false,"suffix":""},{"dropping-particle":"","family":"Mullins","given":"Stephanie A.","non-dropping-particle":"","parse-names":false,"suffix":""},{"dropping-particle":"","family":"Schultz","given":"Christopher J.","non-dropping-particle":"","parse-names":false,"suffix":""},{"dropping-particle":"V.","family":"Schultz","given":"Elise","non-dropping-particle":"","parse-names":false,"suffix":""},{"dropping-particle":"","family":"Carey","given":"Lawrence","non-dropping-particle":"","parse-names":false,"suffix":""},{"dropping-particle":"","family":"Sherrer","given":"Adam","non-dropping-particle":"","parse-names":false,"suffix":""},{"dropping-particle":"","family":"McCaul","given":"Eugene W.","non-dropping-particle":"","parse-names":false,"suffix":""},{"dropping-particle":"","family":"Carcione","given":"Brian","non-dropping-particle":"","parse-names":false,"suffix":""},{"dropping-particle":"","family":"Latimer","given":"Stephen","non-dropping-particle":"","parse-names":false,"suffix":""},{"dropping-particle":"","family":"Kula","given":"Andy","non-dropping-particle":"","parse-names":false,"suffix":""},{"dropping-particle":"","family":"Laws","given":"Kevin","non-dropping-particle":"","parse-names":false,"suffix":""},{"dropping-particle":"","family":"Marsh","given":"Patrick T.","non-dropping-particle":"","parse-names":false,"suffix":""},{"dropping-particle":"","family":"Klockow","given":"Kim","non-dropping-particle":"","parse-names":false,"suffix":""}],"container-title":"Bulletin of the American Meteorological Society","id":"ITEM-1","issue":"7","issued":{"date-parts":[["2014"]]},"page":"1041-1062","title":"Meteorological overview of the devastating 27 april 2011 tornado outbreak","type":"article-journal","volume":"95"},"uris":["http://www.mendeley.com/documents/?uuid=0b5686d2-c27c-4dc7-9f86-cd599eb69a44"]}],"mendeley":{"formattedCitation":"(Knupp et al., 2014)","plainTextFormattedCitation":"(Knupp et al., 2014)","previouslyFormattedCitation":"(Knupp et al., 2014)"},"properties":{"noteIndex":0},"schema":"https://github.com/citation-style-language/schema/raw/master/csl-citation.json"}</w:instrText>
      </w:r>
      <w:r w:rsidRPr="004F469F">
        <w:fldChar w:fldCharType="separate"/>
      </w:r>
      <w:r w:rsidR="0010658B" w:rsidRPr="00123266">
        <w:rPr>
          <w:noProof/>
        </w:rPr>
        <w:t xml:space="preserve">(Knupp </w:t>
      </w:r>
      <w:r w:rsidR="0010658B" w:rsidRPr="00453357">
        <w:rPr>
          <w:i/>
          <w:iCs/>
          <w:noProof/>
        </w:rPr>
        <w:t>et al.</w:t>
      </w:r>
      <w:r w:rsidR="0010658B" w:rsidRPr="00123266">
        <w:rPr>
          <w:noProof/>
        </w:rPr>
        <w:t>, 2014)</w:t>
      </w:r>
      <w:r w:rsidRPr="004F469F">
        <w:fldChar w:fldCharType="end"/>
      </w:r>
      <w:r w:rsidRPr="004F469F">
        <w:t xml:space="preserve">. It is unclear why ELEV explained most of the variance for tornadoes in moderate CAPE environments. However, tornadoes are rare at high elevations </w:t>
      </w:r>
      <w:r w:rsidRPr="004F469F">
        <w:fldChar w:fldCharType="begin" w:fldLock="1"/>
      </w:r>
      <w:r w:rsidR="00123266">
        <w:instrText>ADDIN CSL_CITATION {"citationItems":[{"id":"ITEM-1","itemData":{"ISBN":"0169-8095","author":[{"dropping-particle":"","family":"Brooks","given":"Harold E.","non-dropping-particle":"","parse-names":false,"suffix":""},{"dropping-particle":"","family":"Lee","given":"James W.","non-dropping-particle":"","parse-names":false,"suffix":""},{"dropping-particle":"","family":"Craven","given":"Jeffrey P.","non-dropping-particle":"","parse-names":false,"suffix":""}],"container-title":"Atmospheric Research","id":"ITEM-1","issued":{"date-parts":[["2003"]]},"page":"73-94","title":"The spatial distribution of severe thunderstorm and tornado environments from global reanalysis data","type":"article-journal","volume":"67"},"uris":["http://www.mendeley.com/documents/?uuid=2299b90d-1ada-4897-b75e-ee0ee8a4e064"]}],"mendeley":{"formattedCitation":"(Brooks et al., 2003b)","plainTextFormattedCitation":"(Brooks et al., 2003b)","previouslyFormattedCitation":"(Brooks et al., 2003b)"},"properties":{"noteIndex":0},"schema":"https://github.com/citation-style-language/schema/raw/master/csl-citation.json"}</w:instrText>
      </w:r>
      <w:r w:rsidRPr="004F469F">
        <w:fldChar w:fldCharType="separate"/>
      </w:r>
      <w:r w:rsidR="00123266" w:rsidRPr="00123266">
        <w:rPr>
          <w:noProof/>
        </w:rPr>
        <w:t xml:space="preserve">(Brooks </w:t>
      </w:r>
      <w:r w:rsidR="00123266" w:rsidRPr="00453357">
        <w:rPr>
          <w:i/>
          <w:iCs/>
          <w:noProof/>
        </w:rPr>
        <w:t>et al.</w:t>
      </w:r>
      <w:r w:rsidR="00123266" w:rsidRPr="00123266">
        <w:rPr>
          <w:noProof/>
        </w:rPr>
        <w:t>, 2003b)</w:t>
      </w:r>
      <w:r w:rsidRPr="004F469F">
        <w:fldChar w:fldCharType="end"/>
      </w:r>
      <w:r w:rsidRPr="004F469F">
        <w:t xml:space="preserve"> and VWS1 was only slightly less important. Initially, </w:t>
      </w:r>
      <m:oMath>
        <m:sSub>
          <m:sSubPr>
            <m:ctrlPr>
              <w:rPr>
                <w:rFonts w:ascii="Cambria Math" w:hAnsi="Cambria Math"/>
                <w:i/>
              </w:rPr>
            </m:ctrlPr>
          </m:sSubPr>
          <m:e>
            <m:r>
              <w:rPr>
                <w:rFonts w:ascii="Cambria Math" w:hAnsi="Cambria Math"/>
              </w:rPr>
              <m:t>ω</m:t>
            </m:r>
          </m:e>
          <m:sub>
            <m:r>
              <w:rPr>
                <w:rFonts w:ascii="Cambria Math" w:hAnsi="Cambria Math"/>
              </w:rPr>
              <m:t>850</m:t>
            </m:r>
          </m:sub>
        </m:sSub>
      </m:oMath>
      <w:r w:rsidRPr="004F469F">
        <w:t xml:space="preserve"> and </w:t>
      </w:r>
      <m:oMath>
        <m:sSub>
          <m:sSubPr>
            <m:ctrlPr>
              <w:rPr>
                <w:rFonts w:ascii="Cambria Math" w:hAnsi="Cambria Math"/>
                <w:i/>
              </w:rPr>
            </m:ctrlPr>
          </m:sSubPr>
          <m:e>
            <m:r>
              <w:rPr>
                <w:rFonts w:ascii="Cambria Math" w:hAnsi="Cambria Math"/>
              </w:rPr>
              <m:t>ω</m:t>
            </m:r>
          </m:e>
          <m:sub>
            <m:r>
              <w:rPr>
                <w:rFonts w:ascii="Cambria Math" w:hAnsi="Cambria Math"/>
              </w:rPr>
              <m:t>500</m:t>
            </m:r>
          </m:sub>
        </m:sSub>
      </m:oMath>
      <w:r w:rsidRPr="004F469F">
        <w:t xml:space="preserve"> were dropped due to low S</w:t>
      </w:r>
      <w:r w:rsidRPr="004F469F">
        <w:rPr>
          <w:vertAlign w:val="subscript"/>
        </w:rPr>
        <w:t>t</w:t>
      </w:r>
      <w:r w:rsidRPr="004F469F">
        <w:t xml:space="preserve"> (Figure </w:t>
      </w:r>
      <w:r w:rsidR="00DE572B" w:rsidRPr="004F469F">
        <w:t>A.</w:t>
      </w:r>
      <w:r w:rsidRPr="004F469F">
        <w:t>1). Additionally, further testing showed that these variables, while not important overall, significantly improved the probability of detecting tornadoes (by over 30%) in winter. This could be because instability tends to be lower in the cold season making the presence of broad-scale lifting (</w:t>
      </w:r>
      <w:r w:rsidRPr="004F469F">
        <w:rPr>
          <w:i/>
          <w:iCs/>
        </w:rPr>
        <w:t>e.g.</w:t>
      </w:r>
      <w:r w:rsidRPr="004F469F">
        <w:t xml:space="preserve">, air-mass boundaries) more important </w:t>
      </w:r>
      <w:r w:rsidRPr="004F469F">
        <w:fldChar w:fldCharType="begin" w:fldLock="1"/>
      </w:r>
      <w:r w:rsidR="00123266">
        <w:instrText>ADDIN CSL_CITATION {"citationItems":[{"id":"ITEM-1","itemData":{"author":[{"dropping-particle":"","family":"Sherburn","given":"Keith D","non-dropping-particle":"","parse-names":false,"suffix":""},{"dropping-particle":"","family":"Parker","given":"Matthew D","non-dropping-particle":"","parse-names":false,"suffix":""}],"container-title":"Weather and forecasting","id":"ITEM-1","issue":"4","issued":{"date-parts":[["2014"]]},"page":"854-877","title":"Climatology and ingredients of significant severe convection in high-shear, low-CAPE environments","type":"article-journal","volume":"29"},"uris":["http://www.mendeley.com/documents/?uuid=b801798a-5229-4b5c-960f-e35b1e287cba"]},{"id":"ITEM-2","itemData":{"DOI":"10.1175/BAMS-D-13-00252.1","ISBN":"1520-0477","abstract":"After tornado outbreaks or individual violent tornadoes occur in the central United States, media stories often attribute the location, number, or intensity of tornadoes to the “clash of air masses” between warm tropical air and cold polar air. This article argues that such a characterization of tornadogenesis is oversimplified, outdated, and incorrect. Airmass boundaries and associated temperature gradients can be important in tornadogenesis, but not in the ways envisioned on the synoptic scale with the clash-of-air-masses conceptual model. In fact, excessively strong horizontal temperature gradients (either on the synoptic scale or associated with a storm's own cool outflow) may be detrimental to tornadogenesis. Where adjacent air masses are relevant is through their vertical distribution that produces the requisite instability for the convective storm, but that instability is not directly related to the formation of tornadoes. Therefore, this article recommends that a greater effort be made to communicate accurately to the public the current scientific understanding of the conditions under which tornadoes are formed.","author":[{"dropping-particle":"","family":"Schultz","given":"David M.","non-dropping-particle":"","parse-names":false,"suffix":""},{"dropping-particle":"","family":"Richardson","given":"Yvette P.","non-dropping-particle":"","parse-names":false,"suffix":""},{"dropping-particle":"","family":"Markowski","given":"Paul M.","non-dropping-particle":"","parse-names":false,"suffix":""},{"dropping-particle":"","family":"Doswell","given":"Charles A. III","non-dropping-particle":"","parse-names":false,"suffix":""}],"container-title":"Bulletin of the American Meteorological Society","id":"ITEM-2","issue":"11","issued":{"date-parts":[["2014"]]},"page":"1704-1712","title":"Tornadoes in the central United States and the “Clash of Air Masses”","type":"article-journal","volume":"95"},"uris":["http://www.mendeley.com/documents/?uuid=58c1ddd7-3d45-47c3-9b2a-cf4ed234e964"]}],"mendeley":{"formattedCitation":"(Schultz et al., 2014; Sherburn and Parker, 2014)","plainTextFormattedCitation":"(Schultz et al., 2014; Sherburn and Parker, 2014)","previouslyFormattedCitation":"(Schultz et al., 2014; Sherburn and Parker, 2014)"},"properties":{"noteIndex":0},"schema":"https://github.com/citation-style-language/schema/raw/master/csl-citation.json"}</w:instrText>
      </w:r>
      <w:r w:rsidRPr="004F469F">
        <w:fldChar w:fldCharType="separate"/>
      </w:r>
      <w:r w:rsidR="0010658B" w:rsidRPr="00123266">
        <w:rPr>
          <w:noProof/>
        </w:rPr>
        <w:t xml:space="preserve">(Schultz </w:t>
      </w:r>
      <w:r w:rsidR="0010658B" w:rsidRPr="00453357">
        <w:rPr>
          <w:i/>
          <w:iCs/>
          <w:noProof/>
        </w:rPr>
        <w:t>et al.</w:t>
      </w:r>
      <w:r w:rsidR="0010658B" w:rsidRPr="00123266">
        <w:rPr>
          <w:noProof/>
        </w:rPr>
        <w:t>, 2014; Sherburn and Parker, 2014)</w:t>
      </w:r>
      <w:r w:rsidRPr="004F469F">
        <w:fldChar w:fldCharType="end"/>
      </w:r>
      <w:r w:rsidRPr="004F469F">
        <w:t>.</w:t>
      </w:r>
    </w:p>
    <w:p w14:paraId="4EB137D1" w14:textId="57465516" w:rsidR="00637543" w:rsidRPr="004F469F" w:rsidRDefault="00637543" w:rsidP="00043957">
      <w:pPr>
        <w:spacing w:after="120" w:line="480" w:lineRule="auto"/>
        <w:ind w:firstLine="720"/>
      </w:pPr>
      <w:r w:rsidRPr="004F469F">
        <w:t xml:space="preserve">The final model showed a low HSS (0.9%) for the tornado distribution forecasts (0.9%); however, it showed a high POD (76.7%). This was slightly below the HSS (2.0%) for the probabilistic outlooks and the POD for the outlooks was slightly lower (72.6%). Seasonally, the model had the greatest HSS in winter (1.3%) and the lowest HSS in summer (0.4%), similar to the outlooks (Table </w:t>
      </w:r>
      <w:r w:rsidR="00587EAE" w:rsidRPr="004F469F">
        <w:t>A.</w:t>
      </w:r>
      <w:r w:rsidRPr="004F469F">
        <w:t xml:space="preserve">1). The final model had moderate HSS (43.8%) for the tornado day forecasts with a high POD (94.2%). The probabilistic outlooks again had a greater HSS (55.8%) and lower POD (82.7%). The model showed the greatest HSS for tornado day forecasts in spring (47.3%) and lowest HSS in summer (12.4%) with the seasonal patterns in HSS differing slightly </w:t>
      </w:r>
      <w:r w:rsidRPr="004F469F">
        <w:lastRenderedPageBreak/>
        <w:t xml:space="preserve">from those of the probabilistic outlooks (highest HSS was in winter for the outlooks). Overall, the final model had a slightly higher HSS for both tornado day and distribution forecasts and a slightly lower POD over the initial model (Table </w:t>
      </w:r>
      <w:r w:rsidR="00587EAE" w:rsidRPr="004F469F">
        <w:t>A.</w:t>
      </w:r>
      <w:r w:rsidRPr="004F469F">
        <w:t>1). Due to the small differences the final model was accepted for simplicity.</w:t>
      </w:r>
    </w:p>
    <w:p w14:paraId="2F4BAAE7" w14:textId="07E6D7CA" w:rsidR="00637543" w:rsidRPr="004F469F" w:rsidRDefault="00637543" w:rsidP="00043957">
      <w:pPr>
        <w:pStyle w:val="AppendixHeading2"/>
        <w:spacing w:before="0" w:after="120" w:line="480" w:lineRule="auto"/>
        <w:rPr>
          <w:rFonts w:ascii="Times New Roman" w:hAnsi="Times New Roman" w:cs="Times New Roman"/>
          <w:b/>
          <w:bCs/>
          <w:color w:val="auto"/>
          <w:sz w:val="28"/>
          <w:szCs w:val="28"/>
        </w:rPr>
      </w:pPr>
      <w:bookmarkStart w:id="109" w:name="_Toc21861342"/>
      <w:r w:rsidRPr="004F469F">
        <w:rPr>
          <w:rFonts w:ascii="Times New Roman" w:hAnsi="Times New Roman" w:cs="Times New Roman"/>
          <w:b/>
          <w:bCs/>
          <w:color w:val="auto"/>
          <w:sz w:val="28"/>
          <w:szCs w:val="28"/>
        </w:rPr>
        <w:t>Predicting Tornado Direction</w:t>
      </w:r>
      <w:bookmarkEnd w:id="109"/>
    </w:p>
    <w:p w14:paraId="04E83903" w14:textId="77777777" w:rsidR="00637543" w:rsidRPr="004F469F" w:rsidRDefault="00637543" w:rsidP="00043957">
      <w:pPr>
        <w:spacing w:after="120" w:line="480" w:lineRule="auto"/>
        <w:ind w:firstLine="720"/>
      </w:pPr>
      <w:r w:rsidRPr="004F469F">
        <w:t xml:space="preserve">Tornado direction was simulated using the 500 mb wind direction at the location of tornado touchdown. This method was chosen over the more complex method of Bunkers </w:t>
      </w:r>
      <w:r w:rsidRPr="00453357">
        <w:rPr>
          <w:i/>
          <w:iCs/>
        </w:rPr>
        <w:t>et al.</w:t>
      </w:r>
      <w:r w:rsidRPr="004F469F">
        <w:rPr>
          <w:i/>
          <w:iCs/>
        </w:rPr>
        <w:t xml:space="preserve"> </w:t>
      </w:r>
      <w:r w:rsidRPr="004F469F">
        <w:fldChar w:fldCharType="begin" w:fldLock="1"/>
      </w:r>
      <w:r w:rsidRPr="004F469F">
        <w:instrText>ADDIN CSL_CITATION {"citationItems":[{"id":"ITEM-1","itemData":{"DOI":"10.1175/1520-0434(2000)015&lt;0061:PSMUAN&gt;2.0.CO;2","ISBN":"1520-0434","ISSN":"0882-8156","abstract":"Abstract A physically based, shear-relative, and Galilean invariant method for predicting supercell motion using a hodograph is presented. It is founded on numerous observational and modeling studies since the 1940s, which suggest a consistent pattern to supercell motion exists. Two components are assumed to be largely responsible for supercell motion: (i) advection of the storm by a representative mean wind, and (ii) propagation away from the mean wind either toward the right or toward the left of the vertical wind shear?due to internal supercell dynamics. Using 290 supercell hodographs, this new method is shown to be statistically superior to existing methods in predicting supercell motion for both right- and left-moving storms. Other external factors such as interaction with atmospheric boundaries and orography can have a pronounced effect on supercell motion, but these are difficult to quantify prior to storm development using only a hodograph. Abstract A physically based, shear-relative, and Galilean invariant method for predicting supercell motion using a hodograph is presented. It is founded on numerous observational and modeling studies since the 1940s, which suggest a consistent pattern to supercell motion exists. Two components are assumed to be largely responsible for supercell motion: (i) advection of the storm by a representative mean wind, and (ii) propagation away from the mean wind either toward the right or toward the left of the vertical wind shear?due to internal supercell dynamics. Using 290 supercell hodographs, this new method is shown to be statistically superior to existing methods in predicting supercell motion for both right- and left-moving storms. Other external factors such as interaction with atmospheric boundaries and orography can have a pronounced effect on supercell motion, but these are difficult to quantify prior to storm development using only a hodograph.","author":[{"dropping-particle":"","family":"Bunkers","given":"Matthew J.","non-dropping-particle":"","parse-names":false,"suffix":""},{"dropping-particle":"","family":"Klimowski","given":"Brian A.","non-dropping-particle":"","parse-names":false,"suffix":""},{"dropping-particle":"","family":"Zeitler","given":"Jon W.","non-dropping-particle":"","parse-names":false,"suffix":""},{"dropping-particle":"","family":"Thompson","given":"Richard L.","non-dropping-particle":"","parse-names":false,"suffix":""},{"dropping-particle":"","family":"Weisman","given":"Morris L.","non-dropping-particle":"","parse-names":false,"suffix":""}],"container-title":"Weather and Forecasting","id":"ITEM-1","issue":"1","issued":{"date-parts":[["2000"]]},"page":"61-79","title":"Predicting supercell motion using a new hodograph technique","type":"article-journal","volume":"15"},"suppress-author":1,"uris":["http://www.mendeley.com/documents/?uuid=151ee43a-3bca-49e4-a7a9-135f9b22e4ec"]}],"mendeley":{"formattedCitation":"(2000)","plainTextFormattedCitation":"(2000)","previouslyFormattedCitation":"(2000)"},"properties":{"noteIndex":0},"schema":"https://github.com/citation-style-language/schema/raw/master/csl-citation.json"}</w:instrText>
      </w:r>
      <w:r w:rsidRPr="004F469F">
        <w:fldChar w:fldCharType="separate"/>
      </w:r>
      <w:r w:rsidRPr="004F469F">
        <w:rPr>
          <w:noProof/>
        </w:rPr>
        <w:t>(2000)</w:t>
      </w:r>
      <w:r w:rsidRPr="004F469F">
        <w:fldChar w:fldCharType="end"/>
      </w:r>
      <w:r w:rsidRPr="004F469F">
        <w:t xml:space="preserve"> for simplicity given a lack of data on parent storm direction for tornadoes in the historical record. When testing for the quadrant in which the tornadoes move, it was found that most tornadoes (89%) during 1979 – 2016 moved to the northeast with the second most (7%) moving to the southeast. Likewise, 500 mb winds, at the point of touchdown during 1979 – 2016, tended to be towards the northeast (79%) and southeast (16%). A comparison of tornado direction against 500 mb wind direction showed that they were the same 75% of the time. This matches findings by Suckling and Ashley </w:t>
      </w:r>
      <w:r w:rsidRPr="004F469F">
        <w:fldChar w:fldCharType="begin" w:fldLock="1"/>
      </w:r>
      <w:r w:rsidRPr="004F469F">
        <w:instrText>ADDIN CSL_CITATION {"citationItems":[{"id":"ITEM-1","itemData":{"DOI":"10.1111/j.1467-9272.2006.00509.x","ISBN":"0033-0124 E- 1467-9272","ISSN":"00330124","abstract":"Common perception is that tornadoes travel in paths from the southwest quadrant of directions toward the northeast. This study examines path directions for 6,194 tornadoes that occurred in the eastern two-thirds of the United States during the twenty-three-year period 1980–2002. At the national scale, nearly 70 percent of tornadoes included in the study propagated from the west, west-southwest, and southwest, with west-southwest being the highest frequency origin direction. Nevertheless, distinct seasonal and regional variations were found. In central and northern areas of the country, a more westerly or northwesterly path origin prevails during late spring and summer. The midtropospheric flow, convective typology, and synoptic patterns of tornado outbreaks are thought to contribute to the distributions observed in the climatology.","author":[{"dropping-particle":"","family":"Suckling","given":"Philip W.","non-dropping-particle":"","parse-names":false,"suffix":""},{"dropping-particle":"","family":"Ashley","given":"Walker S.","non-dropping-particle":"","parse-names":false,"suffix":""}],"container-title":"Professional Geographer","id":"ITEM-1","issue":"1","issued":{"date-parts":[["2006"]]},"page":"20-38","title":"Spatial and temporal characteristics of tornado path direction","type":"article-journal","volume":"58"},"suppress-author":1,"uris":["http://www.mendeley.com/documents/?uuid=b1aa2dab-8f67-4b1a-80b9-0846566c0e41"]}],"mendeley":{"formattedCitation":"(2006)","plainTextFormattedCitation":"(2006)","previouslyFormattedCitation":"(2006)"},"properties":{"noteIndex":0},"schema":"https://github.com/citation-style-language/schema/raw/master/csl-citation.json"}</w:instrText>
      </w:r>
      <w:r w:rsidRPr="004F469F">
        <w:fldChar w:fldCharType="separate"/>
      </w:r>
      <w:r w:rsidRPr="004F469F">
        <w:rPr>
          <w:noProof/>
        </w:rPr>
        <w:t>(2006)</w:t>
      </w:r>
      <w:r w:rsidRPr="004F469F">
        <w:fldChar w:fldCharType="end"/>
      </w:r>
      <w:r w:rsidRPr="004F469F">
        <w:t>, which suggested that 500 mb flow is closely linked to tornado direction due to the steering effects of upper-level winds on storms.</w:t>
      </w:r>
    </w:p>
    <w:p w14:paraId="6B9C3D34" w14:textId="77777777" w:rsidR="00637543" w:rsidRPr="004F469F" w:rsidRDefault="00637543" w:rsidP="00637543">
      <w:pPr>
        <w:widowControl w:val="0"/>
        <w:autoSpaceDE w:val="0"/>
        <w:autoSpaceDN w:val="0"/>
        <w:adjustRightInd w:val="0"/>
        <w:rPr>
          <w:b/>
        </w:rPr>
      </w:pPr>
    </w:p>
    <w:p w14:paraId="7DF7E485" w14:textId="77777777" w:rsidR="00637543" w:rsidRPr="004F469F" w:rsidRDefault="00637543" w:rsidP="00637543"/>
    <w:p w14:paraId="14D6AFDA" w14:textId="77777777" w:rsidR="00637543" w:rsidRPr="004F469F" w:rsidRDefault="00637543" w:rsidP="00637543">
      <w:pPr>
        <w:pStyle w:val="Caption"/>
        <w:keepNext/>
        <w:rPr>
          <w:color w:val="auto"/>
        </w:rPr>
      </w:pPr>
    </w:p>
    <w:p w14:paraId="24C8149B" w14:textId="77777777" w:rsidR="00637543" w:rsidRPr="004F469F" w:rsidRDefault="00637543" w:rsidP="00637543">
      <w:pPr>
        <w:pStyle w:val="Caption"/>
        <w:keepNext/>
        <w:rPr>
          <w:color w:val="auto"/>
        </w:rPr>
      </w:pPr>
    </w:p>
    <w:p w14:paraId="51A06DEA" w14:textId="77777777" w:rsidR="00637543" w:rsidRPr="004F469F" w:rsidRDefault="00637543" w:rsidP="00637543">
      <w:pPr>
        <w:pStyle w:val="Caption"/>
        <w:keepNext/>
        <w:rPr>
          <w:color w:val="auto"/>
        </w:rPr>
      </w:pPr>
    </w:p>
    <w:p w14:paraId="7FFC7E10" w14:textId="028D8605" w:rsidR="001A0018" w:rsidRPr="004F469F" w:rsidRDefault="001A0018" w:rsidP="00637543"/>
    <w:p w14:paraId="0A5B274B" w14:textId="65FF1891" w:rsidR="00043957" w:rsidRPr="004F469F" w:rsidRDefault="00043957" w:rsidP="00637543"/>
    <w:p w14:paraId="065E7154" w14:textId="702E4E13" w:rsidR="00043957" w:rsidRPr="004F469F" w:rsidRDefault="00043957" w:rsidP="00637543"/>
    <w:p w14:paraId="33FDE5FB" w14:textId="4DEEF64D" w:rsidR="00637543" w:rsidRPr="004F469F" w:rsidRDefault="00637543" w:rsidP="00637543">
      <w:pPr>
        <w:pStyle w:val="Caption"/>
        <w:keepNext/>
        <w:rPr>
          <w:rFonts w:ascii="Times New Roman" w:hAnsi="Times New Roman" w:cs="Times New Roman"/>
          <w:i w:val="0"/>
          <w:iCs w:val="0"/>
          <w:color w:val="auto"/>
          <w:sz w:val="24"/>
          <w:szCs w:val="24"/>
        </w:rPr>
      </w:pPr>
    </w:p>
    <w:p w14:paraId="636BD30B" w14:textId="4F416948" w:rsidR="00043957" w:rsidRDefault="00043957" w:rsidP="00043957"/>
    <w:p w14:paraId="1B70DFDA" w14:textId="544868DD" w:rsidR="00CA0FB7" w:rsidRDefault="00CA0FB7" w:rsidP="00043957"/>
    <w:p w14:paraId="78EBC8BD" w14:textId="77777777" w:rsidR="00CA0FB7" w:rsidRPr="004F469F" w:rsidRDefault="00CA0FB7" w:rsidP="00043957"/>
    <w:p w14:paraId="77D8E9F0" w14:textId="3FFB978C" w:rsidR="00E71299" w:rsidRPr="004F469F" w:rsidRDefault="00E71299" w:rsidP="00E71299">
      <w:pPr>
        <w:pStyle w:val="Caption"/>
        <w:keepNext/>
        <w:rPr>
          <w:rFonts w:ascii="Times New Roman" w:hAnsi="Times New Roman" w:cs="Times New Roman"/>
          <w:i w:val="0"/>
          <w:iCs w:val="0"/>
          <w:color w:val="auto"/>
          <w:sz w:val="24"/>
          <w:szCs w:val="24"/>
        </w:rPr>
      </w:pPr>
      <w:bookmarkStart w:id="110" w:name="_Toc22035007"/>
      <w:r w:rsidRPr="004F469F">
        <w:rPr>
          <w:rFonts w:ascii="Times New Roman" w:hAnsi="Times New Roman" w:cs="Times New Roman"/>
          <w:i w:val="0"/>
          <w:iCs w:val="0"/>
          <w:color w:val="auto"/>
          <w:sz w:val="24"/>
          <w:szCs w:val="24"/>
        </w:rPr>
        <w:lastRenderedPageBreak/>
        <w:t>Table A</w:t>
      </w:r>
      <w:r w:rsidR="00783C30">
        <w:rPr>
          <w:rFonts w:ascii="Times New Roman" w:hAnsi="Times New Roman" w:cs="Times New Roman"/>
          <w:i w:val="0"/>
          <w:iCs w:val="0"/>
          <w:color w:val="auto"/>
          <w:sz w:val="24"/>
          <w:szCs w:val="24"/>
        </w:rPr>
        <w:t>.</w:t>
      </w:r>
      <w:r w:rsidR="00783C30">
        <w:rPr>
          <w:rFonts w:ascii="Times New Roman" w:hAnsi="Times New Roman" w:cs="Times New Roman"/>
          <w:i w:val="0"/>
          <w:iCs w:val="0"/>
          <w:color w:val="auto"/>
          <w:sz w:val="24"/>
          <w:szCs w:val="24"/>
        </w:rPr>
        <w:fldChar w:fldCharType="begin"/>
      </w:r>
      <w:r w:rsidR="00783C30">
        <w:rPr>
          <w:rFonts w:ascii="Times New Roman" w:hAnsi="Times New Roman" w:cs="Times New Roman"/>
          <w:i w:val="0"/>
          <w:iCs w:val="0"/>
          <w:color w:val="auto"/>
          <w:sz w:val="24"/>
          <w:szCs w:val="24"/>
        </w:rPr>
        <w:instrText xml:space="preserve"> SEQ Table \* ARABIC \s 1 </w:instrText>
      </w:r>
      <w:r w:rsidR="00783C30">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00783C30">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Verification metrics (in per cent) for the spatial distribution of tornadoes as well as for the ability to forecast a tornado day (a day with at least one reported tornado in the model domain) by season and annually. Metrics include Probability of Detection (POD), False Alarm Rate (FAR), and Heidke Skill Score (HSS) and were calculated before and after the model parameter screening procedure.</w:t>
      </w:r>
      <w:bookmarkEnd w:id="110"/>
    </w:p>
    <w:tbl>
      <w:tblPr>
        <w:tblW w:w="0" w:type="auto"/>
        <w:tblLook w:val="04A0" w:firstRow="1" w:lastRow="0" w:firstColumn="1" w:lastColumn="0" w:noHBand="0" w:noVBand="1"/>
      </w:tblPr>
      <w:tblGrid>
        <w:gridCol w:w="794"/>
        <w:gridCol w:w="761"/>
        <w:gridCol w:w="594"/>
        <w:gridCol w:w="761"/>
        <w:gridCol w:w="594"/>
        <w:gridCol w:w="761"/>
        <w:gridCol w:w="594"/>
        <w:gridCol w:w="761"/>
        <w:gridCol w:w="594"/>
        <w:gridCol w:w="761"/>
        <w:gridCol w:w="594"/>
      </w:tblGrid>
      <w:tr w:rsidR="00494669" w:rsidRPr="004F469F" w14:paraId="7AC60676" w14:textId="77777777" w:rsidTr="00637543">
        <w:trPr>
          <w:trHeight w:val="360"/>
        </w:trPr>
        <w:tc>
          <w:tcPr>
            <w:tcW w:w="0" w:type="auto"/>
            <w:gridSpan w:val="3"/>
            <w:tcBorders>
              <w:top w:val="nil"/>
              <w:left w:val="nil"/>
              <w:bottom w:val="nil"/>
              <w:right w:val="nil"/>
            </w:tcBorders>
            <w:shd w:val="clear" w:color="auto" w:fill="auto"/>
            <w:noWrap/>
            <w:vAlign w:val="bottom"/>
            <w:hideMark/>
          </w:tcPr>
          <w:p w14:paraId="2A06CB83" w14:textId="77777777" w:rsidR="00637543" w:rsidRPr="004F469F" w:rsidRDefault="00637543" w:rsidP="00637543">
            <w:pPr>
              <w:rPr>
                <w:b/>
                <w:bCs/>
                <w:sz w:val="20"/>
                <w:szCs w:val="20"/>
              </w:rPr>
            </w:pPr>
            <w:r w:rsidRPr="004F469F">
              <w:rPr>
                <w:b/>
                <w:bCs/>
                <w:sz w:val="20"/>
                <w:szCs w:val="20"/>
              </w:rPr>
              <w:t>Before Screening</w:t>
            </w:r>
          </w:p>
        </w:tc>
        <w:tc>
          <w:tcPr>
            <w:tcW w:w="0" w:type="auto"/>
            <w:tcBorders>
              <w:top w:val="nil"/>
              <w:left w:val="nil"/>
              <w:bottom w:val="nil"/>
              <w:right w:val="nil"/>
            </w:tcBorders>
            <w:shd w:val="clear" w:color="auto" w:fill="auto"/>
            <w:noWrap/>
            <w:vAlign w:val="bottom"/>
            <w:hideMark/>
          </w:tcPr>
          <w:p w14:paraId="61BA2A8B" w14:textId="77777777" w:rsidR="00637543" w:rsidRPr="004F469F" w:rsidRDefault="00637543" w:rsidP="00637543">
            <w:pPr>
              <w:rPr>
                <w:b/>
                <w:bCs/>
                <w:sz w:val="20"/>
                <w:szCs w:val="20"/>
              </w:rPr>
            </w:pPr>
          </w:p>
        </w:tc>
        <w:tc>
          <w:tcPr>
            <w:tcW w:w="0" w:type="auto"/>
            <w:tcBorders>
              <w:top w:val="nil"/>
              <w:left w:val="nil"/>
              <w:bottom w:val="nil"/>
              <w:right w:val="nil"/>
            </w:tcBorders>
            <w:shd w:val="clear" w:color="auto" w:fill="auto"/>
            <w:noWrap/>
            <w:vAlign w:val="bottom"/>
            <w:hideMark/>
          </w:tcPr>
          <w:p w14:paraId="3DFEFB0D"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79F1F26B"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51EDE4C3"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E6DEA47"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9C16CAD"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C72FC3F"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243B6BC" w14:textId="77777777" w:rsidR="00637543" w:rsidRPr="004F469F" w:rsidRDefault="00637543" w:rsidP="00637543">
            <w:pPr>
              <w:rPr>
                <w:sz w:val="20"/>
                <w:szCs w:val="20"/>
              </w:rPr>
            </w:pPr>
          </w:p>
        </w:tc>
      </w:tr>
      <w:tr w:rsidR="00494669" w:rsidRPr="004F469F" w14:paraId="14460DBC" w14:textId="77777777" w:rsidTr="00637543">
        <w:trPr>
          <w:trHeight w:val="320"/>
        </w:trPr>
        <w:tc>
          <w:tcPr>
            <w:tcW w:w="0" w:type="auto"/>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2D79B" w14:textId="77777777" w:rsidR="00637543" w:rsidRPr="004F469F" w:rsidRDefault="00637543" w:rsidP="00637543">
            <w:pPr>
              <w:rPr>
                <w:i/>
                <w:iCs/>
                <w:sz w:val="20"/>
                <w:szCs w:val="20"/>
              </w:rPr>
            </w:pPr>
            <w:r w:rsidRPr="004F469F">
              <w:rPr>
                <w:i/>
                <w:iCs/>
                <w:sz w:val="20"/>
                <w:szCs w:val="20"/>
              </w:rPr>
              <w:t>Verification of Spatial Distribution</w:t>
            </w:r>
          </w:p>
        </w:tc>
      </w:tr>
      <w:tr w:rsidR="00494669" w:rsidRPr="004F469F" w14:paraId="7E35EBB5"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899028" w14:textId="77777777" w:rsidR="00637543" w:rsidRPr="004F469F" w:rsidRDefault="00637543" w:rsidP="00637543">
            <w:pPr>
              <w:rPr>
                <w:sz w:val="20"/>
                <w:szCs w:val="20"/>
              </w:rPr>
            </w:pPr>
            <w:r w:rsidRPr="004F469F">
              <w:rPr>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E6C2479" w14:textId="77777777" w:rsidR="00637543" w:rsidRPr="004F469F" w:rsidRDefault="00637543" w:rsidP="00637543">
            <w:pPr>
              <w:jc w:val="center"/>
              <w:rPr>
                <w:i/>
                <w:iCs/>
                <w:sz w:val="20"/>
                <w:szCs w:val="20"/>
              </w:rPr>
            </w:pPr>
            <w:r w:rsidRPr="004F469F">
              <w:rPr>
                <w:i/>
                <w:iCs/>
                <w:sz w:val="20"/>
                <w:szCs w:val="20"/>
              </w:rPr>
              <w:t>Winter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5C01CE8" w14:textId="77777777" w:rsidR="00637543" w:rsidRPr="004F469F" w:rsidRDefault="00637543" w:rsidP="00637543">
            <w:pPr>
              <w:jc w:val="center"/>
              <w:rPr>
                <w:i/>
                <w:iCs/>
                <w:sz w:val="20"/>
                <w:szCs w:val="20"/>
              </w:rPr>
            </w:pPr>
            <w:r w:rsidRPr="004F469F">
              <w:rPr>
                <w:i/>
                <w:iCs/>
                <w:sz w:val="20"/>
                <w:szCs w:val="20"/>
              </w:rPr>
              <w:t>Spring</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6621E026" w14:textId="77777777" w:rsidR="00637543" w:rsidRPr="004F469F" w:rsidRDefault="00637543" w:rsidP="00637543">
            <w:pPr>
              <w:jc w:val="center"/>
              <w:rPr>
                <w:i/>
                <w:iCs/>
                <w:sz w:val="20"/>
                <w:szCs w:val="20"/>
              </w:rPr>
            </w:pPr>
            <w:r w:rsidRPr="004F469F">
              <w:rPr>
                <w:i/>
                <w:iCs/>
                <w:sz w:val="20"/>
                <w:szCs w:val="20"/>
              </w:rPr>
              <w:t>Summer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CA0F2FD" w14:textId="77777777" w:rsidR="00637543" w:rsidRPr="004F469F" w:rsidRDefault="00637543" w:rsidP="00637543">
            <w:pPr>
              <w:jc w:val="center"/>
              <w:rPr>
                <w:i/>
                <w:iCs/>
                <w:sz w:val="20"/>
                <w:szCs w:val="20"/>
              </w:rPr>
            </w:pPr>
            <w:r w:rsidRPr="004F469F">
              <w:rPr>
                <w:i/>
                <w:iCs/>
                <w:sz w:val="20"/>
                <w:szCs w:val="20"/>
              </w:rPr>
              <w:t>Autumn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5969DF1" w14:textId="77777777" w:rsidR="00637543" w:rsidRPr="004F469F" w:rsidRDefault="00637543" w:rsidP="00637543">
            <w:pPr>
              <w:jc w:val="center"/>
              <w:rPr>
                <w:i/>
                <w:iCs/>
                <w:sz w:val="20"/>
                <w:szCs w:val="20"/>
              </w:rPr>
            </w:pPr>
            <w:r w:rsidRPr="004F469F">
              <w:rPr>
                <w:i/>
                <w:iCs/>
                <w:sz w:val="20"/>
                <w:szCs w:val="20"/>
              </w:rPr>
              <w:t>All Months</w:t>
            </w:r>
          </w:p>
        </w:tc>
      </w:tr>
      <w:tr w:rsidR="00494669" w:rsidRPr="004F469F" w14:paraId="2980F0C1"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A071B1" w14:textId="77777777" w:rsidR="00637543" w:rsidRPr="004F469F" w:rsidRDefault="00637543" w:rsidP="00637543">
            <w:pPr>
              <w:rPr>
                <w:b/>
                <w:bCs/>
                <w:sz w:val="20"/>
                <w:szCs w:val="20"/>
              </w:rPr>
            </w:pPr>
            <w:r w:rsidRPr="004F469F">
              <w:rPr>
                <w:b/>
                <w:bCs/>
                <w:sz w:val="20"/>
                <w:szCs w:val="20"/>
              </w:rPr>
              <w:t>Metric</w:t>
            </w:r>
          </w:p>
        </w:tc>
        <w:tc>
          <w:tcPr>
            <w:tcW w:w="0" w:type="auto"/>
            <w:tcBorders>
              <w:top w:val="nil"/>
              <w:left w:val="nil"/>
              <w:bottom w:val="single" w:sz="4" w:space="0" w:color="auto"/>
              <w:right w:val="single" w:sz="4" w:space="0" w:color="auto"/>
            </w:tcBorders>
            <w:shd w:val="clear" w:color="auto" w:fill="auto"/>
            <w:noWrap/>
            <w:vAlign w:val="center"/>
            <w:hideMark/>
          </w:tcPr>
          <w:p w14:paraId="273685B8"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71B4A567"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3A3A5E26"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6C3AA9D9"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2192E611"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1B90D3F3"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1E1FC67B"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440E0ED0"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6A5B08E4"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41711009" w14:textId="77777777" w:rsidR="00637543" w:rsidRPr="004F469F" w:rsidRDefault="00637543" w:rsidP="00637543">
            <w:pPr>
              <w:jc w:val="center"/>
              <w:rPr>
                <w:b/>
                <w:bCs/>
                <w:sz w:val="20"/>
                <w:szCs w:val="20"/>
              </w:rPr>
            </w:pPr>
            <w:r w:rsidRPr="004F469F">
              <w:rPr>
                <w:b/>
                <w:bCs/>
                <w:sz w:val="20"/>
                <w:szCs w:val="20"/>
              </w:rPr>
              <w:t>SPC</w:t>
            </w:r>
          </w:p>
        </w:tc>
      </w:tr>
      <w:tr w:rsidR="00494669" w:rsidRPr="004F469F" w14:paraId="2B45A234"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A0DA87" w14:textId="77777777" w:rsidR="00637543" w:rsidRPr="004F469F" w:rsidRDefault="00637543" w:rsidP="00637543">
            <w:pPr>
              <w:rPr>
                <w:sz w:val="20"/>
                <w:szCs w:val="20"/>
              </w:rPr>
            </w:pPr>
            <w:r w:rsidRPr="004F469F">
              <w:rPr>
                <w:sz w:val="20"/>
                <w:szCs w:val="20"/>
              </w:rPr>
              <w:t>POD</w:t>
            </w:r>
          </w:p>
        </w:tc>
        <w:tc>
          <w:tcPr>
            <w:tcW w:w="0" w:type="auto"/>
            <w:tcBorders>
              <w:top w:val="nil"/>
              <w:left w:val="nil"/>
              <w:bottom w:val="single" w:sz="4" w:space="0" w:color="auto"/>
              <w:right w:val="single" w:sz="4" w:space="0" w:color="auto"/>
            </w:tcBorders>
            <w:shd w:val="clear" w:color="auto" w:fill="auto"/>
            <w:noWrap/>
            <w:vAlign w:val="center"/>
            <w:hideMark/>
          </w:tcPr>
          <w:p w14:paraId="7FEC52A4" w14:textId="77777777" w:rsidR="00637543" w:rsidRPr="004F469F" w:rsidRDefault="00637543" w:rsidP="00637543">
            <w:pPr>
              <w:jc w:val="center"/>
              <w:rPr>
                <w:sz w:val="20"/>
                <w:szCs w:val="20"/>
              </w:rPr>
            </w:pPr>
            <w:r w:rsidRPr="004F469F">
              <w:rPr>
                <w:sz w:val="20"/>
                <w:szCs w:val="20"/>
              </w:rPr>
              <w:t>86.8</w:t>
            </w:r>
          </w:p>
        </w:tc>
        <w:tc>
          <w:tcPr>
            <w:tcW w:w="0" w:type="auto"/>
            <w:tcBorders>
              <w:top w:val="nil"/>
              <w:left w:val="nil"/>
              <w:bottom w:val="single" w:sz="4" w:space="0" w:color="auto"/>
              <w:right w:val="single" w:sz="4" w:space="0" w:color="auto"/>
            </w:tcBorders>
            <w:shd w:val="clear" w:color="auto" w:fill="auto"/>
            <w:noWrap/>
            <w:vAlign w:val="center"/>
            <w:hideMark/>
          </w:tcPr>
          <w:p w14:paraId="282B6979" w14:textId="77777777" w:rsidR="00637543" w:rsidRPr="004F469F" w:rsidRDefault="00637543" w:rsidP="00637543">
            <w:pPr>
              <w:jc w:val="center"/>
              <w:rPr>
                <w:sz w:val="20"/>
                <w:szCs w:val="20"/>
              </w:rPr>
            </w:pPr>
            <w:r w:rsidRPr="004F469F">
              <w:rPr>
                <w:sz w:val="20"/>
                <w:szCs w:val="20"/>
              </w:rPr>
              <w:t>90.7</w:t>
            </w:r>
          </w:p>
        </w:tc>
        <w:tc>
          <w:tcPr>
            <w:tcW w:w="0" w:type="auto"/>
            <w:tcBorders>
              <w:top w:val="nil"/>
              <w:left w:val="nil"/>
              <w:bottom w:val="single" w:sz="4" w:space="0" w:color="auto"/>
              <w:right w:val="single" w:sz="4" w:space="0" w:color="auto"/>
            </w:tcBorders>
            <w:shd w:val="clear" w:color="auto" w:fill="auto"/>
            <w:noWrap/>
            <w:vAlign w:val="center"/>
            <w:hideMark/>
          </w:tcPr>
          <w:p w14:paraId="2479FF3B" w14:textId="77777777" w:rsidR="00637543" w:rsidRPr="004F469F" w:rsidRDefault="00637543" w:rsidP="00637543">
            <w:pPr>
              <w:jc w:val="center"/>
              <w:rPr>
                <w:sz w:val="20"/>
                <w:szCs w:val="20"/>
              </w:rPr>
            </w:pPr>
            <w:r w:rsidRPr="004F469F">
              <w:rPr>
                <w:sz w:val="20"/>
                <w:szCs w:val="20"/>
              </w:rPr>
              <w:t>84.2</w:t>
            </w:r>
          </w:p>
        </w:tc>
        <w:tc>
          <w:tcPr>
            <w:tcW w:w="0" w:type="auto"/>
            <w:tcBorders>
              <w:top w:val="nil"/>
              <w:left w:val="nil"/>
              <w:bottom w:val="single" w:sz="4" w:space="0" w:color="auto"/>
              <w:right w:val="single" w:sz="4" w:space="0" w:color="auto"/>
            </w:tcBorders>
            <w:shd w:val="clear" w:color="auto" w:fill="auto"/>
            <w:noWrap/>
            <w:vAlign w:val="center"/>
            <w:hideMark/>
          </w:tcPr>
          <w:p w14:paraId="77413DB7" w14:textId="77777777" w:rsidR="00637543" w:rsidRPr="004F469F" w:rsidRDefault="00637543" w:rsidP="00637543">
            <w:pPr>
              <w:jc w:val="center"/>
              <w:rPr>
                <w:sz w:val="20"/>
                <w:szCs w:val="20"/>
              </w:rPr>
            </w:pPr>
            <w:r w:rsidRPr="004F469F">
              <w:rPr>
                <w:sz w:val="20"/>
                <w:szCs w:val="20"/>
              </w:rPr>
              <w:t>77.1</w:t>
            </w:r>
          </w:p>
        </w:tc>
        <w:tc>
          <w:tcPr>
            <w:tcW w:w="0" w:type="auto"/>
            <w:tcBorders>
              <w:top w:val="nil"/>
              <w:left w:val="nil"/>
              <w:bottom w:val="single" w:sz="4" w:space="0" w:color="auto"/>
              <w:right w:val="single" w:sz="4" w:space="0" w:color="auto"/>
            </w:tcBorders>
            <w:shd w:val="clear" w:color="auto" w:fill="auto"/>
            <w:noWrap/>
            <w:vAlign w:val="center"/>
            <w:hideMark/>
          </w:tcPr>
          <w:p w14:paraId="1CE99A08" w14:textId="77777777" w:rsidR="00637543" w:rsidRPr="004F469F" w:rsidRDefault="00637543" w:rsidP="00637543">
            <w:pPr>
              <w:jc w:val="center"/>
              <w:rPr>
                <w:sz w:val="20"/>
                <w:szCs w:val="20"/>
              </w:rPr>
            </w:pPr>
            <w:r w:rsidRPr="004F469F">
              <w:rPr>
                <w:sz w:val="20"/>
                <w:szCs w:val="20"/>
              </w:rPr>
              <w:t>58.1</w:t>
            </w:r>
          </w:p>
        </w:tc>
        <w:tc>
          <w:tcPr>
            <w:tcW w:w="0" w:type="auto"/>
            <w:tcBorders>
              <w:top w:val="nil"/>
              <w:left w:val="nil"/>
              <w:bottom w:val="single" w:sz="4" w:space="0" w:color="auto"/>
              <w:right w:val="single" w:sz="4" w:space="0" w:color="auto"/>
            </w:tcBorders>
            <w:shd w:val="clear" w:color="auto" w:fill="auto"/>
            <w:noWrap/>
            <w:vAlign w:val="center"/>
            <w:hideMark/>
          </w:tcPr>
          <w:p w14:paraId="48C6E4D2" w14:textId="77777777" w:rsidR="00637543" w:rsidRPr="004F469F" w:rsidRDefault="00637543" w:rsidP="00637543">
            <w:pPr>
              <w:jc w:val="center"/>
              <w:rPr>
                <w:sz w:val="20"/>
                <w:szCs w:val="20"/>
              </w:rPr>
            </w:pPr>
            <w:r w:rsidRPr="004F469F">
              <w:rPr>
                <w:sz w:val="20"/>
                <w:szCs w:val="20"/>
              </w:rPr>
              <w:t>49.5</w:t>
            </w:r>
          </w:p>
        </w:tc>
        <w:tc>
          <w:tcPr>
            <w:tcW w:w="0" w:type="auto"/>
            <w:tcBorders>
              <w:top w:val="nil"/>
              <w:left w:val="nil"/>
              <w:bottom w:val="single" w:sz="4" w:space="0" w:color="auto"/>
              <w:right w:val="single" w:sz="4" w:space="0" w:color="auto"/>
            </w:tcBorders>
            <w:shd w:val="clear" w:color="auto" w:fill="auto"/>
            <w:noWrap/>
            <w:vAlign w:val="center"/>
            <w:hideMark/>
          </w:tcPr>
          <w:p w14:paraId="114523CF" w14:textId="77777777" w:rsidR="00637543" w:rsidRPr="004F469F" w:rsidRDefault="00637543" w:rsidP="00637543">
            <w:pPr>
              <w:jc w:val="center"/>
              <w:rPr>
                <w:sz w:val="20"/>
                <w:szCs w:val="20"/>
              </w:rPr>
            </w:pPr>
            <w:r w:rsidRPr="004F469F">
              <w:rPr>
                <w:sz w:val="20"/>
                <w:szCs w:val="20"/>
              </w:rPr>
              <w:t>78.6</w:t>
            </w:r>
          </w:p>
        </w:tc>
        <w:tc>
          <w:tcPr>
            <w:tcW w:w="0" w:type="auto"/>
            <w:tcBorders>
              <w:top w:val="nil"/>
              <w:left w:val="nil"/>
              <w:bottom w:val="single" w:sz="4" w:space="0" w:color="auto"/>
              <w:right w:val="single" w:sz="4" w:space="0" w:color="auto"/>
            </w:tcBorders>
            <w:shd w:val="clear" w:color="auto" w:fill="auto"/>
            <w:noWrap/>
            <w:vAlign w:val="center"/>
            <w:hideMark/>
          </w:tcPr>
          <w:p w14:paraId="247B75AC" w14:textId="77777777" w:rsidR="00637543" w:rsidRPr="004F469F" w:rsidRDefault="00637543" w:rsidP="00637543">
            <w:pPr>
              <w:jc w:val="center"/>
              <w:rPr>
                <w:sz w:val="20"/>
                <w:szCs w:val="20"/>
              </w:rPr>
            </w:pPr>
            <w:r w:rsidRPr="004F469F">
              <w:rPr>
                <w:sz w:val="20"/>
                <w:szCs w:val="20"/>
              </w:rPr>
              <w:t>76.7</w:t>
            </w:r>
          </w:p>
        </w:tc>
        <w:tc>
          <w:tcPr>
            <w:tcW w:w="0" w:type="auto"/>
            <w:tcBorders>
              <w:top w:val="nil"/>
              <w:left w:val="nil"/>
              <w:bottom w:val="single" w:sz="4" w:space="0" w:color="auto"/>
              <w:right w:val="single" w:sz="4" w:space="0" w:color="auto"/>
            </w:tcBorders>
            <w:shd w:val="clear" w:color="auto" w:fill="auto"/>
            <w:noWrap/>
            <w:vAlign w:val="center"/>
            <w:hideMark/>
          </w:tcPr>
          <w:p w14:paraId="2F5E072D" w14:textId="77777777" w:rsidR="00637543" w:rsidRPr="004F469F" w:rsidRDefault="00637543" w:rsidP="00637543">
            <w:pPr>
              <w:jc w:val="center"/>
              <w:rPr>
                <w:sz w:val="20"/>
                <w:szCs w:val="20"/>
              </w:rPr>
            </w:pPr>
            <w:r w:rsidRPr="004F469F">
              <w:rPr>
                <w:sz w:val="20"/>
                <w:szCs w:val="20"/>
              </w:rPr>
              <w:t>78.1</w:t>
            </w:r>
          </w:p>
        </w:tc>
        <w:tc>
          <w:tcPr>
            <w:tcW w:w="0" w:type="auto"/>
            <w:tcBorders>
              <w:top w:val="nil"/>
              <w:left w:val="nil"/>
              <w:bottom w:val="single" w:sz="4" w:space="0" w:color="auto"/>
              <w:right w:val="single" w:sz="4" w:space="0" w:color="auto"/>
            </w:tcBorders>
            <w:shd w:val="clear" w:color="auto" w:fill="auto"/>
            <w:noWrap/>
            <w:vAlign w:val="center"/>
            <w:hideMark/>
          </w:tcPr>
          <w:p w14:paraId="45460BF5" w14:textId="77777777" w:rsidR="00637543" w:rsidRPr="004F469F" w:rsidRDefault="00637543" w:rsidP="00637543">
            <w:pPr>
              <w:jc w:val="center"/>
              <w:rPr>
                <w:sz w:val="20"/>
                <w:szCs w:val="20"/>
              </w:rPr>
            </w:pPr>
            <w:r w:rsidRPr="004F469F">
              <w:rPr>
                <w:sz w:val="20"/>
                <w:szCs w:val="20"/>
              </w:rPr>
              <w:t>72.6</w:t>
            </w:r>
          </w:p>
        </w:tc>
      </w:tr>
      <w:tr w:rsidR="00494669" w:rsidRPr="004F469F" w14:paraId="51B57632"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C6375" w14:textId="77777777" w:rsidR="00637543" w:rsidRPr="004F469F" w:rsidRDefault="00637543" w:rsidP="00637543">
            <w:pPr>
              <w:rPr>
                <w:sz w:val="20"/>
                <w:szCs w:val="20"/>
              </w:rPr>
            </w:pPr>
            <w:r w:rsidRPr="004F469F">
              <w:rPr>
                <w:sz w:val="20"/>
                <w:szCs w:val="20"/>
              </w:rPr>
              <w:t>FAR</w:t>
            </w:r>
          </w:p>
        </w:tc>
        <w:tc>
          <w:tcPr>
            <w:tcW w:w="0" w:type="auto"/>
            <w:tcBorders>
              <w:top w:val="nil"/>
              <w:left w:val="nil"/>
              <w:bottom w:val="single" w:sz="4" w:space="0" w:color="auto"/>
              <w:right w:val="single" w:sz="4" w:space="0" w:color="auto"/>
            </w:tcBorders>
            <w:shd w:val="clear" w:color="auto" w:fill="auto"/>
            <w:noWrap/>
            <w:vAlign w:val="center"/>
            <w:hideMark/>
          </w:tcPr>
          <w:p w14:paraId="3E304CAE" w14:textId="77777777" w:rsidR="00637543" w:rsidRPr="004F469F" w:rsidRDefault="00637543" w:rsidP="00637543">
            <w:pPr>
              <w:jc w:val="center"/>
              <w:rPr>
                <w:sz w:val="20"/>
                <w:szCs w:val="20"/>
              </w:rPr>
            </w:pPr>
            <w:r w:rsidRPr="004F469F">
              <w:rPr>
                <w:sz w:val="20"/>
                <w:szCs w:val="20"/>
              </w:rPr>
              <w:t>99.4</w:t>
            </w:r>
          </w:p>
        </w:tc>
        <w:tc>
          <w:tcPr>
            <w:tcW w:w="0" w:type="auto"/>
            <w:tcBorders>
              <w:top w:val="nil"/>
              <w:left w:val="nil"/>
              <w:bottom w:val="single" w:sz="4" w:space="0" w:color="auto"/>
              <w:right w:val="single" w:sz="4" w:space="0" w:color="auto"/>
            </w:tcBorders>
            <w:shd w:val="clear" w:color="auto" w:fill="auto"/>
            <w:noWrap/>
            <w:vAlign w:val="center"/>
            <w:hideMark/>
          </w:tcPr>
          <w:p w14:paraId="5DFA8C7F" w14:textId="77777777" w:rsidR="00637543" w:rsidRPr="004F469F" w:rsidRDefault="00637543" w:rsidP="00637543">
            <w:pPr>
              <w:jc w:val="center"/>
              <w:rPr>
                <w:sz w:val="20"/>
                <w:szCs w:val="20"/>
              </w:rPr>
            </w:pPr>
            <w:r w:rsidRPr="004F469F">
              <w:rPr>
                <w:sz w:val="20"/>
                <w:szCs w:val="20"/>
              </w:rPr>
              <w:t>98.3</w:t>
            </w:r>
          </w:p>
        </w:tc>
        <w:tc>
          <w:tcPr>
            <w:tcW w:w="0" w:type="auto"/>
            <w:tcBorders>
              <w:top w:val="nil"/>
              <w:left w:val="nil"/>
              <w:bottom w:val="single" w:sz="4" w:space="0" w:color="auto"/>
              <w:right w:val="single" w:sz="4" w:space="0" w:color="auto"/>
            </w:tcBorders>
            <w:shd w:val="clear" w:color="auto" w:fill="auto"/>
            <w:noWrap/>
            <w:vAlign w:val="center"/>
            <w:hideMark/>
          </w:tcPr>
          <w:p w14:paraId="6FECC371" w14:textId="77777777" w:rsidR="00637543" w:rsidRPr="004F469F" w:rsidRDefault="00637543" w:rsidP="00637543">
            <w:pPr>
              <w:jc w:val="center"/>
              <w:rPr>
                <w:sz w:val="20"/>
                <w:szCs w:val="20"/>
              </w:rPr>
            </w:pPr>
            <w:r w:rsidRPr="004F469F">
              <w:rPr>
                <w:sz w:val="20"/>
                <w:szCs w:val="20"/>
              </w:rPr>
              <w:t>99.3</w:t>
            </w:r>
          </w:p>
        </w:tc>
        <w:tc>
          <w:tcPr>
            <w:tcW w:w="0" w:type="auto"/>
            <w:tcBorders>
              <w:top w:val="nil"/>
              <w:left w:val="nil"/>
              <w:bottom w:val="single" w:sz="4" w:space="0" w:color="auto"/>
              <w:right w:val="single" w:sz="4" w:space="0" w:color="auto"/>
            </w:tcBorders>
            <w:shd w:val="clear" w:color="auto" w:fill="auto"/>
            <w:noWrap/>
            <w:vAlign w:val="center"/>
            <w:hideMark/>
          </w:tcPr>
          <w:p w14:paraId="6912C80D" w14:textId="77777777" w:rsidR="00637543" w:rsidRPr="004F469F" w:rsidRDefault="00637543" w:rsidP="00637543">
            <w:pPr>
              <w:jc w:val="center"/>
              <w:rPr>
                <w:sz w:val="20"/>
                <w:szCs w:val="20"/>
              </w:rPr>
            </w:pPr>
            <w:r w:rsidRPr="004F469F">
              <w:rPr>
                <w:sz w:val="20"/>
                <w:szCs w:val="20"/>
              </w:rPr>
              <w:t>98.8</w:t>
            </w:r>
          </w:p>
        </w:tc>
        <w:tc>
          <w:tcPr>
            <w:tcW w:w="0" w:type="auto"/>
            <w:tcBorders>
              <w:top w:val="nil"/>
              <w:left w:val="nil"/>
              <w:bottom w:val="single" w:sz="4" w:space="0" w:color="auto"/>
              <w:right w:val="single" w:sz="4" w:space="0" w:color="auto"/>
            </w:tcBorders>
            <w:shd w:val="clear" w:color="auto" w:fill="auto"/>
            <w:noWrap/>
            <w:vAlign w:val="center"/>
            <w:hideMark/>
          </w:tcPr>
          <w:p w14:paraId="10917A42" w14:textId="77777777" w:rsidR="00637543" w:rsidRPr="004F469F" w:rsidRDefault="00637543" w:rsidP="00637543">
            <w:pPr>
              <w:jc w:val="center"/>
              <w:rPr>
                <w:sz w:val="20"/>
                <w:szCs w:val="20"/>
              </w:rPr>
            </w:pPr>
            <w:r w:rsidRPr="004F469F">
              <w:rPr>
                <w:sz w:val="20"/>
                <w:szCs w:val="20"/>
              </w:rPr>
              <w:t>99.7</w:t>
            </w:r>
          </w:p>
        </w:tc>
        <w:tc>
          <w:tcPr>
            <w:tcW w:w="0" w:type="auto"/>
            <w:tcBorders>
              <w:top w:val="nil"/>
              <w:left w:val="nil"/>
              <w:bottom w:val="single" w:sz="4" w:space="0" w:color="auto"/>
              <w:right w:val="single" w:sz="4" w:space="0" w:color="auto"/>
            </w:tcBorders>
            <w:shd w:val="clear" w:color="auto" w:fill="auto"/>
            <w:noWrap/>
            <w:vAlign w:val="center"/>
            <w:hideMark/>
          </w:tcPr>
          <w:p w14:paraId="380C0028" w14:textId="77777777" w:rsidR="00637543" w:rsidRPr="004F469F" w:rsidRDefault="00637543" w:rsidP="00637543">
            <w:pPr>
              <w:jc w:val="center"/>
              <w:rPr>
                <w:sz w:val="20"/>
                <w:szCs w:val="20"/>
              </w:rPr>
            </w:pPr>
            <w:r w:rsidRPr="004F469F">
              <w:rPr>
                <w:sz w:val="20"/>
                <w:szCs w:val="20"/>
              </w:rPr>
              <w:t>99.4</w:t>
            </w:r>
          </w:p>
        </w:tc>
        <w:tc>
          <w:tcPr>
            <w:tcW w:w="0" w:type="auto"/>
            <w:tcBorders>
              <w:top w:val="nil"/>
              <w:left w:val="nil"/>
              <w:bottom w:val="single" w:sz="4" w:space="0" w:color="auto"/>
              <w:right w:val="single" w:sz="4" w:space="0" w:color="auto"/>
            </w:tcBorders>
            <w:shd w:val="clear" w:color="auto" w:fill="auto"/>
            <w:noWrap/>
            <w:vAlign w:val="center"/>
            <w:hideMark/>
          </w:tcPr>
          <w:p w14:paraId="3F6ED1A1" w14:textId="77777777" w:rsidR="00637543" w:rsidRPr="004F469F" w:rsidRDefault="00637543" w:rsidP="00637543">
            <w:pPr>
              <w:jc w:val="center"/>
              <w:rPr>
                <w:sz w:val="20"/>
                <w:szCs w:val="20"/>
              </w:rPr>
            </w:pPr>
            <w:r w:rsidRPr="004F469F">
              <w:rPr>
                <w:sz w:val="20"/>
                <w:szCs w:val="20"/>
              </w:rPr>
              <w:t>99.6</w:t>
            </w:r>
          </w:p>
        </w:tc>
        <w:tc>
          <w:tcPr>
            <w:tcW w:w="0" w:type="auto"/>
            <w:tcBorders>
              <w:top w:val="nil"/>
              <w:left w:val="nil"/>
              <w:bottom w:val="single" w:sz="4" w:space="0" w:color="auto"/>
              <w:right w:val="single" w:sz="4" w:space="0" w:color="auto"/>
            </w:tcBorders>
            <w:shd w:val="clear" w:color="auto" w:fill="auto"/>
            <w:noWrap/>
            <w:vAlign w:val="center"/>
            <w:hideMark/>
          </w:tcPr>
          <w:p w14:paraId="196CD1D3" w14:textId="77777777" w:rsidR="00637543" w:rsidRPr="004F469F" w:rsidRDefault="00637543" w:rsidP="00637543">
            <w:pPr>
              <w:jc w:val="center"/>
              <w:rPr>
                <w:sz w:val="20"/>
                <w:szCs w:val="20"/>
              </w:rPr>
            </w:pPr>
            <w:r w:rsidRPr="004F469F">
              <w:rPr>
                <w:sz w:val="20"/>
                <w:szCs w:val="20"/>
              </w:rPr>
              <w:t>98.8</w:t>
            </w:r>
          </w:p>
        </w:tc>
        <w:tc>
          <w:tcPr>
            <w:tcW w:w="0" w:type="auto"/>
            <w:tcBorders>
              <w:top w:val="nil"/>
              <w:left w:val="nil"/>
              <w:bottom w:val="single" w:sz="4" w:space="0" w:color="auto"/>
              <w:right w:val="single" w:sz="4" w:space="0" w:color="auto"/>
            </w:tcBorders>
            <w:shd w:val="clear" w:color="auto" w:fill="auto"/>
            <w:noWrap/>
            <w:vAlign w:val="center"/>
            <w:hideMark/>
          </w:tcPr>
          <w:p w14:paraId="7EBA584D" w14:textId="77777777" w:rsidR="00637543" w:rsidRPr="004F469F" w:rsidRDefault="00637543" w:rsidP="00637543">
            <w:pPr>
              <w:jc w:val="center"/>
              <w:rPr>
                <w:sz w:val="20"/>
                <w:szCs w:val="20"/>
              </w:rPr>
            </w:pPr>
            <w:r w:rsidRPr="004F469F">
              <w:rPr>
                <w:sz w:val="20"/>
                <w:szCs w:val="20"/>
              </w:rPr>
              <w:t>99.5</w:t>
            </w:r>
          </w:p>
        </w:tc>
        <w:tc>
          <w:tcPr>
            <w:tcW w:w="0" w:type="auto"/>
            <w:tcBorders>
              <w:top w:val="nil"/>
              <w:left w:val="nil"/>
              <w:bottom w:val="single" w:sz="4" w:space="0" w:color="auto"/>
              <w:right w:val="single" w:sz="4" w:space="0" w:color="auto"/>
            </w:tcBorders>
            <w:shd w:val="clear" w:color="auto" w:fill="auto"/>
            <w:noWrap/>
            <w:vAlign w:val="center"/>
            <w:hideMark/>
          </w:tcPr>
          <w:p w14:paraId="4DDA7B35" w14:textId="77777777" w:rsidR="00637543" w:rsidRPr="004F469F" w:rsidRDefault="00637543" w:rsidP="00637543">
            <w:pPr>
              <w:jc w:val="center"/>
              <w:rPr>
                <w:sz w:val="20"/>
                <w:szCs w:val="20"/>
              </w:rPr>
            </w:pPr>
            <w:r w:rsidRPr="004F469F">
              <w:rPr>
                <w:sz w:val="20"/>
                <w:szCs w:val="20"/>
              </w:rPr>
              <w:t>98.9</w:t>
            </w:r>
          </w:p>
        </w:tc>
      </w:tr>
      <w:tr w:rsidR="00494669" w:rsidRPr="004F469F" w14:paraId="4A60FB04"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84431E" w14:textId="77777777" w:rsidR="00637543" w:rsidRPr="004F469F" w:rsidRDefault="00637543" w:rsidP="00637543">
            <w:pPr>
              <w:rPr>
                <w:sz w:val="20"/>
                <w:szCs w:val="20"/>
              </w:rPr>
            </w:pPr>
            <w:r w:rsidRPr="004F469F">
              <w:rPr>
                <w:sz w:val="20"/>
                <w:szCs w:val="20"/>
              </w:rPr>
              <w:t>HSS</w:t>
            </w:r>
          </w:p>
        </w:tc>
        <w:tc>
          <w:tcPr>
            <w:tcW w:w="0" w:type="auto"/>
            <w:tcBorders>
              <w:top w:val="nil"/>
              <w:left w:val="nil"/>
              <w:bottom w:val="single" w:sz="4" w:space="0" w:color="auto"/>
              <w:right w:val="single" w:sz="4" w:space="0" w:color="auto"/>
            </w:tcBorders>
            <w:shd w:val="clear" w:color="auto" w:fill="auto"/>
            <w:noWrap/>
            <w:vAlign w:val="center"/>
            <w:hideMark/>
          </w:tcPr>
          <w:p w14:paraId="220F9F68" w14:textId="77777777" w:rsidR="00637543" w:rsidRPr="004F469F" w:rsidRDefault="00637543" w:rsidP="00637543">
            <w:pPr>
              <w:jc w:val="center"/>
              <w:rPr>
                <w:sz w:val="20"/>
                <w:szCs w:val="20"/>
              </w:rPr>
            </w:pPr>
            <w:r w:rsidRPr="004F469F">
              <w:rPr>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4C631386" w14:textId="77777777" w:rsidR="00637543" w:rsidRPr="004F469F" w:rsidRDefault="00637543" w:rsidP="00637543">
            <w:pPr>
              <w:jc w:val="center"/>
              <w:rPr>
                <w:sz w:val="20"/>
                <w:szCs w:val="20"/>
              </w:rPr>
            </w:pPr>
            <w:r w:rsidRPr="004F469F">
              <w:rPr>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0FF0E51B" w14:textId="77777777" w:rsidR="00637543" w:rsidRPr="004F469F" w:rsidRDefault="00637543" w:rsidP="00637543">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27920617" w14:textId="77777777" w:rsidR="00637543" w:rsidRPr="004F469F" w:rsidRDefault="00637543" w:rsidP="00637543">
            <w:pPr>
              <w:jc w:val="center"/>
              <w:rPr>
                <w:sz w:val="20"/>
                <w:szCs w:val="20"/>
              </w:rPr>
            </w:pPr>
            <w:r w:rsidRPr="004F469F">
              <w:rPr>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28006C8F" w14:textId="77777777" w:rsidR="00637543" w:rsidRPr="004F469F" w:rsidRDefault="00637543" w:rsidP="00637543">
            <w:pPr>
              <w:jc w:val="center"/>
              <w:rPr>
                <w:sz w:val="20"/>
                <w:szCs w:val="20"/>
              </w:rPr>
            </w:pPr>
            <w:r w:rsidRPr="004F469F">
              <w:rPr>
                <w:sz w:val="20"/>
                <w:szCs w:val="20"/>
              </w:rPr>
              <w:t>0.5</w:t>
            </w:r>
          </w:p>
        </w:tc>
        <w:tc>
          <w:tcPr>
            <w:tcW w:w="0" w:type="auto"/>
            <w:tcBorders>
              <w:top w:val="nil"/>
              <w:left w:val="nil"/>
              <w:bottom w:val="single" w:sz="4" w:space="0" w:color="auto"/>
              <w:right w:val="single" w:sz="4" w:space="0" w:color="auto"/>
            </w:tcBorders>
            <w:shd w:val="clear" w:color="auto" w:fill="auto"/>
            <w:noWrap/>
            <w:vAlign w:val="center"/>
            <w:hideMark/>
          </w:tcPr>
          <w:p w14:paraId="33517960" w14:textId="77777777" w:rsidR="00637543" w:rsidRPr="004F469F" w:rsidRDefault="00637543" w:rsidP="00637543">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57AA2008" w14:textId="77777777" w:rsidR="00637543" w:rsidRPr="004F469F" w:rsidRDefault="00637543" w:rsidP="00637543">
            <w:pPr>
              <w:jc w:val="center"/>
              <w:rPr>
                <w:sz w:val="20"/>
                <w:szCs w:val="20"/>
              </w:rPr>
            </w:pPr>
            <w:r w:rsidRPr="004F469F">
              <w:rPr>
                <w:sz w:val="20"/>
                <w:szCs w:val="20"/>
              </w:rPr>
              <w:t>0.7</w:t>
            </w:r>
          </w:p>
        </w:tc>
        <w:tc>
          <w:tcPr>
            <w:tcW w:w="0" w:type="auto"/>
            <w:tcBorders>
              <w:top w:val="nil"/>
              <w:left w:val="nil"/>
              <w:bottom w:val="single" w:sz="4" w:space="0" w:color="auto"/>
              <w:right w:val="single" w:sz="4" w:space="0" w:color="auto"/>
            </w:tcBorders>
            <w:shd w:val="clear" w:color="auto" w:fill="auto"/>
            <w:noWrap/>
            <w:vAlign w:val="center"/>
            <w:hideMark/>
          </w:tcPr>
          <w:p w14:paraId="349BA9AD" w14:textId="77777777" w:rsidR="00637543" w:rsidRPr="004F469F" w:rsidRDefault="00637543" w:rsidP="00637543">
            <w:pPr>
              <w:jc w:val="center"/>
              <w:rPr>
                <w:sz w:val="20"/>
                <w:szCs w:val="20"/>
              </w:rPr>
            </w:pPr>
            <w:r w:rsidRPr="004F469F">
              <w:rPr>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52C9125C" w14:textId="77777777" w:rsidR="00637543" w:rsidRPr="004F469F" w:rsidRDefault="00637543" w:rsidP="00637543">
            <w:pPr>
              <w:jc w:val="center"/>
              <w:rPr>
                <w:sz w:val="20"/>
                <w:szCs w:val="20"/>
              </w:rPr>
            </w:pPr>
            <w:r w:rsidRPr="004F469F">
              <w:rPr>
                <w:sz w:val="20"/>
                <w:szCs w:val="20"/>
              </w:rPr>
              <w:t>0.9</w:t>
            </w:r>
          </w:p>
        </w:tc>
        <w:tc>
          <w:tcPr>
            <w:tcW w:w="0" w:type="auto"/>
            <w:tcBorders>
              <w:top w:val="nil"/>
              <w:left w:val="nil"/>
              <w:bottom w:val="single" w:sz="4" w:space="0" w:color="auto"/>
              <w:right w:val="single" w:sz="4" w:space="0" w:color="auto"/>
            </w:tcBorders>
            <w:shd w:val="clear" w:color="auto" w:fill="auto"/>
            <w:noWrap/>
            <w:vAlign w:val="center"/>
            <w:hideMark/>
          </w:tcPr>
          <w:p w14:paraId="06D23C53" w14:textId="77777777" w:rsidR="00637543" w:rsidRPr="004F469F" w:rsidRDefault="00637543" w:rsidP="00637543">
            <w:pPr>
              <w:jc w:val="center"/>
              <w:rPr>
                <w:sz w:val="20"/>
                <w:szCs w:val="20"/>
              </w:rPr>
            </w:pPr>
            <w:r w:rsidRPr="004F469F">
              <w:rPr>
                <w:sz w:val="20"/>
                <w:szCs w:val="20"/>
              </w:rPr>
              <w:t>2</w:t>
            </w:r>
          </w:p>
        </w:tc>
      </w:tr>
      <w:tr w:rsidR="00494669" w:rsidRPr="004F469F" w14:paraId="4A436499" w14:textId="77777777" w:rsidTr="00637543">
        <w:trPr>
          <w:trHeight w:val="320"/>
        </w:trPr>
        <w:tc>
          <w:tcPr>
            <w:tcW w:w="0" w:type="auto"/>
            <w:tcBorders>
              <w:top w:val="nil"/>
              <w:left w:val="nil"/>
              <w:bottom w:val="nil"/>
              <w:right w:val="nil"/>
            </w:tcBorders>
            <w:shd w:val="clear" w:color="auto" w:fill="auto"/>
            <w:noWrap/>
            <w:vAlign w:val="bottom"/>
            <w:hideMark/>
          </w:tcPr>
          <w:p w14:paraId="058AB182" w14:textId="77777777" w:rsidR="00637543" w:rsidRPr="004F469F" w:rsidRDefault="00637543" w:rsidP="00637543">
            <w:pPr>
              <w:jc w:val="right"/>
              <w:rPr>
                <w:sz w:val="20"/>
                <w:szCs w:val="20"/>
              </w:rPr>
            </w:pPr>
          </w:p>
        </w:tc>
        <w:tc>
          <w:tcPr>
            <w:tcW w:w="0" w:type="auto"/>
            <w:tcBorders>
              <w:top w:val="nil"/>
              <w:left w:val="nil"/>
              <w:bottom w:val="nil"/>
              <w:right w:val="nil"/>
            </w:tcBorders>
            <w:shd w:val="clear" w:color="auto" w:fill="auto"/>
            <w:noWrap/>
            <w:vAlign w:val="bottom"/>
            <w:hideMark/>
          </w:tcPr>
          <w:p w14:paraId="34C86EAA"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84A5092"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601983A"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639C2D6"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0F45673"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8A530EE"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452C1F3"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35E7568D"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6F03FCF"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9CCA0D8" w14:textId="77777777" w:rsidR="00637543" w:rsidRPr="004F469F" w:rsidRDefault="00637543" w:rsidP="00637543">
            <w:pPr>
              <w:rPr>
                <w:sz w:val="20"/>
                <w:szCs w:val="20"/>
              </w:rPr>
            </w:pPr>
          </w:p>
        </w:tc>
      </w:tr>
      <w:tr w:rsidR="00494669" w:rsidRPr="004F469F" w14:paraId="6FF40BF8" w14:textId="77777777" w:rsidTr="00637543">
        <w:trPr>
          <w:trHeight w:val="320"/>
        </w:trPr>
        <w:tc>
          <w:tcPr>
            <w:tcW w:w="0" w:type="auto"/>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70B2A" w14:textId="77777777" w:rsidR="00637543" w:rsidRPr="004F469F" w:rsidRDefault="00637543" w:rsidP="00637543">
            <w:pPr>
              <w:rPr>
                <w:i/>
                <w:iCs/>
                <w:sz w:val="20"/>
                <w:szCs w:val="20"/>
              </w:rPr>
            </w:pPr>
            <w:r w:rsidRPr="004F469F">
              <w:rPr>
                <w:i/>
                <w:iCs/>
                <w:sz w:val="20"/>
                <w:szCs w:val="20"/>
              </w:rPr>
              <w:t>Verification of Daily Forecasts</w:t>
            </w:r>
          </w:p>
        </w:tc>
      </w:tr>
      <w:tr w:rsidR="00494669" w:rsidRPr="004F469F" w14:paraId="3E240068"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7C0E67" w14:textId="77777777" w:rsidR="00637543" w:rsidRPr="004F469F" w:rsidRDefault="00637543" w:rsidP="00637543">
            <w:pPr>
              <w:rPr>
                <w:sz w:val="20"/>
                <w:szCs w:val="20"/>
              </w:rPr>
            </w:pPr>
            <w:r w:rsidRPr="004F469F">
              <w:rPr>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24128B6" w14:textId="77777777" w:rsidR="00637543" w:rsidRPr="004F469F" w:rsidRDefault="00637543" w:rsidP="00637543">
            <w:pPr>
              <w:jc w:val="center"/>
              <w:rPr>
                <w:i/>
                <w:iCs/>
                <w:sz w:val="20"/>
                <w:szCs w:val="20"/>
              </w:rPr>
            </w:pPr>
            <w:r w:rsidRPr="004F469F">
              <w:rPr>
                <w:i/>
                <w:iCs/>
                <w:sz w:val="20"/>
                <w:szCs w:val="20"/>
              </w:rPr>
              <w:t>Winter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8C396CD" w14:textId="77777777" w:rsidR="00637543" w:rsidRPr="004F469F" w:rsidRDefault="00637543" w:rsidP="00637543">
            <w:pPr>
              <w:jc w:val="center"/>
              <w:rPr>
                <w:i/>
                <w:iCs/>
                <w:sz w:val="20"/>
                <w:szCs w:val="20"/>
              </w:rPr>
            </w:pPr>
            <w:r w:rsidRPr="004F469F">
              <w:rPr>
                <w:i/>
                <w:iCs/>
                <w:sz w:val="20"/>
                <w:szCs w:val="20"/>
              </w:rPr>
              <w:t>Spring</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27CFCCB" w14:textId="77777777" w:rsidR="00637543" w:rsidRPr="004F469F" w:rsidRDefault="00637543" w:rsidP="00637543">
            <w:pPr>
              <w:jc w:val="center"/>
              <w:rPr>
                <w:i/>
                <w:iCs/>
                <w:sz w:val="20"/>
                <w:szCs w:val="20"/>
              </w:rPr>
            </w:pPr>
            <w:r w:rsidRPr="004F469F">
              <w:rPr>
                <w:i/>
                <w:iCs/>
                <w:sz w:val="20"/>
                <w:szCs w:val="20"/>
              </w:rPr>
              <w:t>Summer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FFAD06D" w14:textId="77777777" w:rsidR="00637543" w:rsidRPr="004F469F" w:rsidRDefault="00637543" w:rsidP="00637543">
            <w:pPr>
              <w:jc w:val="center"/>
              <w:rPr>
                <w:i/>
                <w:iCs/>
                <w:sz w:val="20"/>
                <w:szCs w:val="20"/>
              </w:rPr>
            </w:pPr>
            <w:r w:rsidRPr="004F469F">
              <w:rPr>
                <w:i/>
                <w:iCs/>
                <w:sz w:val="20"/>
                <w:szCs w:val="20"/>
              </w:rPr>
              <w:t>Autumn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41AAB21" w14:textId="77777777" w:rsidR="00637543" w:rsidRPr="004F469F" w:rsidRDefault="00637543" w:rsidP="00637543">
            <w:pPr>
              <w:jc w:val="center"/>
              <w:rPr>
                <w:i/>
                <w:iCs/>
                <w:sz w:val="20"/>
                <w:szCs w:val="20"/>
              </w:rPr>
            </w:pPr>
            <w:r w:rsidRPr="004F469F">
              <w:rPr>
                <w:i/>
                <w:iCs/>
                <w:sz w:val="20"/>
                <w:szCs w:val="20"/>
              </w:rPr>
              <w:t>All Months</w:t>
            </w:r>
          </w:p>
        </w:tc>
      </w:tr>
      <w:tr w:rsidR="00494669" w:rsidRPr="004F469F" w14:paraId="446E16FC"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307385" w14:textId="77777777" w:rsidR="00637543" w:rsidRPr="004F469F" w:rsidRDefault="00637543" w:rsidP="00637543">
            <w:pPr>
              <w:rPr>
                <w:b/>
                <w:bCs/>
                <w:sz w:val="20"/>
                <w:szCs w:val="20"/>
              </w:rPr>
            </w:pPr>
            <w:r w:rsidRPr="004F469F">
              <w:rPr>
                <w:b/>
                <w:bCs/>
                <w:sz w:val="20"/>
                <w:szCs w:val="20"/>
              </w:rPr>
              <w:t>Metric</w:t>
            </w:r>
          </w:p>
        </w:tc>
        <w:tc>
          <w:tcPr>
            <w:tcW w:w="0" w:type="auto"/>
            <w:tcBorders>
              <w:top w:val="nil"/>
              <w:left w:val="nil"/>
              <w:bottom w:val="single" w:sz="4" w:space="0" w:color="auto"/>
              <w:right w:val="single" w:sz="4" w:space="0" w:color="auto"/>
            </w:tcBorders>
            <w:shd w:val="clear" w:color="auto" w:fill="auto"/>
            <w:noWrap/>
            <w:vAlign w:val="center"/>
            <w:hideMark/>
          </w:tcPr>
          <w:p w14:paraId="0BCC71B6"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3D331607"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6BE0EC3F"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2ED427B2"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1C03A66B"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531406AD"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4250F057"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36211D1C"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2F669D67"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0EB15748" w14:textId="77777777" w:rsidR="00637543" w:rsidRPr="004F469F" w:rsidRDefault="00637543" w:rsidP="00637543">
            <w:pPr>
              <w:jc w:val="center"/>
              <w:rPr>
                <w:b/>
                <w:bCs/>
                <w:sz w:val="20"/>
                <w:szCs w:val="20"/>
              </w:rPr>
            </w:pPr>
            <w:r w:rsidRPr="004F469F">
              <w:rPr>
                <w:b/>
                <w:bCs/>
                <w:sz w:val="20"/>
                <w:szCs w:val="20"/>
              </w:rPr>
              <w:t>SPC</w:t>
            </w:r>
          </w:p>
        </w:tc>
      </w:tr>
      <w:tr w:rsidR="00494669" w:rsidRPr="004F469F" w14:paraId="606494A8"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4935E" w14:textId="77777777" w:rsidR="00637543" w:rsidRPr="004F469F" w:rsidRDefault="00637543" w:rsidP="00637543">
            <w:pPr>
              <w:rPr>
                <w:sz w:val="20"/>
                <w:szCs w:val="20"/>
              </w:rPr>
            </w:pPr>
            <w:r w:rsidRPr="004F469F">
              <w:rPr>
                <w:sz w:val="20"/>
                <w:szCs w:val="20"/>
              </w:rPr>
              <w:t>POD</w:t>
            </w:r>
          </w:p>
        </w:tc>
        <w:tc>
          <w:tcPr>
            <w:tcW w:w="0" w:type="auto"/>
            <w:tcBorders>
              <w:top w:val="nil"/>
              <w:left w:val="nil"/>
              <w:bottom w:val="single" w:sz="4" w:space="0" w:color="auto"/>
              <w:right w:val="single" w:sz="4" w:space="0" w:color="auto"/>
            </w:tcBorders>
            <w:shd w:val="clear" w:color="auto" w:fill="auto"/>
            <w:noWrap/>
            <w:vAlign w:val="center"/>
            <w:hideMark/>
          </w:tcPr>
          <w:p w14:paraId="69466479" w14:textId="77777777" w:rsidR="00637543" w:rsidRPr="004F469F" w:rsidRDefault="00637543" w:rsidP="00637543">
            <w:pPr>
              <w:jc w:val="center"/>
              <w:rPr>
                <w:sz w:val="20"/>
                <w:szCs w:val="20"/>
              </w:rPr>
            </w:pPr>
            <w:r w:rsidRPr="004F469F">
              <w:rPr>
                <w:sz w:val="20"/>
                <w:szCs w:val="20"/>
              </w:rPr>
              <w:t>94.4</w:t>
            </w:r>
          </w:p>
        </w:tc>
        <w:tc>
          <w:tcPr>
            <w:tcW w:w="0" w:type="auto"/>
            <w:tcBorders>
              <w:top w:val="nil"/>
              <w:left w:val="nil"/>
              <w:bottom w:val="single" w:sz="4" w:space="0" w:color="auto"/>
              <w:right w:val="single" w:sz="4" w:space="0" w:color="auto"/>
            </w:tcBorders>
            <w:shd w:val="clear" w:color="auto" w:fill="auto"/>
            <w:noWrap/>
            <w:vAlign w:val="center"/>
            <w:hideMark/>
          </w:tcPr>
          <w:p w14:paraId="4C89624E" w14:textId="77777777" w:rsidR="00637543" w:rsidRPr="004F469F" w:rsidRDefault="00637543" w:rsidP="00637543">
            <w:pPr>
              <w:jc w:val="center"/>
              <w:rPr>
                <w:sz w:val="20"/>
                <w:szCs w:val="20"/>
              </w:rPr>
            </w:pPr>
            <w:r w:rsidRPr="004F469F">
              <w:rPr>
                <w:sz w:val="20"/>
                <w:szCs w:val="20"/>
              </w:rPr>
              <w:t>94.4</w:t>
            </w:r>
          </w:p>
        </w:tc>
        <w:tc>
          <w:tcPr>
            <w:tcW w:w="0" w:type="auto"/>
            <w:tcBorders>
              <w:top w:val="nil"/>
              <w:left w:val="nil"/>
              <w:bottom w:val="single" w:sz="4" w:space="0" w:color="auto"/>
              <w:right w:val="single" w:sz="4" w:space="0" w:color="auto"/>
            </w:tcBorders>
            <w:shd w:val="clear" w:color="auto" w:fill="auto"/>
            <w:noWrap/>
            <w:vAlign w:val="center"/>
            <w:hideMark/>
          </w:tcPr>
          <w:p w14:paraId="4D8D16D6" w14:textId="77777777" w:rsidR="00637543" w:rsidRPr="004F469F" w:rsidRDefault="00637543" w:rsidP="00637543">
            <w:pPr>
              <w:jc w:val="center"/>
              <w:rPr>
                <w:sz w:val="20"/>
                <w:szCs w:val="20"/>
              </w:rPr>
            </w:pPr>
            <w:r w:rsidRPr="004F469F">
              <w:rPr>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38B1FB0A" w14:textId="77777777" w:rsidR="00637543" w:rsidRPr="004F469F" w:rsidRDefault="00637543" w:rsidP="00637543">
            <w:pPr>
              <w:jc w:val="center"/>
              <w:rPr>
                <w:sz w:val="20"/>
                <w:szCs w:val="20"/>
              </w:rPr>
            </w:pPr>
            <w:r w:rsidRPr="004F469F">
              <w:rPr>
                <w:sz w:val="20"/>
                <w:szCs w:val="20"/>
              </w:rPr>
              <w:t>92.2</w:t>
            </w:r>
          </w:p>
        </w:tc>
        <w:tc>
          <w:tcPr>
            <w:tcW w:w="0" w:type="auto"/>
            <w:tcBorders>
              <w:top w:val="nil"/>
              <w:left w:val="nil"/>
              <w:bottom w:val="single" w:sz="4" w:space="0" w:color="auto"/>
              <w:right w:val="single" w:sz="4" w:space="0" w:color="auto"/>
            </w:tcBorders>
            <w:shd w:val="clear" w:color="auto" w:fill="auto"/>
            <w:noWrap/>
            <w:vAlign w:val="center"/>
            <w:hideMark/>
          </w:tcPr>
          <w:p w14:paraId="1EF88CAC" w14:textId="77777777" w:rsidR="00637543" w:rsidRPr="004F469F" w:rsidRDefault="00637543" w:rsidP="00637543">
            <w:pPr>
              <w:jc w:val="center"/>
              <w:rPr>
                <w:sz w:val="20"/>
                <w:szCs w:val="20"/>
              </w:rPr>
            </w:pPr>
            <w:r w:rsidRPr="004F469F">
              <w:rPr>
                <w:sz w:val="20"/>
                <w:szCs w:val="20"/>
              </w:rPr>
              <w:t>88.6</w:t>
            </w:r>
          </w:p>
        </w:tc>
        <w:tc>
          <w:tcPr>
            <w:tcW w:w="0" w:type="auto"/>
            <w:tcBorders>
              <w:top w:val="nil"/>
              <w:left w:val="nil"/>
              <w:bottom w:val="single" w:sz="4" w:space="0" w:color="auto"/>
              <w:right w:val="single" w:sz="4" w:space="0" w:color="auto"/>
            </w:tcBorders>
            <w:shd w:val="clear" w:color="auto" w:fill="auto"/>
            <w:noWrap/>
            <w:vAlign w:val="center"/>
            <w:hideMark/>
          </w:tcPr>
          <w:p w14:paraId="40395463" w14:textId="77777777" w:rsidR="00637543" w:rsidRPr="004F469F" w:rsidRDefault="00637543" w:rsidP="00637543">
            <w:pPr>
              <w:jc w:val="center"/>
              <w:rPr>
                <w:sz w:val="20"/>
                <w:szCs w:val="20"/>
              </w:rPr>
            </w:pPr>
            <w:r w:rsidRPr="004F469F">
              <w:rPr>
                <w:sz w:val="20"/>
                <w:szCs w:val="20"/>
              </w:rPr>
              <w:t>72.7</w:t>
            </w:r>
          </w:p>
        </w:tc>
        <w:tc>
          <w:tcPr>
            <w:tcW w:w="0" w:type="auto"/>
            <w:tcBorders>
              <w:top w:val="nil"/>
              <w:left w:val="nil"/>
              <w:bottom w:val="single" w:sz="4" w:space="0" w:color="auto"/>
              <w:right w:val="single" w:sz="4" w:space="0" w:color="auto"/>
            </w:tcBorders>
            <w:shd w:val="clear" w:color="auto" w:fill="auto"/>
            <w:noWrap/>
            <w:vAlign w:val="center"/>
            <w:hideMark/>
          </w:tcPr>
          <w:p w14:paraId="726732C1" w14:textId="77777777" w:rsidR="00637543" w:rsidRPr="004F469F" w:rsidRDefault="00637543" w:rsidP="00637543">
            <w:pPr>
              <w:jc w:val="center"/>
              <w:rPr>
                <w:sz w:val="20"/>
                <w:szCs w:val="20"/>
              </w:rPr>
            </w:pPr>
            <w:r w:rsidRPr="004F469F">
              <w:rPr>
                <w:sz w:val="20"/>
                <w:szCs w:val="20"/>
              </w:rPr>
              <w:t>93.3</w:t>
            </w:r>
          </w:p>
        </w:tc>
        <w:tc>
          <w:tcPr>
            <w:tcW w:w="0" w:type="auto"/>
            <w:tcBorders>
              <w:top w:val="nil"/>
              <w:left w:val="nil"/>
              <w:bottom w:val="single" w:sz="4" w:space="0" w:color="auto"/>
              <w:right w:val="single" w:sz="4" w:space="0" w:color="auto"/>
            </w:tcBorders>
            <w:shd w:val="clear" w:color="auto" w:fill="auto"/>
            <w:noWrap/>
            <w:vAlign w:val="center"/>
            <w:hideMark/>
          </w:tcPr>
          <w:p w14:paraId="7C12F951" w14:textId="77777777" w:rsidR="00637543" w:rsidRPr="004F469F" w:rsidRDefault="00637543" w:rsidP="00637543">
            <w:pPr>
              <w:jc w:val="center"/>
              <w:rPr>
                <w:sz w:val="20"/>
                <w:szCs w:val="20"/>
              </w:rPr>
            </w:pPr>
            <w:r w:rsidRPr="004F469F">
              <w:rPr>
                <w:sz w:val="20"/>
                <w:szCs w:val="20"/>
              </w:rPr>
              <w:t>76.7</w:t>
            </w:r>
          </w:p>
        </w:tc>
        <w:tc>
          <w:tcPr>
            <w:tcW w:w="0" w:type="auto"/>
            <w:tcBorders>
              <w:top w:val="nil"/>
              <w:left w:val="nil"/>
              <w:bottom w:val="single" w:sz="4" w:space="0" w:color="auto"/>
              <w:right w:val="single" w:sz="4" w:space="0" w:color="auto"/>
            </w:tcBorders>
            <w:shd w:val="clear" w:color="auto" w:fill="auto"/>
            <w:noWrap/>
            <w:vAlign w:val="center"/>
            <w:hideMark/>
          </w:tcPr>
          <w:p w14:paraId="7EF38525" w14:textId="77777777" w:rsidR="00637543" w:rsidRPr="004F469F" w:rsidRDefault="00637543" w:rsidP="00637543">
            <w:pPr>
              <w:jc w:val="center"/>
              <w:rPr>
                <w:sz w:val="20"/>
                <w:szCs w:val="20"/>
              </w:rPr>
            </w:pPr>
            <w:r w:rsidRPr="004F469F">
              <w:rPr>
                <w:sz w:val="20"/>
                <w:szCs w:val="20"/>
              </w:rPr>
              <w:t>94.2</w:t>
            </w:r>
          </w:p>
        </w:tc>
        <w:tc>
          <w:tcPr>
            <w:tcW w:w="0" w:type="auto"/>
            <w:tcBorders>
              <w:top w:val="nil"/>
              <w:left w:val="nil"/>
              <w:bottom w:val="single" w:sz="4" w:space="0" w:color="auto"/>
              <w:right w:val="single" w:sz="4" w:space="0" w:color="auto"/>
            </w:tcBorders>
            <w:shd w:val="clear" w:color="auto" w:fill="auto"/>
            <w:noWrap/>
            <w:vAlign w:val="center"/>
            <w:hideMark/>
          </w:tcPr>
          <w:p w14:paraId="5F47CBDC" w14:textId="77777777" w:rsidR="00637543" w:rsidRPr="004F469F" w:rsidRDefault="00637543" w:rsidP="00637543">
            <w:pPr>
              <w:jc w:val="center"/>
              <w:rPr>
                <w:sz w:val="20"/>
                <w:szCs w:val="20"/>
              </w:rPr>
            </w:pPr>
            <w:r w:rsidRPr="004F469F">
              <w:rPr>
                <w:sz w:val="20"/>
                <w:szCs w:val="20"/>
              </w:rPr>
              <w:t>82.7</w:t>
            </w:r>
          </w:p>
        </w:tc>
      </w:tr>
      <w:tr w:rsidR="00494669" w:rsidRPr="004F469F" w14:paraId="042B2F36"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A7D3CA" w14:textId="77777777" w:rsidR="00637543" w:rsidRPr="004F469F" w:rsidRDefault="00637543" w:rsidP="00637543">
            <w:pPr>
              <w:rPr>
                <w:sz w:val="20"/>
                <w:szCs w:val="20"/>
              </w:rPr>
            </w:pPr>
            <w:r w:rsidRPr="004F469F">
              <w:rPr>
                <w:sz w:val="20"/>
                <w:szCs w:val="20"/>
              </w:rPr>
              <w:t>FAR</w:t>
            </w:r>
          </w:p>
        </w:tc>
        <w:tc>
          <w:tcPr>
            <w:tcW w:w="0" w:type="auto"/>
            <w:tcBorders>
              <w:top w:val="nil"/>
              <w:left w:val="nil"/>
              <w:bottom w:val="single" w:sz="4" w:space="0" w:color="auto"/>
              <w:right w:val="single" w:sz="4" w:space="0" w:color="auto"/>
            </w:tcBorders>
            <w:shd w:val="clear" w:color="auto" w:fill="auto"/>
            <w:noWrap/>
            <w:vAlign w:val="center"/>
            <w:hideMark/>
          </w:tcPr>
          <w:p w14:paraId="7A74AF4A" w14:textId="77777777" w:rsidR="00637543" w:rsidRPr="004F469F" w:rsidRDefault="00637543" w:rsidP="00637543">
            <w:pPr>
              <w:jc w:val="center"/>
              <w:rPr>
                <w:sz w:val="20"/>
                <w:szCs w:val="20"/>
              </w:rPr>
            </w:pPr>
            <w:r w:rsidRPr="004F469F">
              <w:rPr>
                <w:sz w:val="20"/>
                <w:szCs w:val="20"/>
              </w:rPr>
              <w:t>64.6</w:t>
            </w:r>
          </w:p>
        </w:tc>
        <w:tc>
          <w:tcPr>
            <w:tcW w:w="0" w:type="auto"/>
            <w:tcBorders>
              <w:top w:val="nil"/>
              <w:left w:val="nil"/>
              <w:bottom w:val="single" w:sz="4" w:space="0" w:color="auto"/>
              <w:right w:val="single" w:sz="4" w:space="0" w:color="auto"/>
            </w:tcBorders>
            <w:shd w:val="clear" w:color="auto" w:fill="auto"/>
            <w:noWrap/>
            <w:vAlign w:val="center"/>
            <w:hideMark/>
          </w:tcPr>
          <w:p w14:paraId="6975B1F3" w14:textId="77777777" w:rsidR="00637543" w:rsidRPr="004F469F" w:rsidRDefault="00637543" w:rsidP="00637543">
            <w:pPr>
              <w:jc w:val="center"/>
              <w:rPr>
                <w:sz w:val="20"/>
                <w:szCs w:val="20"/>
              </w:rPr>
            </w:pPr>
            <w:r w:rsidRPr="004F469F">
              <w:rPr>
                <w:sz w:val="20"/>
                <w:szCs w:val="20"/>
              </w:rPr>
              <w:t>43.3</w:t>
            </w:r>
          </w:p>
        </w:tc>
        <w:tc>
          <w:tcPr>
            <w:tcW w:w="0" w:type="auto"/>
            <w:tcBorders>
              <w:top w:val="nil"/>
              <w:left w:val="nil"/>
              <w:bottom w:val="single" w:sz="4" w:space="0" w:color="auto"/>
              <w:right w:val="single" w:sz="4" w:space="0" w:color="auto"/>
            </w:tcBorders>
            <w:shd w:val="clear" w:color="auto" w:fill="auto"/>
            <w:noWrap/>
            <w:vAlign w:val="center"/>
            <w:hideMark/>
          </w:tcPr>
          <w:p w14:paraId="6338B215" w14:textId="77777777" w:rsidR="00637543" w:rsidRPr="004F469F" w:rsidRDefault="00637543" w:rsidP="00637543">
            <w:pPr>
              <w:jc w:val="center"/>
              <w:rPr>
                <w:sz w:val="20"/>
                <w:szCs w:val="20"/>
              </w:rPr>
            </w:pPr>
            <w:r w:rsidRPr="004F469F">
              <w:rPr>
                <w:sz w:val="20"/>
                <w:szCs w:val="20"/>
              </w:rPr>
              <w:t>35.7</w:t>
            </w:r>
          </w:p>
        </w:tc>
        <w:tc>
          <w:tcPr>
            <w:tcW w:w="0" w:type="auto"/>
            <w:tcBorders>
              <w:top w:val="nil"/>
              <w:left w:val="nil"/>
              <w:bottom w:val="single" w:sz="4" w:space="0" w:color="auto"/>
              <w:right w:val="single" w:sz="4" w:space="0" w:color="auto"/>
            </w:tcBorders>
            <w:shd w:val="clear" w:color="auto" w:fill="auto"/>
            <w:noWrap/>
            <w:vAlign w:val="center"/>
            <w:hideMark/>
          </w:tcPr>
          <w:p w14:paraId="1114C4AC" w14:textId="77777777" w:rsidR="00637543" w:rsidRPr="004F469F" w:rsidRDefault="00637543" w:rsidP="00637543">
            <w:pPr>
              <w:jc w:val="center"/>
              <w:rPr>
                <w:sz w:val="20"/>
                <w:szCs w:val="20"/>
              </w:rPr>
            </w:pPr>
            <w:r w:rsidRPr="004F469F">
              <w:rPr>
                <w:sz w:val="20"/>
                <w:szCs w:val="20"/>
              </w:rPr>
              <w:t>23.9</w:t>
            </w:r>
          </w:p>
        </w:tc>
        <w:tc>
          <w:tcPr>
            <w:tcW w:w="0" w:type="auto"/>
            <w:tcBorders>
              <w:top w:val="nil"/>
              <w:left w:val="nil"/>
              <w:bottom w:val="single" w:sz="4" w:space="0" w:color="auto"/>
              <w:right w:val="single" w:sz="4" w:space="0" w:color="auto"/>
            </w:tcBorders>
            <w:shd w:val="clear" w:color="auto" w:fill="auto"/>
            <w:noWrap/>
            <w:vAlign w:val="center"/>
            <w:hideMark/>
          </w:tcPr>
          <w:p w14:paraId="64C9A352" w14:textId="77777777" w:rsidR="00637543" w:rsidRPr="004F469F" w:rsidRDefault="00637543" w:rsidP="00637543">
            <w:pPr>
              <w:jc w:val="center"/>
              <w:rPr>
                <w:sz w:val="20"/>
                <w:szCs w:val="20"/>
              </w:rPr>
            </w:pPr>
            <w:r w:rsidRPr="004F469F">
              <w:rPr>
                <w:sz w:val="20"/>
                <w:szCs w:val="20"/>
              </w:rPr>
              <w:t>49.7</w:t>
            </w:r>
          </w:p>
        </w:tc>
        <w:tc>
          <w:tcPr>
            <w:tcW w:w="0" w:type="auto"/>
            <w:tcBorders>
              <w:top w:val="nil"/>
              <w:left w:val="nil"/>
              <w:bottom w:val="single" w:sz="4" w:space="0" w:color="auto"/>
              <w:right w:val="single" w:sz="4" w:space="0" w:color="auto"/>
            </w:tcBorders>
            <w:shd w:val="clear" w:color="auto" w:fill="auto"/>
            <w:noWrap/>
            <w:vAlign w:val="center"/>
            <w:hideMark/>
          </w:tcPr>
          <w:p w14:paraId="268B5A68" w14:textId="77777777" w:rsidR="00637543" w:rsidRPr="004F469F" w:rsidRDefault="00637543" w:rsidP="00637543">
            <w:pPr>
              <w:jc w:val="center"/>
              <w:rPr>
                <w:sz w:val="20"/>
                <w:szCs w:val="20"/>
              </w:rPr>
            </w:pPr>
            <w:r w:rsidRPr="004F469F">
              <w:rPr>
                <w:sz w:val="20"/>
                <w:szCs w:val="20"/>
              </w:rPr>
              <w:t>41.3</w:t>
            </w:r>
          </w:p>
        </w:tc>
        <w:tc>
          <w:tcPr>
            <w:tcW w:w="0" w:type="auto"/>
            <w:tcBorders>
              <w:top w:val="nil"/>
              <w:left w:val="nil"/>
              <w:bottom w:val="single" w:sz="4" w:space="0" w:color="auto"/>
              <w:right w:val="single" w:sz="4" w:space="0" w:color="auto"/>
            </w:tcBorders>
            <w:shd w:val="clear" w:color="auto" w:fill="auto"/>
            <w:noWrap/>
            <w:vAlign w:val="center"/>
            <w:hideMark/>
          </w:tcPr>
          <w:p w14:paraId="4B18048C" w14:textId="77777777" w:rsidR="00637543" w:rsidRPr="004F469F" w:rsidRDefault="00637543" w:rsidP="00637543">
            <w:pPr>
              <w:jc w:val="center"/>
              <w:rPr>
                <w:sz w:val="20"/>
                <w:szCs w:val="20"/>
              </w:rPr>
            </w:pPr>
            <w:r w:rsidRPr="004F469F">
              <w:rPr>
                <w:sz w:val="20"/>
                <w:szCs w:val="20"/>
              </w:rPr>
              <w:t>71.1</w:t>
            </w:r>
          </w:p>
        </w:tc>
        <w:tc>
          <w:tcPr>
            <w:tcW w:w="0" w:type="auto"/>
            <w:tcBorders>
              <w:top w:val="nil"/>
              <w:left w:val="nil"/>
              <w:bottom w:val="single" w:sz="4" w:space="0" w:color="auto"/>
              <w:right w:val="single" w:sz="4" w:space="0" w:color="auto"/>
            </w:tcBorders>
            <w:shd w:val="clear" w:color="auto" w:fill="auto"/>
            <w:noWrap/>
            <w:vAlign w:val="center"/>
            <w:hideMark/>
          </w:tcPr>
          <w:p w14:paraId="7373549C" w14:textId="77777777" w:rsidR="00637543" w:rsidRPr="004F469F" w:rsidRDefault="00637543" w:rsidP="00637543">
            <w:pPr>
              <w:jc w:val="center"/>
              <w:rPr>
                <w:sz w:val="20"/>
                <w:szCs w:val="20"/>
              </w:rPr>
            </w:pPr>
            <w:r w:rsidRPr="004F469F">
              <w:rPr>
                <w:sz w:val="20"/>
                <w:szCs w:val="20"/>
              </w:rPr>
              <w:t>54</w:t>
            </w:r>
          </w:p>
        </w:tc>
        <w:tc>
          <w:tcPr>
            <w:tcW w:w="0" w:type="auto"/>
            <w:tcBorders>
              <w:top w:val="nil"/>
              <w:left w:val="nil"/>
              <w:bottom w:val="single" w:sz="4" w:space="0" w:color="auto"/>
              <w:right w:val="single" w:sz="4" w:space="0" w:color="auto"/>
            </w:tcBorders>
            <w:shd w:val="clear" w:color="auto" w:fill="auto"/>
            <w:noWrap/>
            <w:vAlign w:val="center"/>
            <w:hideMark/>
          </w:tcPr>
          <w:p w14:paraId="2A81D823" w14:textId="77777777" w:rsidR="00637543" w:rsidRPr="004F469F" w:rsidRDefault="00637543" w:rsidP="00637543">
            <w:pPr>
              <w:jc w:val="center"/>
              <w:rPr>
                <w:sz w:val="20"/>
                <w:szCs w:val="20"/>
              </w:rPr>
            </w:pPr>
            <w:r w:rsidRPr="004F469F">
              <w:rPr>
                <w:sz w:val="20"/>
                <w:szCs w:val="20"/>
              </w:rPr>
              <w:t>51.6</w:t>
            </w:r>
          </w:p>
        </w:tc>
        <w:tc>
          <w:tcPr>
            <w:tcW w:w="0" w:type="auto"/>
            <w:tcBorders>
              <w:top w:val="nil"/>
              <w:left w:val="nil"/>
              <w:bottom w:val="single" w:sz="4" w:space="0" w:color="auto"/>
              <w:right w:val="single" w:sz="4" w:space="0" w:color="auto"/>
            </w:tcBorders>
            <w:shd w:val="clear" w:color="auto" w:fill="auto"/>
            <w:noWrap/>
            <w:vAlign w:val="center"/>
            <w:hideMark/>
          </w:tcPr>
          <w:p w14:paraId="524D8D1B" w14:textId="77777777" w:rsidR="00637543" w:rsidRPr="004F469F" w:rsidRDefault="00637543" w:rsidP="00637543">
            <w:pPr>
              <w:jc w:val="center"/>
              <w:rPr>
                <w:sz w:val="20"/>
                <w:szCs w:val="20"/>
              </w:rPr>
            </w:pPr>
            <w:r w:rsidRPr="004F469F">
              <w:rPr>
                <w:sz w:val="20"/>
                <w:szCs w:val="20"/>
              </w:rPr>
              <w:t>37.2</w:t>
            </w:r>
          </w:p>
        </w:tc>
      </w:tr>
      <w:tr w:rsidR="00494669" w:rsidRPr="004F469F" w14:paraId="4832C566"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BEDB66" w14:textId="77777777" w:rsidR="00637543" w:rsidRPr="004F469F" w:rsidRDefault="00637543" w:rsidP="00637543">
            <w:pPr>
              <w:rPr>
                <w:sz w:val="20"/>
                <w:szCs w:val="20"/>
              </w:rPr>
            </w:pPr>
            <w:r w:rsidRPr="004F469F">
              <w:rPr>
                <w:sz w:val="20"/>
                <w:szCs w:val="20"/>
              </w:rPr>
              <w:t>HSS</w:t>
            </w:r>
          </w:p>
        </w:tc>
        <w:tc>
          <w:tcPr>
            <w:tcW w:w="0" w:type="auto"/>
            <w:tcBorders>
              <w:top w:val="nil"/>
              <w:left w:val="nil"/>
              <w:bottom w:val="single" w:sz="4" w:space="0" w:color="auto"/>
              <w:right w:val="single" w:sz="4" w:space="0" w:color="auto"/>
            </w:tcBorders>
            <w:shd w:val="clear" w:color="auto" w:fill="auto"/>
            <w:noWrap/>
            <w:vAlign w:val="center"/>
            <w:hideMark/>
          </w:tcPr>
          <w:p w14:paraId="3FF3950C" w14:textId="77777777" w:rsidR="00637543" w:rsidRPr="004F469F" w:rsidRDefault="00637543" w:rsidP="00637543">
            <w:pPr>
              <w:jc w:val="center"/>
              <w:rPr>
                <w:sz w:val="20"/>
                <w:szCs w:val="20"/>
              </w:rPr>
            </w:pPr>
            <w:r w:rsidRPr="004F469F">
              <w:rPr>
                <w:sz w:val="20"/>
                <w:szCs w:val="20"/>
              </w:rPr>
              <w:t>43.3</w:t>
            </w:r>
          </w:p>
        </w:tc>
        <w:tc>
          <w:tcPr>
            <w:tcW w:w="0" w:type="auto"/>
            <w:tcBorders>
              <w:top w:val="nil"/>
              <w:left w:val="nil"/>
              <w:bottom w:val="single" w:sz="4" w:space="0" w:color="auto"/>
              <w:right w:val="single" w:sz="4" w:space="0" w:color="auto"/>
            </w:tcBorders>
            <w:shd w:val="clear" w:color="auto" w:fill="auto"/>
            <w:noWrap/>
            <w:vAlign w:val="center"/>
            <w:hideMark/>
          </w:tcPr>
          <w:p w14:paraId="7EA9C1A6" w14:textId="77777777" w:rsidR="00637543" w:rsidRPr="004F469F" w:rsidRDefault="00637543" w:rsidP="00637543">
            <w:pPr>
              <w:jc w:val="center"/>
              <w:rPr>
                <w:sz w:val="20"/>
                <w:szCs w:val="20"/>
              </w:rPr>
            </w:pPr>
            <w:r w:rsidRPr="004F469F">
              <w:rPr>
                <w:sz w:val="20"/>
                <w:szCs w:val="20"/>
              </w:rPr>
              <w:t>66.7</w:t>
            </w:r>
          </w:p>
        </w:tc>
        <w:tc>
          <w:tcPr>
            <w:tcW w:w="0" w:type="auto"/>
            <w:tcBorders>
              <w:top w:val="nil"/>
              <w:left w:val="nil"/>
              <w:bottom w:val="single" w:sz="4" w:space="0" w:color="auto"/>
              <w:right w:val="single" w:sz="4" w:space="0" w:color="auto"/>
            </w:tcBorders>
            <w:shd w:val="clear" w:color="auto" w:fill="auto"/>
            <w:noWrap/>
            <w:vAlign w:val="center"/>
            <w:hideMark/>
          </w:tcPr>
          <w:p w14:paraId="51770AC5" w14:textId="77777777" w:rsidR="00637543" w:rsidRPr="004F469F" w:rsidRDefault="00637543" w:rsidP="00637543">
            <w:pPr>
              <w:jc w:val="center"/>
              <w:rPr>
                <w:sz w:val="20"/>
                <w:szCs w:val="20"/>
              </w:rPr>
            </w:pPr>
            <w:r w:rsidRPr="004F469F">
              <w:rPr>
                <w:sz w:val="20"/>
                <w:szCs w:val="20"/>
              </w:rPr>
              <w:t>46.3</w:t>
            </w:r>
          </w:p>
        </w:tc>
        <w:tc>
          <w:tcPr>
            <w:tcW w:w="0" w:type="auto"/>
            <w:tcBorders>
              <w:top w:val="nil"/>
              <w:left w:val="nil"/>
              <w:bottom w:val="single" w:sz="4" w:space="0" w:color="auto"/>
              <w:right w:val="single" w:sz="4" w:space="0" w:color="auto"/>
            </w:tcBorders>
            <w:shd w:val="clear" w:color="auto" w:fill="auto"/>
            <w:noWrap/>
            <w:vAlign w:val="center"/>
            <w:hideMark/>
          </w:tcPr>
          <w:p w14:paraId="5EE4FF02" w14:textId="77777777" w:rsidR="00637543" w:rsidRPr="004F469F" w:rsidRDefault="00637543" w:rsidP="00637543">
            <w:pPr>
              <w:jc w:val="center"/>
              <w:rPr>
                <w:sz w:val="20"/>
                <w:szCs w:val="20"/>
              </w:rPr>
            </w:pPr>
            <w:r w:rsidRPr="004F469F">
              <w:rPr>
                <w:sz w:val="20"/>
                <w:szCs w:val="20"/>
              </w:rPr>
              <w:t>64.3</w:t>
            </w:r>
          </w:p>
        </w:tc>
        <w:tc>
          <w:tcPr>
            <w:tcW w:w="0" w:type="auto"/>
            <w:tcBorders>
              <w:top w:val="nil"/>
              <w:left w:val="nil"/>
              <w:bottom w:val="single" w:sz="4" w:space="0" w:color="auto"/>
              <w:right w:val="single" w:sz="4" w:space="0" w:color="auto"/>
            </w:tcBorders>
            <w:shd w:val="clear" w:color="auto" w:fill="auto"/>
            <w:noWrap/>
            <w:vAlign w:val="center"/>
            <w:hideMark/>
          </w:tcPr>
          <w:p w14:paraId="1217C898" w14:textId="77777777" w:rsidR="00637543" w:rsidRPr="004F469F" w:rsidRDefault="00637543" w:rsidP="00637543">
            <w:pPr>
              <w:jc w:val="center"/>
              <w:rPr>
                <w:sz w:val="20"/>
                <w:szCs w:val="20"/>
              </w:rPr>
            </w:pPr>
            <w:r w:rsidRPr="004F469F">
              <w:rPr>
                <w:sz w:val="20"/>
                <w:szCs w:val="20"/>
              </w:rPr>
              <w:t>8.2</w:t>
            </w:r>
          </w:p>
        </w:tc>
        <w:tc>
          <w:tcPr>
            <w:tcW w:w="0" w:type="auto"/>
            <w:tcBorders>
              <w:top w:val="nil"/>
              <w:left w:val="nil"/>
              <w:bottom w:val="single" w:sz="4" w:space="0" w:color="auto"/>
              <w:right w:val="single" w:sz="4" w:space="0" w:color="auto"/>
            </w:tcBorders>
            <w:shd w:val="clear" w:color="auto" w:fill="auto"/>
            <w:noWrap/>
            <w:vAlign w:val="center"/>
            <w:hideMark/>
          </w:tcPr>
          <w:p w14:paraId="35773308" w14:textId="77777777" w:rsidR="00637543" w:rsidRPr="004F469F" w:rsidRDefault="00637543" w:rsidP="00637543">
            <w:pPr>
              <w:jc w:val="center"/>
              <w:rPr>
                <w:sz w:val="20"/>
                <w:szCs w:val="20"/>
              </w:rPr>
            </w:pPr>
            <w:r w:rsidRPr="004F469F">
              <w:rPr>
                <w:sz w:val="20"/>
                <w:szCs w:val="20"/>
              </w:rPr>
              <w:t>25.6</w:t>
            </w:r>
          </w:p>
        </w:tc>
        <w:tc>
          <w:tcPr>
            <w:tcW w:w="0" w:type="auto"/>
            <w:tcBorders>
              <w:top w:val="nil"/>
              <w:left w:val="nil"/>
              <w:bottom w:val="single" w:sz="4" w:space="0" w:color="auto"/>
              <w:right w:val="single" w:sz="4" w:space="0" w:color="auto"/>
            </w:tcBorders>
            <w:shd w:val="clear" w:color="auto" w:fill="auto"/>
            <w:noWrap/>
            <w:vAlign w:val="center"/>
            <w:hideMark/>
          </w:tcPr>
          <w:p w14:paraId="38ED7C25" w14:textId="77777777" w:rsidR="00637543" w:rsidRPr="004F469F" w:rsidRDefault="00637543" w:rsidP="00637543">
            <w:pPr>
              <w:jc w:val="center"/>
              <w:rPr>
                <w:sz w:val="20"/>
                <w:szCs w:val="20"/>
              </w:rPr>
            </w:pPr>
            <w:r w:rsidRPr="004F469F">
              <w:rPr>
                <w:sz w:val="20"/>
                <w:szCs w:val="20"/>
              </w:rPr>
              <w:t>25.3</w:t>
            </w:r>
          </w:p>
        </w:tc>
        <w:tc>
          <w:tcPr>
            <w:tcW w:w="0" w:type="auto"/>
            <w:tcBorders>
              <w:top w:val="nil"/>
              <w:left w:val="nil"/>
              <w:bottom w:val="single" w:sz="4" w:space="0" w:color="auto"/>
              <w:right w:val="single" w:sz="4" w:space="0" w:color="auto"/>
            </w:tcBorders>
            <w:shd w:val="clear" w:color="auto" w:fill="auto"/>
            <w:noWrap/>
            <w:vAlign w:val="center"/>
            <w:hideMark/>
          </w:tcPr>
          <w:p w14:paraId="09C060CD" w14:textId="77777777" w:rsidR="00637543" w:rsidRPr="004F469F" w:rsidRDefault="00637543" w:rsidP="00637543">
            <w:pPr>
              <w:jc w:val="center"/>
              <w:rPr>
                <w:sz w:val="20"/>
                <w:szCs w:val="20"/>
              </w:rPr>
            </w:pPr>
            <w:r w:rsidRPr="004F469F">
              <w:rPr>
                <w:sz w:val="20"/>
                <w:szCs w:val="20"/>
              </w:rPr>
              <w:t>46.5</w:t>
            </w:r>
          </w:p>
        </w:tc>
        <w:tc>
          <w:tcPr>
            <w:tcW w:w="0" w:type="auto"/>
            <w:tcBorders>
              <w:top w:val="nil"/>
              <w:left w:val="nil"/>
              <w:bottom w:val="single" w:sz="4" w:space="0" w:color="auto"/>
              <w:right w:val="single" w:sz="4" w:space="0" w:color="auto"/>
            </w:tcBorders>
            <w:shd w:val="clear" w:color="auto" w:fill="auto"/>
            <w:noWrap/>
            <w:vAlign w:val="center"/>
            <w:hideMark/>
          </w:tcPr>
          <w:p w14:paraId="344E4548" w14:textId="77777777" w:rsidR="00637543" w:rsidRPr="004F469F" w:rsidRDefault="00637543" w:rsidP="00637543">
            <w:pPr>
              <w:jc w:val="center"/>
              <w:rPr>
                <w:sz w:val="20"/>
                <w:szCs w:val="20"/>
              </w:rPr>
            </w:pPr>
            <w:r w:rsidRPr="004F469F">
              <w:rPr>
                <w:sz w:val="20"/>
                <w:szCs w:val="20"/>
              </w:rPr>
              <w:t>39.1</w:t>
            </w:r>
          </w:p>
        </w:tc>
        <w:tc>
          <w:tcPr>
            <w:tcW w:w="0" w:type="auto"/>
            <w:tcBorders>
              <w:top w:val="nil"/>
              <w:left w:val="nil"/>
              <w:bottom w:val="single" w:sz="4" w:space="0" w:color="auto"/>
              <w:right w:val="single" w:sz="4" w:space="0" w:color="auto"/>
            </w:tcBorders>
            <w:shd w:val="clear" w:color="auto" w:fill="auto"/>
            <w:noWrap/>
            <w:vAlign w:val="center"/>
            <w:hideMark/>
          </w:tcPr>
          <w:p w14:paraId="39C4A676" w14:textId="77777777" w:rsidR="00637543" w:rsidRPr="004F469F" w:rsidRDefault="00637543" w:rsidP="00637543">
            <w:pPr>
              <w:jc w:val="center"/>
              <w:rPr>
                <w:sz w:val="20"/>
                <w:szCs w:val="20"/>
              </w:rPr>
            </w:pPr>
            <w:r w:rsidRPr="004F469F">
              <w:rPr>
                <w:sz w:val="20"/>
                <w:szCs w:val="20"/>
              </w:rPr>
              <w:t>55.8</w:t>
            </w:r>
          </w:p>
        </w:tc>
      </w:tr>
      <w:tr w:rsidR="00494669" w:rsidRPr="004F469F" w14:paraId="7D178E86" w14:textId="77777777" w:rsidTr="00637543">
        <w:trPr>
          <w:trHeight w:val="320"/>
        </w:trPr>
        <w:tc>
          <w:tcPr>
            <w:tcW w:w="0" w:type="auto"/>
            <w:tcBorders>
              <w:top w:val="nil"/>
              <w:left w:val="nil"/>
              <w:bottom w:val="nil"/>
              <w:right w:val="nil"/>
            </w:tcBorders>
            <w:shd w:val="clear" w:color="auto" w:fill="auto"/>
            <w:noWrap/>
            <w:vAlign w:val="bottom"/>
            <w:hideMark/>
          </w:tcPr>
          <w:p w14:paraId="5ECBAD4C" w14:textId="77777777" w:rsidR="00637543" w:rsidRPr="004F469F" w:rsidRDefault="00637543" w:rsidP="00637543">
            <w:pPr>
              <w:jc w:val="right"/>
              <w:rPr>
                <w:sz w:val="20"/>
                <w:szCs w:val="20"/>
              </w:rPr>
            </w:pPr>
          </w:p>
        </w:tc>
        <w:tc>
          <w:tcPr>
            <w:tcW w:w="0" w:type="auto"/>
            <w:tcBorders>
              <w:top w:val="nil"/>
              <w:left w:val="nil"/>
              <w:bottom w:val="nil"/>
              <w:right w:val="nil"/>
            </w:tcBorders>
            <w:shd w:val="clear" w:color="auto" w:fill="auto"/>
            <w:noWrap/>
            <w:vAlign w:val="bottom"/>
            <w:hideMark/>
          </w:tcPr>
          <w:p w14:paraId="46C4353E"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703B764B"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3436153B"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9D94730"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3F8CAC3E"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2B89C05"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F4628F5"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519E213C"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3A6DD9A8"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343DA39" w14:textId="77777777" w:rsidR="00637543" w:rsidRPr="004F469F" w:rsidRDefault="00637543" w:rsidP="00637543">
            <w:pPr>
              <w:rPr>
                <w:sz w:val="20"/>
                <w:szCs w:val="20"/>
              </w:rPr>
            </w:pPr>
          </w:p>
        </w:tc>
      </w:tr>
      <w:tr w:rsidR="00494669" w:rsidRPr="004F469F" w14:paraId="7ACD639C" w14:textId="77777777" w:rsidTr="00637543">
        <w:trPr>
          <w:trHeight w:val="360"/>
        </w:trPr>
        <w:tc>
          <w:tcPr>
            <w:tcW w:w="0" w:type="auto"/>
            <w:gridSpan w:val="3"/>
            <w:tcBorders>
              <w:top w:val="nil"/>
              <w:left w:val="nil"/>
              <w:bottom w:val="nil"/>
              <w:right w:val="nil"/>
            </w:tcBorders>
            <w:shd w:val="clear" w:color="auto" w:fill="auto"/>
            <w:noWrap/>
            <w:vAlign w:val="bottom"/>
            <w:hideMark/>
          </w:tcPr>
          <w:p w14:paraId="0BC3B85F" w14:textId="77777777" w:rsidR="00637543" w:rsidRPr="004F469F" w:rsidRDefault="00637543" w:rsidP="00637543">
            <w:pPr>
              <w:rPr>
                <w:b/>
                <w:bCs/>
                <w:sz w:val="20"/>
                <w:szCs w:val="20"/>
              </w:rPr>
            </w:pPr>
            <w:r w:rsidRPr="004F469F">
              <w:rPr>
                <w:b/>
                <w:bCs/>
                <w:sz w:val="20"/>
                <w:szCs w:val="20"/>
              </w:rPr>
              <w:t>After Screening</w:t>
            </w:r>
          </w:p>
        </w:tc>
        <w:tc>
          <w:tcPr>
            <w:tcW w:w="0" w:type="auto"/>
            <w:tcBorders>
              <w:top w:val="nil"/>
              <w:left w:val="nil"/>
              <w:bottom w:val="nil"/>
              <w:right w:val="nil"/>
            </w:tcBorders>
            <w:shd w:val="clear" w:color="auto" w:fill="auto"/>
            <w:noWrap/>
            <w:vAlign w:val="bottom"/>
            <w:hideMark/>
          </w:tcPr>
          <w:p w14:paraId="6E84DA91" w14:textId="77777777" w:rsidR="00637543" w:rsidRPr="004F469F" w:rsidRDefault="00637543" w:rsidP="00637543">
            <w:pPr>
              <w:rPr>
                <w:b/>
                <w:bCs/>
                <w:sz w:val="20"/>
                <w:szCs w:val="20"/>
              </w:rPr>
            </w:pPr>
          </w:p>
        </w:tc>
        <w:tc>
          <w:tcPr>
            <w:tcW w:w="0" w:type="auto"/>
            <w:tcBorders>
              <w:top w:val="nil"/>
              <w:left w:val="nil"/>
              <w:bottom w:val="nil"/>
              <w:right w:val="nil"/>
            </w:tcBorders>
            <w:shd w:val="clear" w:color="auto" w:fill="auto"/>
            <w:noWrap/>
            <w:vAlign w:val="bottom"/>
            <w:hideMark/>
          </w:tcPr>
          <w:p w14:paraId="79C1E682"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EB4F08E"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1E7D3DA5"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5B2B669"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740CC151"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8614533"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36A88A46" w14:textId="77777777" w:rsidR="00637543" w:rsidRPr="004F469F" w:rsidRDefault="00637543" w:rsidP="00637543">
            <w:pPr>
              <w:rPr>
                <w:sz w:val="20"/>
                <w:szCs w:val="20"/>
              </w:rPr>
            </w:pPr>
          </w:p>
        </w:tc>
      </w:tr>
      <w:tr w:rsidR="00494669" w:rsidRPr="004F469F" w14:paraId="49AE2AB9" w14:textId="77777777" w:rsidTr="00637543">
        <w:trPr>
          <w:trHeight w:val="320"/>
        </w:trPr>
        <w:tc>
          <w:tcPr>
            <w:tcW w:w="0" w:type="auto"/>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3631D" w14:textId="77777777" w:rsidR="00637543" w:rsidRPr="004F469F" w:rsidRDefault="00637543" w:rsidP="00637543">
            <w:pPr>
              <w:rPr>
                <w:i/>
                <w:iCs/>
                <w:sz w:val="20"/>
                <w:szCs w:val="20"/>
              </w:rPr>
            </w:pPr>
            <w:r w:rsidRPr="004F469F">
              <w:rPr>
                <w:i/>
                <w:iCs/>
                <w:sz w:val="20"/>
                <w:szCs w:val="20"/>
              </w:rPr>
              <w:t>Verification of Spatial Distribution</w:t>
            </w:r>
          </w:p>
        </w:tc>
      </w:tr>
      <w:tr w:rsidR="00494669" w:rsidRPr="004F469F" w14:paraId="7B185AE5"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A9D738" w14:textId="77777777" w:rsidR="00637543" w:rsidRPr="004F469F" w:rsidRDefault="00637543" w:rsidP="00637543">
            <w:pPr>
              <w:rPr>
                <w:sz w:val="20"/>
                <w:szCs w:val="20"/>
              </w:rPr>
            </w:pPr>
            <w:r w:rsidRPr="004F469F">
              <w:rPr>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3B25B48" w14:textId="77777777" w:rsidR="00637543" w:rsidRPr="004F469F" w:rsidRDefault="00637543" w:rsidP="00637543">
            <w:pPr>
              <w:jc w:val="center"/>
              <w:rPr>
                <w:i/>
                <w:iCs/>
                <w:sz w:val="20"/>
                <w:szCs w:val="20"/>
              </w:rPr>
            </w:pPr>
            <w:r w:rsidRPr="004F469F">
              <w:rPr>
                <w:i/>
                <w:iCs/>
                <w:sz w:val="20"/>
                <w:szCs w:val="20"/>
              </w:rPr>
              <w:t>Winter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C64AE20" w14:textId="77777777" w:rsidR="00637543" w:rsidRPr="004F469F" w:rsidRDefault="00637543" w:rsidP="00637543">
            <w:pPr>
              <w:jc w:val="center"/>
              <w:rPr>
                <w:i/>
                <w:iCs/>
                <w:sz w:val="20"/>
                <w:szCs w:val="20"/>
              </w:rPr>
            </w:pPr>
            <w:r w:rsidRPr="004F469F">
              <w:rPr>
                <w:i/>
                <w:iCs/>
                <w:sz w:val="20"/>
                <w:szCs w:val="20"/>
              </w:rPr>
              <w:t>Spring</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D78DAB7" w14:textId="77777777" w:rsidR="00637543" w:rsidRPr="004F469F" w:rsidRDefault="00637543" w:rsidP="00637543">
            <w:pPr>
              <w:jc w:val="center"/>
              <w:rPr>
                <w:i/>
                <w:iCs/>
                <w:sz w:val="20"/>
                <w:szCs w:val="20"/>
              </w:rPr>
            </w:pPr>
            <w:r w:rsidRPr="004F469F">
              <w:rPr>
                <w:i/>
                <w:iCs/>
                <w:sz w:val="20"/>
                <w:szCs w:val="20"/>
              </w:rPr>
              <w:t>Summer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06B7733" w14:textId="77777777" w:rsidR="00637543" w:rsidRPr="004F469F" w:rsidRDefault="00637543" w:rsidP="00637543">
            <w:pPr>
              <w:jc w:val="center"/>
              <w:rPr>
                <w:i/>
                <w:iCs/>
                <w:sz w:val="20"/>
                <w:szCs w:val="20"/>
              </w:rPr>
            </w:pPr>
            <w:r w:rsidRPr="004F469F">
              <w:rPr>
                <w:i/>
                <w:iCs/>
                <w:sz w:val="20"/>
                <w:szCs w:val="20"/>
              </w:rPr>
              <w:t>Autumn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5C89568" w14:textId="77777777" w:rsidR="00637543" w:rsidRPr="004F469F" w:rsidRDefault="00637543" w:rsidP="00637543">
            <w:pPr>
              <w:jc w:val="center"/>
              <w:rPr>
                <w:i/>
                <w:iCs/>
                <w:sz w:val="20"/>
                <w:szCs w:val="20"/>
              </w:rPr>
            </w:pPr>
            <w:r w:rsidRPr="004F469F">
              <w:rPr>
                <w:i/>
                <w:iCs/>
                <w:sz w:val="20"/>
                <w:szCs w:val="20"/>
              </w:rPr>
              <w:t>All Months</w:t>
            </w:r>
          </w:p>
        </w:tc>
      </w:tr>
      <w:tr w:rsidR="00494669" w:rsidRPr="004F469F" w14:paraId="60321675"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63F228" w14:textId="77777777" w:rsidR="00637543" w:rsidRPr="004F469F" w:rsidRDefault="00637543" w:rsidP="00637543">
            <w:pPr>
              <w:rPr>
                <w:b/>
                <w:bCs/>
                <w:sz w:val="20"/>
                <w:szCs w:val="20"/>
              </w:rPr>
            </w:pPr>
            <w:r w:rsidRPr="004F469F">
              <w:rPr>
                <w:b/>
                <w:bCs/>
                <w:sz w:val="20"/>
                <w:szCs w:val="20"/>
              </w:rPr>
              <w:t>Metric</w:t>
            </w:r>
          </w:p>
        </w:tc>
        <w:tc>
          <w:tcPr>
            <w:tcW w:w="0" w:type="auto"/>
            <w:tcBorders>
              <w:top w:val="nil"/>
              <w:left w:val="nil"/>
              <w:bottom w:val="single" w:sz="4" w:space="0" w:color="auto"/>
              <w:right w:val="single" w:sz="4" w:space="0" w:color="auto"/>
            </w:tcBorders>
            <w:shd w:val="clear" w:color="auto" w:fill="auto"/>
            <w:noWrap/>
            <w:vAlign w:val="center"/>
            <w:hideMark/>
          </w:tcPr>
          <w:p w14:paraId="454DE92F"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58F78544"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2AC06FB3"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3389F261"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4E245099"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6234E3DB"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22164671"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4B991685"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4B01D25E"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1FF04920" w14:textId="77777777" w:rsidR="00637543" w:rsidRPr="004F469F" w:rsidRDefault="00637543" w:rsidP="00637543">
            <w:pPr>
              <w:jc w:val="center"/>
              <w:rPr>
                <w:b/>
                <w:bCs/>
                <w:sz w:val="20"/>
                <w:szCs w:val="20"/>
              </w:rPr>
            </w:pPr>
            <w:r w:rsidRPr="004F469F">
              <w:rPr>
                <w:b/>
                <w:bCs/>
                <w:sz w:val="20"/>
                <w:szCs w:val="20"/>
              </w:rPr>
              <w:t>SPC</w:t>
            </w:r>
          </w:p>
        </w:tc>
      </w:tr>
      <w:tr w:rsidR="00494669" w:rsidRPr="004F469F" w14:paraId="430D63FA"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946B6E" w14:textId="77777777" w:rsidR="00637543" w:rsidRPr="004F469F" w:rsidRDefault="00637543" w:rsidP="00637543">
            <w:pPr>
              <w:rPr>
                <w:sz w:val="20"/>
                <w:szCs w:val="20"/>
              </w:rPr>
            </w:pPr>
            <w:r w:rsidRPr="004F469F">
              <w:rPr>
                <w:sz w:val="20"/>
                <w:szCs w:val="20"/>
              </w:rPr>
              <w:t>POD</w:t>
            </w:r>
          </w:p>
        </w:tc>
        <w:tc>
          <w:tcPr>
            <w:tcW w:w="0" w:type="auto"/>
            <w:tcBorders>
              <w:top w:val="nil"/>
              <w:left w:val="nil"/>
              <w:bottom w:val="single" w:sz="4" w:space="0" w:color="auto"/>
              <w:right w:val="single" w:sz="4" w:space="0" w:color="auto"/>
            </w:tcBorders>
            <w:shd w:val="clear" w:color="auto" w:fill="auto"/>
            <w:noWrap/>
            <w:vAlign w:val="center"/>
            <w:hideMark/>
          </w:tcPr>
          <w:p w14:paraId="64EA4E80" w14:textId="77777777" w:rsidR="00637543" w:rsidRPr="004F469F" w:rsidRDefault="00637543" w:rsidP="00637543">
            <w:pPr>
              <w:jc w:val="center"/>
              <w:rPr>
                <w:sz w:val="20"/>
                <w:szCs w:val="20"/>
              </w:rPr>
            </w:pPr>
            <w:r w:rsidRPr="004F469F">
              <w:rPr>
                <w:sz w:val="20"/>
                <w:szCs w:val="20"/>
              </w:rPr>
              <w:t>80.1</w:t>
            </w:r>
          </w:p>
        </w:tc>
        <w:tc>
          <w:tcPr>
            <w:tcW w:w="0" w:type="auto"/>
            <w:tcBorders>
              <w:top w:val="nil"/>
              <w:left w:val="nil"/>
              <w:bottom w:val="single" w:sz="4" w:space="0" w:color="auto"/>
              <w:right w:val="single" w:sz="4" w:space="0" w:color="auto"/>
            </w:tcBorders>
            <w:shd w:val="clear" w:color="auto" w:fill="auto"/>
            <w:noWrap/>
            <w:vAlign w:val="center"/>
            <w:hideMark/>
          </w:tcPr>
          <w:p w14:paraId="0BD261F0" w14:textId="77777777" w:rsidR="00637543" w:rsidRPr="004F469F" w:rsidRDefault="00637543" w:rsidP="00637543">
            <w:pPr>
              <w:jc w:val="center"/>
              <w:rPr>
                <w:sz w:val="20"/>
                <w:szCs w:val="20"/>
              </w:rPr>
            </w:pPr>
            <w:r w:rsidRPr="004F469F">
              <w:rPr>
                <w:sz w:val="20"/>
                <w:szCs w:val="20"/>
              </w:rPr>
              <w:t>90.7</w:t>
            </w:r>
          </w:p>
        </w:tc>
        <w:tc>
          <w:tcPr>
            <w:tcW w:w="0" w:type="auto"/>
            <w:tcBorders>
              <w:top w:val="nil"/>
              <w:left w:val="nil"/>
              <w:bottom w:val="single" w:sz="4" w:space="0" w:color="auto"/>
              <w:right w:val="single" w:sz="4" w:space="0" w:color="auto"/>
            </w:tcBorders>
            <w:shd w:val="clear" w:color="auto" w:fill="auto"/>
            <w:noWrap/>
            <w:vAlign w:val="center"/>
            <w:hideMark/>
          </w:tcPr>
          <w:p w14:paraId="2103FB12" w14:textId="77777777" w:rsidR="00637543" w:rsidRPr="004F469F" w:rsidRDefault="00637543" w:rsidP="00637543">
            <w:pPr>
              <w:jc w:val="center"/>
              <w:rPr>
                <w:sz w:val="20"/>
                <w:szCs w:val="20"/>
              </w:rPr>
            </w:pPr>
            <w:r w:rsidRPr="004F469F">
              <w:rPr>
                <w:sz w:val="20"/>
                <w:szCs w:val="20"/>
              </w:rPr>
              <w:t>83.7</w:t>
            </w:r>
          </w:p>
        </w:tc>
        <w:tc>
          <w:tcPr>
            <w:tcW w:w="0" w:type="auto"/>
            <w:tcBorders>
              <w:top w:val="nil"/>
              <w:left w:val="nil"/>
              <w:bottom w:val="single" w:sz="4" w:space="0" w:color="auto"/>
              <w:right w:val="single" w:sz="4" w:space="0" w:color="auto"/>
            </w:tcBorders>
            <w:shd w:val="clear" w:color="auto" w:fill="auto"/>
            <w:noWrap/>
            <w:vAlign w:val="center"/>
            <w:hideMark/>
          </w:tcPr>
          <w:p w14:paraId="30C3B4EF" w14:textId="77777777" w:rsidR="00637543" w:rsidRPr="004F469F" w:rsidRDefault="00637543" w:rsidP="00637543">
            <w:pPr>
              <w:jc w:val="center"/>
              <w:rPr>
                <w:sz w:val="20"/>
                <w:szCs w:val="20"/>
              </w:rPr>
            </w:pPr>
            <w:r w:rsidRPr="004F469F">
              <w:rPr>
                <w:sz w:val="20"/>
                <w:szCs w:val="20"/>
              </w:rPr>
              <w:t>77.1</w:t>
            </w:r>
          </w:p>
        </w:tc>
        <w:tc>
          <w:tcPr>
            <w:tcW w:w="0" w:type="auto"/>
            <w:tcBorders>
              <w:top w:val="nil"/>
              <w:left w:val="nil"/>
              <w:bottom w:val="single" w:sz="4" w:space="0" w:color="auto"/>
              <w:right w:val="single" w:sz="4" w:space="0" w:color="auto"/>
            </w:tcBorders>
            <w:shd w:val="clear" w:color="auto" w:fill="auto"/>
            <w:noWrap/>
            <w:vAlign w:val="center"/>
            <w:hideMark/>
          </w:tcPr>
          <w:p w14:paraId="5F011508" w14:textId="77777777" w:rsidR="00637543" w:rsidRPr="004F469F" w:rsidRDefault="00637543" w:rsidP="00637543">
            <w:pPr>
              <w:jc w:val="center"/>
              <w:rPr>
                <w:sz w:val="20"/>
                <w:szCs w:val="20"/>
              </w:rPr>
            </w:pPr>
            <w:r w:rsidRPr="004F469F">
              <w:rPr>
                <w:sz w:val="20"/>
                <w:szCs w:val="20"/>
              </w:rPr>
              <w:t>55.2</w:t>
            </w:r>
          </w:p>
        </w:tc>
        <w:tc>
          <w:tcPr>
            <w:tcW w:w="0" w:type="auto"/>
            <w:tcBorders>
              <w:top w:val="nil"/>
              <w:left w:val="nil"/>
              <w:bottom w:val="single" w:sz="4" w:space="0" w:color="auto"/>
              <w:right w:val="single" w:sz="4" w:space="0" w:color="auto"/>
            </w:tcBorders>
            <w:shd w:val="clear" w:color="auto" w:fill="auto"/>
            <w:noWrap/>
            <w:vAlign w:val="center"/>
            <w:hideMark/>
          </w:tcPr>
          <w:p w14:paraId="4790B670" w14:textId="77777777" w:rsidR="00637543" w:rsidRPr="004F469F" w:rsidRDefault="00637543" w:rsidP="00637543">
            <w:pPr>
              <w:jc w:val="center"/>
              <w:rPr>
                <w:sz w:val="20"/>
                <w:szCs w:val="20"/>
              </w:rPr>
            </w:pPr>
            <w:r w:rsidRPr="004F469F">
              <w:rPr>
                <w:sz w:val="20"/>
                <w:szCs w:val="20"/>
              </w:rPr>
              <w:t>49.5</w:t>
            </w:r>
          </w:p>
        </w:tc>
        <w:tc>
          <w:tcPr>
            <w:tcW w:w="0" w:type="auto"/>
            <w:tcBorders>
              <w:top w:val="nil"/>
              <w:left w:val="nil"/>
              <w:bottom w:val="single" w:sz="4" w:space="0" w:color="auto"/>
              <w:right w:val="single" w:sz="4" w:space="0" w:color="auto"/>
            </w:tcBorders>
            <w:shd w:val="clear" w:color="auto" w:fill="auto"/>
            <w:noWrap/>
            <w:vAlign w:val="center"/>
            <w:hideMark/>
          </w:tcPr>
          <w:p w14:paraId="15B3BB0F" w14:textId="77777777" w:rsidR="00637543" w:rsidRPr="004F469F" w:rsidRDefault="00637543" w:rsidP="00637543">
            <w:pPr>
              <w:jc w:val="center"/>
              <w:rPr>
                <w:sz w:val="20"/>
                <w:szCs w:val="20"/>
              </w:rPr>
            </w:pPr>
            <w:r w:rsidRPr="004F469F">
              <w:rPr>
                <w:sz w:val="20"/>
                <w:szCs w:val="20"/>
              </w:rPr>
              <w:t>73</w:t>
            </w:r>
          </w:p>
        </w:tc>
        <w:tc>
          <w:tcPr>
            <w:tcW w:w="0" w:type="auto"/>
            <w:tcBorders>
              <w:top w:val="nil"/>
              <w:left w:val="nil"/>
              <w:bottom w:val="single" w:sz="4" w:space="0" w:color="auto"/>
              <w:right w:val="single" w:sz="4" w:space="0" w:color="auto"/>
            </w:tcBorders>
            <w:shd w:val="clear" w:color="auto" w:fill="auto"/>
            <w:noWrap/>
            <w:vAlign w:val="center"/>
            <w:hideMark/>
          </w:tcPr>
          <w:p w14:paraId="2B1BF628" w14:textId="77777777" w:rsidR="00637543" w:rsidRPr="004F469F" w:rsidRDefault="00637543" w:rsidP="00637543">
            <w:pPr>
              <w:jc w:val="center"/>
              <w:rPr>
                <w:sz w:val="20"/>
                <w:szCs w:val="20"/>
              </w:rPr>
            </w:pPr>
            <w:r w:rsidRPr="004F469F">
              <w:rPr>
                <w:sz w:val="20"/>
                <w:szCs w:val="20"/>
              </w:rPr>
              <w:t>76.7</w:t>
            </w:r>
          </w:p>
        </w:tc>
        <w:tc>
          <w:tcPr>
            <w:tcW w:w="0" w:type="auto"/>
            <w:tcBorders>
              <w:top w:val="nil"/>
              <w:left w:val="nil"/>
              <w:bottom w:val="single" w:sz="4" w:space="0" w:color="auto"/>
              <w:right w:val="single" w:sz="4" w:space="0" w:color="auto"/>
            </w:tcBorders>
            <w:shd w:val="clear" w:color="auto" w:fill="auto"/>
            <w:noWrap/>
            <w:vAlign w:val="center"/>
            <w:hideMark/>
          </w:tcPr>
          <w:p w14:paraId="6ABF2FD9" w14:textId="77777777" w:rsidR="00637543" w:rsidRPr="004F469F" w:rsidRDefault="00637543" w:rsidP="00637543">
            <w:pPr>
              <w:jc w:val="center"/>
              <w:rPr>
                <w:sz w:val="20"/>
                <w:szCs w:val="20"/>
              </w:rPr>
            </w:pPr>
            <w:r w:rsidRPr="004F469F">
              <w:rPr>
                <w:sz w:val="20"/>
                <w:szCs w:val="20"/>
              </w:rPr>
              <w:t>75.7</w:t>
            </w:r>
          </w:p>
        </w:tc>
        <w:tc>
          <w:tcPr>
            <w:tcW w:w="0" w:type="auto"/>
            <w:tcBorders>
              <w:top w:val="nil"/>
              <w:left w:val="nil"/>
              <w:bottom w:val="single" w:sz="4" w:space="0" w:color="auto"/>
              <w:right w:val="single" w:sz="4" w:space="0" w:color="auto"/>
            </w:tcBorders>
            <w:shd w:val="clear" w:color="auto" w:fill="auto"/>
            <w:noWrap/>
            <w:vAlign w:val="center"/>
            <w:hideMark/>
          </w:tcPr>
          <w:p w14:paraId="439B976F" w14:textId="77777777" w:rsidR="00637543" w:rsidRPr="004F469F" w:rsidRDefault="00637543" w:rsidP="00637543">
            <w:pPr>
              <w:jc w:val="center"/>
              <w:rPr>
                <w:sz w:val="20"/>
                <w:szCs w:val="20"/>
              </w:rPr>
            </w:pPr>
            <w:r w:rsidRPr="004F469F">
              <w:rPr>
                <w:sz w:val="20"/>
                <w:szCs w:val="20"/>
              </w:rPr>
              <w:t>72.6</w:t>
            </w:r>
          </w:p>
        </w:tc>
      </w:tr>
      <w:tr w:rsidR="00494669" w:rsidRPr="004F469F" w14:paraId="2E4FD1C6"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C141D0" w14:textId="77777777" w:rsidR="00637543" w:rsidRPr="004F469F" w:rsidRDefault="00637543" w:rsidP="00637543">
            <w:pPr>
              <w:rPr>
                <w:sz w:val="20"/>
                <w:szCs w:val="20"/>
              </w:rPr>
            </w:pPr>
            <w:r w:rsidRPr="004F469F">
              <w:rPr>
                <w:sz w:val="20"/>
                <w:szCs w:val="20"/>
              </w:rPr>
              <w:t>FAR</w:t>
            </w:r>
          </w:p>
        </w:tc>
        <w:tc>
          <w:tcPr>
            <w:tcW w:w="0" w:type="auto"/>
            <w:tcBorders>
              <w:top w:val="nil"/>
              <w:left w:val="nil"/>
              <w:bottom w:val="single" w:sz="4" w:space="0" w:color="auto"/>
              <w:right w:val="single" w:sz="4" w:space="0" w:color="auto"/>
            </w:tcBorders>
            <w:shd w:val="clear" w:color="auto" w:fill="auto"/>
            <w:noWrap/>
            <w:vAlign w:val="center"/>
            <w:hideMark/>
          </w:tcPr>
          <w:p w14:paraId="5806BA27" w14:textId="77777777" w:rsidR="00637543" w:rsidRPr="004F469F" w:rsidRDefault="00637543" w:rsidP="00637543">
            <w:pPr>
              <w:jc w:val="center"/>
              <w:rPr>
                <w:sz w:val="20"/>
                <w:szCs w:val="20"/>
              </w:rPr>
            </w:pPr>
            <w:r w:rsidRPr="004F469F">
              <w:rPr>
                <w:sz w:val="20"/>
                <w:szCs w:val="20"/>
              </w:rPr>
              <w:t>99.2</w:t>
            </w:r>
          </w:p>
        </w:tc>
        <w:tc>
          <w:tcPr>
            <w:tcW w:w="0" w:type="auto"/>
            <w:tcBorders>
              <w:top w:val="nil"/>
              <w:left w:val="nil"/>
              <w:bottom w:val="single" w:sz="4" w:space="0" w:color="auto"/>
              <w:right w:val="single" w:sz="4" w:space="0" w:color="auto"/>
            </w:tcBorders>
            <w:shd w:val="clear" w:color="auto" w:fill="auto"/>
            <w:noWrap/>
            <w:vAlign w:val="center"/>
            <w:hideMark/>
          </w:tcPr>
          <w:p w14:paraId="15205219" w14:textId="77777777" w:rsidR="00637543" w:rsidRPr="004F469F" w:rsidRDefault="00637543" w:rsidP="00637543">
            <w:pPr>
              <w:jc w:val="center"/>
              <w:rPr>
                <w:sz w:val="20"/>
                <w:szCs w:val="20"/>
              </w:rPr>
            </w:pPr>
            <w:r w:rsidRPr="004F469F">
              <w:rPr>
                <w:sz w:val="20"/>
                <w:szCs w:val="20"/>
              </w:rPr>
              <w:t>98.3</w:t>
            </w:r>
          </w:p>
        </w:tc>
        <w:tc>
          <w:tcPr>
            <w:tcW w:w="0" w:type="auto"/>
            <w:tcBorders>
              <w:top w:val="nil"/>
              <w:left w:val="nil"/>
              <w:bottom w:val="single" w:sz="4" w:space="0" w:color="auto"/>
              <w:right w:val="single" w:sz="4" w:space="0" w:color="auto"/>
            </w:tcBorders>
            <w:shd w:val="clear" w:color="auto" w:fill="auto"/>
            <w:noWrap/>
            <w:vAlign w:val="center"/>
            <w:hideMark/>
          </w:tcPr>
          <w:p w14:paraId="13FA3A17" w14:textId="77777777" w:rsidR="00637543" w:rsidRPr="004F469F" w:rsidRDefault="00637543" w:rsidP="00637543">
            <w:pPr>
              <w:jc w:val="center"/>
              <w:rPr>
                <w:sz w:val="20"/>
                <w:szCs w:val="20"/>
              </w:rPr>
            </w:pPr>
            <w:r w:rsidRPr="004F469F">
              <w:rPr>
                <w:sz w:val="20"/>
                <w:szCs w:val="20"/>
              </w:rPr>
              <w:t>99.3</w:t>
            </w:r>
          </w:p>
        </w:tc>
        <w:tc>
          <w:tcPr>
            <w:tcW w:w="0" w:type="auto"/>
            <w:tcBorders>
              <w:top w:val="nil"/>
              <w:left w:val="nil"/>
              <w:bottom w:val="single" w:sz="4" w:space="0" w:color="auto"/>
              <w:right w:val="single" w:sz="4" w:space="0" w:color="auto"/>
            </w:tcBorders>
            <w:shd w:val="clear" w:color="auto" w:fill="auto"/>
            <w:noWrap/>
            <w:vAlign w:val="center"/>
            <w:hideMark/>
          </w:tcPr>
          <w:p w14:paraId="01932FE5" w14:textId="77777777" w:rsidR="00637543" w:rsidRPr="004F469F" w:rsidRDefault="00637543" w:rsidP="00637543">
            <w:pPr>
              <w:jc w:val="center"/>
              <w:rPr>
                <w:sz w:val="20"/>
                <w:szCs w:val="20"/>
              </w:rPr>
            </w:pPr>
            <w:r w:rsidRPr="004F469F">
              <w:rPr>
                <w:sz w:val="20"/>
                <w:szCs w:val="20"/>
              </w:rPr>
              <w:t>98.8</w:t>
            </w:r>
          </w:p>
        </w:tc>
        <w:tc>
          <w:tcPr>
            <w:tcW w:w="0" w:type="auto"/>
            <w:tcBorders>
              <w:top w:val="nil"/>
              <w:left w:val="nil"/>
              <w:bottom w:val="single" w:sz="4" w:space="0" w:color="auto"/>
              <w:right w:val="single" w:sz="4" w:space="0" w:color="auto"/>
            </w:tcBorders>
            <w:shd w:val="clear" w:color="auto" w:fill="auto"/>
            <w:noWrap/>
            <w:vAlign w:val="center"/>
            <w:hideMark/>
          </w:tcPr>
          <w:p w14:paraId="06A105C3" w14:textId="77777777" w:rsidR="00637543" w:rsidRPr="004F469F" w:rsidRDefault="00637543" w:rsidP="00637543">
            <w:pPr>
              <w:jc w:val="center"/>
              <w:rPr>
                <w:sz w:val="20"/>
                <w:szCs w:val="20"/>
              </w:rPr>
            </w:pPr>
            <w:r w:rsidRPr="004F469F">
              <w:rPr>
                <w:sz w:val="20"/>
                <w:szCs w:val="20"/>
              </w:rPr>
              <w:t>99.7</w:t>
            </w:r>
          </w:p>
        </w:tc>
        <w:tc>
          <w:tcPr>
            <w:tcW w:w="0" w:type="auto"/>
            <w:tcBorders>
              <w:top w:val="nil"/>
              <w:left w:val="nil"/>
              <w:bottom w:val="single" w:sz="4" w:space="0" w:color="auto"/>
              <w:right w:val="single" w:sz="4" w:space="0" w:color="auto"/>
            </w:tcBorders>
            <w:shd w:val="clear" w:color="auto" w:fill="auto"/>
            <w:noWrap/>
            <w:vAlign w:val="center"/>
            <w:hideMark/>
          </w:tcPr>
          <w:p w14:paraId="6A66CBB3" w14:textId="77777777" w:rsidR="00637543" w:rsidRPr="004F469F" w:rsidRDefault="00637543" w:rsidP="00637543">
            <w:pPr>
              <w:jc w:val="center"/>
              <w:rPr>
                <w:sz w:val="20"/>
                <w:szCs w:val="20"/>
              </w:rPr>
            </w:pPr>
            <w:r w:rsidRPr="004F469F">
              <w:rPr>
                <w:sz w:val="20"/>
                <w:szCs w:val="20"/>
              </w:rPr>
              <w:t>99.4</w:t>
            </w:r>
          </w:p>
        </w:tc>
        <w:tc>
          <w:tcPr>
            <w:tcW w:w="0" w:type="auto"/>
            <w:tcBorders>
              <w:top w:val="nil"/>
              <w:left w:val="nil"/>
              <w:bottom w:val="single" w:sz="4" w:space="0" w:color="auto"/>
              <w:right w:val="single" w:sz="4" w:space="0" w:color="auto"/>
            </w:tcBorders>
            <w:shd w:val="clear" w:color="auto" w:fill="auto"/>
            <w:noWrap/>
            <w:vAlign w:val="center"/>
            <w:hideMark/>
          </w:tcPr>
          <w:p w14:paraId="04A190C5" w14:textId="77777777" w:rsidR="00637543" w:rsidRPr="004F469F" w:rsidRDefault="00637543" w:rsidP="00637543">
            <w:pPr>
              <w:jc w:val="center"/>
              <w:rPr>
                <w:sz w:val="20"/>
                <w:szCs w:val="20"/>
              </w:rPr>
            </w:pPr>
            <w:r w:rsidRPr="004F469F">
              <w:rPr>
                <w:sz w:val="20"/>
                <w:szCs w:val="20"/>
              </w:rPr>
              <w:t>99.6</w:t>
            </w:r>
          </w:p>
        </w:tc>
        <w:tc>
          <w:tcPr>
            <w:tcW w:w="0" w:type="auto"/>
            <w:tcBorders>
              <w:top w:val="nil"/>
              <w:left w:val="nil"/>
              <w:bottom w:val="single" w:sz="4" w:space="0" w:color="auto"/>
              <w:right w:val="single" w:sz="4" w:space="0" w:color="auto"/>
            </w:tcBorders>
            <w:shd w:val="clear" w:color="auto" w:fill="auto"/>
            <w:noWrap/>
            <w:vAlign w:val="center"/>
            <w:hideMark/>
          </w:tcPr>
          <w:p w14:paraId="453B77A9" w14:textId="77777777" w:rsidR="00637543" w:rsidRPr="004F469F" w:rsidRDefault="00637543" w:rsidP="00637543">
            <w:pPr>
              <w:jc w:val="center"/>
              <w:rPr>
                <w:sz w:val="20"/>
                <w:szCs w:val="20"/>
              </w:rPr>
            </w:pPr>
            <w:r w:rsidRPr="004F469F">
              <w:rPr>
                <w:sz w:val="20"/>
                <w:szCs w:val="20"/>
              </w:rPr>
              <w:t>98.8</w:t>
            </w:r>
          </w:p>
        </w:tc>
        <w:tc>
          <w:tcPr>
            <w:tcW w:w="0" w:type="auto"/>
            <w:tcBorders>
              <w:top w:val="nil"/>
              <w:left w:val="nil"/>
              <w:bottom w:val="single" w:sz="4" w:space="0" w:color="auto"/>
              <w:right w:val="single" w:sz="4" w:space="0" w:color="auto"/>
            </w:tcBorders>
            <w:shd w:val="clear" w:color="auto" w:fill="auto"/>
            <w:noWrap/>
            <w:vAlign w:val="center"/>
            <w:hideMark/>
          </w:tcPr>
          <w:p w14:paraId="156A5AAD" w14:textId="77777777" w:rsidR="00637543" w:rsidRPr="004F469F" w:rsidRDefault="00637543" w:rsidP="00637543">
            <w:pPr>
              <w:jc w:val="center"/>
              <w:rPr>
                <w:sz w:val="20"/>
                <w:szCs w:val="20"/>
              </w:rPr>
            </w:pPr>
            <w:r w:rsidRPr="004F469F">
              <w:rPr>
                <w:sz w:val="20"/>
                <w:szCs w:val="20"/>
              </w:rPr>
              <w:t>99.4</w:t>
            </w:r>
          </w:p>
        </w:tc>
        <w:tc>
          <w:tcPr>
            <w:tcW w:w="0" w:type="auto"/>
            <w:tcBorders>
              <w:top w:val="nil"/>
              <w:left w:val="nil"/>
              <w:bottom w:val="single" w:sz="4" w:space="0" w:color="auto"/>
              <w:right w:val="single" w:sz="4" w:space="0" w:color="auto"/>
            </w:tcBorders>
            <w:shd w:val="clear" w:color="auto" w:fill="auto"/>
            <w:noWrap/>
            <w:vAlign w:val="center"/>
            <w:hideMark/>
          </w:tcPr>
          <w:p w14:paraId="2C254EE1" w14:textId="77777777" w:rsidR="00637543" w:rsidRPr="004F469F" w:rsidRDefault="00637543" w:rsidP="00637543">
            <w:pPr>
              <w:jc w:val="center"/>
              <w:rPr>
                <w:sz w:val="20"/>
                <w:szCs w:val="20"/>
              </w:rPr>
            </w:pPr>
            <w:r w:rsidRPr="004F469F">
              <w:rPr>
                <w:sz w:val="20"/>
                <w:szCs w:val="20"/>
              </w:rPr>
              <w:t>98.9</w:t>
            </w:r>
          </w:p>
        </w:tc>
      </w:tr>
      <w:tr w:rsidR="00494669" w:rsidRPr="004F469F" w14:paraId="174CBFCD"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2F7012" w14:textId="77777777" w:rsidR="00637543" w:rsidRPr="004F469F" w:rsidRDefault="00637543" w:rsidP="00637543">
            <w:pPr>
              <w:rPr>
                <w:sz w:val="20"/>
                <w:szCs w:val="20"/>
              </w:rPr>
            </w:pPr>
            <w:r w:rsidRPr="004F469F">
              <w:rPr>
                <w:sz w:val="20"/>
                <w:szCs w:val="20"/>
              </w:rPr>
              <w:t>HSS</w:t>
            </w:r>
          </w:p>
        </w:tc>
        <w:tc>
          <w:tcPr>
            <w:tcW w:w="0" w:type="auto"/>
            <w:tcBorders>
              <w:top w:val="nil"/>
              <w:left w:val="nil"/>
              <w:bottom w:val="single" w:sz="4" w:space="0" w:color="auto"/>
              <w:right w:val="single" w:sz="4" w:space="0" w:color="auto"/>
            </w:tcBorders>
            <w:shd w:val="clear" w:color="auto" w:fill="auto"/>
            <w:noWrap/>
            <w:vAlign w:val="center"/>
            <w:hideMark/>
          </w:tcPr>
          <w:p w14:paraId="01EB45E6" w14:textId="77777777" w:rsidR="00637543" w:rsidRPr="004F469F" w:rsidRDefault="00637543" w:rsidP="00637543">
            <w:pPr>
              <w:jc w:val="center"/>
              <w:rPr>
                <w:sz w:val="20"/>
                <w:szCs w:val="20"/>
              </w:rPr>
            </w:pPr>
            <w:r w:rsidRPr="004F469F">
              <w:rPr>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39E5367D" w14:textId="77777777" w:rsidR="00637543" w:rsidRPr="004F469F" w:rsidRDefault="00637543" w:rsidP="00637543">
            <w:pPr>
              <w:jc w:val="center"/>
              <w:rPr>
                <w:sz w:val="20"/>
                <w:szCs w:val="20"/>
              </w:rPr>
            </w:pPr>
            <w:r w:rsidRPr="004F469F">
              <w:rPr>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29681A27" w14:textId="77777777" w:rsidR="00637543" w:rsidRPr="004F469F" w:rsidRDefault="00637543" w:rsidP="00637543">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19C01240" w14:textId="77777777" w:rsidR="00637543" w:rsidRPr="004F469F" w:rsidRDefault="00637543" w:rsidP="00637543">
            <w:pPr>
              <w:jc w:val="center"/>
              <w:rPr>
                <w:sz w:val="20"/>
                <w:szCs w:val="20"/>
              </w:rPr>
            </w:pPr>
            <w:r w:rsidRPr="004F469F">
              <w:rPr>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7888F10C" w14:textId="77777777" w:rsidR="00637543" w:rsidRPr="004F469F" w:rsidRDefault="00637543" w:rsidP="00637543">
            <w:pPr>
              <w:jc w:val="center"/>
              <w:rPr>
                <w:sz w:val="20"/>
                <w:szCs w:val="20"/>
              </w:rPr>
            </w:pPr>
            <w:r w:rsidRPr="004F469F">
              <w:rPr>
                <w:sz w:val="20"/>
                <w:szCs w:val="20"/>
              </w:rPr>
              <w:t>0.6</w:t>
            </w:r>
          </w:p>
        </w:tc>
        <w:tc>
          <w:tcPr>
            <w:tcW w:w="0" w:type="auto"/>
            <w:tcBorders>
              <w:top w:val="nil"/>
              <w:left w:val="nil"/>
              <w:bottom w:val="single" w:sz="4" w:space="0" w:color="auto"/>
              <w:right w:val="single" w:sz="4" w:space="0" w:color="auto"/>
            </w:tcBorders>
            <w:shd w:val="clear" w:color="auto" w:fill="auto"/>
            <w:noWrap/>
            <w:vAlign w:val="center"/>
            <w:hideMark/>
          </w:tcPr>
          <w:p w14:paraId="3894445C" w14:textId="77777777" w:rsidR="00637543" w:rsidRPr="004F469F" w:rsidRDefault="00637543" w:rsidP="00637543">
            <w:pPr>
              <w:jc w:val="center"/>
              <w:rPr>
                <w:sz w:val="20"/>
                <w:szCs w:val="20"/>
              </w:rPr>
            </w:pPr>
            <w:r w:rsidRPr="004F469F">
              <w:rPr>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2B0F3F96" w14:textId="77777777" w:rsidR="00637543" w:rsidRPr="004F469F" w:rsidRDefault="00637543" w:rsidP="00637543">
            <w:pPr>
              <w:jc w:val="center"/>
              <w:rPr>
                <w:sz w:val="20"/>
                <w:szCs w:val="20"/>
              </w:rPr>
            </w:pPr>
            <w:r w:rsidRPr="004F469F">
              <w:rPr>
                <w:sz w:val="20"/>
                <w:szCs w:val="20"/>
              </w:rPr>
              <w:t>0.8</w:t>
            </w:r>
          </w:p>
        </w:tc>
        <w:tc>
          <w:tcPr>
            <w:tcW w:w="0" w:type="auto"/>
            <w:tcBorders>
              <w:top w:val="nil"/>
              <w:left w:val="nil"/>
              <w:bottom w:val="single" w:sz="4" w:space="0" w:color="auto"/>
              <w:right w:val="single" w:sz="4" w:space="0" w:color="auto"/>
            </w:tcBorders>
            <w:shd w:val="clear" w:color="auto" w:fill="auto"/>
            <w:noWrap/>
            <w:vAlign w:val="center"/>
            <w:hideMark/>
          </w:tcPr>
          <w:p w14:paraId="03071FE2" w14:textId="77777777" w:rsidR="00637543" w:rsidRPr="004F469F" w:rsidRDefault="00637543" w:rsidP="00637543">
            <w:pPr>
              <w:jc w:val="center"/>
              <w:rPr>
                <w:sz w:val="20"/>
                <w:szCs w:val="20"/>
              </w:rPr>
            </w:pPr>
            <w:r w:rsidRPr="004F469F">
              <w:rPr>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435ED208" w14:textId="77777777" w:rsidR="00637543" w:rsidRPr="004F469F" w:rsidRDefault="00637543" w:rsidP="00637543">
            <w:pPr>
              <w:jc w:val="center"/>
              <w:rPr>
                <w:sz w:val="20"/>
                <w:szCs w:val="20"/>
              </w:rPr>
            </w:pPr>
            <w:r w:rsidRPr="004F469F">
              <w:rPr>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7AC47D7" w14:textId="77777777" w:rsidR="00637543" w:rsidRPr="004F469F" w:rsidRDefault="00637543" w:rsidP="00637543">
            <w:pPr>
              <w:jc w:val="center"/>
              <w:rPr>
                <w:sz w:val="20"/>
                <w:szCs w:val="20"/>
              </w:rPr>
            </w:pPr>
            <w:r w:rsidRPr="004F469F">
              <w:rPr>
                <w:sz w:val="20"/>
                <w:szCs w:val="20"/>
              </w:rPr>
              <w:t>2</w:t>
            </w:r>
          </w:p>
        </w:tc>
      </w:tr>
      <w:tr w:rsidR="00494669" w:rsidRPr="004F469F" w14:paraId="3319B39A" w14:textId="77777777" w:rsidTr="00637543">
        <w:trPr>
          <w:trHeight w:val="320"/>
        </w:trPr>
        <w:tc>
          <w:tcPr>
            <w:tcW w:w="0" w:type="auto"/>
            <w:tcBorders>
              <w:top w:val="nil"/>
              <w:left w:val="nil"/>
              <w:bottom w:val="nil"/>
              <w:right w:val="nil"/>
            </w:tcBorders>
            <w:shd w:val="clear" w:color="auto" w:fill="auto"/>
            <w:noWrap/>
            <w:vAlign w:val="bottom"/>
            <w:hideMark/>
          </w:tcPr>
          <w:p w14:paraId="7666D3E4" w14:textId="77777777" w:rsidR="00637543" w:rsidRPr="004F469F" w:rsidRDefault="00637543" w:rsidP="00637543">
            <w:pPr>
              <w:jc w:val="right"/>
              <w:rPr>
                <w:sz w:val="20"/>
                <w:szCs w:val="20"/>
              </w:rPr>
            </w:pPr>
          </w:p>
        </w:tc>
        <w:tc>
          <w:tcPr>
            <w:tcW w:w="0" w:type="auto"/>
            <w:tcBorders>
              <w:top w:val="nil"/>
              <w:left w:val="nil"/>
              <w:bottom w:val="nil"/>
              <w:right w:val="nil"/>
            </w:tcBorders>
            <w:shd w:val="clear" w:color="auto" w:fill="auto"/>
            <w:noWrap/>
            <w:vAlign w:val="bottom"/>
            <w:hideMark/>
          </w:tcPr>
          <w:p w14:paraId="61DBC969"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7CABD73"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7D2CBBB"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7CDE8E6F"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10B3FCC"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279B382C"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08C6B945"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4ABE3D68"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7F469CDA" w14:textId="77777777" w:rsidR="00637543" w:rsidRPr="004F469F" w:rsidRDefault="00637543" w:rsidP="00637543">
            <w:pPr>
              <w:rPr>
                <w:sz w:val="20"/>
                <w:szCs w:val="20"/>
              </w:rPr>
            </w:pPr>
          </w:p>
        </w:tc>
        <w:tc>
          <w:tcPr>
            <w:tcW w:w="0" w:type="auto"/>
            <w:tcBorders>
              <w:top w:val="nil"/>
              <w:left w:val="nil"/>
              <w:bottom w:val="nil"/>
              <w:right w:val="nil"/>
            </w:tcBorders>
            <w:shd w:val="clear" w:color="auto" w:fill="auto"/>
            <w:noWrap/>
            <w:vAlign w:val="bottom"/>
            <w:hideMark/>
          </w:tcPr>
          <w:p w14:paraId="52FC4617" w14:textId="77777777" w:rsidR="00637543" w:rsidRPr="004F469F" w:rsidRDefault="00637543" w:rsidP="00637543">
            <w:pPr>
              <w:rPr>
                <w:sz w:val="20"/>
                <w:szCs w:val="20"/>
              </w:rPr>
            </w:pPr>
          </w:p>
        </w:tc>
      </w:tr>
      <w:tr w:rsidR="00494669" w:rsidRPr="004F469F" w14:paraId="709841C0" w14:textId="77777777" w:rsidTr="00637543">
        <w:trPr>
          <w:trHeight w:val="320"/>
        </w:trPr>
        <w:tc>
          <w:tcPr>
            <w:tcW w:w="0" w:type="auto"/>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BED37" w14:textId="77777777" w:rsidR="00637543" w:rsidRPr="004F469F" w:rsidRDefault="00637543" w:rsidP="00637543">
            <w:pPr>
              <w:rPr>
                <w:i/>
                <w:iCs/>
                <w:sz w:val="20"/>
                <w:szCs w:val="20"/>
              </w:rPr>
            </w:pPr>
            <w:r w:rsidRPr="004F469F">
              <w:rPr>
                <w:i/>
                <w:iCs/>
                <w:sz w:val="20"/>
                <w:szCs w:val="20"/>
              </w:rPr>
              <w:t>Verification of Daily Forecasts</w:t>
            </w:r>
          </w:p>
        </w:tc>
      </w:tr>
      <w:tr w:rsidR="00494669" w:rsidRPr="004F469F" w14:paraId="1FCEA851"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1F5CD0" w14:textId="77777777" w:rsidR="00637543" w:rsidRPr="004F469F" w:rsidRDefault="00637543" w:rsidP="00637543">
            <w:pPr>
              <w:rPr>
                <w:sz w:val="20"/>
                <w:szCs w:val="20"/>
              </w:rPr>
            </w:pPr>
            <w:r w:rsidRPr="004F469F">
              <w:rPr>
                <w:sz w:val="20"/>
                <w:szCs w:val="20"/>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A3846FD" w14:textId="77777777" w:rsidR="00637543" w:rsidRPr="004F469F" w:rsidRDefault="00637543" w:rsidP="00637543">
            <w:pPr>
              <w:jc w:val="center"/>
              <w:rPr>
                <w:i/>
                <w:iCs/>
                <w:sz w:val="20"/>
                <w:szCs w:val="20"/>
              </w:rPr>
            </w:pPr>
            <w:r w:rsidRPr="004F469F">
              <w:rPr>
                <w:i/>
                <w:iCs/>
                <w:sz w:val="20"/>
                <w:szCs w:val="20"/>
              </w:rPr>
              <w:t>Winter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C085749" w14:textId="77777777" w:rsidR="00637543" w:rsidRPr="004F469F" w:rsidRDefault="00637543" w:rsidP="00637543">
            <w:pPr>
              <w:jc w:val="center"/>
              <w:rPr>
                <w:i/>
                <w:iCs/>
                <w:sz w:val="20"/>
                <w:szCs w:val="20"/>
              </w:rPr>
            </w:pPr>
            <w:r w:rsidRPr="004F469F">
              <w:rPr>
                <w:i/>
                <w:iCs/>
                <w:sz w:val="20"/>
                <w:szCs w:val="20"/>
              </w:rPr>
              <w:t>Spring</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70983A1" w14:textId="77777777" w:rsidR="00637543" w:rsidRPr="004F469F" w:rsidRDefault="00637543" w:rsidP="00637543">
            <w:pPr>
              <w:jc w:val="center"/>
              <w:rPr>
                <w:i/>
                <w:iCs/>
                <w:sz w:val="20"/>
                <w:szCs w:val="20"/>
              </w:rPr>
            </w:pPr>
            <w:r w:rsidRPr="004F469F">
              <w:rPr>
                <w:i/>
                <w:iCs/>
                <w:sz w:val="20"/>
                <w:szCs w:val="20"/>
              </w:rPr>
              <w:t>Summer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30B97D8" w14:textId="77777777" w:rsidR="00637543" w:rsidRPr="004F469F" w:rsidRDefault="00637543" w:rsidP="00637543">
            <w:pPr>
              <w:jc w:val="center"/>
              <w:rPr>
                <w:i/>
                <w:iCs/>
                <w:sz w:val="20"/>
                <w:szCs w:val="20"/>
              </w:rPr>
            </w:pPr>
            <w:r w:rsidRPr="004F469F">
              <w:rPr>
                <w:i/>
                <w:iCs/>
                <w:sz w:val="20"/>
                <w:szCs w:val="20"/>
              </w:rPr>
              <w:t>Autumn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ECD29EF" w14:textId="77777777" w:rsidR="00637543" w:rsidRPr="004F469F" w:rsidRDefault="00637543" w:rsidP="00637543">
            <w:pPr>
              <w:jc w:val="center"/>
              <w:rPr>
                <w:i/>
                <w:iCs/>
                <w:sz w:val="20"/>
                <w:szCs w:val="20"/>
              </w:rPr>
            </w:pPr>
            <w:r w:rsidRPr="004F469F">
              <w:rPr>
                <w:i/>
                <w:iCs/>
                <w:sz w:val="20"/>
                <w:szCs w:val="20"/>
              </w:rPr>
              <w:t>All Months</w:t>
            </w:r>
          </w:p>
        </w:tc>
      </w:tr>
      <w:tr w:rsidR="00494669" w:rsidRPr="004F469F" w14:paraId="592870BA"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1BF3E1" w14:textId="77777777" w:rsidR="00637543" w:rsidRPr="004F469F" w:rsidRDefault="00637543" w:rsidP="00637543">
            <w:pPr>
              <w:rPr>
                <w:b/>
                <w:bCs/>
                <w:sz w:val="20"/>
                <w:szCs w:val="20"/>
              </w:rPr>
            </w:pPr>
            <w:r w:rsidRPr="004F469F">
              <w:rPr>
                <w:b/>
                <w:bCs/>
                <w:sz w:val="20"/>
                <w:szCs w:val="20"/>
              </w:rPr>
              <w:t>Metric</w:t>
            </w:r>
          </w:p>
        </w:tc>
        <w:tc>
          <w:tcPr>
            <w:tcW w:w="0" w:type="auto"/>
            <w:tcBorders>
              <w:top w:val="nil"/>
              <w:left w:val="nil"/>
              <w:bottom w:val="single" w:sz="4" w:space="0" w:color="auto"/>
              <w:right w:val="single" w:sz="4" w:space="0" w:color="auto"/>
            </w:tcBorders>
            <w:shd w:val="clear" w:color="auto" w:fill="auto"/>
            <w:noWrap/>
            <w:vAlign w:val="center"/>
            <w:hideMark/>
          </w:tcPr>
          <w:p w14:paraId="0967F162"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73A3ECA1"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72B9C6E2"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5C0FC99B"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64B622BD"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3A5F87EC"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7DEE4BB6"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39DB834C" w14:textId="77777777" w:rsidR="00637543" w:rsidRPr="004F469F" w:rsidRDefault="00637543" w:rsidP="00637543">
            <w:pPr>
              <w:jc w:val="center"/>
              <w:rPr>
                <w:b/>
                <w:bCs/>
                <w:sz w:val="20"/>
                <w:szCs w:val="20"/>
              </w:rPr>
            </w:pPr>
            <w:r w:rsidRPr="004F469F">
              <w:rPr>
                <w:b/>
                <w:bCs/>
                <w:sz w:val="20"/>
                <w:szCs w:val="20"/>
              </w:rPr>
              <w:t>SPC</w:t>
            </w:r>
          </w:p>
        </w:tc>
        <w:tc>
          <w:tcPr>
            <w:tcW w:w="0" w:type="auto"/>
            <w:tcBorders>
              <w:top w:val="nil"/>
              <w:left w:val="nil"/>
              <w:bottom w:val="single" w:sz="4" w:space="0" w:color="auto"/>
              <w:right w:val="single" w:sz="4" w:space="0" w:color="auto"/>
            </w:tcBorders>
            <w:shd w:val="clear" w:color="auto" w:fill="auto"/>
            <w:noWrap/>
            <w:vAlign w:val="center"/>
            <w:hideMark/>
          </w:tcPr>
          <w:p w14:paraId="3548CFF4" w14:textId="77777777" w:rsidR="00637543" w:rsidRPr="004F469F" w:rsidRDefault="00637543" w:rsidP="00637543">
            <w:pPr>
              <w:jc w:val="center"/>
              <w:rPr>
                <w:b/>
                <w:bCs/>
                <w:sz w:val="20"/>
                <w:szCs w:val="20"/>
              </w:rPr>
            </w:pPr>
            <w:r w:rsidRPr="004F469F">
              <w:rPr>
                <w:b/>
                <w:bCs/>
                <w:sz w:val="20"/>
                <w:szCs w:val="20"/>
              </w:rPr>
              <w:t>Model</w:t>
            </w:r>
          </w:p>
        </w:tc>
        <w:tc>
          <w:tcPr>
            <w:tcW w:w="0" w:type="auto"/>
            <w:tcBorders>
              <w:top w:val="nil"/>
              <w:left w:val="nil"/>
              <w:bottom w:val="single" w:sz="4" w:space="0" w:color="auto"/>
              <w:right w:val="single" w:sz="4" w:space="0" w:color="auto"/>
            </w:tcBorders>
            <w:shd w:val="clear" w:color="auto" w:fill="auto"/>
            <w:noWrap/>
            <w:vAlign w:val="center"/>
            <w:hideMark/>
          </w:tcPr>
          <w:p w14:paraId="455E9935" w14:textId="77777777" w:rsidR="00637543" w:rsidRPr="004F469F" w:rsidRDefault="00637543" w:rsidP="00637543">
            <w:pPr>
              <w:jc w:val="center"/>
              <w:rPr>
                <w:b/>
                <w:bCs/>
                <w:sz w:val="20"/>
                <w:szCs w:val="20"/>
              </w:rPr>
            </w:pPr>
            <w:r w:rsidRPr="004F469F">
              <w:rPr>
                <w:b/>
                <w:bCs/>
                <w:sz w:val="20"/>
                <w:szCs w:val="20"/>
              </w:rPr>
              <w:t>SPC</w:t>
            </w:r>
          </w:p>
        </w:tc>
      </w:tr>
      <w:tr w:rsidR="00494669" w:rsidRPr="004F469F" w14:paraId="62D357E2"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796DAD" w14:textId="77777777" w:rsidR="00637543" w:rsidRPr="004F469F" w:rsidRDefault="00637543" w:rsidP="00637543">
            <w:pPr>
              <w:rPr>
                <w:sz w:val="20"/>
                <w:szCs w:val="20"/>
              </w:rPr>
            </w:pPr>
            <w:r w:rsidRPr="004F469F">
              <w:rPr>
                <w:sz w:val="20"/>
                <w:szCs w:val="20"/>
              </w:rPr>
              <w:t>POD</w:t>
            </w:r>
          </w:p>
        </w:tc>
        <w:tc>
          <w:tcPr>
            <w:tcW w:w="0" w:type="auto"/>
            <w:tcBorders>
              <w:top w:val="nil"/>
              <w:left w:val="nil"/>
              <w:bottom w:val="single" w:sz="4" w:space="0" w:color="auto"/>
              <w:right w:val="single" w:sz="4" w:space="0" w:color="auto"/>
            </w:tcBorders>
            <w:shd w:val="clear" w:color="auto" w:fill="auto"/>
            <w:noWrap/>
            <w:vAlign w:val="center"/>
            <w:hideMark/>
          </w:tcPr>
          <w:p w14:paraId="70718B71" w14:textId="77777777" w:rsidR="00637543" w:rsidRPr="004F469F" w:rsidRDefault="00637543" w:rsidP="00637543">
            <w:pPr>
              <w:jc w:val="center"/>
              <w:rPr>
                <w:sz w:val="20"/>
                <w:szCs w:val="20"/>
              </w:rPr>
            </w:pPr>
            <w:r w:rsidRPr="004F469F">
              <w:rPr>
                <w:sz w:val="20"/>
                <w:szCs w:val="20"/>
              </w:rPr>
              <w:t>88.9</w:t>
            </w:r>
          </w:p>
        </w:tc>
        <w:tc>
          <w:tcPr>
            <w:tcW w:w="0" w:type="auto"/>
            <w:tcBorders>
              <w:top w:val="nil"/>
              <w:left w:val="nil"/>
              <w:bottom w:val="single" w:sz="4" w:space="0" w:color="auto"/>
              <w:right w:val="single" w:sz="4" w:space="0" w:color="auto"/>
            </w:tcBorders>
            <w:shd w:val="clear" w:color="auto" w:fill="auto"/>
            <w:noWrap/>
            <w:vAlign w:val="center"/>
            <w:hideMark/>
          </w:tcPr>
          <w:p w14:paraId="4EFF6928" w14:textId="77777777" w:rsidR="00637543" w:rsidRPr="004F469F" w:rsidRDefault="00637543" w:rsidP="00637543">
            <w:pPr>
              <w:jc w:val="center"/>
              <w:rPr>
                <w:sz w:val="20"/>
                <w:szCs w:val="20"/>
              </w:rPr>
            </w:pPr>
            <w:r w:rsidRPr="004F469F">
              <w:rPr>
                <w:sz w:val="20"/>
                <w:szCs w:val="20"/>
              </w:rPr>
              <w:t>94.4</w:t>
            </w:r>
          </w:p>
        </w:tc>
        <w:tc>
          <w:tcPr>
            <w:tcW w:w="0" w:type="auto"/>
            <w:tcBorders>
              <w:top w:val="nil"/>
              <w:left w:val="nil"/>
              <w:bottom w:val="single" w:sz="4" w:space="0" w:color="auto"/>
              <w:right w:val="single" w:sz="4" w:space="0" w:color="auto"/>
            </w:tcBorders>
            <w:shd w:val="clear" w:color="auto" w:fill="auto"/>
            <w:noWrap/>
            <w:vAlign w:val="center"/>
            <w:hideMark/>
          </w:tcPr>
          <w:p w14:paraId="37720E28" w14:textId="77777777" w:rsidR="00637543" w:rsidRPr="004F469F" w:rsidRDefault="00637543" w:rsidP="00637543">
            <w:pPr>
              <w:jc w:val="center"/>
              <w:rPr>
                <w:sz w:val="20"/>
                <w:szCs w:val="20"/>
              </w:rPr>
            </w:pPr>
            <w:r w:rsidRPr="004F469F">
              <w:rPr>
                <w:sz w:val="20"/>
                <w:szCs w:val="20"/>
              </w:rPr>
              <w:t>100</w:t>
            </w:r>
          </w:p>
        </w:tc>
        <w:tc>
          <w:tcPr>
            <w:tcW w:w="0" w:type="auto"/>
            <w:tcBorders>
              <w:top w:val="nil"/>
              <w:left w:val="nil"/>
              <w:bottom w:val="single" w:sz="4" w:space="0" w:color="auto"/>
              <w:right w:val="single" w:sz="4" w:space="0" w:color="auto"/>
            </w:tcBorders>
            <w:shd w:val="clear" w:color="auto" w:fill="auto"/>
            <w:noWrap/>
            <w:vAlign w:val="center"/>
            <w:hideMark/>
          </w:tcPr>
          <w:p w14:paraId="2D95DA37" w14:textId="77777777" w:rsidR="00637543" w:rsidRPr="004F469F" w:rsidRDefault="00637543" w:rsidP="00637543">
            <w:pPr>
              <w:jc w:val="center"/>
              <w:rPr>
                <w:sz w:val="20"/>
                <w:szCs w:val="20"/>
              </w:rPr>
            </w:pPr>
            <w:r w:rsidRPr="004F469F">
              <w:rPr>
                <w:sz w:val="20"/>
                <w:szCs w:val="20"/>
              </w:rPr>
              <w:t>92.2</w:t>
            </w:r>
          </w:p>
        </w:tc>
        <w:tc>
          <w:tcPr>
            <w:tcW w:w="0" w:type="auto"/>
            <w:tcBorders>
              <w:top w:val="nil"/>
              <w:left w:val="nil"/>
              <w:bottom w:val="single" w:sz="4" w:space="0" w:color="auto"/>
              <w:right w:val="single" w:sz="4" w:space="0" w:color="auto"/>
            </w:tcBorders>
            <w:shd w:val="clear" w:color="auto" w:fill="auto"/>
            <w:noWrap/>
            <w:vAlign w:val="center"/>
            <w:hideMark/>
          </w:tcPr>
          <w:p w14:paraId="68E146F8" w14:textId="77777777" w:rsidR="00637543" w:rsidRPr="004F469F" w:rsidRDefault="00637543" w:rsidP="00637543">
            <w:pPr>
              <w:jc w:val="center"/>
              <w:rPr>
                <w:sz w:val="20"/>
                <w:szCs w:val="20"/>
              </w:rPr>
            </w:pPr>
            <w:r w:rsidRPr="004F469F">
              <w:rPr>
                <w:sz w:val="20"/>
                <w:szCs w:val="20"/>
              </w:rPr>
              <w:t>88.6</w:t>
            </w:r>
          </w:p>
        </w:tc>
        <w:tc>
          <w:tcPr>
            <w:tcW w:w="0" w:type="auto"/>
            <w:tcBorders>
              <w:top w:val="nil"/>
              <w:left w:val="nil"/>
              <w:bottom w:val="single" w:sz="4" w:space="0" w:color="auto"/>
              <w:right w:val="single" w:sz="4" w:space="0" w:color="auto"/>
            </w:tcBorders>
            <w:shd w:val="clear" w:color="auto" w:fill="auto"/>
            <w:noWrap/>
            <w:vAlign w:val="center"/>
            <w:hideMark/>
          </w:tcPr>
          <w:p w14:paraId="256C93E1" w14:textId="77777777" w:rsidR="00637543" w:rsidRPr="004F469F" w:rsidRDefault="00637543" w:rsidP="00637543">
            <w:pPr>
              <w:jc w:val="center"/>
              <w:rPr>
                <w:sz w:val="20"/>
                <w:szCs w:val="20"/>
              </w:rPr>
            </w:pPr>
            <w:r w:rsidRPr="004F469F">
              <w:rPr>
                <w:sz w:val="20"/>
                <w:szCs w:val="20"/>
              </w:rPr>
              <w:t>72.7</w:t>
            </w:r>
          </w:p>
        </w:tc>
        <w:tc>
          <w:tcPr>
            <w:tcW w:w="0" w:type="auto"/>
            <w:tcBorders>
              <w:top w:val="nil"/>
              <w:left w:val="nil"/>
              <w:bottom w:val="single" w:sz="4" w:space="0" w:color="auto"/>
              <w:right w:val="single" w:sz="4" w:space="0" w:color="auto"/>
            </w:tcBorders>
            <w:shd w:val="clear" w:color="auto" w:fill="auto"/>
            <w:noWrap/>
            <w:vAlign w:val="center"/>
            <w:hideMark/>
          </w:tcPr>
          <w:p w14:paraId="5171D4E9" w14:textId="77777777" w:rsidR="00637543" w:rsidRPr="004F469F" w:rsidRDefault="00637543" w:rsidP="00637543">
            <w:pPr>
              <w:jc w:val="center"/>
              <w:rPr>
                <w:sz w:val="20"/>
                <w:szCs w:val="20"/>
              </w:rPr>
            </w:pPr>
            <w:r w:rsidRPr="004F469F">
              <w:rPr>
                <w:sz w:val="20"/>
                <w:szCs w:val="20"/>
              </w:rPr>
              <w:t>90</w:t>
            </w:r>
          </w:p>
        </w:tc>
        <w:tc>
          <w:tcPr>
            <w:tcW w:w="0" w:type="auto"/>
            <w:tcBorders>
              <w:top w:val="nil"/>
              <w:left w:val="nil"/>
              <w:bottom w:val="single" w:sz="4" w:space="0" w:color="auto"/>
              <w:right w:val="single" w:sz="4" w:space="0" w:color="auto"/>
            </w:tcBorders>
            <w:shd w:val="clear" w:color="auto" w:fill="auto"/>
            <w:noWrap/>
            <w:vAlign w:val="center"/>
            <w:hideMark/>
          </w:tcPr>
          <w:p w14:paraId="1701D500" w14:textId="77777777" w:rsidR="00637543" w:rsidRPr="004F469F" w:rsidRDefault="00637543" w:rsidP="00637543">
            <w:pPr>
              <w:jc w:val="center"/>
              <w:rPr>
                <w:sz w:val="20"/>
                <w:szCs w:val="20"/>
              </w:rPr>
            </w:pPr>
            <w:r w:rsidRPr="004F469F">
              <w:rPr>
                <w:sz w:val="20"/>
                <w:szCs w:val="20"/>
              </w:rPr>
              <w:t>76.7</w:t>
            </w:r>
          </w:p>
        </w:tc>
        <w:tc>
          <w:tcPr>
            <w:tcW w:w="0" w:type="auto"/>
            <w:tcBorders>
              <w:top w:val="nil"/>
              <w:left w:val="nil"/>
              <w:bottom w:val="single" w:sz="4" w:space="0" w:color="auto"/>
              <w:right w:val="single" w:sz="4" w:space="0" w:color="auto"/>
            </w:tcBorders>
            <w:shd w:val="clear" w:color="auto" w:fill="auto"/>
            <w:noWrap/>
            <w:vAlign w:val="center"/>
            <w:hideMark/>
          </w:tcPr>
          <w:p w14:paraId="3C55191F" w14:textId="77777777" w:rsidR="00637543" w:rsidRPr="004F469F" w:rsidRDefault="00637543" w:rsidP="00637543">
            <w:pPr>
              <w:jc w:val="center"/>
              <w:rPr>
                <w:sz w:val="20"/>
                <w:szCs w:val="20"/>
              </w:rPr>
            </w:pPr>
            <w:r w:rsidRPr="004F469F">
              <w:rPr>
                <w:sz w:val="20"/>
                <w:szCs w:val="20"/>
              </w:rPr>
              <w:t>93.4</w:t>
            </w:r>
          </w:p>
        </w:tc>
        <w:tc>
          <w:tcPr>
            <w:tcW w:w="0" w:type="auto"/>
            <w:tcBorders>
              <w:top w:val="nil"/>
              <w:left w:val="nil"/>
              <w:bottom w:val="single" w:sz="4" w:space="0" w:color="auto"/>
              <w:right w:val="single" w:sz="4" w:space="0" w:color="auto"/>
            </w:tcBorders>
            <w:shd w:val="clear" w:color="auto" w:fill="auto"/>
            <w:noWrap/>
            <w:vAlign w:val="center"/>
            <w:hideMark/>
          </w:tcPr>
          <w:p w14:paraId="27B195FA" w14:textId="77777777" w:rsidR="00637543" w:rsidRPr="004F469F" w:rsidRDefault="00637543" w:rsidP="00637543">
            <w:pPr>
              <w:jc w:val="center"/>
              <w:rPr>
                <w:sz w:val="20"/>
                <w:szCs w:val="20"/>
              </w:rPr>
            </w:pPr>
            <w:r w:rsidRPr="004F469F">
              <w:rPr>
                <w:sz w:val="20"/>
                <w:szCs w:val="20"/>
              </w:rPr>
              <w:t>82.7</w:t>
            </w:r>
          </w:p>
        </w:tc>
      </w:tr>
      <w:tr w:rsidR="00494669" w:rsidRPr="004F469F" w14:paraId="02F6BD04"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DF5E8E" w14:textId="77777777" w:rsidR="00637543" w:rsidRPr="004F469F" w:rsidRDefault="00637543" w:rsidP="00637543">
            <w:pPr>
              <w:rPr>
                <w:sz w:val="20"/>
                <w:szCs w:val="20"/>
              </w:rPr>
            </w:pPr>
            <w:r w:rsidRPr="004F469F">
              <w:rPr>
                <w:sz w:val="20"/>
                <w:szCs w:val="20"/>
              </w:rPr>
              <w:t>FAR</w:t>
            </w:r>
          </w:p>
        </w:tc>
        <w:tc>
          <w:tcPr>
            <w:tcW w:w="0" w:type="auto"/>
            <w:tcBorders>
              <w:top w:val="nil"/>
              <w:left w:val="nil"/>
              <w:bottom w:val="single" w:sz="4" w:space="0" w:color="auto"/>
              <w:right w:val="single" w:sz="4" w:space="0" w:color="auto"/>
            </w:tcBorders>
            <w:shd w:val="clear" w:color="auto" w:fill="auto"/>
            <w:noWrap/>
            <w:vAlign w:val="center"/>
            <w:hideMark/>
          </w:tcPr>
          <w:p w14:paraId="743B452D" w14:textId="77777777" w:rsidR="00637543" w:rsidRPr="004F469F" w:rsidRDefault="00637543" w:rsidP="00637543">
            <w:pPr>
              <w:jc w:val="center"/>
              <w:rPr>
                <w:sz w:val="20"/>
                <w:szCs w:val="20"/>
              </w:rPr>
            </w:pPr>
            <w:r w:rsidRPr="004F469F">
              <w:rPr>
                <w:sz w:val="20"/>
                <w:szCs w:val="20"/>
              </w:rPr>
              <w:t>59</w:t>
            </w:r>
          </w:p>
        </w:tc>
        <w:tc>
          <w:tcPr>
            <w:tcW w:w="0" w:type="auto"/>
            <w:tcBorders>
              <w:top w:val="nil"/>
              <w:left w:val="nil"/>
              <w:bottom w:val="single" w:sz="4" w:space="0" w:color="auto"/>
              <w:right w:val="single" w:sz="4" w:space="0" w:color="auto"/>
            </w:tcBorders>
            <w:shd w:val="clear" w:color="auto" w:fill="auto"/>
            <w:noWrap/>
            <w:vAlign w:val="center"/>
            <w:hideMark/>
          </w:tcPr>
          <w:p w14:paraId="20D9B627" w14:textId="77777777" w:rsidR="00637543" w:rsidRPr="004F469F" w:rsidRDefault="00637543" w:rsidP="00637543">
            <w:pPr>
              <w:jc w:val="center"/>
              <w:rPr>
                <w:sz w:val="20"/>
                <w:szCs w:val="20"/>
              </w:rPr>
            </w:pPr>
            <w:r w:rsidRPr="004F469F">
              <w:rPr>
                <w:sz w:val="20"/>
                <w:szCs w:val="20"/>
              </w:rPr>
              <w:t>43.3</w:t>
            </w:r>
          </w:p>
        </w:tc>
        <w:tc>
          <w:tcPr>
            <w:tcW w:w="0" w:type="auto"/>
            <w:tcBorders>
              <w:top w:val="nil"/>
              <w:left w:val="nil"/>
              <w:bottom w:val="single" w:sz="4" w:space="0" w:color="auto"/>
              <w:right w:val="single" w:sz="4" w:space="0" w:color="auto"/>
            </w:tcBorders>
            <w:shd w:val="clear" w:color="auto" w:fill="auto"/>
            <w:noWrap/>
            <w:vAlign w:val="center"/>
            <w:hideMark/>
          </w:tcPr>
          <w:p w14:paraId="5B2DB1BC" w14:textId="77777777" w:rsidR="00637543" w:rsidRPr="004F469F" w:rsidRDefault="00637543" w:rsidP="00637543">
            <w:pPr>
              <w:jc w:val="center"/>
              <w:rPr>
                <w:sz w:val="20"/>
                <w:szCs w:val="20"/>
              </w:rPr>
            </w:pPr>
            <w:r w:rsidRPr="004F469F">
              <w:rPr>
                <w:sz w:val="20"/>
                <w:szCs w:val="20"/>
              </w:rPr>
              <w:t>35.7</w:t>
            </w:r>
          </w:p>
        </w:tc>
        <w:tc>
          <w:tcPr>
            <w:tcW w:w="0" w:type="auto"/>
            <w:tcBorders>
              <w:top w:val="nil"/>
              <w:left w:val="nil"/>
              <w:bottom w:val="single" w:sz="4" w:space="0" w:color="auto"/>
              <w:right w:val="single" w:sz="4" w:space="0" w:color="auto"/>
            </w:tcBorders>
            <w:shd w:val="clear" w:color="auto" w:fill="auto"/>
            <w:noWrap/>
            <w:vAlign w:val="center"/>
            <w:hideMark/>
          </w:tcPr>
          <w:p w14:paraId="030862A6" w14:textId="77777777" w:rsidR="00637543" w:rsidRPr="004F469F" w:rsidRDefault="00637543" w:rsidP="00637543">
            <w:pPr>
              <w:jc w:val="center"/>
              <w:rPr>
                <w:sz w:val="20"/>
                <w:szCs w:val="20"/>
              </w:rPr>
            </w:pPr>
            <w:r w:rsidRPr="004F469F">
              <w:rPr>
                <w:sz w:val="20"/>
                <w:szCs w:val="20"/>
              </w:rPr>
              <w:t>23.9</w:t>
            </w:r>
          </w:p>
        </w:tc>
        <w:tc>
          <w:tcPr>
            <w:tcW w:w="0" w:type="auto"/>
            <w:tcBorders>
              <w:top w:val="nil"/>
              <w:left w:val="nil"/>
              <w:bottom w:val="single" w:sz="4" w:space="0" w:color="auto"/>
              <w:right w:val="single" w:sz="4" w:space="0" w:color="auto"/>
            </w:tcBorders>
            <w:shd w:val="clear" w:color="auto" w:fill="auto"/>
            <w:noWrap/>
            <w:vAlign w:val="center"/>
            <w:hideMark/>
          </w:tcPr>
          <w:p w14:paraId="73BD3C9D" w14:textId="77777777" w:rsidR="00637543" w:rsidRPr="004F469F" w:rsidRDefault="00637543" w:rsidP="00637543">
            <w:pPr>
              <w:jc w:val="center"/>
              <w:rPr>
                <w:sz w:val="20"/>
                <w:szCs w:val="20"/>
              </w:rPr>
            </w:pPr>
            <w:r w:rsidRPr="004F469F">
              <w:rPr>
                <w:sz w:val="20"/>
                <w:szCs w:val="20"/>
              </w:rPr>
              <w:t>46.9</w:t>
            </w:r>
          </w:p>
        </w:tc>
        <w:tc>
          <w:tcPr>
            <w:tcW w:w="0" w:type="auto"/>
            <w:tcBorders>
              <w:top w:val="nil"/>
              <w:left w:val="nil"/>
              <w:bottom w:val="single" w:sz="4" w:space="0" w:color="auto"/>
              <w:right w:val="single" w:sz="4" w:space="0" w:color="auto"/>
            </w:tcBorders>
            <w:shd w:val="clear" w:color="auto" w:fill="auto"/>
            <w:noWrap/>
            <w:vAlign w:val="center"/>
            <w:hideMark/>
          </w:tcPr>
          <w:p w14:paraId="3DCB49B9" w14:textId="77777777" w:rsidR="00637543" w:rsidRPr="004F469F" w:rsidRDefault="00637543" w:rsidP="00637543">
            <w:pPr>
              <w:jc w:val="center"/>
              <w:rPr>
                <w:sz w:val="20"/>
                <w:szCs w:val="20"/>
              </w:rPr>
            </w:pPr>
            <w:r w:rsidRPr="004F469F">
              <w:rPr>
                <w:sz w:val="20"/>
                <w:szCs w:val="20"/>
              </w:rPr>
              <w:t>41.3</w:t>
            </w:r>
          </w:p>
        </w:tc>
        <w:tc>
          <w:tcPr>
            <w:tcW w:w="0" w:type="auto"/>
            <w:tcBorders>
              <w:top w:val="nil"/>
              <w:left w:val="nil"/>
              <w:bottom w:val="single" w:sz="4" w:space="0" w:color="auto"/>
              <w:right w:val="single" w:sz="4" w:space="0" w:color="auto"/>
            </w:tcBorders>
            <w:shd w:val="clear" w:color="auto" w:fill="auto"/>
            <w:noWrap/>
            <w:vAlign w:val="center"/>
            <w:hideMark/>
          </w:tcPr>
          <w:p w14:paraId="3AD82456" w14:textId="77777777" w:rsidR="00637543" w:rsidRPr="004F469F" w:rsidRDefault="00637543" w:rsidP="00637543">
            <w:pPr>
              <w:jc w:val="center"/>
              <w:rPr>
                <w:sz w:val="20"/>
                <w:szCs w:val="20"/>
              </w:rPr>
            </w:pPr>
            <w:r w:rsidRPr="004F469F">
              <w:rPr>
                <w:sz w:val="20"/>
                <w:szCs w:val="20"/>
              </w:rPr>
              <w:t>68.2</w:t>
            </w:r>
          </w:p>
        </w:tc>
        <w:tc>
          <w:tcPr>
            <w:tcW w:w="0" w:type="auto"/>
            <w:tcBorders>
              <w:top w:val="nil"/>
              <w:left w:val="nil"/>
              <w:bottom w:val="single" w:sz="4" w:space="0" w:color="auto"/>
              <w:right w:val="single" w:sz="4" w:space="0" w:color="auto"/>
            </w:tcBorders>
            <w:shd w:val="clear" w:color="auto" w:fill="auto"/>
            <w:noWrap/>
            <w:vAlign w:val="center"/>
            <w:hideMark/>
          </w:tcPr>
          <w:p w14:paraId="10F6C0D3" w14:textId="77777777" w:rsidR="00637543" w:rsidRPr="004F469F" w:rsidRDefault="00637543" w:rsidP="00637543">
            <w:pPr>
              <w:jc w:val="center"/>
              <w:rPr>
                <w:sz w:val="20"/>
                <w:szCs w:val="20"/>
              </w:rPr>
            </w:pPr>
            <w:r w:rsidRPr="004F469F">
              <w:rPr>
                <w:sz w:val="20"/>
                <w:szCs w:val="20"/>
              </w:rPr>
              <w:t>54</w:t>
            </w:r>
          </w:p>
        </w:tc>
        <w:tc>
          <w:tcPr>
            <w:tcW w:w="0" w:type="auto"/>
            <w:tcBorders>
              <w:top w:val="nil"/>
              <w:left w:val="nil"/>
              <w:bottom w:val="single" w:sz="4" w:space="0" w:color="auto"/>
              <w:right w:val="single" w:sz="4" w:space="0" w:color="auto"/>
            </w:tcBorders>
            <w:shd w:val="clear" w:color="auto" w:fill="auto"/>
            <w:noWrap/>
            <w:vAlign w:val="center"/>
            <w:hideMark/>
          </w:tcPr>
          <w:p w14:paraId="6550205D" w14:textId="77777777" w:rsidR="00637543" w:rsidRPr="004F469F" w:rsidRDefault="00637543" w:rsidP="00637543">
            <w:pPr>
              <w:jc w:val="center"/>
              <w:rPr>
                <w:sz w:val="20"/>
                <w:szCs w:val="20"/>
              </w:rPr>
            </w:pPr>
            <w:r w:rsidRPr="004F469F">
              <w:rPr>
                <w:sz w:val="20"/>
                <w:szCs w:val="20"/>
              </w:rPr>
              <w:t>48.7</w:t>
            </w:r>
          </w:p>
        </w:tc>
        <w:tc>
          <w:tcPr>
            <w:tcW w:w="0" w:type="auto"/>
            <w:tcBorders>
              <w:top w:val="nil"/>
              <w:left w:val="nil"/>
              <w:bottom w:val="single" w:sz="4" w:space="0" w:color="auto"/>
              <w:right w:val="single" w:sz="4" w:space="0" w:color="auto"/>
            </w:tcBorders>
            <w:shd w:val="clear" w:color="auto" w:fill="auto"/>
            <w:noWrap/>
            <w:vAlign w:val="center"/>
            <w:hideMark/>
          </w:tcPr>
          <w:p w14:paraId="4DF67516" w14:textId="77777777" w:rsidR="00637543" w:rsidRPr="004F469F" w:rsidRDefault="00637543" w:rsidP="00637543">
            <w:pPr>
              <w:jc w:val="center"/>
              <w:rPr>
                <w:sz w:val="20"/>
                <w:szCs w:val="20"/>
              </w:rPr>
            </w:pPr>
            <w:r w:rsidRPr="004F469F">
              <w:rPr>
                <w:sz w:val="20"/>
                <w:szCs w:val="20"/>
              </w:rPr>
              <w:t>37.2</w:t>
            </w:r>
          </w:p>
        </w:tc>
      </w:tr>
      <w:tr w:rsidR="00637543" w:rsidRPr="004F469F" w14:paraId="63490173" w14:textId="77777777" w:rsidTr="00637543">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BDE4C5" w14:textId="77777777" w:rsidR="00637543" w:rsidRPr="004F469F" w:rsidRDefault="00637543" w:rsidP="00637543">
            <w:pPr>
              <w:rPr>
                <w:sz w:val="20"/>
                <w:szCs w:val="20"/>
              </w:rPr>
            </w:pPr>
            <w:r w:rsidRPr="004F469F">
              <w:rPr>
                <w:sz w:val="20"/>
                <w:szCs w:val="20"/>
              </w:rPr>
              <w:t>HSS</w:t>
            </w:r>
          </w:p>
        </w:tc>
        <w:tc>
          <w:tcPr>
            <w:tcW w:w="0" w:type="auto"/>
            <w:tcBorders>
              <w:top w:val="nil"/>
              <w:left w:val="nil"/>
              <w:bottom w:val="single" w:sz="4" w:space="0" w:color="auto"/>
              <w:right w:val="single" w:sz="4" w:space="0" w:color="auto"/>
            </w:tcBorders>
            <w:shd w:val="clear" w:color="auto" w:fill="auto"/>
            <w:noWrap/>
            <w:vAlign w:val="center"/>
            <w:hideMark/>
          </w:tcPr>
          <w:p w14:paraId="65FE3AC0" w14:textId="77777777" w:rsidR="00637543" w:rsidRPr="004F469F" w:rsidRDefault="00637543" w:rsidP="00637543">
            <w:pPr>
              <w:jc w:val="center"/>
              <w:rPr>
                <w:sz w:val="20"/>
                <w:szCs w:val="20"/>
              </w:rPr>
            </w:pPr>
            <w:r w:rsidRPr="004F469F">
              <w:rPr>
                <w:sz w:val="20"/>
                <w:szCs w:val="20"/>
              </w:rPr>
              <w:t>49.2</w:t>
            </w:r>
          </w:p>
        </w:tc>
        <w:tc>
          <w:tcPr>
            <w:tcW w:w="0" w:type="auto"/>
            <w:tcBorders>
              <w:top w:val="nil"/>
              <w:left w:val="nil"/>
              <w:bottom w:val="single" w:sz="4" w:space="0" w:color="auto"/>
              <w:right w:val="single" w:sz="4" w:space="0" w:color="auto"/>
            </w:tcBorders>
            <w:shd w:val="clear" w:color="auto" w:fill="auto"/>
            <w:noWrap/>
            <w:vAlign w:val="center"/>
            <w:hideMark/>
          </w:tcPr>
          <w:p w14:paraId="6520B8C8" w14:textId="77777777" w:rsidR="00637543" w:rsidRPr="004F469F" w:rsidRDefault="00637543" w:rsidP="00637543">
            <w:pPr>
              <w:jc w:val="center"/>
              <w:rPr>
                <w:sz w:val="20"/>
                <w:szCs w:val="20"/>
              </w:rPr>
            </w:pPr>
            <w:r w:rsidRPr="004F469F">
              <w:rPr>
                <w:sz w:val="20"/>
                <w:szCs w:val="20"/>
              </w:rPr>
              <w:t>66.7</w:t>
            </w:r>
          </w:p>
        </w:tc>
        <w:tc>
          <w:tcPr>
            <w:tcW w:w="0" w:type="auto"/>
            <w:tcBorders>
              <w:top w:val="nil"/>
              <w:left w:val="nil"/>
              <w:bottom w:val="single" w:sz="4" w:space="0" w:color="auto"/>
              <w:right w:val="single" w:sz="4" w:space="0" w:color="auto"/>
            </w:tcBorders>
            <w:shd w:val="clear" w:color="auto" w:fill="auto"/>
            <w:noWrap/>
            <w:vAlign w:val="center"/>
            <w:hideMark/>
          </w:tcPr>
          <w:p w14:paraId="335DB31D" w14:textId="77777777" w:rsidR="00637543" w:rsidRPr="004F469F" w:rsidRDefault="00637543" w:rsidP="00637543">
            <w:pPr>
              <w:jc w:val="center"/>
              <w:rPr>
                <w:sz w:val="20"/>
                <w:szCs w:val="20"/>
              </w:rPr>
            </w:pPr>
            <w:r w:rsidRPr="004F469F">
              <w:rPr>
                <w:sz w:val="20"/>
                <w:szCs w:val="20"/>
              </w:rPr>
              <w:t>46.3</w:t>
            </w:r>
          </w:p>
        </w:tc>
        <w:tc>
          <w:tcPr>
            <w:tcW w:w="0" w:type="auto"/>
            <w:tcBorders>
              <w:top w:val="nil"/>
              <w:left w:val="nil"/>
              <w:bottom w:val="single" w:sz="4" w:space="0" w:color="auto"/>
              <w:right w:val="single" w:sz="4" w:space="0" w:color="auto"/>
            </w:tcBorders>
            <w:shd w:val="clear" w:color="auto" w:fill="auto"/>
            <w:noWrap/>
            <w:vAlign w:val="center"/>
            <w:hideMark/>
          </w:tcPr>
          <w:p w14:paraId="2CAD2CF0" w14:textId="77777777" w:rsidR="00637543" w:rsidRPr="004F469F" w:rsidRDefault="00637543" w:rsidP="00637543">
            <w:pPr>
              <w:jc w:val="center"/>
              <w:rPr>
                <w:sz w:val="20"/>
                <w:szCs w:val="20"/>
              </w:rPr>
            </w:pPr>
            <w:r w:rsidRPr="004F469F">
              <w:rPr>
                <w:sz w:val="20"/>
                <w:szCs w:val="20"/>
              </w:rPr>
              <w:t>64.3</w:t>
            </w:r>
          </w:p>
        </w:tc>
        <w:tc>
          <w:tcPr>
            <w:tcW w:w="0" w:type="auto"/>
            <w:tcBorders>
              <w:top w:val="nil"/>
              <w:left w:val="nil"/>
              <w:bottom w:val="single" w:sz="4" w:space="0" w:color="auto"/>
              <w:right w:val="single" w:sz="4" w:space="0" w:color="auto"/>
            </w:tcBorders>
            <w:shd w:val="clear" w:color="auto" w:fill="auto"/>
            <w:noWrap/>
            <w:vAlign w:val="center"/>
            <w:hideMark/>
          </w:tcPr>
          <w:p w14:paraId="0AA1BF05" w14:textId="77777777" w:rsidR="00637543" w:rsidRPr="004F469F" w:rsidRDefault="00637543" w:rsidP="00637543">
            <w:pPr>
              <w:jc w:val="center"/>
              <w:rPr>
                <w:sz w:val="20"/>
                <w:szCs w:val="20"/>
              </w:rPr>
            </w:pPr>
            <w:r w:rsidRPr="004F469F">
              <w:rPr>
                <w:sz w:val="20"/>
                <w:szCs w:val="20"/>
              </w:rPr>
              <w:t>16.3</w:t>
            </w:r>
          </w:p>
        </w:tc>
        <w:tc>
          <w:tcPr>
            <w:tcW w:w="0" w:type="auto"/>
            <w:tcBorders>
              <w:top w:val="nil"/>
              <w:left w:val="nil"/>
              <w:bottom w:val="single" w:sz="4" w:space="0" w:color="auto"/>
              <w:right w:val="single" w:sz="4" w:space="0" w:color="auto"/>
            </w:tcBorders>
            <w:shd w:val="clear" w:color="auto" w:fill="auto"/>
            <w:noWrap/>
            <w:vAlign w:val="center"/>
            <w:hideMark/>
          </w:tcPr>
          <w:p w14:paraId="7A29CF65" w14:textId="77777777" w:rsidR="00637543" w:rsidRPr="004F469F" w:rsidRDefault="00637543" w:rsidP="00637543">
            <w:pPr>
              <w:jc w:val="center"/>
              <w:rPr>
                <w:sz w:val="20"/>
                <w:szCs w:val="20"/>
              </w:rPr>
            </w:pPr>
            <w:r w:rsidRPr="004F469F">
              <w:rPr>
                <w:sz w:val="20"/>
                <w:szCs w:val="20"/>
              </w:rPr>
              <w:t>25.6</w:t>
            </w:r>
          </w:p>
        </w:tc>
        <w:tc>
          <w:tcPr>
            <w:tcW w:w="0" w:type="auto"/>
            <w:tcBorders>
              <w:top w:val="nil"/>
              <w:left w:val="nil"/>
              <w:bottom w:val="single" w:sz="4" w:space="0" w:color="auto"/>
              <w:right w:val="single" w:sz="4" w:space="0" w:color="auto"/>
            </w:tcBorders>
            <w:shd w:val="clear" w:color="auto" w:fill="auto"/>
            <w:noWrap/>
            <w:vAlign w:val="center"/>
            <w:hideMark/>
          </w:tcPr>
          <w:p w14:paraId="310658D1" w14:textId="77777777" w:rsidR="00637543" w:rsidRPr="004F469F" w:rsidRDefault="00637543" w:rsidP="00637543">
            <w:pPr>
              <w:jc w:val="center"/>
              <w:rPr>
                <w:sz w:val="20"/>
                <w:szCs w:val="20"/>
              </w:rPr>
            </w:pPr>
            <w:r w:rsidRPr="004F469F">
              <w:rPr>
                <w:sz w:val="20"/>
                <w:szCs w:val="20"/>
              </w:rPr>
              <w:t>29.9</w:t>
            </w:r>
          </w:p>
        </w:tc>
        <w:tc>
          <w:tcPr>
            <w:tcW w:w="0" w:type="auto"/>
            <w:tcBorders>
              <w:top w:val="nil"/>
              <w:left w:val="nil"/>
              <w:bottom w:val="single" w:sz="4" w:space="0" w:color="auto"/>
              <w:right w:val="single" w:sz="4" w:space="0" w:color="auto"/>
            </w:tcBorders>
            <w:shd w:val="clear" w:color="auto" w:fill="auto"/>
            <w:noWrap/>
            <w:vAlign w:val="center"/>
            <w:hideMark/>
          </w:tcPr>
          <w:p w14:paraId="5B8A1EF8" w14:textId="77777777" w:rsidR="00637543" w:rsidRPr="004F469F" w:rsidRDefault="00637543" w:rsidP="00637543">
            <w:pPr>
              <w:jc w:val="center"/>
              <w:rPr>
                <w:sz w:val="20"/>
                <w:szCs w:val="20"/>
              </w:rPr>
            </w:pPr>
            <w:r w:rsidRPr="004F469F">
              <w:rPr>
                <w:sz w:val="20"/>
                <w:szCs w:val="20"/>
              </w:rPr>
              <w:t>46.5</w:t>
            </w:r>
          </w:p>
        </w:tc>
        <w:tc>
          <w:tcPr>
            <w:tcW w:w="0" w:type="auto"/>
            <w:tcBorders>
              <w:top w:val="nil"/>
              <w:left w:val="nil"/>
              <w:bottom w:val="single" w:sz="4" w:space="0" w:color="auto"/>
              <w:right w:val="single" w:sz="4" w:space="0" w:color="auto"/>
            </w:tcBorders>
            <w:shd w:val="clear" w:color="auto" w:fill="auto"/>
            <w:noWrap/>
            <w:vAlign w:val="center"/>
            <w:hideMark/>
          </w:tcPr>
          <w:p w14:paraId="5CD2F026" w14:textId="77777777" w:rsidR="00637543" w:rsidRPr="004F469F" w:rsidRDefault="00637543" w:rsidP="00637543">
            <w:pPr>
              <w:jc w:val="center"/>
              <w:rPr>
                <w:sz w:val="20"/>
                <w:szCs w:val="20"/>
              </w:rPr>
            </w:pPr>
            <w:r w:rsidRPr="004F469F">
              <w:rPr>
                <w:sz w:val="20"/>
                <w:szCs w:val="20"/>
              </w:rPr>
              <w:t>43.8</w:t>
            </w:r>
          </w:p>
        </w:tc>
        <w:tc>
          <w:tcPr>
            <w:tcW w:w="0" w:type="auto"/>
            <w:tcBorders>
              <w:top w:val="nil"/>
              <w:left w:val="nil"/>
              <w:bottom w:val="single" w:sz="4" w:space="0" w:color="auto"/>
              <w:right w:val="single" w:sz="4" w:space="0" w:color="auto"/>
            </w:tcBorders>
            <w:shd w:val="clear" w:color="auto" w:fill="auto"/>
            <w:noWrap/>
            <w:vAlign w:val="center"/>
            <w:hideMark/>
          </w:tcPr>
          <w:p w14:paraId="2353DCC4" w14:textId="77777777" w:rsidR="00637543" w:rsidRPr="004F469F" w:rsidRDefault="00637543" w:rsidP="00637543">
            <w:pPr>
              <w:jc w:val="center"/>
              <w:rPr>
                <w:sz w:val="20"/>
                <w:szCs w:val="20"/>
              </w:rPr>
            </w:pPr>
            <w:r w:rsidRPr="004F469F">
              <w:rPr>
                <w:sz w:val="20"/>
                <w:szCs w:val="20"/>
              </w:rPr>
              <w:t>55.8</w:t>
            </w:r>
          </w:p>
        </w:tc>
      </w:tr>
    </w:tbl>
    <w:p w14:paraId="02C9861A" w14:textId="77777777" w:rsidR="00637543" w:rsidRPr="004F469F" w:rsidRDefault="00637543" w:rsidP="00637543">
      <w:pPr>
        <w:spacing w:line="480" w:lineRule="auto"/>
        <w:rPr>
          <w:b/>
        </w:rPr>
      </w:pPr>
    </w:p>
    <w:p w14:paraId="082A4773" w14:textId="77777777" w:rsidR="00637543" w:rsidRPr="004F469F" w:rsidRDefault="00637543" w:rsidP="00637543">
      <w:pPr>
        <w:widowControl w:val="0"/>
        <w:autoSpaceDE w:val="0"/>
        <w:autoSpaceDN w:val="0"/>
        <w:adjustRightInd w:val="0"/>
      </w:pPr>
    </w:p>
    <w:p w14:paraId="11C60F72" w14:textId="77777777" w:rsidR="00637543" w:rsidRPr="004F469F" w:rsidRDefault="00637543" w:rsidP="00637543">
      <w:pPr>
        <w:keepNext/>
        <w:widowControl w:val="0"/>
        <w:autoSpaceDE w:val="0"/>
        <w:autoSpaceDN w:val="0"/>
        <w:adjustRightInd w:val="0"/>
        <w:ind w:left="480" w:hanging="480"/>
        <w:jc w:val="both"/>
      </w:pPr>
      <w:r w:rsidRPr="004F469F">
        <w:rPr>
          <w:noProof/>
        </w:rPr>
        <w:lastRenderedPageBreak/>
        <w:drawing>
          <wp:inline distT="0" distB="0" distL="0" distR="0" wp14:anchorId="3614D4D9" wp14:editId="58364B4B">
            <wp:extent cx="5397500" cy="5397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sa_sobol.pdf"/>
                    <pic:cNvPicPr/>
                  </pic:nvPicPr>
                  <pic:blipFill>
                    <a:blip r:embed="rId33">
                      <a:extLst>
                        <a:ext uri="{28A0092B-C50C-407E-A947-70E740481C1C}">
                          <a14:useLocalDpi xmlns:a14="http://schemas.microsoft.com/office/drawing/2010/main" val="0"/>
                        </a:ext>
                      </a:extLst>
                    </a:blip>
                    <a:stretch>
                      <a:fillRect/>
                    </a:stretch>
                  </pic:blipFill>
                  <pic:spPr>
                    <a:xfrm>
                      <a:off x="0" y="0"/>
                      <a:ext cx="5397500" cy="5397500"/>
                    </a:xfrm>
                    <a:prstGeom prst="rect">
                      <a:avLst/>
                    </a:prstGeom>
                  </pic:spPr>
                </pic:pic>
              </a:graphicData>
            </a:graphic>
          </wp:inline>
        </w:drawing>
      </w:r>
    </w:p>
    <w:p w14:paraId="73E00611" w14:textId="77777777" w:rsidR="00637543" w:rsidRPr="004F469F" w:rsidRDefault="00637543" w:rsidP="00637543">
      <w:pPr>
        <w:pStyle w:val="Caption"/>
        <w:jc w:val="both"/>
        <w:rPr>
          <w:color w:val="auto"/>
        </w:rPr>
      </w:pPr>
    </w:p>
    <w:p w14:paraId="0D1E69C7" w14:textId="5948FC44" w:rsidR="00637543" w:rsidRPr="004F469F" w:rsidRDefault="00637543" w:rsidP="001A0018">
      <w:pPr>
        <w:pStyle w:val="Caption"/>
        <w:jc w:val="both"/>
        <w:rPr>
          <w:rFonts w:ascii="Times New Roman" w:hAnsi="Times New Roman" w:cs="Times New Roman"/>
          <w:i w:val="0"/>
          <w:iCs w:val="0"/>
          <w:color w:val="auto"/>
          <w:sz w:val="24"/>
          <w:szCs w:val="24"/>
        </w:rPr>
      </w:pPr>
      <w:bookmarkStart w:id="111" w:name="_Toc22035206"/>
      <w:r w:rsidRPr="004F469F">
        <w:rPr>
          <w:rFonts w:ascii="Times New Roman" w:hAnsi="Times New Roman" w:cs="Times New Roman"/>
          <w:i w:val="0"/>
          <w:iCs w:val="0"/>
          <w:color w:val="auto"/>
          <w:sz w:val="24"/>
          <w:szCs w:val="24"/>
        </w:rPr>
        <w:t xml:space="preserve">Figure </w:t>
      </w:r>
      <w:r w:rsidR="001A0018" w:rsidRPr="004F469F">
        <w:rPr>
          <w:rFonts w:ascii="Times New Roman" w:hAnsi="Times New Roman" w:cs="Times New Roman"/>
          <w:i w:val="0"/>
          <w:iCs w:val="0"/>
          <w:color w:val="auto"/>
          <w:sz w:val="24"/>
          <w:szCs w:val="24"/>
        </w:rPr>
        <w:t>A</w:t>
      </w:r>
      <w:r w:rsidRPr="004F469F">
        <w:rPr>
          <w:rFonts w:ascii="Times New Roman" w:hAnsi="Times New Roman" w:cs="Times New Roman"/>
          <w:i w:val="0"/>
          <w:iCs w:val="0"/>
          <w:color w:val="auto"/>
          <w:sz w:val="24"/>
          <w:szCs w:val="24"/>
        </w:rPr>
        <w:t>.</w:t>
      </w:r>
      <w:r w:rsidRPr="004F469F">
        <w:rPr>
          <w:rFonts w:ascii="Times New Roman" w:hAnsi="Times New Roman" w:cs="Times New Roman"/>
          <w:i w:val="0"/>
          <w:iCs w:val="0"/>
          <w:color w:val="auto"/>
          <w:sz w:val="24"/>
          <w:szCs w:val="24"/>
        </w:rPr>
        <w:fldChar w:fldCharType="begin"/>
      </w:r>
      <w:r w:rsidRPr="004F469F">
        <w:rPr>
          <w:rFonts w:ascii="Times New Roman" w:hAnsi="Times New Roman" w:cs="Times New Roman"/>
          <w:i w:val="0"/>
          <w:iCs w:val="0"/>
          <w:color w:val="auto"/>
          <w:sz w:val="24"/>
          <w:szCs w:val="24"/>
        </w:rPr>
        <w:instrText xml:space="preserve"> SEQ Figure \* ARABIC \s 1 </w:instrText>
      </w:r>
      <w:r w:rsidRPr="004F469F">
        <w:rPr>
          <w:rFonts w:ascii="Times New Roman" w:hAnsi="Times New Roman" w:cs="Times New Roman"/>
          <w:i w:val="0"/>
          <w:iCs w:val="0"/>
          <w:color w:val="auto"/>
          <w:sz w:val="24"/>
          <w:szCs w:val="24"/>
        </w:rPr>
        <w:fldChar w:fldCharType="separate"/>
      </w:r>
      <w:r w:rsidR="00F95F7F">
        <w:rPr>
          <w:rFonts w:ascii="Times New Roman" w:hAnsi="Times New Roman" w:cs="Times New Roman"/>
          <w:i w:val="0"/>
          <w:iCs w:val="0"/>
          <w:noProof/>
          <w:color w:val="auto"/>
          <w:sz w:val="24"/>
          <w:szCs w:val="24"/>
        </w:rPr>
        <w:t>1</w:t>
      </w:r>
      <w:r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xml:space="preserve">. Total order global sensitivity indices for all logistic regression parameters following the method of Sobol </w:t>
      </w:r>
      <w:r w:rsidRPr="004F469F">
        <w:rPr>
          <w:rFonts w:ascii="Times New Roman" w:hAnsi="Times New Roman" w:cs="Times New Roman"/>
          <w:i w:val="0"/>
          <w:iCs w:val="0"/>
          <w:color w:val="auto"/>
          <w:sz w:val="24"/>
          <w:szCs w:val="24"/>
        </w:rPr>
        <w:fldChar w:fldCharType="begin" w:fldLock="1"/>
      </w:r>
      <w:r w:rsidRPr="004F469F">
        <w:rPr>
          <w:rFonts w:ascii="Times New Roman" w:hAnsi="Times New Roman" w:cs="Times New Roman"/>
          <w:i w:val="0"/>
          <w:iCs w:val="0"/>
          <w:color w:val="auto"/>
          <w:sz w:val="24"/>
          <w:szCs w:val="24"/>
        </w:rPr>
        <w:instrText>ADDIN CSL_CITATION {"citationItems":[{"id":"ITEM-1","itemData":{"author":[{"dropping-particle":"","family":"Sobol","given":"Ilya M","non-dropping-particle":"","parse-names":false,"suffix":""}],"container-title":"Mathematical modelling and computational experiments","id":"ITEM-1","issue":"4","issued":{"date-parts":[["1993"]]},"page":"407-414","title":"Sensitivity estimates for nonlinear mathematical models","type":"article-journal","volume":"1"},"suppress-author":1,"uris":["http://www.mendeley.com/documents/?uuid=46134a2e-e6a0-41d5-8f72-02ef3105718a"]}],"mendeley":{"formattedCitation":"(1993)","plainTextFormattedCitation":"(1993)","previouslyFormattedCitation":"(1993)"},"properties":{"noteIndex":0},"schema":"https://github.com/citation-style-language/schema/raw/master/csl-citation.json"}</w:instrText>
      </w:r>
      <w:r w:rsidRPr="004F469F">
        <w:rPr>
          <w:rFonts w:ascii="Times New Roman" w:hAnsi="Times New Roman" w:cs="Times New Roman"/>
          <w:i w:val="0"/>
          <w:iCs w:val="0"/>
          <w:color w:val="auto"/>
          <w:sz w:val="24"/>
          <w:szCs w:val="24"/>
        </w:rPr>
        <w:fldChar w:fldCharType="separate"/>
      </w:r>
      <w:r w:rsidRPr="004F469F">
        <w:rPr>
          <w:rFonts w:ascii="Times New Roman" w:hAnsi="Times New Roman" w:cs="Times New Roman"/>
          <w:i w:val="0"/>
          <w:iCs w:val="0"/>
          <w:noProof/>
          <w:color w:val="auto"/>
          <w:sz w:val="24"/>
          <w:szCs w:val="24"/>
        </w:rPr>
        <w:t>(1993)</w:t>
      </w:r>
      <w:r w:rsidRPr="004F469F">
        <w:rPr>
          <w:rFonts w:ascii="Times New Roman" w:hAnsi="Times New Roman" w:cs="Times New Roman"/>
          <w:i w:val="0"/>
          <w:iCs w:val="0"/>
          <w:color w:val="auto"/>
          <w:sz w:val="24"/>
          <w:szCs w:val="24"/>
        </w:rPr>
        <w:fldChar w:fldCharType="end"/>
      </w:r>
      <w:r w:rsidRPr="004F469F">
        <w:rPr>
          <w:rFonts w:ascii="Times New Roman" w:hAnsi="Times New Roman" w:cs="Times New Roman"/>
          <w:i w:val="0"/>
          <w:iCs w:val="0"/>
          <w:color w:val="auto"/>
          <w:sz w:val="24"/>
          <w:szCs w:val="24"/>
        </w:rPr>
        <w:t>. The following equations are included: the probability of severe weather in a low or moderate to high CAPE environment (a, c) and the probability of tornadoes given severe weather in a low or moderate to high CAPE environment (b, d). Parameter indices with values above 5% are labelled.</w:t>
      </w:r>
      <w:bookmarkEnd w:id="111"/>
    </w:p>
    <w:sectPr w:rsidR="00637543" w:rsidRPr="004F469F" w:rsidSect="003C6A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7662D" w14:textId="77777777" w:rsidR="005B5CAF" w:rsidRDefault="005B5CAF" w:rsidP="005F58DF">
      <w:r>
        <w:separator/>
      </w:r>
    </w:p>
  </w:endnote>
  <w:endnote w:type="continuationSeparator" w:id="0">
    <w:p w14:paraId="21EB4292" w14:textId="77777777" w:rsidR="005B5CAF" w:rsidRDefault="005B5CAF" w:rsidP="005F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166649"/>
      <w:docPartObj>
        <w:docPartGallery w:val="Page Numbers (Bottom of Page)"/>
        <w:docPartUnique/>
      </w:docPartObj>
    </w:sdtPr>
    <w:sdtContent>
      <w:p w14:paraId="55DFE855" w14:textId="14A4754F" w:rsidR="00315883" w:rsidRDefault="00315883" w:rsidP="003C3E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2623954"/>
      <w:docPartObj>
        <w:docPartGallery w:val="Page Numbers (Bottom of Page)"/>
        <w:docPartUnique/>
      </w:docPartObj>
    </w:sdtPr>
    <w:sdtContent>
      <w:p w14:paraId="04BFC040" w14:textId="4CD60FE1" w:rsidR="00315883" w:rsidRDefault="00315883" w:rsidP="003C3E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86700370"/>
      <w:docPartObj>
        <w:docPartGallery w:val="Page Numbers (Bottom of Page)"/>
        <w:docPartUnique/>
      </w:docPartObj>
    </w:sdtPr>
    <w:sdtContent>
      <w:p w14:paraId="1B89D5AB" w14:textId="78FCF3A9" w:rsidR="00315883" w:rsidRDefault="00315883" w:rsidP="003C3E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712448" w14:textId="77777777" w:rsidR="00315883" w:rsidRDefault="00315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6227600"/>
      <w:docPartObj>
        <w:docPartGallery w:val="Page Numbers (Bottom of Page)"/>
        <w:docPartUnique/>
      </w:docPartObj>
    </w:sdtPr>
    <w:sdtEndPr>
      <w:rPr>
        <w:rStyle w:val="PageNumber"/>
        <w:color w:val="FFFFFF" w:themeColor="background1"/>
      </w:rPr>
    </w:sdtEndPr>
    <w:sdtContent>
      <w:p w14:paraId="31F474BE" w14:textId="7C8CA586" w:rsidR="00315883" w:rsidRPr="003C3EF2" w:rsidRDefault="00315883" w:rsidP="003C3EF2">
        <w:pPr>
          <w:pStyle w:val="Footer"/>
          <w:framePr w:wrap="none" w:vAnchor="text" w:hAnchor="margin" w:xAlign="center" w:y="1"/>
          <w:rPr>
            <w:rStyle w:val="PageNumber"/>
            <w:color w:val="FFFFFF" w:themeColor="background1"/>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A966D24" w14:textId="77777777" w:rsidR="00315883" w:rsidRDefault="003158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889802"/>
      <w:docPartObj>
        <w:docPartGallery w:val="Page Numbers (Bottom of Page)"/>
        <w:docPartUnique/>
      </w:docPartObj>
    </w:sdtPr>
    <w:sdtContent>
      <w:p w14:paraId="1CC71DAD" w14:textId="77777777" w:rsidR="00315883" w:rsidRDefault="00315883" w:rsidP="00CE58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CA24AE" w14:textId="77777777" w:rsidR="00315883" w:rsidRPr="003C3EF2" w:rsidRDefault="003158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14172271"/>
      <w:docPartObj>
        <w:docPartGallery w:val="Page Numbers (Bottom of Page)"/>
        <w:docPartUnique/>
      </w:docPartObj>
    </w:sdtPr>
    <w:sdtContent>
      <w:p w14:paraId="26895EFB" w14:textId="77777777" w:rsidR="00315883" w:rsidRDefault="00315883" w:rsidP="00CE58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0D9CB8" w14:textId="77777777" w:rsidR="00315883" w:rsidRPr="003C3EF2" w:rsidRDefault="0031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C6B47" w14:textId="77777777" w:rsidR="005B5CAF" w:rsidRDefault="005B5CAF" w:rsidP="005F58DF">
      <w:r>
        <w:separator/>
      </w:r>
    </w:p>
  </w:footnote>
  <w:footnote w:type="continuationSeparator" w:id="0">
    <w:p w14:paraId="1584BEA2" w14:textId="77777777" w:rsidR="005B5CAF" w:rsidRDefault="005B5CAF" w:rsidP="005F5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7097"/>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E312B5A"/>
    <w:multiLevelType w:val="multilevel"/>
    <w:tmpl w:val="66625460"/>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lowerLetter"/>
      <w:pStyle w:val="Heading4"/>
      <w:suff w:val="space"/>
      <w:lvlText w:val="%4.)"/>
      <w:lvlJc w:val="left"/>
      <w:pPr>
        <w:ind w:left="0" w:firstLine="0"/>
      </w:pPr>
      <w:rPr>
        <w:rFonts w:hint="default"/>
      </w:rPr>
    </w:lvl>
    <w:lvl w:ilvl="4">
      <w:start w:val="1"/>
      <w:numFmt w:val="upperLetter"/>
      <w:pStyle w:val="AppendixHeading1"/>
      <w:suff w:val="space"/>
      <w:lvlText w:val="Appendix %5"/>
      <w:lvlJc w:val="left"/>
      <w:pPr>
        <w:ind w:left="0" w:firstLine="0"/>
      </w:pPr>
      <w:rPr>
        <w:rFonts w:hint="default"/>
      </w:rPr>
    </w:lvl>
    <w:lvl w:ilvl="5">
      <w:start w:val="1"/>
      <w:numFmt w:val="decimal"/>
      <w:pStyle w:val="AppendixHeading2"/>
      <w:suff w:val="space"/>
      <w:lvlText w:val="%5.%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1ED56AA"/>
    <w:multiLevelType w:val="multilevel"/>
    <w:tmpl w:val="785AB8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373FC2"/>
    <w:multiLevelType w:val="multilevel"/>
    <w:tmpl w:val="21C6EDD6"/>
    <w:lvl w:ilvl="0">
      <w:start w:val="1"/>
      <w:numFmt w:val="decimal"/>
      <w:pStyle w:val="TOCHeading"/>
      <w:suff w:val="space"/>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Letter"/>
      <w:suff w:val="space"/>
      <w:lvlText w:val="%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2B2C6033"/>
    <w:multiLevelType w:val="multilevel"/>
    <w:tmpl w:val="F7FC279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BDF3D99"/>
    <w:multiLevelType w:val="hybridMultilevel"/>
    <w:tmpl w:val="CD34ED4C"/>
    <w:lvl w:ilvl="0" w:tplc="EFE4A8FE">
      <w:start w:val="1"/>
      <w:numFmt w:val="bullet"/>
      <w:lvlText w:val=""/>
      <w:lvlJc w:val="left"/>
      <w:pPr>
        <w:ind w:left="720" w:hanging="360"/>
      </w:pPr>
      <w:rPr>
        <w:rFonts w:ascii="Symbol" w:hAnsi="Symbol" w:hint="default"/>
      </w:rPr>
    </w:lvl>
    <w:lvl w:ilvl="1" w:tplc="A6827784">
      <w:start w:val="1"/>
      <w:numFmt w:val="bullet"/>
      <w:lvlText w:val="o"/>
      <w:lvlJc w:val="left"/>
      <w:pPr>
        <w:ind w:left="1440" w:hanging="360"/>
      </w:pPr>
      <w:rPr>
        <w:rFonts w:ascii="Courier New" w:hAnsi="Courier New" w:cs="Courier New" w:hint="default"/>
      </w:rPr>
    </w:lvl>
    <w:lvl w:ilvl="2" w:tplc="6F36F1D8" w:tentative="1">
      <w:start w:val="1"/>
      <w:numFmt w:val="bullet"/>
      <w:lvlText w:val=""/>
      <w:lvlJc w:val="left"/>
      <w:pPr>
        <w:ind w:left="2160" w:hanging="360"/>
      </w:pPr>
      <w:rPr>
        <w:rFonts w:ascii="Wingdings" w:hAnsi="Wingdings" w:hint="default"/>
      </w:rPr>
    </w:lvl>
    <w:lvl w:ilvl="3" w:tplc="A3160CA2" w:tentative="1">
      <w:start w:val="1"/>
      <w:numFmt w:val="bullet"/>
      <w:lvlText w:val=""/>
      <w:lvlJc w:val="left"/>
      <w:pPr>
        <w:ind w:left="2880" w:hanging="360"/>
      </w:pPr>
      <w:rPr>
        <w:rFonts w:ascii="Symbol" w:hAnsi="Symbol" w:hint="default"/>
      </w:rPr>
    </w:lvl>
    <w:lvl w:ilvl="4" w:tplc="FA3449AA" w:tentative="1">
      <w:start w:val="1"/>
      <w:numFmt w:val="bullet"/>
      <w:lvlText w:val="o"/>
      <w:lvlJc w:val="left"/>
      <w:pPr>
        <w:ind w:left="3600" w:hanging="360"/>
      </w:pPr>
      <w:rPr>
        <w:rFonts w:ascii="Courier New" w:hAnsi="Courier New" w:cs="Courier New" w:hint="default"/>
      </w:rPr>
    </w:lvl>
    <w:lvl w:ilvl="5" w:tplc="59DA55E8" w:tentative="1">
      <w:start w:val="1"/>
      <w:numFmt w:val="bullet"/>
      <w:lvlText w:val=""/>
      <w:lvlJc w:val="left"/>
      <w:pPr>
        <w:ind w:left="4320" w:hanging="360"/>
      </w:pPr>
      <w:rPr>
        <w:rFonts w:ascii="Wingdings" w:hAnsi="Wingdings" w:hint="default"/>
      </w:rPr>
    </w:lvl>
    <w:lvl w:ilvl="6" w:tplc="402E8854" w:tentative="1">
      <w:start w:val="1"/>
      <w:numFmt w:val="bullet"/>
      <w:lvlText w:val=""/>
      <w:lvlJc w:val="left"/>
      <w:pPr>
        <w:ind w:left="5040" w:hanging="360"/>
      </w:pPr>
      <w:rPr>
        <w:rFonts w:ascii="Symbol" w:hAnsi="Symbol" w:hint="default"/>
      </w:rPr>
    </w:lvl>
    <w:lvl w:ilvl="7" w:tplc="5E9CDB08" w:tentative="1">
      <w:start w:val="1"/>
      <w:numFmt w:val="bullet"/>
      <w:lvlText w:val="o"/>
      <w:lvlJc w:val="left"/>
      <w:pPr>
        <w:ind w:left="5760" w:hanging="360"/>
      </w:pPr>
      <w:rPr>
        <w:rFonts w:ascii="Courier New" w:hAnsi="Courier New" w:cs="Courier New" w:hint="default"/>
      </w:rPr>
    </w:lvl>
    <w:lvl w:ilvl="8" w:tplc="54A0F74E" w:tentative="1">
      <w:start w:val="1"/>
      <w:numFmt w:val="bullet"/>
      <w:lvlText w:val=""/>
      <w:lvlJc w:val="left"/>
      <w:pPr>
        <w:ind w:left="6480" w:hanging="360"/>
      </w:pPr>
      <w:rPr>
        <w:rFonts w:ascii="Wingdings" w:hAnsi="Wingdings" w:hint="default"/>
      </w:rPr>
    </w:lvl>
  </w:abstractNum>
  <w:abstractNum w:abstractNumId="6" w15:restartNumberingAfterBreak="0">
    <w:nsid w:val="43AD12C7"/>
    <w:multiLevelType w:val="multilevel"/>
    <w:tmpl w:val="6F52F6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8331001"/>
    <w:multiLevelType w:val="multilevel"/>
    <w:tmpl w:val="88301CD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AE373D5"/>
    <w:multiLevelType w:val="multilevel"/>
    <w:tmpl w:val="FD72BC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5BD5F8D"/>
    <w:multiLevelType w:val="multilevel"/>
    <w:tmpl w:val="AD307ED0"/>
    <w:lvl w:ilvl="0">
      <w:start w:val="1"/>
      <w:numFmt w:val="decimal"/>
      <w:suff w:val="space"/>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lowerLetter"/>
      <w:suff w:val="spac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0DE50B3"/>
    <w:multiLevelType w:val="hybridMultilevel"/>
    <w:tmpl w:val="74CC465A"/>
    <w:lvl w:ilvl="0" w:tplc="F5FEB65E">
      <w:start w:val="1"/>
      <w:numFmt w:val="decimal"/>
      <w:lvlText w:val="%1."/>
      <w:lvlJc w:val="left"/>
      <w:pPr>
        <w:ind w:left="720" w:hanging="360"/>
      </w:pPr>
      <w:rPr>
        <w:rFonts w:hint="default"/>
      </w:rPr>
    </w:lvl>
    <w:lvl w:ilvl="1" w:tplc="EB16541E" w:tentative="1">
      <w:start w:val="1"/>
      <w:numFmt w:val="lowerLetter"/>
      <w:lvlText w:val="%2."/>
      <w:lvlJc w:val="left"/>
      <w:pPr>
        <w:ind w:left="1440" w:hanging="360"/>
      </w:pPr>
    </w:lvl>
    <w:lvl w:ilvl="2" w:tplc="90300044" w:tentative="1">
      <w:start w:val="1"/>
      <w:numFmt w:val="lowerRoman"/>
      <w:lvlText w:val="%3."/>
      <w:lvlJc w:val="right"/>
      <w:pPr>
        <w:ind w:left="2160" w:hanging="180"/>
      </w:pPr>
    </w:lvl>
    <w:lvl w:ilvl="3" w:tplc="A97805C2" w:tentative="1">
      <w:start w:val="1"/>
      <w:numFmt w:val="decimal"/>
      <w:lvlText w:val="%4."/>
      <w:lvlJc w:val="left"/>
      <w:pPr>
        <w:ind w:left="2880" w:hanging="360"/>
      </w:pPr>
    </w:lvl>
    <w:lvl w:ilvl="4" w:tplc="622EE78C" w:tentative="1">
      <w:start w:val="1"/>
      <w:numFmt w:val="lowerLetter"/>
      <w:lvlText w:val="%5."/>
      <w:lvlJc w:val="left"/>
      <w:pPr>
        <w:ind w:left="3600" w:hanging="360"/>
      </w:pPr>
    </w:lvl>
    <w:lvl w:ilvl="5" w:tplc="7F7652D4" w:tentative="1">
      <w:start w:val="1"/>
      <w:numFmt w:val="lowerRoman"/>
      <w:lvlText w:val="%6."/>
      <w:lvlJc w:val="right"/>
      <w:pPr>
        <w:ind w:left="4320" w:hanging="180"/>
      </w:pPr>
    </w:lvl>
    <w:lvl w:ilvl="6" w:tplc="ED94DA1C" w:tentative="1">
      <w:start w:val="1"/>
      <w:numFmt w:val="decimal"/>
      <w:lvlText w:val="%7."/>
      <w:lvlJc w:val="left"/>
      <w:pPr>
        <w:ind w:left="5040" w:hanging="360"/>
      </w:pPr>
    </w:lvl>
    <w:lvl w:ilvl="7" w:tplc="F7227E10" w:tentative="1">
      <w:start w:val="1"/>
      <w:numFmt w:val="lowerLetter"/>
      <w:lvlText w:val="%8."/>
      <w:lvlJc w:val="left"/>
      <w:pPr>
        <w:ind w:left="5760" w:hanging="360"/>
      </w:pPr>
    </w:lvl>
    <w:lvl w:ilvl="8" w:tplc="B3322130"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7"/>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YwM7a0MDYzszQ1MzVW0lEKTi0uzszPAykwqgUAkrPYUCwAAAA="/>
  </w:docVars>
  <w:rsids>
    <w:rsidRoot w:val="00FD7A0F"/>
    <w:rsid w:val="000140C4"/>
    <w:rsid w:val="00015AD8"/>
    <w:rsid w:val="00020311"/>
    <w:rsid w:val="0002696A"/>
    <w:rsid w:val="00032DC4"/>
    <w:rsid w:val="00036D40"/>
    <w:rsid w:val="00043957"/>
    <w:rsid w:val="00060BC8"/>
    <w:rsid w:val="00062501"/>
    <w:rsid w:val="00070E7C"/>
    <w:rsid w:val="0007172A"/>
    <w:rsid w:val="00077117"/>
    <w:rsid w:val="000779E9"/>
    <w:rsid w:val="0008354E"/>
    <w:rsid w:val="000902EF"/>
    <w:rsid w:val="00090761"/>
    <w:rsid w:val="000932B0"/>
    <w:rsid w:val="000A0DDA"/>
    <w:rsid w:val="000A3398"/>
    <w:rsid w:val="000B1FE2"/>
    <w:rsid w:val="000B2F5D"/>
    <w:rsid w:val="000B33E2"/>
    <w:rsid w:val="000C5FF3"/>
    <w:rsid w:val="000D619D"/>
    <w:rsid w:val="000D70AF"/>
    <w:rsid w:val="000E20B7"/>
    <w:rsid w:val="000E2E14"/>
    <w:rsid w:val="000F0734"/>
    <w:rsid w:val="000F2C12"/>
    <w:rsid w:val="0010380F"/>
    <w:rsid w:val="00104CD4"/>
    <w:rsid w:val="00105085"/>
    <w:rsid w:val="0010658B"/>
    <w:rsid w:val="00107BD4"/>
    <w:rsid w:val="001113EA"/>
    <w:rsid w:val="001203C2"/>
    <w:rsid w:val="00122312"/>
    <w:rsid w:val="00123266"/>
    <w:rsid w:val="00123A82"/>
    <w:rsid w:val="0012613A"/>
    <w:rsid w:val="00134150"/>
    <w:rsid w:val="00135E0F"/>
    <w:rsid w:val="0014038E"/>
    <w:rsid w:val="00142931"/>
    <w:rsid w:val="00146138"/>
    <w:rsid w:val="00153011"/>
    <w:rsid w:val="001537F8"/>
    <w:rsid w:val="0016662B"/>
    <w:rsid w:val="00172B4C"/>
    <w:rsid w:val="001759B0"/>
    <w:rsid w:val="00175C32"/>
    <w:rsid w:val="001760CE"/>
    <w:rsid w:val="00186E32"/>
    <w:rsid w:val="00196FEA"/>
    <w:rsid w:val="001A0018"/>
    <w:rsid w:val="001B1136"/>
    <w:rsid w:val="001B4825"/>
    <w:rsid w:val="001B6A71"/>
    <w:rsid w:val="001C59A7"/>
    <w:rsid w:val="001C59E5"/>
    <w:rsid w:val="001D2147"/>
    <w:rsid w:val="001D280C"/>
    <w:rsid w:val="001D334C"/>
    <w:rsid w:val="001D3F8B"/>
    <w:rsid w:val="001E1049"/>
    <w:rsid w:val="001E4F1F"/>
    <w:rsid w:val="001F01A2"/>
    <w:rsid w:val="001F078B"/>
    <w:rsid w:val="00206173"/>
    <w:rsid w:val="002134F5"/>
    <w:rsid w:val="00232076"/>
    <w:rsid w:val="002341B0"/>
    <w:rsid w:val="0024576E"/>
    <w:rsid w:val="00245F85"/>
    <w:rsid w:val="00254109"/>
    <w:rsid w:val="002614B3"/>
    <w:rsid w:val="0026150E"/>
    <w:rsid w:val="00266494"/>
    <w:rsid w:val="0026666A"/>
    <w:rsid w:val="00281A5F"/>
    <w:rsid w:val="0028577C"/>
    <w:rsid w:val="002939EC"/>
    <w:rsid w:val="0029592F"/>
    <w:rsid w:val="002B5EBA"/>
    <w:rsid w:val="002C3A63"/>
    <w:rsid w:val="002C77CE"/>
    <w:rsid w:val="002C7A24"/>
    <w:rsid w:val="002D58BB"/>
    <w:rsid w:val="002E4CCA"/>
    <w:rsid w:val="002E55BC"/>
    <w:rsid w:val="002F2CFA"/>
    <w:rsid w:val="002F321E"/>
    <w:rsid w:val="00302B2F"/>
    <w:rsid w:val="00315883"/>
    <w:rsid w:val="003242E4"/>
    <w:rsid w:val="00324CF3"/>
    <w:rsid w:val="00327E10"/>
    <w:rsid w:val="0033139D"/>
    <w:rsid w:val="003322B9"/>
    <w:rsid w:val="00333788"/>
    <w:rsid w:val="00337029"/>
    <w:rsid w:val="003463DC"/>
    <w:rsid w:val="0035549A"/>
    <w:rsid w:val="00363DB2"/>
    <w:rsid w:val="003642A2"/>
    <w:rsid w:val="003642A7"/>
    <w:rsid w:val="003642F4"/>
    <w:rsid w:val="0037186E"/>
    <w:rsid w:val="00387354"/>
    <w:rsid w:val="00391F07"/>
    <w:rsid w:val="003A220A"/>
    <w:rsid w:val="003B2B11"/>
    <w:rsid w:val="003B6E2B"/>
    <w:rsid w:val="003B79DC"/>
    <w:rsid w:val="003C1C6C"/>
    <w:rsid w:val="003C3EF2"/>
    <w:rsid w:val="003C5299"/>
    <w:rsid w:val="003C6A19"/>
    <w:rsid w:val="003D7F6F"/>
    <w:rsid w:val="004018A9"/>
    <w:rsid w:val="00412066"/>
    <w:rsid w:val="004139FD"/>
    <w:rsid w:val="00417015"/>
    <w:rsid w:val="00432465"/>
    <w:rsid w:val="00435B08"/>
    <w:rsid w:val="004367E7"/>
    <w:rsid w:val="004424DE"/>
    <w:rsid w:val="00447023"/>
    <w:rsid w:val="004530D7"/>
    <w:rsid w:val="00453357"/>
    <w:rsid w:val="004534C9"/>
    <w:rsid w:val="0045380B"/>
    <w:rsid w:val="00460C3F"/>
    <w:rsid w:val="004611B2"/>
    <w:rsid w:val="00470FA9"/>
    <w:rsid w:val="004802A7"/>
    <w:rsid w:val="00482621"/>
    <w:rsid w:val="0049259D"/>
    <w:rsid w:val="00494609"/>
    <w:rsid w:val="00494669"/>
    <w:rsid w:val="004A3C2A"/>
    <w:rsid w:val="004B13A0"/>
    <w:rsid w:val="004C320F"/>
    <w:rsid w:val="004C36AB"/>
    <w:rsid w:val="004C50E7"/>
    <w:rsid w:val="004C592A"/>
    <w:rsid w:val="004D0F8A"/>
    <w:rsid w:val="004E0073"/>
    <w:rsid w:val="004F469F"/>
    <w:rsid w:val="004F796B"/>
    <w:rsid w:val="004F7CD2"/>
    <w:rsid w:val="00501912"/>
    <w:rsid w:val="00505B18"/>
    <w:rsid w:val="00506C9D"/>
    <w:rsid w:val="00510A69"/>
    <w:rsid w:val="00510F19"/>
    <w:rsid w:val="005241B7"/>
    <w:rsid w:val="00524E40"/>
    <w:rsid w:val="00537523"/>
    <w:rsid w:val="005450D3"/>
    <w:rsid w:val="0054576E"/>
    <w:rsid w:val="00545B1E"/>
    <w:rsid w:val="00547B34"/>
    <w:rsid w:val="00551D13"/>
    <w:rsid w:val="00554D54"/>
    <w:rsid w:val="005604C1"/>
    <w:rsid w:val="00574F9A"/>
    <w:rsid w:val="00587EAE"/>
    <w:rsid w:val="005944D7"/>
    <w:rsid w:val="00594AA4"/>
    <w:rsid w:val="005A20C8"/>
    <w:rsid w:val="005A34E5"/>
    <w:rsid w:val="005B5CAF"/>
    <w:rsid w:val="005C144D"/>
    <w:rsid w:val="005C2A8F"/>
    <w:rsid w:val="005C4E5F"/>
    <w:rsid w:val="005C52D4"/>
    <w:rsid w:val="005C7004"/>
    <w:rsid w:val="005D094A"/>
    <w:rsid w:val="005D42B5"/>
    <w:rsid w:val="005E55F0"/>
    <w:rsid w:val="005F58DF"/>
    <w:rsid w:val="00604FBC"/>
    <w:rsid w:val="006062EE"/>
    <w:rsid w:val="00613DAF"/>
    <w:rsid w:val="0062730F"/>
    <w:rsid w:val="006277E7"/>
    <w:rsid w:val="00637543"/>
    <w:rsid w:val="006457D8"/>
    <w:rsid w:val="006476D7"/>
    <w:rsid w:val="00657E2A"/>
    <w:rsid w:val="006644E1"/>
    <w:rsid w:val="00684CC2"/>
    <w:rsid w:val="0069211A"/>
    <w:rsid w:val="00693375"/>
    <w:rsid w:val="006B5091"/>
    <w:rsid w:val="006C6565"/>
    <w:rsid w:val="006E0162"/>
    <w:rsid w:val="006E1780"/>
    <w:rsid w:val="006E3245"/>
    <w:rsid w:val="007241C1"/>
    <w:rsid w:val="007441A3"/>
    <w:rsid w:val="0075322E"/>
    <w:rsid w:val="0076275F"/>
    <w:rsid w:val="00766821"/>
    <w:rsid w:val="00771BF7"/>
    <w:rsid w:val="00775462"/>
    <w:rsid w:val="00783C30"/>
    <w:rsid w:val="00793D69"/>
    <w:rsid w:val="00797351"/>
    <w:rsid w:val="007A0777"/>
    <w:rsid w:val="007A36F6"/>
    <w:rsid w:val="007B292B"/>
    <w:rsid w:val="007C5236"/>
    <w:rsid w:val="007F3209"/>
    <w:rsid w:val="007F3AF9"/>
    <w:rsid w:val="008272C8"/>
    <w:rsid w:val="008306CC"/>
    <w:rsid w:val="008330CE"/>
    <w:rsid w:val="0083599F"/>
    <w:rsid w:val="0083629C"/>
    <w:rsid w:val="008471B7"/>
    <w:rsid w:val="00850A85"/>
    <w:rsid w:val="00881009"/>
    <w:rsid w:val="00885A82"/>
    <w:rsid w:val="00891BAE"/>
    <w:rsid w:val="008942A8"/>
    <w:rsid w:val="008A04E1"/>
    <w:rsid w:val="008B50EB"/>
    <w:rsid w:val="008D5EA7"/>
    <w:rsid w:val="008D613F"/>
    <w:rsid w:val="008E5622"/>
    <w:rsid w:val="008E69C0"/>
    <w:rsid w:val="008E6A51"/>
    <w:rsid w:val="008E73D1"/>
    <w:rsid w:val="008F1B78"/>
    <w:rsid w:val="008F2606"/>
    <w:rsid w:val="008F6CD1"/>
    <w:rsid w:val="008F6E67"/>
    <w:rsid w:val="008F75F4"/>
    <w:rsid w:val="00907352"/>
    <w:rsid w:val="0091080C"/>
    <w:rsid w:val="009135AB"/>
    <w:rsid w:val="00916445"/>
    <w:rsid w:val="009225F0"/>
    <w:rsid w:val="00940E5C"/>
    <w:rsid w:val="009554C7"/>
    <w:rsid w:val="00973ACB"/>
    <w:rsid w:val="009956C0"/>
    <w:rsid w:val="009A2287"/>
    <w:rsid w:val="009A7A57"/>
    <w:rsid w:val="009B6C34"/>
    <w:rsid w:val="009C50DD"/>
    <w:rsid w:val="009C5B7E"/>
    <w:rsid w:val="009D7121"/>
    <w:rsid w:val="009E10AC"/>
    <w:rsid w:val="009E37DE"/>
    <w:rsid w:val="009F1CCF"/>
    <w:rsid w:val="009F4AB3"/>
    <w:rsid w:val="009F7739"/>
    <w:rsid w:val="00A070F1"/>
    <w:rsid w:val="00A102EF"/>
    <w:rsid w:val="00A2354C"/>
    <w:rsid w:val="00A361EB"/>
    <w:rsid w:val="00A411E1"/>
    <w:rsid w:val="00A42213"/>
    <w:rsid w:val="00A4283D"/>
    <w:rsid w:val="00A4292E"/>
    <w:rsid w:val="00A4420B"/>
    <w:rsid w:val="00A565AD"/>
    <w:rsid w:val="00A56DA7"/>
    <w:rsid w:val="00A643A2"/>
    <w:rsid w:val="00A8756C"/>
    <w:rsid w:val="00A967F3"/>
    <w:rsid w:val="00AA740D"/>
    <w:rsid w:val="00AB3F5C"/>
    <w:rsid w:val="00AB6FBD"/>
    <w:rsid w:val="00AC0A0C"/>
    <w:rsid w:val="00AC1478"/>
    <w:rsid w:val="00AC357B"/>
    <w:rsid w:val="00AD18AE"/>
    <w:rsid w:val="00AD1F72"/>
    <w:rsid w:val="00AD33F7"/>
    <w:rsid w:val="00AD5061"/>
    <w:rsid w:val="00AE32B0"/>
    <w:rsid w:val="00AF0B8C"/>
    <w:rsid w:val="00AF63B0"/>
    <w:rsid w:val="00B0468A"/>
    <w:rsid w:val="00B07524"/>
    <w:rsid w:val="00B11AB4"/>
    <w:rsid w:val="00B12A27"/>
    <w:rsid w:val="00B17C7D"/>
    <w:rsid w:val="00B23D5C"/>
    <w:rsid w:val="00B23E46"/>
    <w:rsid w:val="00B35ACB"/>
    <w:rsid w:val="00B50AB9"/>
    <w:rsid w:val="00B61C02"/>
    <w:rsid w:val="00B80B3E"/>
    <w:rsid w:val="00B83DA4"/>
    <w:rsid w:val="00B874D5"/>
    <w:rsid w:val="00B876D8"/>
    <w:rsid w:val="00B87914"/>
    <w:rsid w:val="00B94A1A"/>
    <w:rsid w:val="00BB2A54"/>
    <w:rsid w:val="00BB2D61"/>
    <w:rsid w:val="00BC514F"/>
    <w:rsid w:val="00BD42ED"/>
    <w:rsid w:val="00BD6F4E"/>
    <w:rsid w:val="00BD7D4A"/>
    <w:rsid w:val="00BE2971"/>
    <w:rsid w:val="00BE346C"/>
    <w:rsid w:val="00BE3CA0"/>
    <w:rsid w:val="00BE3E63"/>
    <w:rsid w:val="00BF3959"/>
    <w:rsid w:val="00C0641D"/>
    <w:rsid w:val="00C1382E"/>
    <w:rsid w:val="00C14CE0"/>
    <w:rsid w:val="00C15F3B"/>
    <w:rsid w:val="00C22938"/>
    <w:rsid w:val="00C270C6"/>
    <w:rsid w:val="00C3155C"/>
    <w:rsid w:val="00C31A1B"/>
    <w:rsid w:val="00C41DA1"/>
    <w:rsid w:val="00C42BC1"/>
    <w:rsid w:val="00C471FA"/>
    <w:rsid w:val="00C47AF7"/>
    <w:rsid w:val="00C55154"/>
    <w:rsid w:val="00C55259"/>
    <w:rsid w:val="00C562C6"/>
    <w:rsid w:val="00C62934"/>
    <w:rsid w:val="00C645E5"/>
    <w:rsid w:val="00C6549C"/>
    <w:rsid w:val="00C70999"/>
    <w:rsid w:val="00C72B7B"/>
    <w:rsid w:val="00C736CA"/>
    <w:rsid w:val="00C86E9F"/>
    <w:rsid w:val="00C8738E"/>
    <w:rsid w:val="00CA0FB7"/>
    <w:rsid w:val="00CA4E80"/>
    <w:rsid w:val="00CA7190"/>
    <w:rsid w:val="00CB3570"/>
    <w:rsid w:val="00CB527E"/>
    <w:rsid w:val="00CC0097"/>
    <w:rsid w:val="00CC5A61"/>
    <w:rsid w:val="00CD1B92"/>
    <w:rsid w:val="00CD489B"/>
    <w:rsid w:val="00CD717F"/>
    <w:rsid w:val="00CE4AE6"/>
    <w:rsid w:val="00CE5841"/>
    <w:rsid w:val="00CE6034"/>
    <w:rsid w:val="00CF7E62"/>
    <w:rsid w:val="00D012DA"/>
    <w:rsid w:val="00D01C90"/>
    <w:rsid w:val="00D14C83"/>
    <w:rsid w:val="00D164BF"/>
    <w:rsid w:val="00D22B71"/>
    <w:rsid w:val="00D24FC9"/>
    <w:rsid w:val="00D3260A"/>
    <w:rsid w:val="00D33BC0"/>
    <w:rsid w:val="00D41499"/>
    <w:rsid w:val="00D42DB2"/>
    <w:rsid w:val="00D57A57"/>
    <w:rsid w:val="00D644C3"/>
    <w:rsid w:val="00D71100"/>
    <w:rsid w:val="00D71704"/>
    <w:rsid w:val="00D90A51"/>
    <w:rsid w:val="00D91C14"/>
    <w:rsid w:val="00DB555C"/>
    <w:rsid w:val="00DC4389"/>
    <w:rsid w:val="00DC6C8A"/>
    <w:rsid w:val="00DE4989"/>
    <w:rsid w:val="00DE5691"/>
    <w:rsid w:val="00DE572B"/>
    <w:rsid w:val="00DE77D6"/>
    <w:rsid w:val="00DF3D8D"/>
    <w:rsid w:val="00DF5082"/>
    <w:rsid w:val="00DF7E43"/>
    <w:rsid w:val="00E022A6"/>
    <w:rsid w:val="00E24CDC"/>
    <w:rsid w:val="00E3121A"/>
    <w:rsid w:val="00E34599"/>
    <w:rsid w:val="00E4455C"/>
    <w:rsid w:val="00E5297C"/>
    <w:rsid w:val="00E56CFB"/>
    <w:rsid w:val="00E62778"/>
    <w:rsid w:val="00E71299"/>
    <w:rsid w:val="00E716D7"/>
    <w:rsid w:val="00E7616E"/>
    <w:rsid w:val="00E8182C"/>
    <w:rsid w:val="00E85563"/>
    <w:rsid w:val="00E86977"/>
    <w:rsid w:val="00E93497"/>
    <w:rsid w:val="00EA6A96"/>
    <w:rsid w:val="00EB509A"/>
    <w:rsid w:val="00EC0035"/>
    <w:rsid w:val="00EC5140"/>
    <w:rsid w:val="00EE021A"/>
    <w:rsid w:val="00EE0781"/>
    <w:rsid w:val="00EE16EC"/>
    <w:rsid w:val="00EE44AF"/>
    <w:rsid w:val="00EE51F9"/>
    <w:rsid w:val="00EE75F2"/>
    <w:rsid w:val="00EF70C7"/>
    <w:rsid w:val="00EF7597"/>
    <w:rsid w:val="00F0263C"/>
    <w:rsid w:val="00F03DB1"/>
    <w:rsid w:val="00F070CD"/>
    <w:rsid w:val="00F07C50"/>
    <w:rsid w:val="00F12D5E"/>
    <w:rsid w:val="00F15240"/>
    <w:rsid w:val="00F21E81"/>
    <w:rsid w:val="00F23623"/>
    <w:rsid w:val="00F26DDF"/>
    <w:rsid w:val="00F32D3C"/>
    <w:rsid w:val="00F3552A"/>
    <w:rsid w:val="00F37017"/>
    <w:rsid w:val="00F439DA"/>
    <w:rsid w:val="00F54B8B"/>
    <w:rsid w:val="00F71C01"/>
    <w:rsid w:val="00F87F2A"/>
    <w:rsid w:val="00F91605"/>
    <w:rsid w:val="00F95F7F"/>
    <w:rsid w:val="00FB3C93"/>
    <w:rsid w:val="00FB5909"/>
    <w:rsid w:val="00FB6D8F"/>
    <w:rsid w:val="00FB72A4"/>
    <w:rsid w:val="00FC2BE2"/>
    <w:rsid w:val="00FC5042"/>
    <w:rsid w:val="00FD6706"/>
    <w:rsid w:val="00FD7A0F"/>
    <w:rsid w:val="00FE57B8"/>
    <w:rsid w:val="00FF6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37D7C"/>
  <w15:chartTrackingRefBased/>
  <w15:docId w15:val="{1B0EFAE6-8748-F542-9DD1-961DB187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4611B2"/>
    <w:rPr>
      <w:rFonts w:ascii="Times New Roman" w:eastAsia="Times New Roman" w:hAnsi="Times New Roman" w:cs="Times New Roman"/>
    </w:rPr>
  </w:style>
  <w:style w:type="paragraph" w:styleId="Heading1">
    <w:name w:val="heading 1"/>
    <w:basedOn w:val="Normal"/>
    <w:next w:val="Normal"/>
    <w:link w:val="Heading1Char"/>
    <w:uiPriority w:val="9"/>
    <w:qFormat/>
    <w:rsid w:val="0008354E"/>
    <w:pPr>
      <w:keepNext/>
      <w:keepLines/>
      <w:numPr>
        <w:numId w:val="2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50E7"/>
    <w:pPr>
      <w:keepNext/>
      <w:keepLines/>
      <w:numPr>
        <w:ilvl w:val="1"/>
        <w:numId w:val="2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40E5C"/>
    <w:pPr>
      <w:keepNext/>
      <w:keepLines/>
      <w:numPr>
        <w:ilvl w:val="2"/>
        <w:numId w:val="2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59B0"/>
    <w:pPr>
      <w:keepNext/>
      <w:keepLines/>
      <w:numPr>
        <w:ilvl w:val="3"/>
        <w:numId w:val="2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59B0"/>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759B0"/>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9B0"/>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9B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9B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56C0"/>
    <w:pPr>
      <w:spacing w:before="100" w:beforeAutospacing="1" w:after="100" w:afterAutospacing="1"/>
    </w:pPr>
  </w:style>
  <w:style w:type="paragraph" w:styleId="PlainText">
    <w:name w:val="Plain Text"/>
    <w:basedOn w:val="Normal"/>
    <w:link w:val="PlainTextChar"/>
    <w:uiPriority w:val="99"/>
    <w:unhideWhenUsed/>
    <w:rsid w:val="009956C0"/>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9956C0"/>
    <w:rPr>
      <w:rFonts w:ascii="Consolas" w:hAnsi="Consolas"/>
      <w:sz w:val="21"/>
      <w:szCs w:val="21"/>
    </w:rPr>
  </w:style>
  <w:style w:type="paragraph" w:styleId="HTMLPreformatted">
    <w:name w:val="HTML Preformatted"/>
    <w:basedOn w:val="Normal"/>
    <w:link w:val="HTMLPreformattedChar"/>
    <w:uiPriority w:val="99"/>
    <w:unhideWhenUsed/>
    <w:rsid w:val="008F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F1B78"/>
    <w:rPr>
      <w:rFonts w:ascii="Courier New" w:eastAsia="Times New Roman" w:hAnsi="Courier New" w:cs="Courier New"/>
      <w:sz w:val="20"/>
      <w:szCs w:val="20"/>
    </w:rPr>
  </w:style>
  <w:style w:type="character" w:styleId="PlaceholderText">
    <w:name w:val="Placeholder Text"/>
    <w:basedOn w:val="DefaultParagraphFont"/>
    <w:uiPriority w:val="99"/>
    <w:semiHidden/>
    <w:rsid w:val="00FC5042"/>
    <w:rPr>
      <w:color w:val="808080"/>
    </w:rPr>
  </w:style>
  <w:style w:type="paragraph" w:styleId="Caption">
    <w:name w:val="caption"/>
    <w:basedOn w:val="Normal"/>
    <w:next w:val="Normal"/>
    <w:uiPriority w:val="35"/>
    <w:unhideWhenUsed/>
    <w:qFormat/>
    <w:rsid w:val="00302B2F"/>
    <w:pPr>
      <w:spacing w:after="200"/>
    </w:pPr>
    <w:rPr>
      <w:rFonts w:asciiTheme="minorHAnsi" w:eastAsiaTheme="minorEastAsia" w:hAnsiTheme="minorHAnsi" w:cstheme="minorBidi"/>
      <w:i/>
      <w:iCs/>
      <w:color w:val="44546A" w:themeColor="text2"/>
      <w:sz w:val="18"/>
      <w:szCs w:val="18"/>
    </w:rPr>
  </w:style>
  <w:style w:type="character" w:customStyle="1" w:styleId="Heading1Char">
    <w:name w:val="Heading 1 Char"/>
    <w:basedOn w:val="DefaultParagraphFont"/>
    <w:link w:val="Heading1"/>
    <w:uiPriority w:val="9"/>
    <w:rsid w:val="000835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8354E"/>
    <w:pPr>
      <w:numPr>
        <w:numId w:val="10"/>
      </w:numPr>
      <w:spacing w:before="480" w:line="276" w:lineRule="auto"/>
      <w:outlineLvl w:val="9"/>
    </w:pPr>
    <w:rPr>
      <w:b/>
      <w:bCs/>
      <w:sz w:val="28"/>
      <w:szCs w:val="28"/>
    </w:rPr>
  </w:style>
  <w:style w:type="paragraph" w:styleId="TOC1">
    <w:name w:val="toc 1"/>
    <w:basedOn w:val="Normal"/>
    <w:next w:val="Normal"/>
    <w:autoRedefine/>
    <w:uiPriority w:val="39"/>
    <w:unhideWhenUsed/>
    <w:rsid w:val="0008354E"/>
    <w:pPr>
      <w:spacing w:before="120"/>
    </w:pPr>
    <w:rPr>
      <w:rFonts w:asciiTheme="minorHAnsi" w:eastAsiaTheme="minorEastAsia" w:hAnsiTheme="minorHAnsi" w:cstheme="minorBidi"/>
      <w:b/>
      <w:bCs/>
      <w:i/>
      <w:iCs/>
    </w:rPr>
  </w:style>
  <w:style w:type="paragraph" w:styleId="TOC2">
    <w:name w:val="toc 2"/>
    <w:basedOn w:val="Normal"/>
    <w:next w:val="Normal"/>
    <w:autoRedefine/>
    <w:uiPriority w:val="39"/>
    <w:unhideWhenUsed/>
    <w:rsid w:val="0008354E"/>
    <w:pPr>
      <w:spacing w:before="120"/>
      <w:ind w:left="240"/>
    </w:pPr>
    <w:rPr>
      <w:rFonts w:asciiTheme="minorHAnsi" w:eastAsiaTheme="minorEastAsia" w:hAnsiTheme="minorHAnsi" w:cstheme="minorBidi"/>
      <w:b/>
      <w:bCs/>
      <w:sz w:val="22"/>
      <w:szCs w:val="22"/>
    </w:rPr>
  </w:style>
  <w:style w:type="paragraph" w:styleId="TOC3">
    <w:name w:val="toc 3"/>
    <w:basedOn w:val="Normal"/>
    <w:next w:val="Normal"/>
    <w:autoRedefine/>
    <w:uiPriority w:val="39"/>
    <w:unhideWhenUsed/>
    <w:rsid w:val="0008354E"/>
    <w:pPr>
      <w:ind w:left="480"/>
    </w:pPr>
    <w:rPr>
      <w:rFonts w:asciiTheme="minorHAnsi" w:eastAsiaTheme="minorEastAsia" w:hAnsiTheme="minorHAnsi" w:cstheme="minorBidi"/>
      <w:sz w:val="20"/>
      <w:szCs w:val="20"/>
    </w:rPr>
  </w:style>
  <w:style w:type="paragraph" w:styleId="TOC4">
    <w:name w:val="toc 4"/>
    <w:basedOn w:val="Normal"/>
    <w:next w:val="Normal"/>
    <w:autoRedefine/>
    <w:uiPriority w:val="39"/>
    <w:semiHidden/>
    <w:unhideWhenUsed/>
    <w:rsid w:val="0008354E"/>
    <w:pPr>
      <w:ind w:left="720"/>
    </w:pPr>
    <w:rPr>
      <w:rFonts w:asciiTheme="minorHAnsi" w:eastAsiaTheme="minorEastAsia" w:hAnsiTheme="minorHAnsi" w:cstheme="minorBidi"/>
      <w:sz w:val="20"/>
      <w:szCs w:val="20"/>
    </w:rPr>
  </w:style>
  <w:style w:type="paragraph" w:styleId="TOC5">
    <w:name w:val="toc 5"/>
    <w:basedOn w:val="Normal"/>
    <w:next w:val="Normal"/>
    <w:autoRedefine/>
    <w:uiPriority w:val="39"/>
    <w:semiHidden/>
    <w:unhideWhenUsed/>
    <w:rsid w:val="0008354E"/>
    <w:pPr>
      <w:ind w:left="960"/>
    </w:pPr>
    <w:rPr>
      <w:rFonts w:asciiTheme="minorHAnsi" w:eastAsiaTheme="minorEastAsia" w:hAnsiTheme="minorHAnsi" w:cstheme="minorBidi"/>
      <w:sz w:val="20"/>
      <w:szCs w:val="20"/>
    </w:rPr>
  </w:style>
  <w:style w:type="paragraph" w:styleId="TOC6">
    <w:name w:val="toc 6"/>
    <w:basedOn w:val="Normal"/>
    <w:next w:val="Normal"/>
    <w:autoRedefine/>
    <w:uiPriority w:val="39"/>
    <w:semiHidden/>
    <w:unhideWhenUsed/>
    <w:rsid w:val="0008354E"/>
    <w:pPr>
      <w:ind w:left="1200"/>
    </w:pPr>
    <w:rPr>
      <w:rFonts w:asciiTheme="minorHAnsi" w:eastAsiaTheme="minorEastAsia" w:hAnsiTheme="minorHAnsi" w:cstheme="minorBidi"/>
      <w:sz w:val="20"/>
      <w:szCs w:val="20"/>
    </w:rPr>
  </w:style>
  <w:style w:type="paragraph" w:styleId="TOC7">
    <w:name w:val="toc 7"/>
    <w:basedOn w:val="Normal"/>
    <w:next w:val="Normal"/>
    <w:autoRedefine/>
    <w:uiPriority w:val="39"/>
    <w:semiHidden/>
    <w:unhideWhenUsed/>
    <w:rsid w:val="0008354E"/>
    <w:pPr>
      <w:ind w:left="1440"/>
    </w:pPr>
    <w:rPr>
      <w:rFonts w:asciiTheme="minorHAnsi" w:eastAsiaTheme="minorEastAsia" w:hAnsiTheme="minorHAnsi" w:cstheme="minorBidi"/>
      <w:sz w:val="20"/>
      <w:szCs w:val="20"/>
    </w:rPr>
  </w:style>
  <w:style w:type="paragraph" w:styleId="TOC8">
    <w:name w:val="toc 8"/>
    <w:basedOn w:val="Normal"/>
    <w:next w:val="Normal"/>
    <w:autoRedefine/>
    <w:uiPriority w:val="39"/>
    <w:semiHidden/>
    <w:unhideWhenUsed/>
    <w:rsid w:val="0008354E"/>
    <w:pPr>
      <w:ind w:left="1680"/>
    </w:pPr>
    <w:rPr>
      <w:rFonts w:asciiTheme="minorHAnsi" w:eastAsiaTheme="minorEastAsia" w:hAnsiTheme="minorHAnsi" w:cstheme="minorBidi"/>
      <w:sz w:val="20"/>
      <w:szCs w:val="20"/>
    </w:rPr>
  </w:style>
  <w:style w:type="paragraph" w:styleId="TOC9">
    <w:name w:val="toc 9"/>
    <w:basedOn w:val="Normal"/>
    <w:next w:val="Normal"/>
    <w:autoRedefine/>
    <w:uiPriority w:val="39"/>
    <w:semiHidden/>
    <w:unhideWhenUsed/>
    <w:rsid w:val="0008354E"/>
    <w:pPr>
      <w:ind w:left="1920"/>
    </w:pPr>
    <w:rPr>
      <w:rFonts w:asciiTheme="minorHAnsi" w:eastAsiaTheme="minorEastAsia" w:hAnsiTheme="minorHAnsi" w:cstheme="minorBidi"/>
      <w:sz w:val="20"/>
      <w:szCs w:val="20"/>
    </w:rPr>
  </w:style>
  <w:style w:type="character" w:customStyle="1" w:styleId="Heading2Char">
    <w:name w:val="Heading 2 Char"/>
    <w:basedOn w:val="DefaultParagraphFont"/>
    <w:link w:val="Heading2"/>
    <w:uiPriority w:val="9"/>
    <w:rsid w:val="004C50E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4C50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0E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C50E7"/>
    <w:rPr>
      <w:color w:val="0563C1" w:themeColor="hyperlink"/>
      <w:u w:val="single"/>
    </w:rPr>
  </w:style>
  <w:style w:type="character" w:customStyle="1" w:styleId="Heading3Char">
    <w:name w:val="Heading 3 Char"/>
    <w:basedOn w:val="DefaultParagraphFont"/>
    <w:link w:val="Heading3"/>
    <w:uiPriority w:val="9"/>
    <w:rsid w:val="00940E5C"/>
    <w:rPr>
      <w:rFonts w:asciiTheme="majorHAnsi" w:eastAsiaTheme="majorEastAsia" w:hAnsiTheme="majorHAnsi" w:cstheme="majorBidi"/>
      <w:color w:val="1F3763" w:themeColor="accent1" w:themeShade="7F"/>
    </w:rPr>
  </w:style>
  <w:style w:type="paragraph" w:styleId="TableofFigures">
    <w:name w:val="table of figures"/>
    <w:basedOn w:val="Normal"/>
    <w:next w:val="Normal"/>
    <w:uiPriority w:val="99"/>
    <w:unhideWhenUsed/>
    <w:rsid w:val="00CD489B"/>
    <w:rPr>
      <w:rFonts w:asciiTheme="minorHAnsi" w:hAnsiTheme="minorHAnsi" w:cstheme="minorHAnsi"/>
      <w:i/>
      <w:iCs/>
      <w:sz w:val="20"/>
      <w:szCs w:val="20"/>
    </w:rPr>
  </w:style>
  <w:style w:type="character" w:customStyle="1" w:styleId="Heading4Char">
    <w:name w:val="Heading 4 Char"/>
    <w:basedOn w:val="DefaultParagraphFont"/>
    <w:link w:val="Heading4"/>
    <w:uiPriority w:val="9"/>
    <w:rsid w:val="001759B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759B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759B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9B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9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9B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C70999"/>
    <w:pPr>
      <w:ind w:left="720"/>
      <w:contextualSpacing/>
    </w:pPr>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C72B7B"/>
    <w:rPr>
      <w:rFonts w:eastAsiaTheme="minorHAnsi"/>
      <w:sz w:val="18"/>
      <w:szCs w:val="18"/>
    </w:rPr>
  </w:style>
  <w:style w:type="character" w:customStyle="1" w:styleId="BalloonTextChar">
    <w:name w:val="Balloon Text Char"/>
    <w:basedOn w:val="DefaultParagraphFont"/>
    <w:link w:val="BalloonText"/>
    <w:uiPriority w:val="99"/>
    <w:semiHidden/>
    <w:rsid w:val="00C72B7B"/>
    <w:rPr>
      <w:rFonts w:ascii="Times New Roman" w:hAnsi="Times New Roman" w:cs="Times New Roman"/>
      <w:sz w:val="18"/>
      <w:szCs w:val="18"/>
    </w:rPr>
  </w:style>
  <w:style w:type="character" w:customStyle="1" w:styleId="UnresolvedMention1">
    <w:name w:val="Unresolved Mention1"/>
    <w:basedOn w:val="DefaultParagraphFont"/>
    <w:uiPriority w:val="99"/>
    <w:rsid w:val="00C72B7B"/>
    <w:rPr>
      <w:color w:val="605E5C"/>
      <w:shd w:val="clear" w:color="auto" w:fill="E1DFDD"/>
    </w:rPr>
  </w:style>
  <w:style w:type="character" w:styleId="LineNumber">
    <w:name w:val="line number"/>
    <w:basedOn w:val="DefaultParagraphFont"/>
    <w:uiPriority w:val="99"/>
    <w:semiHidden/>
    <w:unhideWhenUsed/>
    <w:rsid w:val="00C72B7B"/>
  </w:style>
  <w:style w:type="paragraph" w:customStyle="1" w:styleId="AppendixHeading1">
    <w:name w:val="Appendix Heading 1"/>
    <w:basedOn w:val="Heading1"/>
    <w:qFormat/>
    <w:rsid w:val="009A2287"/>
    <w:pPr>
      <w:numPr>
        <w:ilvl w:val="4"/>
      </w:numPr>
    </w:pPr>
  </w:style>
  <w:style w:type="paragraph" w:customStyle="1" w:styleId="AppendixHeading2">
    <w:name w:val="Appendix Heading 2"/>
    <w:basedOn w:val="Heading2"/>
    <w:qFormat/>
    <w:rsid w:val="007241C1"/>
    <w:pPr>
      <w:numPr>
        <w:ilvl w:val="5"/>
      </w:numPr>
    </w:pPr>
  </w:style>
  <w:style w:type="table" w:styleId="TableTheme">
    <w:name w:val="Table Theme"/>
    <w:basedOn w:val="TableNormal"/>
    <w:uiPriority w:val="99"/>
    <w:rsid w:val="00E85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58DF"/>
    <w:pPr>
      <w:tabs>
        <w:tab w:val="center" w:pos="4680"/>
        <w:tab w:val="right" w:pos="9360"/>
      </w:tabs>
    </w:pPr>
  </w:style>
  <w:style w:type="character" w:customStyle="1" w:styleId="FooterChar">
    <w:name w:val="Footer Char"/>
    <w:basedOn w:val="DefaultParagraphFont"/>
    <w:link w:val="Footer"/>
    <w:uiPriority w:val="99"/>
    <w:rsid w:val="005F58DF"/>
    <w:rPr>
      <w:rFonts w:ascii="Times New Roman" w:eastAsia="Times New Roman" w:hAnsi="Times New Roman" w:cs="Times New Roman"/>
    </w:rPr>
  </w:style>
  <w:style w:type="character" w:styleId="PageNumber">
    <w:name w:val="page number"/>
    <w:basedOn w:val="DefaultParagraphFont"/>
    <w:uiPriority w:val="99"/>
    <w:semiHidden/>
    <w:unhideWhenUsed/>
    <w:rsid w:val="005F58DF"/>
  </w:style>
  <w:style w:type="paragraph" w:styleId="Header">
    <w:name w:val="header"/>
    <w:basedOn w:val="Normal"/>
    <w:link w:val="HeaderChar"/>
    <w:uiPriority w:val="99"/>
    <w:unhideWhenUsed/>
    <w:rsid w:val="005F58DF"/>
    <w:pPr>
      <w:tabs>
        <w:tab w:val="center" w:pos="4680"/>
        <w:tab w:val="right" w:pos="9360"/>
      </w:tabs>
    </w:pPr>
  </w:style>
  <w:style w:type="character" w:customStyle="1" w:styleId="HeaderChar">
    <w:name w:val="Header Char"/>
    <w:basedOn w:val="DefaultParagraphFont"/>
    <w:link w:val="Header"/>
    <w:uiPriority w:val="99"/>
    <w:rsid w:val="005F58D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68441">
      <w:bodyDiv w:val="1"/>
      <w:marLeft w:val="0"/>
      <w:marRight w:val="0"/>
      <w:marTop w:val="0"/>
      <w:marBottom w:val="0"/>
      <w:divBdr>
        <w:top w:val="none" w:sz="0" w:space="0" w:color="auto"/>
        <w:left w:val="none" w:sz="0" w:space="0" w:color="auto"/>
        <w:bottom w:val="none" w:sz="0" w:space="0" w:color="auto"/>
        <w:right w:val="none" w:sz="0" w:space="0" w:color="auto"/>
      </w:divBdr>
    </w:div>
    <w:div w:id="146632654">
      <w:bodyDiv w:val="1"/>
      <w:marLeft w:val="0"/>
      <w:marRight w:val="0"/>
      <w:marTop w:val="0"/>
      <w:marBottom w:val="0"/>
      <w:divBdr>
        <w:top w:val="none" w:sz="0" w:space="0" w:color="auto"/>
        <w:left w:val="none" w:sz="0" w:space="0" w:color="auto"/>
        <w:bottom w:val="none" w:sz="0" w:space="0" w:color="auto"/>
        <w:right w:val="none" w:sz="0" w:space="0" w:color="auto"/>
      </w:divBdr>
      <w:divsChild>
        <w:div w:id="1794060151">
          <w:marLeft w:val="0"/>
          <w:marRight w:val="0"/>
          <w:marTop w:val="0"/>
          <w:marBottom w:val="0"/>
          <w:divBdr>
            <w:top w:val="none" w:sz="0" w:space="0" w:color="auto"/>
            <w:left w:val="none" w:sz="0" w:space="0" w:color="auto"/>
            <w:bottom w:val="none" w:sz="0" w:space="0" w:color="auto"/>
            <w:right w:val="none" w:sz="0" w:space="0" w:color="auto"/>
          </w:divBdr>
          <w:divsChild>
            <w:div w:id="1676764310">
              <w:marLeft w:val="0"/>
              <w:marRight w:val="0"/>
              <w:marTop w:val="0"/>
              <w:marBottom w:val="0"/>
              <w:divBdr>
                <w:top w:val="none" w:sz="0" w:space="0" w:color="auto"/>
                <w:left w:val="none" w:sz="0" w:space="0" w:color="auto"/>
                <w:bottom w:val="none" w:sz="0" w:space="0" w:color="auto"/>
                <w:right w:val="none" w:sz="0" w:space="0" w:color="auto"/>
              </w:divBdr>
              <w:divsChild>
                <w:div w:id="493304338">
                  <w:marLeft w:val="0"/>
                  <w:marRight w:val="0"/>
                  <w:marTop w:val="0"/>
                  <w:marBottom w:val="0"/>
                  <w:divBdr>
                    <w:top w:val="none" w:sz="0" w:space="0" w:color="auto"/>
                    <w:left w:val="none" w:sz="0" w:space="0" w:color="auto"/>
                    <w:bottom w:val="none" w:sz="0" w:space="0" w:color="auto"/>
                    <w:right w:val="none" w:sz="0" w:space="0" w:color="auto"/>
                  </w:divBdr>
                </w:div>
              </w:divsChild>
            </w:div>
            <w:div w:id="1764258653">
              <w:marLeft w:val="0"/>
              <w:marRight w:val="0"/>
              <w:marTop w:val="0"/>
              <w:marBottom w:val="0"/>
              <w:divBdr>
                <w:top w:val="none" w:sz="0" w:space="0" w:color="auto"/>
                <w:left w:val="none" w:sz="0" w:space="0" w:color="auto"/>
                <w:bottom w:val="none" w:sz="0" w:space="0" w:color="auto"/>
                <w:right w:val="none" w:sz="0" w:space="0" w:color="auto"/>
              </w:divBdr>
              <w:divsChild>
                <w:div w:id="19928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4354">
      <w:bodyDiv w:val="1"/>
      <w:marLeft w:val="0"/>
      <w:marRight w:val="0"/>
      <w:marTop w:val="0"/>
      <w:marBottom w:val="0"/>
      <w:divBdr>
        <w:top w:val="none" w:sz="0" w:space="0" w:color="auto"/>
        <w:left w:val="none" w:sz="0" w:space="0" w:color="auto"/>
        <w:bottom w:val="none" w:sz="0" w:space="0" w:color="auto"/>
        <w:right w:val="none" w:sz="0" w:space="0" w:color="auto"/>
      </w:divBdr>
    </w:div>
    <w:div w:id="164630373">
      <w:bodyDiv w:val="1"/>
      <w:marLeft w:val="0"/>
      <w:marRight w:val="0"/>
      <w:marTop w:val="0"/>
      <w:marBottom w:val="0"/>
      <w:divBdr>
        <w:top w:val="none" w:sz="0" w:space="0" w:color="auto"/>
        <w:left w:val="none" w:sz="0" w:space="0" w:color="auto"/>
        <w:bottom w:val="none" w:sz="0" w:space="0" w:color="auto"/>
        <w:right w:val="none" w:sz="0" w:space="0" w:color="auto"/>
      </w:divBdr>
    </w:div>
    <w:div w:id="177546343">
      <w:bodyDiv w:val="1"/>
      <w:marLeft w:val="0"/>
      <w:marRight w:val="0"/>
      <w:marTop w:val="0"/>
      <w:marBottom w:val="0"/>
      <w:divBdr>
        <w:top w:val="none" w:sz="0" w:space="0" w:color="auto"/>
        <w:left w:val="none" w:sz="0" w:space="0" w:color="auto"/>
        <w:bottom w:val="none" w:sz="0" w:space="0" w:color="auto"/>
        <w:right w:val="none" w:sz="0" w:space="0" w:color="auto"/>
      </w:divBdr>
    </w:div>
    <w:div w:id="202834693">
      <w:bodyDiv w:val="1"/>
      <w:marLeft w:val="0"/>
      <w:marRight w:val="0"/>
      <w:marTop w:val="0"/>
      <w:marBottom w:val="0"/>
      <w:divBdr>
        <w:top w:val="none" w:sz="0" w:space="0" w:color="auto"/>
        <w:left w:val="none" w:sz="0" w:space="0" w:color="auto"/>
        <w:bottom w:val="none" w:sz="0" w:space="0" w:color="auto"/>
        <w:right w:val="none" w:sz="0" w:space="0" w:color="auto"/>
      </w:divBdr>
    </w:div>
    <w:div w:id="214972182">
      <w:bodyDiv w:val="1"/>
      <w:marLeft w:val="0"/>
      <w:marRight w:val="0"/>
      <w:marTop w:val="0"/>
      <w:marBottom w:val="0"/>
      <w:divBdr>
        <w:top w:val="none" w:sz="0" w:space="0" w:color="auto"/>
        <w:left w:val="none" w:sz="0" w:space="0" w:color="auto"/>
        <w:bottom w:val="none" w:sz="0" w:space="0" w:color="auto"/>
        <w:right w:val="none" w:sz="0" w:space="0" w:color="auto"/>
      </w:divBdr>
    </w:div>
    <w:div w:id="219366101">
      <w:bodyDiv w:val="1"/>
      <w:marLeft w:val="0"/>
      <w:marRight w:val="0"/>
      <w:marTop w:val="0"/>
      <w:marBottom w:val="0"/>
      <w:divBdr>
        <w:top w:val="none" w:sz="0" w:space="0" w:color="auto"/>
        <w:left w:val="none" w:sz="0" w:space="0" w:color="auto"/>
        <w:bottom w:val="none" w:sz="0" w:space="0" w:color="auto"/>
        <w:right w:val="none" w:sz="0" w:space="0" w:color="auto"/>
      </w:divBdr>
    </w:div>
    <w:div w:id="277416846">
      <w:bodyDiv w:val="1"/>
      <w:marLeft w:val="0"/>
      <w:marRight w:val="0"/>
      <w:marTop w:val="0"/>
      <w:marBottom w:val="0"/>
      <w:divBdr>
        <w:top w:val="none" w:sz="0" w:space="0" w:color="auto"/>
        <w:left w:val="none" w:sz="0" w:space="0" w:color="auto"/>
        <w:bottom w:val="none" w:sz="0" w:space="0" w:color="auto"/>
        <w:right w:val="none" w:sz="0" w:space="0" w:color="auto"/>
      </w:divBdr>
    </w:div>
    <w:div w:id="277564455">
      <w:bodyDiv w:val="1"/>
      <w:marLeft w:val="0"/>
      <w:marRight w:val="0"/>
      <w:marTop w:val="0"/>
      <w:marBottom w:val="0"/>
      <w:divBdr>
        <w:top w:val="none" w:sz="0" w:space="0" w:color="auto"/>
        <w:left w:val="none" w:sz="0" w:space="0" w:color="auto"/>
        <w:bottom w:val="none" w:sz="0" w:space="0" w:color="auto"/>
        <w:right w:val="none" w:sz="0" w:space="0" w:color="auto"/>
      </w:divBdr>
    </w:div>
    <w:div w:id="287930487">
      <w:bodyDiv w:val="1"/>
      <w:marLeft w:val="0"/>
      <w:marRight w:val="0"/>
      <w:marTop w:val="0"/>
      <w:marBottom w:val="0"/>
      <w:divBdr>
        <w:top w:val="none" w:sz="0" w:space="0" w:color="auto"/>
        <w:left w:val="none" w:sz="0" w:space="0" w:color="auto"/>
        <w:bottom w:val="none" w:sz="0" w:space="0" w:color="auto"/>
        <w:right w:val="none" w:sz="0" w:space="0" w:color="auto"/>
      </w:divBdr>
    </w:div>
    <w:div w:id="372851264">
      <w:bodyDiv w:val="1"/>
      <w:marLeft w:val="0"/>
      <w:marRight w:val="0"/>
      <w:marTop w:val="0"/>
      <w:marBottom w:val="0"/>
      <w:divBdr>
        <w:top w:val="none" w:sz="0" w:space="0" w:color="auto"/>
        <w:left w:val="none" w:sz="0" w:space="0" w:color="auto"/>
        <w:bottom w:val="none" w:sz="0" w:space="0" w:color="auto"/>
        <w:right w:val="none" w:sz="0" w:space="0" w:color="auto"/>
      </w:divBdr>
    </w:div>
    <w:div w:id="421725906">
      <w:bodyDiv w:val="1"/>
      <w:marLeft w:val="0"/>
      <w:marRight w:val="0"/>
      <w:marTop w:val="0"/>
      <w:marBottom w:val="0"/>
      <w:divBdr>
        <w:top w:val="none" w:sz="0" w:space="0" w:color="auto"/>
        <w:left w:val="none" w:sz="0" w:space="0" w:color="auto"/>
        <w:bottom w:val="none" w:sz="0" w:space="0" w:color="auto"/>
        <w:right w:val="none" w:sz="0" w:space="0" w:color="auto"/>
      </w:divBdr>
    </w:div>
    <w:div w:id="451218156">
      <w:bodyDiv w:val="1"/>
      <w:marLeft w:val="0"/>
      <w:marRight w:val="0"/>
      <w:marTop w:val="0"/>
      <w:marBottom w:val="0"/>
      <w:divBdr>
        <w:top w:val="none" w:sz="0" w:space="0" w:color="auto"/>
        <w:left w:val="none" w:sz="0" w:space="0" w:color="auto"/>
        <w:bottom w:val="none" w:sz="0" w:space="0" w:color="auto"/>
        <w:right w:val="none" w:sz="0" w:space="0" w:color="auto"/>
      </w:divBdr>
    </w:div>
    <w:div w:id="454952996">
      <w:bodyDiv w:val="1"/>
      <w:marLeft w:val="0"/>
      <w:marRight w:val="0"/>
      <w:marTop w:val="0"/>
      <w:marBottom w:val="0"/>
      <w:divBdr>
        <w:top w:val="none" w:sz="0" w:space="0" w:color="auto"/>
        <w:left w:val="none" w:sz="0" w:space="0" w:color="auto"/>
        <w:bottom w:val="none" w:sz="0" w:space="0" w:color="auto"/>
        <w:right w:val="none" w:sz="0" w:space="0" w:color="auto"/>
      </w:divBdr>
    </w:div>
    <w:div w:id="466052361">
      <w:bodyDiv w:val="1"/>
      <w:marLeft w:val="0"/>
      <w:marRight w:val="0"/>
      <w:marTop w:val="0"/>
      <w:marBottom w:val="0"/>
      <w:divBdr>
        <w:top w:val="none" w:sz="0" w:space="0" w:color="auto"/>
        <w:left w:val="none" w:sz="0" w:space="0" w:color="auto"/>
        <w:bottom w:val="none" w:sz="0" w:space="0" w:color="auto"/>
        <w:right w:val="none" w:sz="0" w:space="0" w:color="auto"/>
      </w:divBdr>
    </w:div>
    <w:div w:id="472406765">
      <w:bodyDiv w:val="1"/>
      <w:marLeft w:val="0"/>
      <w:marRight w:val="0"/>
      <w:marTop w:val="0"/>
      <w:marBottom w:val="0"/>
      <w:divBdr>
        <w:top w:val="none" w:sz="0" w:space="0" w:color="auto"/>
        <w:left w:val="none" w:sz="0" w:space="0" w:color="auto"/>
        <w:bottom w:val="none" w:sz="0" w:space="0" w:color="auto"/>
        <w:right w:val="none" w:sz="0" w:space="0" w:color="auto"/>
      </w:divBdr>
    </w:div>
    <w:div w:id="682165682">
      <w:bodyDiv w:val="1"/>
      <w:marLeft w:val="0"/>
      <w:marRight w:val="0"/>
      <w:marTop w:val="0"/>
      <w:marBottom w:val="0"/>
      <w:divBdr>
        <w:top w:val="none" w:sz="0" w:space="0" w:color="auto"/>
        <w:left w:val="none" w:sz="0" w:space="0" w:color="auto"/>
        <w:bottom w:val="none" w:sz="0" w:space="0" w:color="auto"/>
        <w:right w:val="none" w:sz="0" w:space="0" w:color="auto"/>
      </w:divBdr>
    </w:div>
    <w:div w:id="808398525">
      <w:bodyDiv w:val="1"/>
      <w:marLeft w:val="0"/>
      <w:marRight w:val="0"/>
      <w:marTop w:val="0"/>
      <w:marBottom w:val="0"/>
      <w:divBdr>
        <w:top w:val="none" w:sz="0" w:space="0" w:color="auto"/>
        <w:left w:val="none" w:sz="0" w:space="0" w:color="auto"/>
        <w:bottom w:val="none" w:sz="0" w:space="0" w:color="auto"/>
        <w:right w:val="none" w:sz="0" w:space="0" w:color="auto"/>
      </w:divBdr>
    </w:div>
    <w:div w:id="820200527">
      <w:bodyDiv w:val="1"/>
      <w:marLeft w:val="0"/>
      <w:marRight w:val="0"/>
      <w:marTop w:val="0"/>
      <w:marBottom w:val="0"/>
      <w:divBdr>
        <w:top w:val="none" w:sz="0" w:space="0" w:color="auto"/>
        <w:left w:val="none" w:sz="0" w:space="0" w:color="auto"/>
        <w:bottom w:val="none" w:sz="0" w:space="0" w:color="auto"/>
        <w:right w:val="none" w:sz="0" w:space="0" w:color="auto"/>
      </w:divBdr>
    </w:div>
    <w:div w:id="829369286">
      <w:bodyDiv w:val="1"/>
      <w:marLeft w:val="0"/>
      <w:marRight w:val="0"/>
      <w:marTop w:val="0"/>
      <w:marBottom w:val="0"/>
      <w:divBdr>
        <w:top w:val="none" w:sz="0" w:space="0" w:color="auto"/>
        <w:left w:val="none" w:sz="0" w:space="0" w:color="auto"/>
        <w:bottom w:val="none" w:sz="0" w:space="0" w:color="auto"/>
        <w:right w:val="none" w:sz="0" w:space="0" w:color="auto"/>
      </w:divBdr>
      <w:divsChild>
        <w:div w:id="1649820024">
          <w:marLeft w:val="0"/>
          <w:marRight w:val="0"/>
          <w:marTop w:val="0"/>
          <w:marBottom w:val="0"/>
          <w:divBdr>
            <w:top w:val="none" w:sz="0" w:space="0" w:color="auto"/>
            <w:left w:val="none" w:sz="0" w:space="0" w:color="auto"/>
            <w:bottom w:val="none" w:sz="0" w:space="0" w:color="auto"/>
            <w:right w:val="none" w:sz="0" w:space="0" w:color="auto"/>
          </w:divBdr>
          <w:divsChild>
            <w:div w:id="2069063019">
              <w:marLeft w:val="0"/>
              <w:marRight w:val="0"/>
              <w:marTop w:val="0"/>
              <w:marBottom w:val="0"/>
              <w:divBdr>
                <w:top w:val="none" w:sz="0" w:space="0" w:color="auto"/>
                <w:left w:val="none" w:sz="0" w:space="0" w:color="auto"/>
                <w:bottom w:val="none" w:sz="0" w:space="0" w:color="auto"/>
                <w:right w:val="none" w:sz="0" w:space="0" w:color="auto"/>
              </w:divBdr>
              <w:divsChild>
                <w:div w:id="12821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01782">
      <w:bodyDiv w:val="1"/>
      <w:marLeft w:val="0"/>
      <w:marRight w:val="0"/>
      <w:marTop w:val="0"/>
      <w:marBottom w:val="0"/>
      <w:divBdr>
        <w:top w:val="none" w:sz="0" w:space="0" w:color="auto"/>
        <w:left w:val="none" w:sz="0" w:space="0" w:color="auto"/>
        <w:bottom w:val="none" w:sz="0" w:space="0" w:color="auto"/>
        <w:right w:val="none" w:sz="0" w:space="0" w:color="auto"/>
      </w:divBdr>
    </w:div>
    <w:div w:id="842941562">
      <w:bodyDiv w:val="1"/>
      <w:marLeft w:val="0"/>
      <w:marRight w:val="0"/>
      <w:marTop w:val="0"/>
      <w:marBottom w:val="0"/>
      <w:divBdr>
        <w:top w:val="none" w:sz="0" w:space="0" w:color="auto"/>
        <w:left w:val="none" w:sz="0" w:space="0" w:color="auto"/>
        <w:bottom w:val="none" w:sz="0" w:space="0" w:color="auto"/>
        <w:right w:val="none" w:sz="0" w:space="0" w:color="auto"/>
      </w:divBdr>
    </w:div>
    <w:div w:id="962078665">
      <w:bodyDiv w:val="1"/>
      <w:marLeft w:val="0"/>
      <w:marRight w:val="0"/>
      <w:marTop w:val="0"/>
      <w:marBottom w:val="0"/>
      <w:divBdr>
        <w:top w:val="none" w:sz="0" w:space="0" w:color="auto"/>
        <w:left w:val="none" w:sz="0" w:space="0" w:color="auto"/>
        <w:bottom w:val="none" w:sz="0" w:space="0" w:color="auto"/>
        <w:right w:val="none" w:sz="0" w:space="0" w:color="auto"/>
      </w:divBdr>
    </w:div>
    <w:div w:id="1122847790">
      <w:bodyDiv w:val="1"/>
      <w:marLeft w:val="0"/>
      <w:marRight w:val="0"/>
      <w:marTop w:val="0"/>
      <w:marBottom w:val="0"/>
      <w:divBdr>
        <w:top w:val="none" w:sz="0" w:space="0" w:color="auto"/>
        <w:left w:val="none" w:sz="0" w:space="0" w:color="auto"/>
        <w:bottom w:val="none" w:sz="0" w:space="0" w:color="auto"/>
        <w:right w:val="none" w:sz="0" w:space="0" w:color="auto"/>
      </w:divBdr>
    </w:div>
    <w:div w:id="1238592687">
      <w:bodyDiv w:val="1"/>
      <w:marLeft w:val="0"/>
      <w:marRight w:val="0"/>
      <w:marTop w:val="0"/>
      <w:marBottom w:val="0"/>
      <w:divBdr>
        <w:top w:val="none" w:sz="0" w:space="0" w:color="auto"/>
        <w:left w:val="none" w:sz="0" w:space="0" w:color="auto"/>
        <w:bottom w:val="none" w:sz="0" w:space="0" w:color="auto"/>
        <w:right w:val="none" w:sz="0" w:space="0" w:color="auto"/>
      </w:divBdr>
    </w:div>
    <w:div w:id="1244610767">
      <w:bodyDiv w:val="1"/>
      <w:marLeft w:val="0"/>
      <w:marRight w:val="0"/>
      <w:marTop w:val="0"/>
      <w:marBottom w:val="0"/>
      <w:divBdr>
        <w:top w:val="none" w:sz="0" w:space="0" w:color="auto"/>
        <w:left w:val="none" w:sz="0" w:space="0" w:color="auto"/>
        <w:bottom w:val="none" w:sz="0" w:space="0" w:color="auto"/>
        <w:right w:val="none" w:sz="0" w:space="0" w:color="auto"/>
      </w:divBdr>
    </w:div>
    <w:div w:id="1306088995">
      <w:bodyDiv w:val="1"/>
      <w:marLeft w:val="0"/>
      <w:marRight w:val="0"/>
      <w:marTop w:val="0"/>
      <w:marBottom w:val="0"/>
      <w:divBdr>
        <w:top w:val="none" w:sz="0" w:space="0" w:color="auto"/>
        <w:left w:val="none" w:sz="0" w:space="0" w:color="auto"/>
        <w:bottom w:val="none" w:sz="0" w:space="0" w:color="auto"/>
        <w:right w:val="none" w:sz="0" w:space="0" w:color="auto"/>
      </w:divBdr>
    </w:div>
    <w:div w:id="1338773045">
      <w:bodyDiv w:val="1"/>
      <w:marLeft w:val="0"/>
      <w:marRight w:val="0"/>
      <w:marTop w:val="0"/>
      <w:marBottom w:val="0"/>
      <w:divBdr>
        <w:top w:val="none" w:sz="0" w:space="0" w:color="auto"/>
        <w:left w:val="none" w:sz="0" w:space="0" w:color="auto"/>
        <w:bottom w:val="none" w:sz="0" w:space="0" w:color="auto"/>
        <w:right w:val="none" w:sz="0" w:space="0" w:color="auto"/>
      </w:divBdr>
    </w:div>
    <w:div w:id="1458797429">
      <w:bodyDiv w:val="1"/>
      <w:marLeft w:val="0"/>
      <w:marRight w:val="0"/>
      <w:marTop w:val="0"/>
      <w:marBottom w:val="0"/>
      <w:divBdr>
        <w:top w:val="none" w:sz="0" w:space="0" w:color="auto"/>
        <w:left w:val="none" w:sz="0" w:space="0" w:color="auto"/>
        <w:bottom w:val="none" w:sz="0" w:space="0" w:color="auto"/>
        <w:right w:val="none" w:sz="0" w:space="0" w:color="auto"/>
      </w:divBdr>
    </w:div>
    <w:div w:id="1709337820">
      <w:bodyDiv w:val="1"/>
      <w:marLeft w:val="0"/>
      <w:marRight w:val="0"/>
      <w:marTop w:val="0"/>
      <w:marBottom w:val="0"/>
      <w:divBdr>
        <w:top w:val="none" w:sz="0" w:space="0" w:color="auto"/>
        <w:left w:val="none" w:sz="0" w:space="0" w:color="auto"/>
        <w:bottom w:val="none" w:sz="0" w:space="0" w:color="auto"/>
        <w:right w:val="none" w:sz="0" w:space="0" w:color="auto"/>
      </w:divBdr>
    </w:div>
    <w:div w:id="1743258393">
      <w:bodyDiv w:val="1"/>
      <w:marLeft w:val="0"/>
      <w:marRight w:val="0"/>
      <w:marTop w:val="0"/>
      <w:marBottom w:val="0"/>
      <w:divBdr>
        <w:top w:val="none" w:sz="0" w:space="0" w:color="auto"/>
        <w:left w:val="none" w:sz="0" w:space="0" w:color="auto"/>
        <w:bottom w:val="none" w:sz="0" w:space="0" w:color="auto"/>
        <w:right w:val="none" w:sz="0" w:space="0" w:color="auto"/>
      </w:divBdr>
    </w:div>
    <w:div w:id="1798601186">
      <w:bodyDiv w:val="1"/>
      <w:marLeft w:val="0"/>
      <w:marRight w:val="0"/>
      <w:marTop w:val="0"/>
      <w:marBottom w:val="0"/>
      <w:divBdr>
        <w:top w:val="none" w:sz="0" w:space="0" w:color="auto"/>
        <w:left w:val="none" w:sz="0" w:space="0" w:color="auto"/>
        <w:bottom w:val="none" w:sz="0" w:space="0" w:color="auto"/>
        <w:right w:val="none" w:sz="0" w:space="0" w:color="auto"/>
      </w:divBdr>
      <w:divsChild>
        <w:div w:id="483665031">
          <w:marLeft w:val="0"/>
          <w:marRight w:val="0"/>
          <w:marTop w:val="0"/>
          <w:marBottom w:val="0"/>
          <w:divBdr>
            <w:top w:val="none" w:sz="0" w:space="0" w:color="auto"/>
            <w:left w:val="none" w:sz="0" w:space="0" w:color="auto"/>
            <w:bottom w:val="none" w:sz="0" w:space="0" w:color="auto"/>
            <w:right w:val="none" w:sz="0" w:space="0" w:color="auto"/>
          </w:divBdr>
          <w:divsChild>
            <w:div w:id="1529442466">
              <w:marLeft w:val="0"/>
              <w:marRight w:val="0"/>
              <w:marTop w:val="0"/>
              <w:marBottom w:val="0"/>
              <w:divBdr>
                <w:top w:val="none" w:sz="0" w:space="0" w:color="auto"/>
                <w:left w:val="none" w:sz="0" w:space="0" w:color="auto"/>
                <w:bottom w:val="none" w:sz="0" w:space="0" w:color="auto"/>
                <w:right w:val="none" w:sz="0" w:space="0" w:color="auto"/>
              </w:divBdr>
              <w:divsChild>
                <w:div w:id="14358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6955">
      <w:bodyDiv w:val="1"/>
      <w:marLeft w:val="0"/>
      <w:marRight w:val="0"/>
      <w:marTop w:val="0"/>
      <w:marBottom w:val="0"/>
      <w:divBdr>
        <w:top w:val="none" w:sz="0" w:space="0" w:color="auto"/>
        <w:left w:val="none" w:sz="0" w:space="0" w:color="auto"/>
        <w:bottom w:val="none" w:sz="0" w:space="0" w:color="auto"/>
        <w:right w:val="none" w:sz="0" w:space="0" w:color="auto"/>
      </w:divBdr>
    </w:div>
    <w:div w:id="1879508626">
      <w:bodyDiv w:val="1"/>
      <w:marLeft w:val="0"/>
      <w:marRight w:val="0"/>
      <w:marTop w:val="0"/>
      <w:marBottom w:val="0"/>
      <w:divBdr>
        <w:top w:val="none" w:sz="0" w:space="0" w:color="auto"/>
        <w:left w:val="none" w:sz="0" w:space="0" w:color="auto"/>
        <w:bottom w:val="none" w:sz="0" w:space="0" w:color="auto"/>
        <w:right w:val="none" w:sz="0" w:space="0" w:color="auto"/>
      </w:divBdr>
    </w:div>
    <w:div w:id="1924101742">
      <w:bodyDiv w:val="1"/>
      <w:marLeft w:val="0"/>
      <w:marRight w:val="0"/>
      <w:marTop w:val="0"/>
      <w:marBottom w:val="0"/>
      <w:divBdr>
        <w:top w:val="none" w:sz="0" w:space="0" w:color="auto"/>
        <w:left w:val="none" w:sz="0" w:space="0" w:color="auto"/>
        <w:bottom w:val="none" w:sz="0" w:space="0" w:color="auto"/>
        <w:right w:val="none" w:sz="0" w:space="0" w:color="auto"/>
      </w:divBdr>
    </w:div>
    <w:div w:id="1931811408">
      <w:bodyDiv w:val="1"/>
      <w:marLeft w:val="0"/>
      <w:marRight w:val="0"/>
      <w:marTop w:val="0"/>
      <w:marBottom w:val="0"/>
      <w:divBdr>
        <w:top w:val="none" w:sz="0" w:space="0" w:color="auto"/>
        <w:left w:val="none" w:sz="0" w:space="0" w:color="auto"/>
        <w:bottom w:val="none" w:sz="0" w:space="0" w:color="auto"/>
        <w:right w:val="none" w:sz="0" w:space="0" w:color="auto"/>
      </w:divBdr>
    </w:div>
    <w:div w:id="1960452086">
      <w:bodyDiv w:val="1"/>
      <w:marLeft w:val="0"/>
      <w:marRight w:val="0"/>
      <w:marTop w:val="0"/>
      <w:marBottom w:val="0"/>
      <w:divBdr>
        <w:top w:val="none" w:sz="0" w:space="0" w:color="auto"/>
        <w:left w:val="none" w:sz="0" w:space="0" w:color="auto"/>
        <w:bottom w:val="none" w:sz="0" w:space="0" w:color="auto"/>
        <w:right w:val="none" w:sz="0" w:space="0" w:color="auto"/>
      </w:divBdr>
    </w:div>
    <w:div w:id="1984236688">
      <w:bodyDiv w:val="1"/>
      <w:marLeft w:val="0"/>
      <w:marRight w:val="0"/>
      <w:marTop w:val="0"/>
      <w:marBottom w:val="0"/>
      <w:divBdr>
        <w:top w:val="none" w:sz="0" w:space="0" w:color="auto"/>
        <w:left w:val="none" w:sz="0" w:space="0" w:color="auto"/>
        <w:bottom w:val="none" w:sz="0" w:space="0" w:color="auto"/>
        <w:right w:val="none" w:sz="0" w:space="0" w:color="auto"/>
      </w:divBdr>
    </w:div>
    <w:div w:id="2013600170">
      <w:bodyDiv w:val="1"/>
      <w:marLeft w:val="0"/>
      <w:marRight w:val="0"/>
      <w:marTop w:val="0"/>
      <w:marBottom w:val="0"/>
      <w:divBdr>
        <w:top w:val="none" w:sz="0" w:space="0" w:color="auto"/>
        <w:left w:val="none" w:sz="0" w:space="0" w:color="auto"/>
        <w:bottom w:val="none" w:sz="0" w:space="0" w:color="auto"/>
        <w:right w:val="none" w:sz="0" w:space="0" w:color="auto"/>
      </w:divBdr>
    </w:div>
    <w:div w:id="2109889949">
      <w:bodyDiv w:val="1"/>
      <w:marLeft w:val="0"/>
      <w:marRight w:val="0"/>
      <w:marTop w:val="0"/>
      <w:marBottom w:val="0"/>
      <w:divBdr>
        <w:top w:val="none" w:sz="0" w:space="0" w:color="auto"/>
        <w:left w:val="none" w:sz="0" w:space="0" w:color="auto"/>
        <w:bottom w:val="none" w:sz="0" w:space="0" w:color="auto"/>
        <w:right w:val="none" w:sz="0" w:space="0" w:color="auto"/>
      </w:divBdr>
    </w:div>
    <w:div w:id="213668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emf"/><Relationship Id="rId32" Type="http://schemas.openxmlformats.org/officeDocument/2006/relationships/image" Target="media/image21.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footer" Target="footer3.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4B3CE2C-982A-C845-A4D9-386FE821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174</Pages>
  <Words>261474</Words>
  <Characters>1490402</Characters>
  <Application>Microsoft Office Word</Application>
  <DocSecurity>0</DocSecurity>
  <Lines>12420</Lines>
  <Paragraphs>3496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Hatzis, Josh J.</dc:creator>
  <cp:keywords/>
  <dc:description/>
  <cp:lastModifiedBy>Hatzis, Josh J.</cp:lastModifiedBy>
  <cp:revision>3</cp:revision>
  <cp:lastPrinted>2019-10-15T18:45:00Z</cp:lastPrinted>
  <dcterms:created xsi:type="dcterms:W3CDTF">2019-10-15T18:45:00Z</dcterms:created>
  <dcterms:modified xsi:type="dcterms:W3CDTF">2019-10-15T18:51:00Z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6cf3bde3-b4f3-37fc-a711-68f4bb0f4420</vt:lpwstr>
  </property>
  <property fmtid="{D5CDD505-2E9C-101B-9397-08002B2CF9AE}" pid="4" name="Mendeley Citation Style_1">
    <vt:lpwstr>https://csl.mendeley.com/styles/498092771/elsevier-harvard-5</vt:lpwstr>
  </property>
  <property fmtid="{D5CDD505-2E9C-101B-9397-08002B2CF9AE}" pid="5" name="Mendeley Recent Style Id 0_1">
    <vt:lpwstr>http://csl.mendeley.com/styles/498092771/harvard-jjh</vt:lpwstr>
  </property>
  <property fmtid="{D5CDD505-2E9C-101B-9397-08002B2CF9AE}" pid="6" name="Mendeley Recent Style Name 0_1">
    <vt:lpwstr>American Psychological Association 6th edition - Joshua Hatzis</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https://csl.mendeley.com/styles/498092771/harvard-cite-them-right</vt:lpwstr>
  </property>
  <property fmtid="{D5CDD505-2E9C-101B-9397-08002B2CF9AE}" pid="10" name="Mendeley Recent Style Name 2_1">
    <vt:lpwstr>Cite Them Right 10th edition - Harvard - Joshua Hatzis</vt:lpwstr>
  </property>
  <property fmtid="{D5CDD505-2E9C-101B-9397-08002B2CF9AE}" pid="11" name="Mendeley Recent Style Id 3_1">
    <vt:lpwstr>http://csl.mendeley.com/styles/498092771/harvard-cite-them-right</vt:lpwstr>
  </property>
  <property fmtid="{D5CDD505-2E9C-101B-9397-08002B2CF9AE}" pid="12" name="Mendeley Recent Style Name 3_1">
    <vt:lpwstr>Cite Them Right 10th edition - Harvard - Joshua Hatzis</vt:lpwstr>
  </property>
  <property fmtid="{D5CDD505-2E9C-101B-9397-08002B2CF9AE}" pid="13" name="Mendeley Recent Style Id 4_1">
    <vt:lpwstr>https://csl.mendeley.com/styles/498092771/elsevier-harvard-5</vt:lpwstr>
  </property>
  <property fmtid="{D5CDD505-2E9C-101B-9397-08002B2CF9AE}" pid="14" name="Mendeley Recent Style Name 4_1">
    <vt:lpwstr>Elsevier - Harvard (with titles) - Joshua Hatzis</vt:lpwstr>
  </property>
  <property fmtid="{D5CDD505-2E9C-101B-9397-08002B2CF9AE}" pid="15" name="Mendeley Recent Style Id 5_1">
    <vt:lpwstr>https://csl.mendeley.com/styles/498092771/elsevier-harvard-4</vt:lpwstr>
  </property>
  <property fmtid="{D5CDD505-2E9C-101B-9397-08002B2CF9AE}" pid="16" name="Mendeley Recent Style Name 5_1">
    <vt:lpwstr>Elsevier - Harvard (with titles) - Joshua Hatzis</vt:lpwstr>
  </property>
  <property fmtid="{D5CDD505-2E9C-101B-9397-08002B2CF9AE}" pid="17" name="Mendeley Recent Style Id 6_1">
    <vt:lpwstr>http://csl.mendeley.com/styles/498092771/elsevier-harvard-5</vt:lpwstr>
  </property>
  <property fmtid="{D5CDD505-2E9C-101B-9397-08002B2CF9AE}" pid="18" name="Mendeley Recent Style Name 6_1">
    <vt:lpwstr>Elsevier - Harvard (with titles) - Joshua Hatzis</vt:lpwstr>
  </property>
  <property fmtid="{D5CDD505-2E9C-101B-9397-08002B2CF9AE}" pid="19" name="Mendeley Recent Style Id 7_1">
    <vt:lpwstr>http://www.zotero.org/styles/southern-cross-university-harvard</vt:lpwstr>
  </property>
  <property fmtid="{D5CDD505-2E9C-101B-9397-08002B2CF9AE}" pid="20" name="Mendeley Recent Style Name 7_1">
    <vt:lpwstr>Southern Cross University - Harvard</vt:lpwstr>
  </property>
  <property fmtid="{D5CDD505-2E9C-101B-9397-08002B2CF9AE}" pid="21" name="Mendeley Recent Style Id 8_1">
    <vt:lpwstr>http://csl.mendeley.com/styles/498092771/style-manual-australian-government-2</vt:lpwstr>
  </property>
  <property fmtid="{D5CDD505-2E9C-101B-9397-08002B2CF9AE}" pid="22" name="Mendeley Recent Style Name 8_1">
    <vt:lpwstr>Style Manual - Australian Government (author-date) - Joshua Hatzis</vt:lpwstr>
  </property>
  <property fmtid="{D5CDD505-2E9C-101B-9397-08002B2CF9AE}" pid="23" name="Mendeley Recent Style Id 9_1">
    <vt:lpwstr>http://www.zotero.org/styles/who-europe-harvard</vt:lpwstr>
  </property>
  <property fmtid="{D5CDD505-2E9C-101B-9397-08002B2CF9AE}" pid="24" name="Mendeley Recent Style Name 9_1">
    <vt:lpwstr>WHO Regional Office for Europe - Harvard</vt:lpwstr>
  </property>
</Properties>
</file>