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5145CD" w14:textId="77777777" w:rsidR="00E5557E" w:rsidRPr="00890E95" w:rsidRDefault="00E5557E" w:rsidP="00E5557E">
      <w:pPr>
        <w:spacing w:line="360" w:lineRule="auto"/>
        <w:jc w:val="center"/>
        <w:rPr>
          <w:rFonts w:ascii="Times New Roman" w:hAnsi="Times New Roman" w:cs="Times New Roman"/>
        </w:rPr>
      </w:pPr>
      <w:r w:rsidRPr="00890E95">
        <w:rPr>
          <w:rFonts w:ascii="Times New Roman" w:hAnsi="Times New Roman" w:cs="Times New Roman"/>
        </w:rPr>
        <w:t>UNIVERSITY OF OKLAHOMA</w:t>
      </w:r>
    </w:p>
    <w:p w14:paraId="66EF8830" w14:textId="39F3922A" w:rsidR="00E5557E" w:rsidRPr="00890E95" w:rsidRDefault="00E5557E" w:rsidP="00A95BFF">
      <w:pPr>
        <w:spacing w:line="360" w:lineRule="auto"/>
        <w:jc w:val="center"/>
        <w:rPr>
          <w:rFonts w:ascii="Times New Roman" w:hAnsi="Times New Roman" w:cs="Times New Roman"/>
        </w:rPr>
      </w:pPr>
      <w:r w:rsidRPr="00890E95">
        <w:rPr>
          <w:rFonts w:ascii="Times New Roman" w:hAnsi="Times New Roman" w:cs="Times New Roman"/>
        </w:rPr>
        <w:t>GRADUATE COLLEGE</w:t>
      </w:r>
    </w:p>
    <w:p w14:paraId="0E48748E" w14:textId="77777777" w:rsidR="00E5557E" w:rsidRPr="00890E95" w:rsidRDefault="00E5557E" w:rsidP="00E5557E">
      <w:pPr>
        <w:spacing w:line="360" w:lineRule="auto"/>
        <w:jc w:val="center"/>
        <w:rPr>
          <w:rFonts w:ascii="Times New Roman" w:hAnsi="Times New Roman" w:cs="Times New Roman"/>
        </w:rPr>
      </w:pPr>
    </w:p>
    <w:p w14:paraId="0CAC1A45" w14:textId="77777777" w:rsidR="00E5557E" w:rsidRPr="00890E95" w:rsidRDefault="00E5557E" w:rsidP="00E5557E">
      <w:pPr>
        <w:spacing w:line="360" w:lineRule="auto"/>
        <w:jc w:val="center"/>
        <w:rPr>
          <w:rFonts w:ascii="Times New Roman" w:hAnsi="Times New Roman" w:cs="Times New Roman"/>
        </w:rPr>
      </w:pPr>
    </w:p>
    <w:p w14:paraId="417882C3" w14:textId="77777777" w:rsidR="00E5557E" w:rsidRPr="00890E95" w:rsidRDefault="00E5557E" w:rsidP="00E5557E">
      <w:pPr>
        <w:spacing w:line="360" w:lineRule="auto"/>
        <w:jc w:val="center"/>
        <w:rPr>
          <w:rFonts w:ascii="Times New Roman" w:hAnsi="Times New Roman" w:cs="Times New Roman"/>
        </w:rPr>
      </w:pPr>
    </w:p>
    <w:p w14:paraId="473D476F" w14:textId="77777777" w:rsidR="00E5557E" w:rsidRPr="00890E95" w:rsidRDefault="00E5557E" w:rsidP="00E5557E">
      <w:pPr>
        <w:spacing w:line="360" w:lineRule="auto"/>
        <w:jc w:val="center"/>
        <w:rPr>
          <w:rFonts w:ascii="Times New Roman" w:hAnsi="Times New Roman" w:cs="Times New Roman"/>
        </w:rPr>
      </w:pPr>
    </w:p>
    <w:p w14:paraId="65B4EC3D" w14:textId="1CDDDE9F" w:rsidR="00A34A38" w:rsidRPr="00890E95" w:rsidRDefault="00890E95" w:rsidP="00A34A38">
      <w:pPr>
        <w:spacing w:line="480" w:lineRule="auto"/>
        <w:jc w:val="center"/>
        <w:rPr>
          <w:rFonts w:ascii="Times New Roman" w:hAnsi="Times New Roman" w:cs="Times New Roman"/>
        </w:rPr>
      </w:pPr>
      <w:r w:rsidRPr="00890E95">
        <w:rPr>
          <w:rFonts w:ascii="Times New Roman" w:hAnsi="Times New Roman" w:cs="Times New Roman"/>
        </w:rPr>
        <w:t>NON-INVASIVE LOAD MONITORING IN FEMALE DIVISION 1 COLLEGIATE GYMNASTICS</w:t>
      </w:r>
    </w:p>
    <w:p w14:paraId="5FFF0712" w14:textId="77777777" w:rsidR="00E5557E" w:rsidRPr="00890E95" w:rsidRDefault="00E5557E" w:rsidP="00E5557E">
      <w:pPr>
        <w:spacing w:line="360" w:lineRule="auto"/>
        <w:jc w:val="center"/>
        <w:rPr>
          <w:rFonts w:ascii="Times New Roman" w:hAnsi="Times New Roman" w:cs="Times New Roman"/>
        </w:rPr>
      </w:pPr>
    </w:p>
    <w:p w14:paraId="55BF2E61" w14:textId="77777777" w:rsidR="00E5557E" w:rsidRPr="00890E95" w:rsidRDefault="00E5557E" w:rsidP="00E5557E">
      <w:pPr>
        <w:spacing w:line="360" w:lineRule="auto"/>
        <w:jc w:val="center"/>
        <w:rPr>
          <w:rFonts w:ascii="Times New Roman" w:hAnsi="Times New Roman" w:cs="Times New Roman"/>
        </w:rPr>
      </w:pPr>
    </w:p>
    <w:p w14:paraId="22632E36" w14:textId="77777777" w:rsidR="00E5557E" w:rsidRPr="00890E95" w:rsidRDefault="00E5557E" w:rsidP="00E5557E">
      <w:pPr>
        <w:spacing w:line="360" w:lineRule="auto"/>
        <w:jc w:val="center"/>
        <w:rPr>
          <w:rFonts w:ascii="Times New Roman" w:hAnsi="Times New Roman" w:cs="Times New Roman"/>
        </w:rPr>
      </w:pPr>
    </w:p>
    <w:p w14:paraId="12A3A6BF" w14:textId="77777777" w:rsidR="00E5557E" w:rsidRPr="00890E95" w:rsidRDefault="00E5557E" w:rsidP="001A54BA">
      <w:pPr>
        <w:spacing w:line="360" w:lineRule="auto"/>
        <w:rPr>
          <w:rFonts w:ascii="Times New Roman" w:hAnsi="Times New Roman" w:cs="Times New Roman"/>
        </w:rPr>
      </w:pPr>
    </w:p>
    <w:p w14:paraId="2B40B22C" w14:textId="77777777" w:rsidR="00E5557E" w:rsidRPr="00890E95" w:rsidRDefault="00E5557E" w:rsidP="00E5557E">
      <w:pPr>
        <w:spacing w:line="360" w:lineRule="auto"/>
        <w:jc w:val="center"/>
        <w:rPr>
          <w:rFonts w:ascii="Times New Roman" w:hAnsi="Times New Roman" w:cs="Times New Roman"/>
        </w:rPr>
      </w:pPr>
    </w:p>
    <w:p w14:paraId="6C001215" w14:textId="77777777" w:rsidR="00E5557E" w:rsidRPr="00890E95" w:rsidRDefault="00E5557E" w:rsidP="00E5557E">
      <w:pPr>
        <w:spacing w:line="360" w:lineRule="auto"/>
        <w:jc w:val="center"/>
        <w:rPr>
          <w:rFonts w:ascii="Times New Roman" w:hAnsi="Times New Roman" w:cs="Times New Roman"/>
        </w:rPr>
      </w:pPr>
      <w:r w:rsidRPr="00890E95">
        <w:rPr>
          <w:rFonts w:ascii="Times New Roman" w:hAnsi="Times New Roman" w:cs="Times New Roman"/>
        </w:rPr>
        <w:t xml:space="preserve"> A THESIS </w:t>
      </w:r>
    </w:p>
    <w:p w14:paraId="59C29023" w14:textId="77777777" w:rsidR="00E5557E" w:rsidRPr="00890E95" w:rsidRDefault="00E5557E" w:rsidP="00E5557E">
      <w:pPr>
        <w:spacing w:line="360" w:lineRule="auto"/>
        <w:jc w:val="center"/>
        <w:rPr>
          <w:rFonts w:ascii="Times New Roman" w:hAnsi="Times New Roman" w:cs="Times New Roman"/>
        </w:rPr>
      </w:pPr>
      <w:r w:rsidRPr="00890E95">
        <w:rPr>
          <w:rFonts w:ascii="Times New Roman" w:hAnsi="Times New Roman" w:cs="Times New Roman"/>
        </w:rPr>
        <w:t xml:space="preserve">SUBMITTED TO THE GRADUATE FACULTY </w:t>
      </w:r>
    </w:p>
    <w:p w14:paraId="182066C2" w14:textId="77777777" w:rsidR="00E5557E" w:rsidRPr="00890E95" w:rsidRDefault="00E5557E" w:rsidP="00E5557E">
      <w:pPr>
        <w:spacing w:line="360" w:lineRule="auto"/>
        <w:jc w:val="center"/>
        <w:rPr>
          <w:rFonts w:ascii="Times New Roman" w:hAnsi="Times New Roman" w:cs="Times New Roman"/>
        </w:rPr>
      </w:pPr>
      <w:r w:rsidRPr="00890E95">
        <w:rPr>
          <w:rFonts w:ascii="Times New Roman" w:hAnsi="Times New Roman" w:cs="Times New Roman"/>
        </w:rPr>
        <w:t xml:space="preserve">in partial fulfillment of the requirements for the </w:t>
      </w:r>
    </w:p>
    <w:p w14:paraId="2E12E45D" w14:textId="77777777" w:rsidR="00E5557E" w:rsidRPr="00890E95" w:rsidRDefault="00E5557E" w:rsidP="00E5557E">
      <w:pPr>
        <w:spacing w:line="360" w:lineRule="auto"/>
        <w:jc w:val="center"/>
        <w:rPr>
          <w:rFonts w:ascii="Times New Roman" w:hAnsi="Times New Roman" w:cs="Times New Roman"/>
        </w:rPr>
      </w:pPr>
      <w:r w:rsidRPr="00890E95">
        <w:rPr>
          <w:rFonts w:ascii="Times New Roman" w:hAnsi="Times New Roman" w:cs="Times New Roman"/>
        </w:rPr>
        <w:t xml:space="preserve">Degree of </w:t>
      </w:r>
    </w:p>
    <w:p w14:paraId="25CF8CFE" w14:textId="77777777" w:rsidR="00E5557E" w:rsidRPr="00890E95" w:rsidRDefault="00E5557E" w:rsidP="00E5557E">
      <w:pPr>
        <w:spacing w:line="360" w:lineRule="auto"/>
        <w:jc w:val="center"/>
        <w:rPr>
          <w:rFonts w:ascii="Times New Roman" w:hAnsi="Times New Roman" w:cs="Times New Roman"/>
        </w:rPr>
      </w:pPr>
      <w:r w:rsidRPr="00890E95">
        <w:rPr>
          <w:rFonts w:ascii="Times New Roman" w:hAnsi="Times New Roman" w:cs="Times New Roman"/>
        </w:rPr>
        <w:t xml:space="preserve">MASTER OF SCIENCE </w:t>
      </w:r>
    </w:p>
    <w:p w14:paraId="2660B182" w14:textId="77777777" w:rsidR="00E5557E" w:rsidRPr="00890E95" w:rsidRDefault="00E5557E" w:rsidP="00E5557E">
      <w:pPr>
        <w:spacing w:line="360" w:lineRule="auto"/>
        <w:jc w:val="center"/>
        <w:rPr>
          <w:rFonts w:ascii="Times New Roman" w:hAnsi="Times New Roman" w:cs="Times New Roman"/>
        </w:rPr>
      </w:pPr>
    </w:p>
    <w:p w14:paraId="66869BC5" w14:textId="77777777" w:rsidR="00E5557E" w:rsidRPr="00890E95" w:rsidRDefault="00E5557E" w:rsidP="00E5557E">
      <w:pPr>
        <w:spacing w:line="360" w:lineRule="auto"/>
        <w:jc w:val="center"/>
        <w:rPr>
          <w:rFonts w:ascii="Times New Roman" w:hAnsi="Times New Roman" w:cs="Times New Roman"/>
        </w:rPr>
      </w:pPr>
    </w:p>
    <w:p w14:paraId="5512C2B6" w14:textId="112355EC" w:rsidR="00E5557E" w:rsidRPr="00890E95" w:rsidRDefault="00E5557E" w:rsidP="00E5557E">
      <w:pPr>
        <w:spacing w:line="360" w:lineRule="auto"/>
        <w:jc w:val="center"/>
        <w:rPr>
          <w:rFonts w:ascii="Times New Roman" w:hAnsi="Times New Roman" w:cs="Times New Roman"/>
        </w:rPr>
      </w:pPr>
    </w:p>
    <w:p w14:paraId="13A40086" w14:textId="15B4DA97" w:rsidR="00A34A38" w:rsidRPr="00890E95" w:rsidRDefault="00A34A38" w:rsidP="00E5557E">
      <w:pPr>
        <w:spacing w:line="360" w:lineRule="auto"/>
        <w:jc w:val="center"/>
        <w:rPr>
          <w:rFonts w:ascii="Times New Roman" w:hAnsi="Times New Roman" w:cs="Times New Roman"/>
        </w:rPr>
      </w:pPr>
    </w:p>
    <w:p w14:paraId="56329863" w14:textId="77777777" w:rsidR="00A34A38" w:rsidRPr="00890E95" w:rsidRDefault="00A34A38" w:rsidP="00E5557E">
      <w:pPr>
        <w:spacing w:line="360" w:lineRule="auto"/>
        <w:jc w:val="center"/>
        <w:rPr>
          <w:rFonts w:ascii="Times New Roman" w:hAnsi="Times New Roman" w:cs="Times New Roman"/>
        </w:rPr>
      </w:pPr>
    </w:p>
    <w:p w14:paraId="4BC49A68" w14:textId="77777777" w:rsidR="00E5557E" w:rsidRPr="00890E95" w:rsidRDefault="00E5557E" w:rsidP="00E5557E">
      <w:pPr>
        <w:spacing w:line="360" w:lineRule="auto"/>
        <w:rPr>
          <w:rFonts w:ascii="Times New Roman" w:hAnsi="Times New Roman" w:cs="Times New Roman"/>
        </w:rPr>
      </w:pPr>
    </w:p>
    <w:p w14:paraId="50645CE6" w14:textId="77777777" w:rsidR="00E5557E" w:rsidRPr="00890E95" w:rsidRDefault="00E5557E" w:rsidP="00E5557E">
      <w:pPr>
        <w:spacing w:line="360" w:lineRule="auto"/>
        <w:jc w:val="center"/>
        <w:rPr>
          <w:rFonts w:ascii="Times New Roman" w:hAnsi="Times New Roman" w:cs="Times New Roman"/>
        </w:rPr>
      </w:pPr>
    </w:p>
    <w:p w14:paraId="354CCA95" w14:textId="77777777" w:rsidR="00E5557E" w:rsidRPr="00890E95" w:rsidRDefault="00E5557E" w:rsidP="00E5557E">
      <w:pPr>
        <w:spacing w:line="360" w:lineRule="auto"/>
        <w:jc w:val="center"/>
        <w:rPr>
          <w:rFonts w:ascii="Times New Roman" w:hAnsi="Times New Roman" w:cs="Times New Roman"/>
        </w:rPr>
      </w:pPr>
      <w:r w:rsidRPr="00890E95">
        <w:rPr>
          <w:rFonts w:ascii="Times New Roman" w:hAnsi="Times New Roman" w:cs="Times New Roman"/>
        </w:rPr>
        <w:t xml:space="preserve">By </w:t>
      </w:r>
    </w:p>
    <w:p w14:paraId="5E04869A" w14:textId="6A6A084E" w:rsidR="00E5557E" w:rsidRPr="00890E95" w:rsidRDefault="00A34A38" w:rsidP="00E5557E">
      <w:pPr>
        <w:spacing w:line="360" w:lineRule="auto"/>
        <w:jc w:val="center"/>
        <w:rPr>
          <w:rFonts w:ascii="Times New Roman" w:hAnsi="Times New Roman" w:cs="Times New Roman"/>
        </w:rPr>
      </w:pPr>
      <w:r w:rsidRPr="00890E95">
        <w:rPr>
          <w:rFonts w:ascii="Times New Roman" w:hAnsi="Times New Roman" w:cs="Times New Roman"/>
        </w:rPr>
        <w:t>MAEGAN BREWER</w:t>
      </w:r>
    </w:p>
    <w:p w14:paraId="6EAC9EEE" w14:textId="77777777" w:rsidR="00E5557E" w:rsidRPr="00890E95" w:rsidRDefault="00E5557E" w:rsidP="00E5557E">
      <w:pPr>
        <w:spacing w:line="360" w:lineRule="auto"/>
        <w:jc w:val="center"/>
        <w:rPr>
          <w:rFonts w:ascii="Times New Roman" w:hAnsi="Times New Roman" w:cs="Times New Roman"/>
        </w:rPr>
      </w:pPr>
      <w:r w:rsidRPr="00890E95">
        <w:rPr>
          <w:rFonts w:ascii="Times New Roman" w:hAnsi="Times New Roman" w:cs="Times New Roman"/>
        </w:rPr>
        <w:t xml:space="preserve"> Norman, Oklahoma</w:t>
      </w:r>
    </w:p>
    <w:p w14:paraId="6F59FA42" w14:textId="3A5B08E1" w:rsidR="00E5557E" w:rsidRPr="00890E95" w:rsidRDefault="00E5557E" w:rsidP="00E5557E">
      <w:pPr>
        <w:spacing w:line="360" w:lineRule="auto"/>
        <w:jc w:val="center"/>
        <w:rPr>
          <w:rFonts w:ascii="Times New Roman" w:hAnsi="Times New Roman" w:cs="Times New Roman"/>
          <w:b/>
          <w:u w:val="single"/>
        </w:rPr>
      </w:pPr>
      <w:r w:rsidRPr="00890E95">
        <w:rPr>
          <w:rFonts w:ascii="Times New Roman" w:hAnsi="Times New Roman" w:cs="Times New Roman"/>
        </w:rPr>
        <w:t>202</w:t>
      </w:r>
      <w:r w:rsidR="00A95BFF" w:rsidRPr="00890E95">
        <w:rPr>
          <w:rFonts w:ascii="Times New Roman" w:hAnsi="Times New Roman" w:cs="Times New Roman"/>
        </w:rPr>
        <w:t>1</w:t>
      </w:r>
    </w:p>
    <w:p w14:paraId="0074A170" w14:textId="77777777" w:rsidR="00E5557E" w:rsidRPr="00890E95" w:rsidRDefault="00E5557E" w:rsidP="00C96390">
      <w:pPr>
        <w:spacing w:line="480" w:lineRule="auto"/>
        <w:jc w:val="center"/>
        <w:rPr>
          <w:rFonts w:ascii="Times New Roman" w:hAnsi="Times New Roman" w:cs="Times New Roman"/>
        </w:rPr>
      </w:pPr>
    </w:p>
    <w:p w14:paraId="08ABEF9E" w14:textId="77777777" w:rsidR="00C162C5" w:rsidRPr="00890E95" w:rsidRDefault="00C162C5" w:rsidP="00C162C5">
      <w:pPr>
        <w:spacing w:line="480" w:lineRule="auto"/>
        <w:jc w:val="center"/>
        <w:rPr>
          <w:rFonts w:ascii="Times New Roman" w:hAnsi="Times New Roman" w:cs="Times New Roman"/>
        </w:rPr>
      </w:pPr>
      <w:r w:rsidRPr="00890E95">
        <w:rPr>
          <w:rFonts w:ascii="Times New Roman" w:hAnsi="Times New Roman" w:cs="Times New Roman"/>
        </w:rPr>
        <w:lastRenderedPageBreak/>
        <w:t>NON-INVASIVE LOAD MONITORING IN FEMALE DIVISION 1 COLLEGIATE GYMNASTICS</w:t>
      </w:r>
    </w:p>
    <w:p w14:paraId="2B5C5B32" w14:textId="77777777" w:rsidR="00A34A38" w:rsidRPr="00890E95" w:rsidRDefault="00A34A38" w:rsidP="002A2184">
      <w:pPr>
        <w:spacing w:line="360" w:lineRule="auto"/>
        <w:jc w:val="center"/>
        <w:rPr>
          <w:rFonts w:ascii="Times New Roman" w:hAnsi="Times New Roman" w:cs="Times New Roman"/>
        </w:rPr>
      </w:pPr>
    </w:p>
    <w:p w14:paraId="52C828FB" w14:textId="77777777" w:rsidR="002A2184" w:rsidRPr="00890E95" w:rsidRDefault="002A2184" w:rsidP="002A2184">
      <w:pPr>
        <w:spacing w:line="360" w:lineRule="auto"/>
        <w:jc w:val="center"/>
        <w:rPr>
          <w:rFonts w:ascii="Times New Roman" w:hAnsi="Times New Roman" w:cs="Times New Roman"/>
        </w:rPr>
      </w:pPr>
    </w:p>
    <w:p w14:paraId="63D905C4" w14:textId="77777777" w:rsidR="002A2184" w:rsidRPr="00890E95" w:rsidRDefault="002A2184" w:rsidP="002A2184">
      <w:pPr>
        <w:spacing w:line="360" w:lineRule="auto"/>
        <w:jc w:val="center"/>
        <w:rPr>
          <w:rFonts w:ascii="Times New Roman" w:hAnsi="Times New Roman" w:cs="Times New Roman"/>
        </w:rPr>
      </w:pPr>
    </w:p>
    <w:p w14:paraId="17BF0F37" w14:textId="77777777" w:rsidR="002A2184" w:rsidRPr="00890E95" w:rsidRDefault="002A2184" w:rsidP="002A2184">
      <w:pPr>
        <w:spacing w:line="360" w:lineRule="auto"/>
        <w:jc w:val="center"/>
        <w:rPr>
          <w:rFonts w:ascii="Times New Roman" w:hAnsi="Times New Roman" w:cs="Times New Roman"/>
        </w:rPr>
      </w:pPr>
      <w:r w:rsidRPr="00890E95">
        <w:rPr>
          <w:rFonts w:ascii="Times New Roman" w:hAnsi="Times New Roman" w:cs="Times New Roman"/>
        </w:rPr>
        <w:t xml:space="preserve"> A THESIS APPROVED FOR THE </w:t>
      </w:r>
    </w:p>
    <w:p w14:paraId="17B770BF" w14:textId="77777777" w:rsidR="002A2184" w:rsidRPr="00890E95" w:rsidRDefault="002A2184" w:rsidP="002A2184">
      <w:pPr>
        <w:spacing w:line="360" w:lineRule="auto"/>
        <w:jc w:val="center"/>
        <w:rPr>
          <w:rFonts w:ascii="Times New Roman" w:hAnsi="Times New Roman" w:cs="Times New Roman"/>
        </w:rPr>
      </w:pPr>
      <w:r w:rsidRPr="00890E95">
        <w:rPr>
          <w:rFonts w:ascii="Times New Roman" w:hAnsi="Times New Roman" w:cs="Times New Roman"/>
        </w:rPr>
        <w:t>DEPARTMENT OF HEALTH AND EXERCISE SCIENCE</w:t>
      </w:r>
    </w:p>
    <w:p w14:paraId="736D18F7" w14:textId="77777777" w:rsidR="002A2184" w:rsidRPr="00890E95" w:rsidRDefault="002A2184" w:rsidP="002A2184">
      <w:pPr>
        <w:spacing w:line="360" w:lineRule="auto"/>
        <w:jc w:val="center"/>
        <w:rPr>
          <w:rFonts w:ascii="Times New Roman" w:hAnsi="Times New Roman" w:cs="Times New Roman"/>
        </w:rPr>
      </w:pPr>
    </w:p>
    <w:p w14:paraId="3B63A3CE" w14:textId="77777777" w:rsidR="002A2184" w:rsidRPr="00890E95" w:rsidRDefault="002A2184" w:rsidP="002A2184">
      <w:pPr>
        <w:spacing w:line="360" w:lineRule="auto"/>
        <w:jc w:val="center"/>
        <w:rPr>
          <w:rFonts w:ascii="Times New Roman" w:hAnsi="Times New Roman" w:cs="Times New Roman"/>
        </w:rPr>
      </w:pPr>
    </w:p>
    <w:p w14:paraId="788FFB36" w14:textId="77777777" w:rsidR="002A2184" w:rsidRPr="00890E95" w:rsidRDefault="002A2184" w:rsidP="002A2184">
      <w:pPr>
        <w:spacing w:line="360" w:lineRule="auto"/>
        <w:jc w:val="center"/>
        <w:rPr>
          <w:rFonts w:ascii="Times New Roman" w:hAnsi="Times New Roman" w:cs="Times New Roman"/>
        </w:rPr>
      </w:pPr>
    </w:p>
    <w:p w14:paraId="46A53D9A" w14:textId="77777777" w:rsidR="002A2184" w:rsidRPr="00890E95" w:rsidRDefault="002A2184" w:rsidP="002A2184">
      <w:pPr>
        <w:spacing w:line="360" w:lineRule="auto"/>
        <w:jc w:val="center"/>
        <w:rPr>
          <w:rFonts w:ascii="Times New Roman" w:hAnsi="Times New Roman" w:cs="Times New Roman"/>
        </w:rPr>
      </w:pPr>
    </w:p>
    <w:p w14:paraId="4C3927DE" w14:textId="77777777" w:rsidR="002A2184" w:rsidRPr="00890E95" w:rsidRDefault="002A2184" w:rsidP="002A2184">
      <w:pPr>
        <w:spacing w:line="360" w:lineRule="auto"/>
        <w:jc w:val="center"/>
        <w:rPr>
          <w:rFonts w:ascii="Times New Roman" w:hAnsi="Times New Roman" w:cs="Times New Roman"/>
        </w:rPr>
      </w:pPr>
    </w:p>
    <w:p w14:paraId="47BB5134" w14:textId="08FB369A" w:rsidR="002A2184" w:rsidRPr="00890E95" w:rsidRDefault="002A2184" w:rsidP="002A2184">
      <w:pPr>
        <w:spacing w:line="360" w:lineRule="auto"/>
        <w:jc w:val="center"/>
        <w:rPr>
          <w:rFonts w:ascii="Times New Roman" w:hAnsi="Times New Roman" w:cs="Times New Roman"/>
        </w:rPr>
      </w:pPr>
      <w:r w:rsidRPr="00890E95">
        <w:rPr>
          <w:rFonts w:ascii="Times New Roman" w:hAnsi="Times New Roman" w:cs="Times New Roman"/>
        </w:rPr>
        <w:t>BY</w:t>
      </w:r>
      <w:r w:rsidR="002405B1">
        <w:rPr>
          <w:rFonts w:ascii="Times New Roman" w:hAnsi="Times New Roman" w:cs="Times New Roman"/>
        </w:rPr>
        <w:t xml:space="preserve"> THE COMMITTEE CONSISTING OF</w:t>
      </w:r>
    </w:p>
    <w:p w14:paraId="782724C2" w14:textId="77777777" w:rsidR="002A2184" w:rsidRPr="00890E95" w:rsidRDefault="002A2184" w:rsidP="002A2184">
      <w:pPr>
        <w:spacing w:line="360" w:lineRule="auto"/>
        <w:jc w:val="center"/>
        <w:rPr>
          <w:rFonts w:ascii="Times New Roman" w:hAnsi="Times New Roman" w:cs="Times New Roman"/>
        </w:rPr>
      </w:pPr>
    </w:p>
    <w:p w14:paraId="10BA23C3" w14:textId="77777777" w:rsidR="002A2184" w:rsidRPr="00890E95" w:rsidRDefault="002A2184" w:rsidP="002A2184">
      <w:pPr>
        <w:spacing w:line="360" w:lineRule="auto"/>
        <w:jc w:val="center"/>
        <w:rPr>
          <w:rFonts w:ascii="Times New Roman" w:hAnsi="Times New Roman" w:cs="Times New Roman"/>
        </w:rPr>
      </w:pPr>
    </w:p>
    <w:p w14:paraId="4FFA97ED" w14:textId="77777777" w:rsidR="002A2184" w:rsidRPr="00890E95" w:rsidRDefault="002A2184" w:rsidP="002A2184">
      <w:pPr>
        <w:spacing w:line="360" w:lineRule="auto"/>
        <w:jc w:val="center"/>
        <w:rPr>
          <w:rFonts w:ascii="Times New Roman" w:hAnsi="Times New Roman" w:cs="Times New Roman"/>
        </w:rPr>
      </w:pPr>
    </w:p>
    <w:p w14:paraId="5BA33FC1" w14:textId="77777777" w:rsidR="002A2184" w:rsidRPr="00890E95" w:rsidRDefault="002A2184" w:rsidP="002A2184">
      <w:pPr>
        <w:spacing w:line="360" w:lineRule="auto"/>
        <w:jc w:val="center"/>
        <w:rPr>
          <w:rFonts w:ascii="Times New Roman" w:hAnsi="Times New Roman" w:cs="Times New Roman"/>
        </w:rPr>
      </w:pPr>
    </w:p>
    <w:p w14:paraId="20D1B518" w14:textId="77777777" w:rsidR="002A2184" w:rsidRPr="00890E95" w:rsidRDefault="002A2184" w:rsidP="002A2184">
      <w:pPr>
        <w:spacing w:line="360" w:lineRule="auto"/>
        <w:jc w:val="center"/>
        <w:rPr>
          <w:rFonts w:ascii="Times New Roman" w:hAnsi="Times New Roman" w:cs="Times New Roman"/>
        </w:rPr>
      </w:pPr>
    </w:p>
    <w:p w14:paraId="281D155D" w14:textId="04640B9C" w:rsidR="002A2184" w:rsidRPr="00890E95" w:rsidRDefault="002A2184" w:rsidP="002A2184">
      <w:pPr>
        <w:spacing w:line="360" w:lineRule="auto"/>
        <w:jc w:val="center"/>
        <w:rPr>
          <w:rFonts w:ascii="Times New Roman" w:hAnsi="Times New Roman" w:cs="Times New Roman"/>
        </w:rPr>
      </w:pPr>
    </w:p>
    <w:p w14:paraId="0D1E2057" w14:textId="41219ECB" w:rsidR="00A34A38" w:rsidRDefault="00A34A38" w:rsidP="002A2184">
      <w:pPr>
        <w:spacing w:line="360" w:lineRule="auto"/>
        <w:jc w:val="center"/>
        <w:rPr>
          <w:rFonts w:ascii="Times New Roman" w:hAnsi="Times New Roman" w:cs="Times New Roman"/>
        </w:rPr>
      </w:pPr>
    </w:p>
    <w:p w14:paraId="41D5B40D" w14:textId="3E693C8D" w:rsidR="00C162C5" w:rsidRDefault="00C162C5" w:rsidP="002A2184">
      <w:pPr>
        <w:spacing w:line="360" w:lineRule="auto"/>
        <w:jc w:val="center"/>
        <w:rPr>
          <w:rFonts w:ascii="Times New Roman" w:hAnsi="Times New Roman" w:cs="Times New Roman"/>
        </w:rPr>
      </w:pPr>
    </w:p>
    <w:p w14:paraId="6644C14A" w14:textId="77777777" w:rsidR="00C162C5" w:rsidRPr="00890E95" w:rsidRDefault="00C162C5" w:rsidP="002A2184">
      <w:pPr>
        <w:spacing w:line="360" w:lineRule="auto"/>
        <w:jc w:val="center"/>
        <w:rPr>
          <w:rFonts w:ascii="Times New Roman" w:hAnsi="Times New Roman" w:cs="Times New Roman"/>
        </w:rPr>
      </w:pPr>
    </w:p>
    <w:p w14:paraId="689B2935" w14:textId="31D2E3D1" w:rsidR="00E5557E" w:rsidRPr="00890E95" w:rsidRDefault="00E5557E" w:rsidP="002405B1">
      <w:pPr>
        <w:spacing w:line="480" w:lineRule="auto"/>
        <w:jc w:val="right"/>
        <w:rPr>
          <w:rFonts w:ascii="Times New Roman" w:hAnsi="Times New Roman" w:cs="Times New Roman"/>
        </w:rPr>
      </w:pPr>
    </w:p>
    <w:p w14:paraId="293C149B" w14:textId="0D2D1F79" w:rsidR="002A2184" w:rsidRPr="00890E95" w:rsidRDefault="002A2184" w:rsidP="002A2184">
      <w:pPr>
        <w:jc w:val="right"/>
        <w:rPr>
          <w:rFonts w:ascii="Times New Roman" w:hAnsi="Times New Roman" w:cs="Times New Roman"/>
        </w:rPr>
      </w:pPr>
      <w:r w:rsidRPr="00890E95">
        <w:rPr>
          <w:rFonts w:ascii="Times New Roman" w:hAnsi="Times New Roman" w:cs="Times New Roman"/>
        </w:rPr>
        <w:t xml:space="preserve">Dr. Jason Campbell, Chair </w:t>
      </w:r>
    </w:p>
    <w:p w14:paraId="5B3CAC0A" w14:textId="41A0D399" w:rsidR="002A2184" w:rsidRPr="00890E95" w:rsidRDefault="002A2184" w:rsidP="002A2184">
      <w:pPr>
        <w:jc w:val="right"/>
        <w:rPr>
          <w:rFonts w:ascii="Times New Roman" w:hAnsi="Times New Roman" w:cs="Times New Roman"/>
        </w:rPr>
      </w:pPr>
    </w:p>
    <w:p w14:paraId="51E277DC" w14:textId="77777777" w:rsidR="002A2184" w:rsidRPr="00890E95" w:rsidRDefault="002A2184" w:rsidP="002A2184">
      <w:pPr>
        <w:jc w:val="right"/>
        <w:rPr>
          <w:rFonts w:ascii="Times New Roman" w:hAnsi="Times New Roman" w:cs="Times New Roman"/>
        </w:rPr>
      </w:pPr>
    </w:p>
    <w:p w14:paraId="749A8F13" w14:textId="329F5BEC" w:rsidR="002A2184" w:rsidRPr="00890E95" w:rsidRDefault="002A2184" w:rsidP="002A2184">
      <w:pPr>
        <w:jc w:val="right"/>
        <w:rPr>
          <w:rFonts w:ascii="Times New Roman" w:hAnsi="Times New Roman" w:cs="Times New Roman"/>
        </w:rPr>
      </w:pPr>
      <w:r w:rsidRPr="00890E95">
        <w:rPr>
          <w:rFonts w:ascii="Times New Roman" w:hAnsi="Times New Roman" w:cs="Times New Roman"/>
        </w:rPr>
        <w:t>Dr. Chris Black</w:t>
      </w:r>
    </w:p>
    <w:p w14:paraId="26964155" w14:textId="6D551020" w:rsidR="002A2184" w:rsidRPr="00890E95" w:rsidRDefault="002A2184" w:rsidP="002A2184">
      <w:pPr>
        <w:jc w:val="right"/>
        <w:rPr>
          <w:rFonts w:ascii="Times New Roman" w:hAnsi="Times New Roman" w:cs="Times New Roman"/>
        </w:rPr>
      </w:pPr>
    </w:p>
    <w:p w14:paraId="735888F1" w14:textId="77777777" w:rsidR="002A2184" w:rsidRPr="00890E95" w:rsidRDefault="002A2184" w:rsidP="002A2184">
      <w:pPr>
        <w:jc w:val="right"/>
        <w:rPr>
          <w:rFonts w:ascii="Times New Roman" w:hAnsi="Times New Roman" w:cs="Times New Roman"/>
        </w:rPr>
      </w:pPr>
    </w:p>
    <w:p w14:paraId="2318AEFB" w14:textId="348597C0" w:rsidR="002A2184" w:rsidRPr="00890E95" w:rsidRDefault="002A2184" w:rsidP="002A2184">
      <w:pPr>
        <w:jc w:val="right"/>
        <w:rPr>
          <w:rFonts w:ascii="Times New Roman" w:hAnsi="Times New Roman" w:cs="Times New Roman"/>
        </w:rPr>
      </w:pPr>
      <w:r w:rsidRPr="00890E95">
        <w:rPr>
          <w:rFonts w:ascii="Times New Roman" w:hAnsi="Times New Roman" w:cs="Times New Roman"/>
        </w:rPr>
        <w:t xml:space="preserve"> Dr. </w:t>
      </w:r>
      <w:r w:rsidR="00A34A38" w:rsidRPr="00890E95">
        <w:rPr>
          <w:rFonts w:ascii="Times New Roman" w:hAnsi="Times New Roman" w:cs="Times New Roman"/>
        </w:rPr>
        <w:t>Rebecca</w:t>
      </w:r>
      <w:r w:rsidRPr="00890E95">
        <w:rPr>
          <w:rFonts w:ascii="Times New Roman" w:hAnsi="Times New Roman" w:cs="Times New Roman"/>
        </w:rPr>
        <w:t xml:space="preserve"> Larson</w:t>
      </w:r>
    </w:p>
    <w:p w14:paraId="74A65786" w14:textId="2C789E93" w:rsidR="002A2184" w:rsidRPr="00890E95" w:rsidRDefault="002A2184" w:rsidP="002A2184">
      <w:pPr>
        <w:jc w:val="right"/>
        <w:rPr>
          <w:rFonts w:ascii="Times New Roman" w:hAnsi="Times New Roman" w:cs="Times New Roman"/>
        </w:rPr>
      </w:pPr>
    </w:p>
    <w:p w14:paraId="2A6840A6" w14:textId="77777777" w:rsidR="002A2184" w:rsidRPr="00890E95" w:rsidRDefault="002A2184" w:rsidP="002A2184">
      <w:pPr>
        <w:jc w:val="right"/>
        <w:rPr>
          <w:rFonts w:ascii="Times New Roman" w:hAnsi="Times New Roman" w:cs="Times New Roman"/>
        </w:rPr>
      </w:pPr>
    </w:p>
    <w:p w14:paraId="04FD8F94" w14:textId="055E0EA2" w:rsidR="002A2184" w:rsidRPr="00890E95" w:rsidRDefault="002A2184" w:rsidP="002A2184">
      <w:pPr>
        <w:jc w:val="right"/>
        <w:rPr>
          <w:rFonts w:ascii="Times New Roman" w:hAnsi="Times New Roman" w:cs="Times New Roman"/>
        </w:rPr>
      </w:pPr>
    </w:p>
    <w:p w14:paraId="516EC11C" w14:textId="77777777" w:rsidR="00E5557E" w:rsidRPr="00890E95" w:rsidRDefault="00E5557E" w:rsidP="00C96390">
      <w:pPr>
        <w:spacing w:line="480" w:lineRule="auto"/>
        <w:jc w:val="center"/>
        <w:rPr>
          <w:rFonts w:ascii="Times New Roman" w:hAnsi="Times New Roman" w:cs="Times New Roman"/>
        </w:rPr>
      </w:pPr>
    </w:p>
    <w:p w14:paraId="2A14B9CD" w14:textId="77777777" w:rsidR="00E5557E" w:rsidRPr="00890E95" w:rsidRDefault="00E5557E" w:rsidP="00C96390">
      <w:pPr>
        <w:spacing w:line="480" w:lineRule="auto"/>
        <w:jc w:val="center"/>
        <w:rPr>
          <w:rFonts w:ascii="Times New Roman" w:hAnsi="Times New Roman" w:cs="Times New Roman"/>
        </w:rPr>
      </w:pPr>
    </w:p>
    <w:p w14:paraId="4B798784" w14:textId="77777777" w:rsidR="00E5557E" w:rsidRPr="00890E95" w:rsidRDefault="00E5557E" w:rsidP="00C96390">
      <w:pPr>
        <w:spacing w:line="480" w:lineRule="auto"/>
        <w:jc w:val="center"/>
        <w:rPr>
          <w:rFonts w:ascii="Times New Roman" w:hAnsi="Times New Roman" w:cs="Times New Roman"/>
        </w:rPr>
      </w:pPr>
    </w:p>
    <w:p w14:paraId="0218B863" w14:textId="77777777" w:rsidR="00E5557E" w:rsidRPr="00890E95" w:rsidRDefault="00E5557E" w:rsidP="00C96390">
      <w:pPr>
        <w:spacing w:line="480" w:lineRule="auto"/>
        <w:jc w:val="center"/>
        <w:rPr>
          <w:rFonts w:ascii="Times New Roman" w:hAnsi="Times New Roman" w:cs="Times New Roman"/>
        </w:rPr>
      </w:pPr>
    </w:p>
    <w:p w14:paraId="3872B531" w14:textId="77777777" w:rsidR="00E5557E" w:rsidRPr="00890E95" w:rsidRDefault="00E5557E" w:rsidP="00C96390">
      <w:pPr>
        <w:spacing w:line="480" w:lineRule="auto"/>
        <w:jc w:val="center"/>
        <w:rPr>
          <w:rFonts w:ascii="Times New Roman" w:hAnsi="Times New Roman" w:cs="Times New Roman"/>
        </w:rPr>
      </w:pPr>
    </w:p>
    <w:p w14:paraId="7A8F3479" w14:textId="77777777" w:rsidR="00E5557E" w:rsidRPr="00890E95" w:rsidRDefault="00E5557E" w:rsidP="00C96390">
      <w:pPr>
        <w:spacing w:line="480" w:lineRule="auto"/>
        <w:jc w:val="center"/>
        <w:rPr>
          <w:rFonts w:ascii="Times New Roman" w:hAnsi="Times New Roman" w:cs="Times New Roman"/>
        </w:rPr>
      </w:pPr>
    </w:p>
    <w:p w14:paraId="519EA2F5" w14:textId="77777777" w:rsidR="00E5557E" w:rsidRPr="00890E95" w:rsidRDefault="00E5557E" w:rsidP="00C96390">
      <w:pPr>
        <w:spacing w:line="480" w:lineRule="auto"/>
        <w:jc w:val="center"/>
        <w:rPr>
          <w:rFonts w:ascii="Times New Roman" w:hAnsi="Times New Roman" w:cs="Times New Roman"/>
        </w:rPr>
      </w:pPr>
    </w:p>
    <w:p w14:paraId="6A0BC2C0" w14:textId="77777777" w:rsidR="00E5557E" w:rsidRPr="00890E95" w:rsidRDefault="00E5557E" w:rsidP="00C96390">
      <w:pPr>
        <w:spacing w:line="480" w:lineRule="auto"/>
        <w:jc w:val="center"/>
        <w:rPr>
          <w:rFonts w:ascii="Times New Roman" w:hAnsi="Times New Roman" w:cs="Times New Roman"/>
        </w:rPr>
      </w:pPr>
    </w:p>
    <w:p w14:paraId="577F59F2" w14:textId="77777777" w:rsidR="00E5557E" w:rsidRPr="00890E95" w:rsidRDefault="00E5557E" w:rsidP="00C96390">
      <w:pPr>
        <w:spacing w:line="480" w:lineRule="auto"/>
        <w:jc w:val="center"/>
        <w:rPr>
          <w:rFonts w:ascii="Times New Roman" w:hAnsi="Times New Roman" w:cs="Times New Roman"/>
        </w:rPr>
      </w:pPr>
    </w:p>
    <w:p w14:paraId="691498D6" w14:textId="77777777" w:rsidR="00E5557E" w:rsidRPr="00890E95" w:rsidRDefault="00E5557E" w:rsidP="00C96390">
      <w:pPr>
        <w:spacing w:line="480" w:lineRule="auto"/>
        <w:jc w:val="center"/>
        <w:rPr>
          <w:rFonts w:ascii="Times New Roman" w:hAnsi="Times New Roman" w:cs="Times New Roman"/>
        </w:rPr>
      </w:pPr>
    </w:p>
    <w:p w14:paraId="4870FAF9" w14:textId="77777777" w:rsidR="00E5557E" w:rsidRPr="00890E95" w:rsidRDefault="00E5557E" w:rsidP="00C96390">
      <w:pPr>
        <w:spacing w:line="480" w:lineRule="auto"/>
        <w:jc w:val="center"/>
        <w:rPr>
          <w:rFonts w:ascii="Times New Roman" w:hAnsi="Times New Roman" w:cs="Times New Roman"/>
        </w:rPr>
      </w:pPr>
    </w:p>
    <w:p w14:paraId="3F9CCCB8" w14:textId="77777777" w:rsidR="00E5557E" w:rsidRPr="00890E95" w:rsidRDefault="00E5557E" w:rsidP="00C96390">
      <w:pPr>
        <w:spacing w:line="480" w:lineRule="auto"/>
        <w:jc w:val="center"/>
        <w:rPr>
          <w:rFonts w:ascii="Times New Roman" w:hAnsi="Times New Roman" w:cs="Times New Roman"/>
        </w:rPr>
      </w:pPr>
    </w:p>
    <w:p w14:paraId="610F5953" w14:textId="77777777" w:rsidR="00E5557E" w:rsidRPr="00890E95" w:rsidRDefault="00E5557E" w:rsidP="00C96390">
      <w:pPr>
        <w:spacing w:line="480" w:lineRule="auto"/>
        <w:jc w:val="center"/>
        <w:rPr>
          <w:rFonts w:ascii="Times New Roman" w:hAnsi="Times New Roman" w:cs="Times New Roman"/>
        </w:rPr>
      </w:pPr>
    </w:p>
    <w:p w14:paraId="2533C55C" w14:textId="77777777" w:rsidR="00E5557E" w:rsidRPr="00890E95" w:rsidRDefault="00E5557E" w:rsidP="00C96390">
      <w:pPr>
        <w:spacing w:line="480" w:lineRule="auto"/>
        <w:jc w:val="center"/>
        <w:rPr>
          <w:rFonts w:ascii="Times New Roman" w:hAnsi="Times New Roman" w:cs="Times New Roman"/>
        </w:rPr>
      </w:pPr>
    </w:p>
    <w:p w14:paraId="50210A9E" w14:textId="77777777" w:rsidR="00E5557E" w:rsidRPr="00890E95" w:rsidRDefault="00E5557E" w:rsidP="00C96390">
      <w:pPr>
        <w:spacing w:line="480" w:lineRule="auto"/>
        <w:jc w:val="center"/>
        <w:rPr>
          <w:rFonts w:ascii="Times New Roman" w:hAnsi="Times New Roman" w:cs="Times New Roman"/>
        </w:rPr>
      </w:pPr>
    </w:p>
    <w:p w14:paraId="268CE849" w14:textId="77777777" w:rsidR="00E5557E" w:rsidRPr="00890E95" w:rsidRDefault="00E5557E" w:rsidP="00C96390">
      <w:pPr>
        <w:spacing w:line="480" w:lineRule="auto"/>
        <w:jc w:val="center"/>
        <w:rPr>
          <w:rFonts w:ascii="Times New Roman" w:hAnsi="Times New Roman" w:cs="Times New Roman"/>
        </w:rPr>
      </w:pPr>
    </w:p>
    <w:p w14:paraId="59D11CB4" w14:textId="5F7E36F3" w:rsidR="00E5557E" w:rsidRPr="00890E95" w:rsidRDefault="00E5557E" w:rsidP="00C96390">
      <w:pPr>
        <w:spacing w:line="480" w:lineRule="auto"/>
        <w:jc w:val="center"/>
        <w:rPr>
          <w:rFonts w:ascii="Times New Roman" w:hAnsi="Times New Roman" w:cs="Times New Roman"/>
        </w:rPr>
      </w:pPr>
    </w:p>
    <w:p w14:paraId="080EE7E4" w14:textId="5BC7A8FD" w:rsidR="002A2184" w:rsidRPr="00890E95" w:rsidRDefault="002A2184" w:rsidP="00C96390">
      <w:pPr>
        <w:spacing w:line="480" w:lineRule="auto"/>
        <w:jc w:val="center"/>
        <w:rPr>
          <w:rFonts w:ascii="Times New Roman" w:hAnsi="Times New Roman" w:cs="Times New Roman"/>
        </w:rPr>
      </w:pPr>
    </w:p>
    <w:p w14:paraId="15AADE09" w14:textId="77777777" w:rsidR="002A2184" w:rsidRPr="00890E95" w:rsidRDefault="002A2184" w:rsidP="00C96390">
      <w:pPr>
        <w:spacing w:line="480" w:lineRule="auto"/>
        <w:jc w:val="center"/>
        <w:rPr>
          <w:rFonts w:ascii="Times New Roman" w:hAnsi="Times New Roman" w:cs="Times New Roman"/>
        </w:rPr>
      </w:pPr>
    </w:p>
    <w:p w14:paraId="618DA49A" w14:textId="11F091BF" w:rsidR="00A95BFF" w:rsidRPr="00890E95" w:rsidRDefault="00A95BFF" w:rsidP="00C96390">
      <w:pPr>
        <w:spacing w:line="480" w:lineRule="auto"/>
        <w:jc w:val="center"/>
        <w:rPr>
          <w:rFonts w:ascii="Times New Roman" w:hAnsi="Times New Roman" w:cs="Times New Roman"/>
        </w:rPr>
      </w:pPr>
    </w:p>
    <w:p w14:paraId="386E87B7" w14:textId="03595478" w:rsidR="00A95BFF" w:rsidRPr="00890E95" w:rsidRDefault="00A95BFF" w:rsidP="00563EE3">
      <w:pPr>
        <w:spacing w:line="480" w:lineRule="auto"/>
        <w:rPr>
          <w:rFonts w:ascii="Times New Roman" w:hAnsi="Times New Roman" w:cs="Times New Roman"/>
        </w:rPr>
      </w:pPr>
    </w:p>
    <w:p w14:paraId="5AA01FBD" w14:textId="77777777" w:rsidR="00A95BFF" w:rsidRPr="00890E95" w:rsidRDefault="00A95BFF" w:rsidP="00A95BFF">
      <w:pPr>
        <w:spacing w:line="360" w:lineRule="auto"/>
        <w:jc w:val="center"/>
        <w:rPr>
          <w:rFonts w:ascii="Times New Roman" w:hAnsi="Times New Roman" w:cs="Times New Roman"/>
          <w:b/>
          <w:u w:val="single"/>
        </w:rPr>
      </w:pPr>
    </w:p>
    <w:p w14:paraId="4BEE85E7" w14:textId="3F297C02" w:rsidR="00A95BFF" w:rsidRPr="00890E95" w:rsidRDefault="00A95BFF" w:rsidP="00A95BFF">
      <w:pPr>
        <w:spacing w:line="360" w:lineRule="auto"/>
        <w:jc w:val="center"/>
        <w:rPr>
          <w:rFonts w:ascii="Times New Roman" w:hAnsi="Times New Roman" w:cs="Times New Roman"/>
        </w:rPr>
      </w:pPr>
      <w:r w:rsidRPr="00890E95">
        <w:rPr>
          <w:rFonts w:ascii="Times New Roman" w:hAnsi="Times New Roman" w:cs="Times New Roman"/>
        </w:rPr>
        <w:t xml:space="preserve">© Copyright by </w:t>
      </w:r>
      <w:r w:rsidR="00A34A38" w:rsidRPr="00890E95">
        <w:rPr>
          <w:rFonts w:ascii="Times New Roman" w:hAnsi="Times New Roman" w:cs="Times New Roman"/>
        </w:rPr>
        <w:t>Maegan Brewer</w:t>
      </w:r>
      <w:r w:rsidRPr="00890E95">
        <w:rPr>
          <w:rFonts w:ascii="Times New Roman" w:hAnsi="Times New Roman" w:cs="Times New Roman"/>
        </w:rPr>
        <w:t xml:space="preserve"> 2021</w:t>
      </w:r>
    </w:p>
    <w:p w14:paraId="3850301A" w14:textId="775223D1" w:rsidR="003D6193" w:rsidRPr="00890E95" w:rsidRDefault="00A95BFF" w:rsidP="003D6193">
      <w:pPr>
        <w:spacing w:line="360" w:lineRule="auto"/>
        <w:jc w:val="center"/>
        <w:rPr>
          <w:rFonts w:ascii="Times New Roman" w:hAnsi="Times New Roman" w:cs="Times New Roman"/>
        </w:rPr>
      </w:pPr>
      <w:r w:rsidRPr="00890E95">
        <w:rPr>
          <w:rFonts w:ascii="Times New Roman" w:hAnsi="Times New Roman" w:cs="Times New Roman"/>
        </w:rPr>
        <w:t>All Rights Reserved</w:t>
      </w:r>
      <w:r w:rsidR="00BD0EDD">
        <w:rPr>
          <w:rFonts w:ascii="Times New Roman" w:hAnsi="Times New Roman" w:cs="Times New Roman"/>
        </w:rPr>
        <w:t>.</w:t>
      </w:r>
    </w:p>
    <w:sdt>
      <w:sdtPr>
        <w:rPr>
          <w:rFonts w:asciiTheme="minorHAnsi" w:eastAsiaTheme="minorHAnsi" w:hAnsiTheme="minorHAnsi" w:cs="Times New Roman"/>
          <w:bCs w:val="0"/>
          <w:color w:val="auto"/>
          <w:szCs w:val="24"/>
        </w:rPr>
        <w:id w:val="1811737193"/>
        <w:docPartObj>
          <w:docPartGallery w:val="Table of Contents"/>
          <w:docPartUnique/>
        </w:docPartObj>
      </w:sdtPr>
      <w:sdtEndPr>
        <w:rPr>
          <w:b/>
          <w:noProof/>
        </w:rPr>
      </w:sdtEndPr>
      <w:sdtContent>
        <w:p w14:paraId="4A73BBA7" w14:textId="760BFCEA" w:rsidR="00F45E23" w:rsidRPr="00F45E23" w:rsidRDefault="00F45E23" w:rsidP="00F45E23">
          <w:pPr>
            <w:pStyle w:val="TOCHeading"/>
            <w:rPr>
              <w:rFonts w:asciiTheme="minorHAnsi" w:eastAsiaTheme="minorHAnsi" w:hAnsiTheme="minorHAnsi" w:cs="Times New Roman"/>
              <w:bCs w:val="0"/>
              <w:color w:val="auto"/>
              <w:szCs w:val="24"/>
            </w:rPr>
            <w:sectPr w:rsidR="00F45E23" w:rsidRPr="00F45E23" w:rsidSect="00BE34D4">
              <w:footerReference w:type="even" r:id="rId8"/>
              <w:footerReference w:type="default" r:id="rId9"/>
              <w:footerReference w:type="first" r:id="rId10"/>
              <w:pgSz w:w="12240" w:h="15840"/>
              <w:pgMar w:top="1440" w:right="1440" w:bottom="1440" w:left="1440" w:header="720" w:footer="720" w:gutter="0"/>
              <w:pgNumType w:fmt="lowerRoman"/>
              <w:cols w:space="720"/>
              <w:titlePg/>
              <w:docGrid w:linePitch="360"/>
            </w:sectPr>
          </w:pPr>
        </w:p>
        <w:p w14:paraId="6F1FBFF3" w14:textId="22985EA6" w:rsidR="00C37F05" w:rsidRPr="005B15BA" w:rsidRDefault="00C37F05" w:rsidP="00126711">
          <w:pPr>
            <w:pStyle w:val="TOCHeading"/>
            <w:jc w:val="center"/>
            <w:rPr>
              <w:rFonts w:cs="Times New Roman"/>
              <w:b/>
              <w:bCs w:val="0"/>
              <w:szCs w:val="24"/>
            </w:rPr>
          </w:pPr>
          <w:r w:rsidRPr="005B15BA">
            <w:rPr>
              <w:rFonts w:cs="Times New Roman"/>
              <w:b/>
              <w:bCs w:val="0"/>
              <w:szCs w:val="24"/>
            </w:rPr>
            <w:lastRenderedPageBreak/>
            <w:t>Table of Contents</w:t>
          </w:r>
        </w:p>
        <w:p w14:paraId="442DB0FE" w14:textId="4DB8911D" w:rsidR="00C52BC6" w:rsidRPr="00C52BC6" w:rsidRDefault="00C37F05">
          <w:pPr>
            <w:pStyle w:val="TOC1"/>
            <w:tabs>
              <w:tab w:val="right" w:leader="dot" w:pos="9350"/>
            </w:tabs>
            <w:rPr>
              <w:rFonts w:ascii="Times New Roman" w:eastAsiaTheme="minorEastAsia" w:hAnsi="Times New Roman" w:cs="Times New Roman"/>
              <w:b w:val="0"/>
              <w:bCs w:val="0"/>
              <w:caps w:val="0"/>
              <w:noProof/>
              <w:sz w:val="24"/>
              <w:szCs w:val="24"/>
            </w:rPr>
          </w:pPr>
          <w:r w:rsidRPr="005B15BA">
            <w:rPr>
              <w:rFonts w:ascii="Times New Roman" w:hAnsi="Times New Roman" w:cs="Times New Roman"/>
              <w:b w:val="0"/>
              <w:bCs w:val="0"/>
              <w:sz w:val="24"/>
              <w:szCs w:val="24"/>
            </w:rPr>
            <w:fldChar w:fldCharType="begin"/>
          </w:r>
          <w:r w:rsidRPr="005B15BA">
            <w:rPr>
              <w:rFonts w:ascii="Times New Roman" w:hAnsi="Times New Roman" w:cs="Times New Roman"/>
              <w:sz w:val="24"/>
              <w:szCs w:val="24"/>
            </w:rPr>
            <w:instrText xml:space="preserve"> TOC \o "1-3" \h \z \u </w:instrText>
          </w:r>
          <w:r w:rsidRPr="005B15BA">
            <w:rPr>
              <w:rFonts w:ascii="Times New Roman" w:hAnsi="Times New Roman" w:cs="Times New Roman"/>
              <w:b w:val="0"/>
              <w:bCs w:val="0"/>
              <w:sz w:val="24"/>
              <w:szCs w:val="24"/>
            </w:rPr>
            <w:fldChar w:fldCharType="separate"/>
          </w:r>
          <w:hyperlink w:anchor="_Toc85791386" w:history="1">
            <w:r w:rsidR="00C52BC6" w:rsidRPr="00C52BC6">
              <w:rPr>
                <w:rStyle w:val="Hyperlink"/>
                <w:rFonts w:ascii="Times New Roman" w:hAnsi="Times New Roman" w:cs="Times New Roman"/>
                <w:noProof/>
                <w:sz w:val="24"/>
                <w:szCs w:val="24"/>
              </w:rPr>
              <w:t>Abstract</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_Toc85791386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v</w:t>
            </w:r>
            <w:r w:rsidR="00C52BC6" w:rsidRPr="00C52BC6">
              <w:rPr>
                <w:rFonts w:ascii="Times New Roman" w:hAnsi="Times New Roman" w:cs="Times New Roman"/>
                <w:noProof/>
                <w:webHidden/>
                <w:sz w:val="24"/>
                <w:szCs w:val="24"/>
              </w:rPr>
              <w:fldChar w:fldCharType="end"/>
            </w:r>
          </w:hyperlink>
        </w:p>
        <w:p w14:paraId="27EBD59E" w14:textId="0E77118E" w:rsidR="00C52BC6" w:rsidRPr="00C52BC6" w:rsidRDefault="002F4F3D">
          <w:pPr>
            <w:pStyle w:val="TOC1"/>
            <w:tabs>
              <w:tab w:val="right" w:leader="dot" w:pos="9350"/>
            </w:tabs>
            <w:rPr>
              <w:rFonts w:ascii="Times New Roman" w:eastAsiaTheme="minorEastAsia" w:hAnsi="Times New Roman" w:cs="Times New Roman"/>
              <w:b w:val="0"/>
              <w:bCs w:val="0"/>
              <w:caps w:val="0"/>
              <w:noProof/>
              <w:sz w:val="24"/>
              <w:szCs w:val="24"/>
            </w:rPr>
          </w:pPr>
          <w:hyperlink w:anchor="_Toc85791387" w:history="1">
            <w:r w:rsidR="00C52BC6" w:rsidRPr="00C52BC6">
              <w:rPr>
                <w:rStyle w:val="Hyperlink"/>
                <w:rFonts w:ascii="Times New Roman" w:hAnsi="Times New Roman" w:cs="Times New Roman"/>
                <w:noProof/>
                <w:sz w:val="24"/>
                <w:szCs w:val="24"/>
              </w:rPr>
              <w:t>Chapter I – Introduction</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_Toc85791387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1</w:t>
            </w:r>
            <w:r w:rsidR="00C52BC6" w:rsidRPr="00C52BC6">
              <w:rPr>
                <w:rFonts w:ascii="Times New Roman" w:hAnsi="Times New Roman" w:cs="Times New Roman"/>
                <w:noProof/>
                <w:webHidden/>
                <w:sz w:val="24"/>
                <w:szCs w:val="24"/>
              </w:rPr>
              <w:fldChar w:fldCharType="end"/>
            </w:r>
          </w:hyperlink>
        </w:p>
        <w:p w14:paraId="1D6EE3F8" w14:textId="4F1A37DE"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388" w:history="1">
            <w:r w:rsidR="00C52BC6" w:rsidRPr="00C52BC6">
              <w:rPr>
                <w:rStyle w:val="Hyperlink"/>
                <w:rFonts w:ascii="Times New Roman" w:hAnsi="Times New Roman" w:cs="Times New Roman"/>
                <w:noProof/>
                <w:sz w:val="24"/>
                <w:szCs w:val="24"/>
              </w:rPr>
              <w:t>Introduction</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_Toc85791388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1</w:t>
            </w:r>
            <w:r w:rsidR="00C52BC6" w:rsidRPr="00C52BC6">
              <w:rPr>
                <w:rFonts w:ascii="Times New Roman" w:hAnsi="Times New Roman" w:cs="Times New Roman"/>
                <w:noProof/>
                <w:webHidden/>
                <w:sz w:val="24"/>
                <w:szCs w:val="24"/>
              </w:rPr>
              <w:fldChar w:fldCharType="end"/>
            </w:r>
          </w:hyperlink>
        </w:p>
        <w:p w14:paraId="422C6534" w14:textId="3B0DB60F"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389" w:history="1">
            <w:r w:rsidR="00C52BC6" w:rsidRPr="00C52BC6">
              <w:rPr>
                <w:rStyle w:val="Hyperlink"/>
                <w:rFonts w:ascii="Times New Roman" w:hAnsi="Times New Roman" w:cs="Times New Roman"/>
                <w:noProof/>
                <w:sz w:val="24"/>
                <w:szCs w:val="24"/>
              </w:rPr>
              <w:t>Research Questions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_Toc85791389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5</w:t>
            </w:r>
            <w:r w:rsidR="00C52BC6" w:rsidRPr="00C52BC6">
              <w:rPr>
                <w:rFonts w:ascii="Times New Roman" w:hAnsi="Times New Roman" w:cs="Times New Roman"/>
                <w:noProof/>
                <w:webHidden/>
                <w:sz w:val="24"/>
                <w:szCs w:val="24"/>
              </w:rPr>
              <w:fldChar w:fldCharType="end"/>
            </w:r>
          </w:hyperlink>
        </w:p>
        <w:p w14:paraId="3C335A00" w14:textId="588A3C14"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390" w:history="1">
            <w:r w:rsidR="00C52BC6" w:rsidRPr="00C52BC6">
              <w:rPr>
                <w:rStyle w:val="Hyperlink"/>
                <w:rFonts w:ascii="Times New Roman" w:hAnsi="Times New Roman" w:cs="Times New Roman"/>
                <w:noProof/>
                <w:sz w:val="24"/>
                <w:szCs w:val="24"/>
              </w:rPr>
              <w:t>Hypotheses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_Toc85791390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5</w:t>
            </w:r>
            <w:r w:rsidR="00C52BC6" w:rsidRPr="00C52BC6">
              <w:rPr>
                <w:rFonts w:ascii="Times New Roman" w:hAnsi="Times New Roman" w:cs="Times New Roman"/>
                <w:noProof/>
                <w:webHidden/>
                <w:sz w:val="24"/>
                <w:szCs w:val="24"/>
              </w:rPr>
              <w:fldChar w:fldCharType="end"/>
            </w:r>
          </w:hyperlink>
        </w:p>
        <w:p w14:paraId="1910913D" w14:textId="75E3C594"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391" w:history="1">
            <w:r w:rsidR="00C52BC6" w:rsidRPr="00C52BC6">
              <w:rPr>
                <w:rStyle w:val="Hyperlink"/>
                <w:rFonts w:ascii="Times New Roman" w:hAnsi="Times New Roman" w:cs="Times New Roman"/>
                <w:noProof/>
                <w:sz w:val="24"/>
                <w:szCs w:val="24"/>
              </w:rPr>
              <w:t>Significance of the Study</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_Toc85791391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7</w:t>
            </w:r>
            <w:r w:rsidR="00C52BC6" w:rsidRPr="00C52BC6">
              <w:rPr>
                <w:rFonts w:ascii="Times New Roman" w:hAnsi="Times New Roman" w:cs="Times New Roman"/>
                <w:noProof/>
                <w:webHidden/>
                <w:sz w:val="24"/>
                <w:szCs w:val="24"/>
              </w:rPr>
              <w:fldChar w:fldCharType="end"/>
            </w:r>
          </w:hyperlink>
        </w:p>
        <w:p w14:paraId="2BA07F78" w14:textId="758C2E0A"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392" w:history="1">
            <w:r w:rsidR="00C52BC6" w:rsidRPr="00C52BC6">
              <w:rPr>
                <w:rStyle w:val="Hyperlink"/>
                <w:rFonts w:ascii="Times New Roman" w:hAnsi="Times New Roman" w:cs="Times New Roman"/>
                <w:noProof/>
                <w:sz w:val="24"/>
                <w:szCs w:val="24"/>
              </w:rPr>
              <w:t>Delimitations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_Toc85791392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8</w:t>
            </w:r>
            <w:r w:rsidR="00C52BC6" w:rsidRPr="00C52BC6">
              <w:rPr>
                <w:rFonts w:ascii="Times New Roman" w:hAnsi="Times New Roman" w:cs="Times New Roman"/>
                <w:noProof/>
                <w:webHidden/>
                <w:sz w:val="24"/>
                <w:szCs w:val="24"/>
              </w:rPr>
              <w:fldChar w:fldCharType="end"/>
            </w:r>
          </w:hyperlink>
        </w:p>
        <w:p w14:paraId="4746DBCF" w14:textId="45FF54FD"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393" w:history="1">
            <w:r w:rsidR="00C52BC6" w:rsidRPr="00C52BC6">
              <w:rPr>
                <w:rStyle w:val="Hyperlink"/>
                <w:rFonts w:ascii="Times New Roman" w:hAnsi="Times New Roman" w:cs="Times New Roman"/>
                <w:noProof/>
                <w:sz w:val="24"/>
                <w:szCs w:val="24"/>
              </w:rPr>
              <w:t>Limitations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_Toc85791393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8</w:t>
            </w:r>
            <w:r w:rsidR="00C52BC6" w:rsidRPr="00C52BC6">
              <w:rPr>
                <w:rFonts w:ascii="Times New Roman" w:hAnsi="Times New Roman" w:cs="Times New Roman"/>
                <w:noProof/>
                <w:webHidden/>
                <w:sz w:val="24"/>
                <w:szCs w:val="24"/>
              </w:rPr>
              <w:fldChar w:fldCharType="end"/>
            </w:r>
          </w:hyperlink>
        </w:p>
        <w:p w14:paraId="046B7D67" w14:textId="1E92FFD8"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394" w:history="1">
            <w:r w:rsidR="00C52BC6" w:rsidRPr="00C52BC6">
              <w:rPr>
                <w:rStyle w:val="Hyperlink"/>
                <w:rFonts w:ascii="Times New Roman" w:hAnsi="Times New Roman" w:cs="Times New Roman"/>
                <w:noProof/>
                <w:sz w:val="24"/>
                <w:szCs w:val="24"/>
              </w:rPr>
              <w:t>Assumptions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_Toc85791394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8</w:t>
            </w:r>
            <w:r w:rsidR="00C52BC6" w:rsidRPr="00C52BC6">
              <w:rPr>
                <w:rFonts w:ascii="Times New Roman" w:hAnsi="Times New Roman" w:cs="Times New Roman"/>
                <w:noProof/>
                <w:webHidden/>
                <w:sz w:val="24"/>
                <w:szCs w:val="24"/>
              </w:rPr>
              <w:fldChar w:fldCharType="end"/>
            </w:r>
          </w:hyperlink>
        </w:p>
        <w:p w14:paraId="2AB68CCB" w14:textId="5C5624CE"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395" w:history="1">
            <w:r w:rsidR="00C52BC6" w:rsidRPr="00C52BC6">
              <w:rPr>
                <w:rStyle w:val="Hyperlink"/>
                <w:rFonts w:ascii="Times New Roman" w:hAnsi="Times New Roman" w:cs="Times New Roman"/>
                <w:noProof/>
                <w:sz w:val="24"/>
                <w:szCs w:val="24"/>
              </w:rPr>
              <w:t>Operational Definitions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_Toc85791395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8</w:t>
            </w:r>
            <w:r w:rsidR="00C52BC6" w:rsidRPr="00C52BC6">
              <w:rPr>
                <w:rFonts w:ascii="Times New Roman" w:hAnsi="Times New Roman" w:cs="Times New Roman"/>
                <w:noProof/>
                <w:webHidden/>
                <w:sz w:val="24"/>
                <w:szCs w:val="24"/>
              </w:rPr>
              <w:fldChar w:fldCharType="end"/>
            </w:r>
          </w:hyperlink>
        </w:p>
        <w:p w14:paraId="38442050" w14:textId="09E1286B" w:rsidR="00C52BC6" w:rsidRPr="00C52BC6" w:rsidRDefault="002F4F3D">
          <w:pPr>
            <w:pStyle w:val="TOC1"/>
            <w:tabs>
              <w:tab w:val="right" w:leader="dot" w:pos="9350"/>
            </w:tabs>
            <w:rPr>
              <w:rFonts w:ascii="Times New Roman" w:eastAsiaTheme="minorEastAsia" w:hAnsi="Times New Roman" w:cs="Times New Roman"/>
              <w:b w:val="0"/>
              <w:bCs w:val="0"/>
              <w:caps w:val="0"/>
              <w:noProof/>
              <w:sz w:val="24"/>
              <w:szCs w:val="24"/>
            </w:rPr>
          </w:pPr>
          <w:hyperlink w:anchor="_Toc85791396" w:history="1">
            <w:r w:rsidR="00C52BC6" w:rsidRPr="00C52BC6">
              <w:rPr>
                <w:rStyle w:val="Hyperlink"/>
                <w:rFonts w:ascii="Times New Roman" w:hAnsi="Times New Roman" w:cs="Times New Roman"/>
                <w:noProof/>
                <w:sz w:val="24"/>
                <w:szCs w:val="24"/>
              </w:rPr>
              <w:t>Chapter II – Literature Review</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_Toc85791396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10</w:t>
            </w:r>
            <w:r w:rsidR="00C52BC6" w:rsidRPr="00C52BC6">
              <w:rPr>
                <w:rFonts w:ascii="Times New Roman" w:hAnsi="Times New Roman" w:cs="Times New Roman"/>
                <w:noProof/>
                <w:webHidden/>
                <w:sz w:val="24"/>
                <w:szCs w:val="24"/>
              </w:rPr>
              <w:fldChar w:fldCharType="end"/>
            </w:r>
          </w:hyperlink>
        </w:p>
        <w:p w14:paraId="28986B5D" w14:textId="459BD913"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397" w:history="1">
            <w:r w:rsidR="00C52BC6" w:rsidRPr="00C52BC6">
              <w:rPr>
                <w:rStyle w:val="Hyperlink"/>
                <w:rFonts w:ascii="Times New Roman" w:hAnsi="Times New Roman" w:cs="Times New Roman"/>
                <w:noProof/>
                <w:sz w:val="24"/>
                <w:szCs w:val="24"/>
              </w:rPr>
              <w:t>Introduction</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_Toc85791397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10</w:t>
            </w:r>
            <w:r w:rsidR="00C52BC6" w:rsidRPr="00C52BC6">
              <w:rPr>
                <w:rFonts w:ascii="Times New Roman" w:hAnsi="Times New Roman" w:cs="Times New Roman"/>
                <w:noProof/>
                <w:webHidden/>
                <w:sz w:val="24"/>
                <w:szCs w:val="24"/>
              </w:rPr>
              <w:fldChar w:fldCharType="end"/>
            </w:r>
          </w:hyperlink>
        </w:p>
        <w:p w14:paraId="7A5BA181" w14:textId="5FBA5C92"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398" w:history="1">
            <w:r w:rsidR="00C52BC6" w:rsidRPr="00C52BC6">
              <w:rPr>
                <w:rStyle w:val="Hyperlink"/>
                <w:rFonts w:ascii="Times New Roman" w:eastAsia="Times New Roman" w:hAnsi="Times New Roman" w:cs="Times New Roman"/>
                <w:noProof/>
                <w:sz w:val="24"/>
                <w:szCs w:val="24"/>
              </w:rPr>
              <w:t>Stress, Fatigue, and Recovery</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_Toc85791398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10</w:t>
            </w:r>
            <w:r w:rsidR="00C52BC6" w:rsidRPr="00C52BC6">
              <w:rPr>
                <w:rFonts w:ascii="Times New Roman" w:hAnsi="Times New Roman" w:cs="Times New Roman"/>
                <w:noProof/>
                <w:webHidden/>
                <w:sz w:val="24"/>
                <w:szCs w:val="24"/>
              </w:rPr>
              <w:fldChar w:fldCharType="end"/>
            </w:r>
          </w:hyperlink>
        </w:p>
        <w:p w14:paraId="284FC016" w14:textId="6F34DF11"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399" w:history="1">
            <w:r w:rsidR="00C52BC6" w:rsidRPr="00C52BC6">
              <w:rPr>
                <w:rStyle w:val="Hyperlink"/>
                <w:rFonts w:ascii="Times New Roman" w:eastAsia="Times New Roman" w:hAnsi="Times New Roman" w:cs="Times New Roman"/>
                <w:noProof/>
                <w:sz w:val="24"/>
                <w:szCs w:val="24"/>
              </w:rPr>
              <w:t>Accelerometry</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_Toc85791399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16</w:t>
            </w:r>
            <w:r w:rsidR="00C52BC6" w:rsidRPr="00C52BC6">
              <w:rPr>
                <w:rFonts w:ascii="Times New Roman" w:hAnsi="Times New Roman" w:cs="Times New Roman"/>
                <w:noProof/>
                <w:webHidden/>
                <w:sz w:val="24"/>
                <w:szCs w:val="24"/>
              </w:rPr>
              <w:fldChar w:fldCharType="end"/>
            </w:r>
          </w:hyperlink>
        </w:p>
        <w:p w14:paraId="1688C6F7" w14:textId="5B0F98CB"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00" w:history="1">
            <w:r w:rsidR="00C52BC6" w:rsidRPr="00C52BC6">
              <w:rPr>
                <w:rStyle w:val="Hyperlink"/>
                <w:rFonts w:ascii="Times New Roman" w:hAnsi="Times New Roman" w:cs="Times New Roman"/>
                <w:noProof/>
                <w:sz w:val="24"/>
                <w:szCs w:val="24"/>
              </w:rPr>
              <w:t>Short Recovery Stress Scale</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_Toc85791400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18</w:t>
            </w:r>
            <w:r w:rsidR="00C52BC6" w:rsidRPr="00C52BC6">
              <w:rPr>
                <w:rFonts w:ascii="Times New Roman" w:hAnsi="Times New Roman" w:cs="Times New Roman"/>
                <w:noProof/>
                <w:webHidden/>
                <w:sz w:val="24"/>
                <w:szCs w:val="24"/>
              </w:rPr>
              <w:fldChar w:fldCharType="end"/>
            </w:r>
          </w:hyperlink>
        </w:p>
        <w:p w14:paraId="1845A356" w14:textId="18100F79"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01" w:history="1">
            <w:r w:rsidR="00C52BC6" w:rsidRPr="00C52BC6">
              <w:rPr>
                <w:rStyle w:val="Hyperlink"/>
                <w:rFonts w:ascii="Times New Roman" w:eastAsia="Times New Roman" w:hAnsi="Times New Roman" w:cs="Times New Roman"/>
                <w:noProof/>
                <w:sz w:val="24"/>
                <w:szCs w:val="24"/>
              </w:rPr>
              <w:t>Collegiate and Gymnastics Specific Stress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_Toc85791401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19</w:t>
            </w:r>
            <w:r w:rsidR="00C52BC6" w:rsidRPr="00C52BC6">
              <w:rPr>
                <w:rFonts w:ascii="Times New Roman" w:hAnsi="Times New Roman" w:cs="Times New Roman"/>
                <w:noProof/>
                <w:webHidden/>
                <w:sz w:val="24"/>
                <w:szCs w:val="24"/>
              </w:rPr>
              <w:fldChar w:fldCharType="end"/>
            </w:r>
          </w:hyperlink>
        </w:p>
        <w:p w14:paraId="4297D729" w14:textId="788EEE0E" w:rsidR="00C52BC6" w:rsidRPr="00C52BC6" w:rsidRDefault="002F4F3D">
          <w:pPr>
            <w:pStyle w:val="TOC1"/>
            <w:tabs>
              <w:tab w:val="right" w:leader="dot" w:pos="9350"/>
            </w:tabs>
            <w:rPr>
              <w:rFonts w:ascii="Times New Roman" w:eastAsiaTheme="minorEastAsia" w:hAnsi="Times New Roman" w:cs="Times New Roman"/>
              <w:b w:val="0"/>
              <w:bCs w:val="0"/>
              <w:caps w:val="0"/>
              <w:noProof/>
              <w:sz w:val="24"/>
              <w:szCs w:val="24"/>
            </w:rPr>
          </w:pPr>
          <w:hyperlink w:anchor="_Toc85791402" w:history="1">
            <w:r w:rsidR="00C52BC6" w:rsidRPr="00C52BC6">
              <w:rPr>
                <w:rStyle w:val="Hyperlink"/>
                <w:rFonts w:ascii="Times New Roman" w:hAnsi="Times New Roman" w:cs="Times New Roman"/>
                <w:noProof/>
                <w:sz w:val="24"/>
                <w:szCs w:val="24"/>
              </w:rPr>
              <w:t>Chapter III - Methodology</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_Toc85791402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23</w:t>
            </w:r>
            <w:r w:rsidR="00C52BC6" w:rsidRPr="00C52BC6">
              <w:rPr>
                <w:rFonts w:ascii="Times New Roman" w:hAnsi="Times New Roman" w:cs="Times New Roman"/>
                <w:noProof/>
                <w:webHidden/>
                <w:sz w:val="24"/>
                <w:szCs w:val="24"/>
              </w:rPr>
              <w:fldChar w:fldCharType="end"/>
            </w:r>
          </w:hyperlink>
        </w:p>
        <w:p w14:paraId="56260D38" w14:textId="1064F1A7"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03" w:history="1">
            <w:r w:rsidR="00C52BC6" w:rsidRPr="00C52BC6">
              <w:rPr>
                <w:rStyle w:val="Hyperlink"/>
                <w:rFonts w:ascii="Times New Roman" w:hAnsi="Times New Roman" w:cs="Times New Roman"/>
                <w:noProof/>
                <w:sz w:val="24"/>
                <w:szCs w:val="24"/>
              </w:rPr>
              <w:t>Introduction</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_Toc85791403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23</w:t>
            </w:r>
            <w:r w:rsidR="00C52BC6" w:rsidRPr="00C52BC6">
              <w:rPr>
                <w:rFonts w:ascii="Times New Roman" w:hAnsi="Times New Roman" w:cs="Times New Roman"/>
                <w:noProof/>
                <w:webHidden/>
                <w:sz w:val="24"/>
                <w:szCs w:val="24"/>
              </w:rPr>
              <w:fldChar w:fldCharType="end"/>
            </w:r>
          </w:hyperlink>
        </w:p>
        <w:p w14:paraId="0CD60892" w14:textId="50E51DF6"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04" w:history="1">
            <w:r w:rsidR="00C52BC6" w:rsidRPr="00C52BC6">
              <w:rPr>
                <w:rStyle w:val="Hyperlink"/>
                <w:rFonts w:ascii="Times New Roman" w:hAnsi="Times New Roman" w:cs="Times New Roman"/>
                <w:noProof/>
                <w:sz w:val="24"/>
                <w:szCs w:val="24"/>
              </w:rPr>
              <w:t>Research Design</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_Toc85791404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23</w:t>
            </w:r>
            <w:r w:rsidR="00C52BC6" w:rsidRPr="00C52BC6">
              <w:rPr>
                <w:rFonts w:ascii="Times New Roman" w:hAnsi="Times New Roman" w:cs="Times New Roman"/>
                <w:noProof/>
                <w:webHidden/>
                <w:sz w:val="24"/>
                <w:szCs w:val="24"/>
              </w:rPr>
              <w:fldChar w:fldCharType="end"/>
            </w:r>
          </w:hyperlink>
        </w:p>
        <w:p w14:paraId="0A1379BF" w14:textId="3B20269A"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05" w:history="1">
            <w:r w:rsidR="00C52BC6" w:rsidRPr="00C52BC6">
              <w:rPr>
                <w:rStyle w:val="Hyperlink"/>
                <w:rFonts w:ascii="Times New Roman" w:hAnsi="Times New Roman" w:cs="Times New Roman"/>
                <w:noProof/>
                <w:sz w:val="24"/>
                <w:szCs w:val="24"/>
              </w:rPr>
              <w:t>Subjects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_Toc85791405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24</w:t>
            </w:r>
            <w:r w:rsidR="00C52BC6" w:rsidRPr="00C52BC6">
              <w:rPr>
                <w:rFonts w:ascii="Times New Roman" w:hAnsi="Times New Roman" w:cs="Times New Roman"/>
                <w:noProof/>
                <w:webHidden/>
                <w:sz w:val="24"/>
                <w:szCs w:val="24"/>
              </w:rPr>
              <w:fldChar w:fldCharType="end"/>
            </w:r>
          </w:hyperlink>
        </w:p>
        <w:p w14:paraId="28324A69" w14:textId="1747B755"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06" w:history="1">
            <w:r w:rsidR="00C52BC6" w:rsidRPr="00C52BC6">
              <w:rPr>
                <w:rStyle w:val="Hyperlink"/>
                <w:rFonts w:ascii="Times New Roman" w:hAnsi="Times New Roman" w:cs="Times New Roman"/>
                <w:noProof/>
                <w:sz w:val="24"/>
                <w:szCs w:val="24"/>
              </w:rPr>
              <w:t>Procedures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_Toc85791406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24</w:t>
            </w:r>
            <w:r w:rsidR="00C52BC6" w:rsidRPr="00C52BC6">
              <w:rPr>
                <w:rFonts w:ascii="Times New Roman" w:hAnsi="Times New Roman" w:cs="Times New Roman"/>
                <w:noProof/>
                <w:webHidden/>
                <w:sz w:val="24"/>
                <w:szCs w:val="24"/>
              </w:rPr>
              <w:fldChar w:fldCharType="end"/>
            </w:r>
          </w:hyperlink>
        </w:p>
        <w:p w14:paraId="2C5D7690" w14:textId="0AE5F4D9"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07" w:history="1">
            <w:r w:rsidR="00C52BC6" w:rsidRPr="00C52BC6">
              <w:rPr>
                <w:rStyle w:val="Hyperlink"/>
                <w:rFonts w:ascii="Times New Roman" w:hAnsi="Times New Roman" w:cs="Times New Roman"/>
                <w:noProof/>
                <w:sz w:val="24"/>
                <w:szCs w:val="24"/>
                <w:bdr w:val="none" w:sz="0" w:space="0" w:color="auto" w:frame="1"/>
              </w:rPr>
              <w:t>Statistical Analyses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_Toc85791407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28</w:t>
            </w:r>
            <w:r w:rsidR="00C52BC6" w:rsidRPr="00C52BC6">
              <w:rPr>
                <w:rFonts w:ascii="Times New Roman" w:hAnsi="Times New Roman" w:cs="Times New Roman"/>
                <w:noProof/>
                <w:webHidden/>
                <w:sz w:val="24"/>
                <w:szCs w:val="24"/>
              </w:rPr>
              <w:fldChar w:fldCharType="end"/>
            </w:r>
          </w:hyperlink>
        </w:p>
        <w:p w14:paraId="189A32AE" w14:textId="4774F135" w:rsidR="00C52BC6" w:rsidRPr="00C52BC6" w:rsidRDefault="002F4F3D">
          <w:pPr>
            <w:pStyle w:val="TOC1"/>
            <w:tabs>
              <w:tab w:val="right" w:leader="dot" w:pos="9350"/>
            </w:tabs>
            <w:rPr>
              <w:rFonts w:ascii="Times New Roman" w:eastAsiaTheme="minorEastAsia" w:hAnsi="Times New Roman" w:cs="Times New Roman"/>
              <w:b w:val="0"/>
              <w:bCs w:val="0"/>
              <w:caps w:val="0"/>
              <w:noProof/>
              <w:sz w:val="24"/>
              <w:szCs w:val="24"/>
            </w:rPr>
          </w:pPr>
          <w:hyperlink w:anchor="_Toc85791408" w:history="1">
            <w:r w:rsidR="00C52BC6" w:rsidRPr="00C52BC6">
              <w:rPr>
                <w:rStyle w:val="Hyperlink"/>
                <w:rFonts w:ascii="Times New Roman" w:hAnsi="Times New Roman" w:cs="Times New Roman"/>
                <w:noProof/>
                <w:sz w:val="24"/>
                <w:szCs w:val="24"/>
              </w:rPr>
              <w:t>Chapter IV - Results &amp; Discussion</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_Toc85791408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30</w:t>
            </w:r>
            <w:r w:rsidR="00C52BC6" w:rsidRPr="00C52BC6">
              <w:rPr>
                <w:rFonts w:ascii="Times New Roman" w:hAnsi="Times New Roman" w:cs="Times New Roman"/>
                <w:noProof/>
                <w:webHidden/>
                <w:sz w:val="24"/>
                <w:szCs w:val="24"/>
              </w:rPr>
              <w:fldChar w:fldCharType="end"/>
            </w:r>
          </w:hyperlink>
        </w:p>
        <w:p w14:paraId="6E96F1CF" w14:textId="230D5751"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09" w:history="1">
            <w:r w:rsidR="00C52BC6" w:rsidRPr="00C52BC6">
              <w:rPr>
                <w:rStyle w:val="Hyperlink"/>
                <w:rFonts w:ascii="Times New Roman" w:hAnsi="Times New Roman" w:cs="Times New Roman"/>
                <w:noProof/>
                <w:sz w:val="24"/>
                <w:szCs w:val="24"/>
              </w:rPr>
              <w:t>T-tests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_Toc85791409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31</w:t>
            </w:r>
            <w:r w:rsidR="00C52BC6" w:rsidRPr="00C52BC6">
              <w:rPr>
                <w:rFonts w:ascii="Times New Roman" w:hAnsi="Times New Roman" w:cs="Times New Roman"/>
                <w:noProof/>
                <w:webHidden/>
                <w:sz w:val="24"/>
                <w:szCs w:val="24"/>
              </w:rPr>
              <w:fldChar w:fldCharType="end"/>
            </w:r>
          </w:hyperlink>
        </w:p>
        <w:p w14:paraId="2FC77FAC" w14:textId="591B9E9D"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10" w:history="1">
            <w:r w:rsidR="00C52BC6" w:rsidRPr="00C52BC6">
              <w:rPr>
                <w:rStyle w:val="Hyperlink"/>
                <w:rFonts w:ascii="Times New Roman" w:hAnsi="Times New Roman" w:cs="Times New Roman"/>
                <w:noProof/>
                <w:sz w:val="24"/>
                <w:szCs w:val="24"/>
              </w:rPr>
              <w:t>Repeated Measures ANOVA</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_Toc85791410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34</w:t>
            </w:r>
            <w:r w:rsidR="00C52BC6" w:rsidRPr="00C52BC6">
              <w:rPr>
                <w:rFonts w:ascii="Times New Roman" w:hAnsi="Times New Roman" w:cs="Times New Roman"/>
                <w:noProof/>
                <w:webHidden/>
                <w:sz w:val="24"/>
                <w:szCs w:val="24"/>
              </w:rPr>
              <w:fldChar w:fldCharType="end"/>
            </w:r>
          </w:hyperlink>
        </w:p>
        <w:p w14:paraId="1379AB80" w14:textId="036CDF82"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11" w:history="1">
            <w:r w:rsidR="00C52BC6" w:rsidRPr="00C52BC6">
              <w:rPr>
                <w:rStyle w:val="Hyperlink"/>
                <w:rFonts w:ascii="Times New Roman" w:hAnsi="Times New Roman" w:cs="Times New Roman"/>
                <w:noProof/>
                <w:sz w:val="24"/>
                <w:szCs w:val="24"/>
              </w:rPr>
              <w:t>Correlations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_Toc85791411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36</w:t>
            </w:r>
            <w:r w:rsidR="00C52BC6" w:rsidRPr="00C52BC6">
              <w:rPr>
                <w:rFonts w:ascii="Times New Roman" w:hAnsi="Times New Roman" w:cs="Times New Roman"/>
                <w:noProof/>
                <w:webHidden/>
                <w:sz w:val="24"/>
                <w:szCs w:val="24"/>
              </w:rPr>
              <w:fldChar w:fldCharType="end"/>
            </w:r>
          </w:hyperlink>
        </w:p>
        <w:p w14:paraId="3DB501F3" w14:textId="6DCE91EA"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12" w:history="1">
            <w:r w:rsidR="00C52BC6" w:rsidRPr="00C52BC6">
              <w:rPr>
                <w:rStyle w:val="Hyperlink"/>
                <w:rFonts w:ascii="Times New Roman" w:hAnsi="Times New Roman" w:cs="Times New Roman"/>
                <w:noProof/>
                <w:sz w:val="24"/>
                <w:szCs w:val="24"/>
              </w:rPr>
              <w:t>Under-recovery and Excess Stress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_Toc85791412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44</w:t>
            </w:r>
            <w:r w:rsidR="00C52BC6" w:rsidRPr="00C52BC6">
              <w:rPr>
                <w:rFonts w:ascii="Times New Roman" w:hAnsi="Times New Roman" w:cs="Times New Roman"/>
                <w:noProof/>
                <w:webHidden/>
                <w:sz w:val="24"/>
                <w:szCs w:val="24"/>
              </w:rPr>
              <w:fldChar w:fldCharType="end"/>
            </w:r>
          </w:hyperlink>
        </w:p>
        <w:p w14:paraId="6418A6CF" w14:textId="3023D027"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13" w:history="1">
            <w:r w:rsidR="00C52BC6" w:rsidRPr="00C52BC6">
              <w:rPr>
                <w:rStyle w:val="Hyperlink"/>
                <w:rFonts w:ascii="Times New Roman" w:hAnsi="Times New Roman" w:cs="Times New Roman"/>
                <w:noProof/>
                <w:sz w:val="24"/>
                <w:szCs w:val="24"/>
              </w:rPr>
              <w:t>Monotony</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_Toc85791413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44</w:t>
            </w:r>
            <w:r w:rsidR="00C52BC6" w:rsidRPr="00C52BC6">
              <w:rPr>
                <w:rFonts w:ascii="Times New Roman" w:hAnsi="Times New Roman" w:cs="Times New Roman"/>
                <w:noProof/>
                <w:webHidden/>
                <w:sz w:val="24"/>
                <w:szCs w:val="24"/>
              </w:rPr>
              <w:fldChar w:fldCharType="end"/>
            </w:r>
          </w:hyperlink>
        </w:p>
        <w:p w14:paraId="20C443BE" w14:textId="6E34CE23"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14" w:history="1">
            <w:r w:rsidR="00C52BC6" w:rsidRPr="00C52BC6">
              <w:rPr>
                <w:rStyle w:val="Hyperlink"/>
                <w:rFonts w:ascii="Times New Roman" w:hAnsi="Times New Roman" w:cs="Times New Roman"/>
                <w:noProof/>
                <w:sz w:val="24"/>
                <w:szCs w:val="24"/>
              </w:rPr>
              <w:t>Training Phase Patterns for Recovery, Stress, Sleep, and Soreness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_Toc85791414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45</w:t>
            </w:r>
            <w:r w:rsidR="00C52BC6" w:rsidRPr="00C52BC6">
              <w:rPr>
                <w:rFonts w:ascii="Times New Roman" w:hAnsi="Times New Roman" w:cs="Times New Roman"/>
                <w:noProof/>
                <w:webHidden/>
                <w:sz w:val="24"/>
                <w:szCs w:val="24"/>
              </w:rPr>
              <w:fldChar w:fldCharType="end"/>
            </w:r>
          </w:hyperlink>
        </w:p>
        <w:p w14:paraId="2467A31F" w14:textId="71A8C11A"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15" w:history="1">
            <w:r w:rsidR="00C52BC6" w:rsidRPr="00C52BC6">
              <w:rPr>
                <w:rStyle w:val="Hyperlink"/>
                <w:rFonts w:ascii="Times New Roman" w:hAnsi="Times New Roman" w:cs="Times New Roman"/>
                <w:noProof/>
                <w:sz w:val="24"/>
                <w:szCs w:val="24"/>
              </w:rPr>
              <w:t>Training Phase Team Averages for Recovery, Stress, Sleep, and Soreness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_Toc85791415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50</w:t>
            </w:r>
            <w:r w:rsidR="00C52BC6" w:rsidRPr="00C52BC6">
              <w:rPr>
                <w:rFonts w:ascii="Times New Roman" w:hAnsi="Times New Roman" w:cs="Times New Roman"/>
                <w:noProof/>
                <w:webHidden/>
                <w:sz w:val="24"/>
                <w:szCs w:val="24"/>
              </w:rPr>
              <w:fldChar w:fldCharType="end"/>
            </w:r>
          </w:hyperlink>
        </w:p>
        <w:p w14:paraId="36E9A099" w14:textId="40BE65FD"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16" w:history="1">
            <w:r w:rsidR="00C52BC6" w:rsidRPr="00C52BC6">
              <w:rPr>
                <w:rStyle w:val="Hyperlink"/>
                <w:rFonts w:ascii="Times New Roman" w:hAnsi="Times New Roman" w:cs="Times New Roman"/>
                <w:noProof/>
                <w:sz w:val="24"/>
                <w:szCs w:val="24"/>
              </w:rPr>
              <w:t>Discussion</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_Toc85791416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52</w:t>
            </w:r>
            <w:r w:rsidR="00C52BC6" w:rsidRPr="00C52BC6">
              <w:rPr>
                <w:rFonts w:ascii="Times New Roman" w:hAnsi="Times New Roman" w:cs="Times New Roman"/>
                <w:noProof/>
                <w:webHidden/>
                <w:sz w:val="24"/>
                <w:szCs w:val="24"/>
              </w:rPr>
              <w:fldChar w:fldCharType="end"/>
            </w:r>
          </w:hyperlink>
        </w:p>
        <w:p w14:paraId="3BC2DA3C" w14:textId="66E463E8"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17" w:history="1">
            <w:r w:rsidR="00C52BC6" w:rsidRPr="00C52BC6">
              <w:rPr>
                <w:rStyle w:val="Hyperlink"/>
                <w:rFonts w:ascii="Times New Roman" w:hAnsi="Times New Roman" w:cs="Times New Roman"/>
                <w:noProof/>
                <w:sz w:val="24"/>
                <w:szCs w:val="24"/>
              </w:rPr>
              <w:t>Limitations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_Toc85791417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59</w:t>
            </w:r>
            <w:r w:rsidR="00C52BC6" w:rsidRPr="00C52BC6">
              <w:rPr>
                <w:rFonts w:ascii="Times New Roman" w:hAnsi="Times New Roman" w:cs="Times New Roman"/>
                <w:noProof/>
                <w:webHidden/>
                <w:sz w:val="24"/>
                <w:szCs w:val="24"/>
              </w:rPr>
              <w:fldChar w:fldCharType="end"/>
            </w:r>
          </w:hyperlink>
        </w:p>
        <w:p w14:paraId="3D3B02AB" w14:textId="469DA5AC" w:rsidR="00C52BC6" w:rsidRPr="00C52BC6" w:rsidRDefault="002F4F3D">
          <w:pPr>
            <w:pStyle w:val="TOC1"/>
            <w:tabs>
              <w:tab w:val="right" w:leader="dot" w:pos="9350"/>
            </w:tabs>
            <w:rPr>
              <w:rFonts w:ascii="Times New Roman" w:eastAsiaTheme="minorEastAsia" w:hAnsi="Times New Roman" w:cs="Times New Roman"/>
              <w:b w:val="0"/>
              <w:bCs w:val="0"/>
              <w:caps w:val="0"/>
              <w:noProof/>
              <w:sz w:val="24"/>
              <w:szCs w:val="24"/>
            </w:rPr>
          </w:pPr>
          <w:hyperlink w:anchor="_Toc85791418" w:history="1">
            <w:r w:rsidR="00C52BC6" w:rsidRPr="00C52BC6">
              <w:rPr>
                <w:rStyle w:val="Hyperlink"/>
                <w:rFonts w:ascii="Times New Roman" w:hAnsi="Times New Roman" w:cs="Times New Roman"/>
                <w:noProof/>
                <w:sz w:val="24"/>
                <w:szCs w:val="24"/>
              </w:rPr>
              <w:t>Chapter V - Conclusions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_Toc85791418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61</w:t>
            </w:r>
            <w:r w:rsidR="00C52BC6" w:rsidRPr="00C52BC6">
              <w:rPr>
                <w:rFonts w:ascii="Times New Roman" w:hAnsi="Times New Roman" w:cs="Times New Roman"/>
                <w:noProof/>
                <w:webHidden/>
                <w:sz w:val="24"/>
                <w:szCs w:val="24"/>
              </w:rPr>
              <w:fldChar w:fldCharType="end"/>
            </w:r>
          </w:hyperlink>
        </w:p>
        <w:p w14:paraId="1BE22FEB" w14:textId="0F4C8B2E"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19" w:history="1">
            <w:r w:rsidR="00C52BC6" w:rsidRPr="00C52BC6">
              <w:rPr>
                <w:rStyle w:val="Hyperlink"/>
                <w:rFonts w:ascii="Times New Roman" w:hAnsi="Times New Roman" w:cs="Times New Roman"/>
                <w:noProof/>
                <w:sz w:val="24"/>
                <w:szCs w:val="24"/>
              </w:rPr>
              <w:t>Practical Significance and Applications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_Toc85791419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61</w:t>
            </w:r>
            <w:r w:rsidR="00C52BC6" w:rsidRPr="00C52BC6">
              <w:rPr>
                <w:rFonts w:ascii="Times New Roman" w:hAnsi="Times New Roman" w:cs="Times New Roman"/>
                <w:noProof/>
                <w:webHidden/>
                <w:sz w:val="24"/>
                <w:szCs w:val="24"/>
              </w:rPr>
              <w:fldChar w:fldCharType="end"/>
            </w:r>
          </w:hyperlink>
        </w:p>
        <w:p w14:paraId="4F54FD06" w14:textId="1FD2B638"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20" w:history="1">
            <w:r w:rsidR="00C52BC6" w:rsidRPr="00C52BC6">
              <w:rPr>
                <w:rStyle w:val="Hyperlink"/>
                <w:rFonts w:ascii="Times New Roman" w:hAnsi="Times New Roman" w:cs="Times New Roman"/>
                <w:noProof/>
                <w:sz w:val="24"/>
                <w:szCs w:val="24"/>
              </w:rPr>
              <w:t>Future Study Recommendations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_Toc85791420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62</w:t>
            </w:r>
            <w:r w:rsidR="00C52BC6" w:rsidRPr="00C52BC6">
              <w:rPr>
                <w:rFonts w:ascii="Times New Roman" w:hAnsi="Times New Roman" w:cs="Times New Roman"/>
                <w:noProof/>
                <w:webHidden/>
                <w:sz w:val="24"/>
                <w:szCs w:val="24"/>
              </w:rPr>
              <w:fldChar w:fldCharType="end"/>
            </w:r>
          </w:hyperlink>
        </w:p>
        <w:p w14:paraId="0A7BA0EE" w14:textId="26E71B15" w:rsidR="00C52BC6" w:rsidRPr="00C52BC6" w:rsidRDefault="002F4F3D">
          <w:pPr>
            <w:pStyle w:val="TOC3"/>
            <w:tabs>
              <w:tab w:val="right" w:leader="dot" w:pos="9350"/>
            </w:tabs>
            <w:rPr>
              <w:rFonts w:ascii="Times New Roman" w:eastAsiaTheme="minorEastAsia" w:hAnsi="Times New Roman" w:cs="Times New Roman"/>
              <w:i w:val="0"/>
              <w:iCs w:val="0"/>
              <w:noProof/>
              <w:sz w:val="24"/>
              <w:szCs w:val="24"/>
            </w:rPr>
          </w:pPr>
          <w:hyperlink w:anchor="_Toc85791421" w:history="1">
            <w:r w:rsidR="00C52BC6" w:rsidRPr="00C52BC6">
              <w:rPr>
                <w:rStyle w:val="Hyperlink"/>
                <w:rFonts w:ascii="Times New Roman" w:hAnsi="Times New Roman" w:cs="Times New Roman"/>
                <w:noProof/>
                <w:sz w:val="24"/>
                <w:szCs w:val="24"/>
              </w:rPr>
              <w:t>Practical Recommendations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_Toc85791421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63</w:t>
            </w:r>
            <w:r w:rsidR="00C52BC6" w:rsidRPr="00C52BC6">
              <w:rPr>
                <w:rFonts w:ascii="Times New Roman" w:hAnsi="Times New Roman" w:cs="Times New Roman"/>
                <w:noProof/>
                <w:webHidden/>
                <w:sz w:val="24"/>
                <w:szCs w:val="24"/>
              </w:rPr>
              <w:fldChar w:fldCharType="end"/>
            </w:r>
          </w:hyperlink>
        </w:p>
        <w:p w14:paraId="43D98475" w14:textId="39C330EB" w:rsidR="00C52BC6" w:rsidRDefault="002F4F3D">
          <w:pPr>
            <w:pStyle w:val="TOC1"/>
            <w:tabs>
              <w:tab w:val="right" w:leader="dot" w:pos="9350"/>
            </w:tabs>
            <w:rPr>
              <w:rFonts w:eastAsiaTheme="minorEastAsia" w:cstheme="minorBidi"/>
              <w:b w:val="0"/>
              <w:bCs w:val="0"/>
              <w:caps w:val="0"/>
              <w:noProof/>
              <w:sz w:val="24"/>
              <w:szCs w:val="24"/>
            </w:rPr>
          </w:pPr>
          <w:hyperlink w:anchor="_Toc85791422" w:history="1">
            <w:r w:rsidR="00C52BC6" w:rsidRPr="00C52BC6">
              <w:rPr>
                <w:rStyle w:val="Hyperlink"/>
                <w:rFonts w:ascii="Times New Roman" w:hAnsi="Times New Roman" w:cs="Times New Roman"/>
                <w:noProof/>
                <w:sz w:val="24"/>
                <w:szCs w:val="24"/>
              </w:rPr>
              <w:t>References</w:t>
            </w:r>
            <w:r w:rsidR="00C52BC6" w:rsidRPr="00C52BC6">
              <w:rPr>
                <w:rFonts w:ascii="Times New Roman" w:hAnsi="Times New Roman" w:cs="Times New Roman"/>
                <w:noProof/>
                <w:webHidden/>
                <w:sz w:val="24"/>
                <w:szCs w:val="24"/>
              </w:rPr>
              <w:tab/>
            </w:r>
            <w:r w:rsidR="00C52BC6" w:rsidRPr="00C52BC6">
              <w:rPr>
                <w:rFonts w:ascii="Times New Roman" w:hAnsi="Times New Roman" w:cs="Times New Roman"/>
                <w:noProof/>
                <w:webHidden/>
                <w:sz w:val="24"/>
                <w:szCs w:val="24"/>
              </w:rPr>
              <w:fldChar w:fldCharType="begin"/>
            </w:r>
            <w:r w:rsidR="00C52BC6" w:rsidRPr="00C52BC6">
              <w:rPr>
                <w:rFonts w:ascii="Times New Roman" w:hAnsi="Times New Roman" w:cs="Times New Roman"/>
                <w:noProof/>
                <w:webHidden/>
                <w:sz w:val="24"/>
                <w:szCs w:val="24"/>
              </w:rPr>
              <w:instrText xml:space="preserve"> PAGEREF _Toc85791422 \h </w:instrText>
            </w:r>
            <w:r w:rsidR="00C52BC6" w:rsidRPr="00C52BC6">
              <w:rPr>
                <w:rFonts w:ascii="Times New Roman" w:hAnsi="Times New Roman" w:cs="Times New Roman"/>
                <w:noProof/>
                <w:webHidden/>
                <w:sz w:val="24"/>
                <w:szCs w:val="24"/>
              </w:rPr>
            </w:r>
            <w:r w:rsidR="00C52BC6" w:rsidRPr="00C52BC6">
              <w:rPr>
                <w:rFonts w:ascii="Times New Roman" w:hAnsi="Times New Roman" w:cs="Times New Roman"/>
                <w:noProof/>
                <w:webHidden/>
                <w:sz w:val="24"/>
                <w:szCs w:val="24"/>
              </w:rPr>
              <w:fldChar w:fldCharType="separate"/>
            </w:r>
            <w:r w:rsidR="00054FB6">
              <w:rPr>
                <w:rFonts w:ascii="Times New Roman" w:hAnsi="Times New Roman" w:cs="Times New Roman"/>
                <w:noProof/>
                <w:webHidden/>
                <w:sz w:val="24"/>
                <w:szCs w:val="24"/>
              </w:rPr>
              <w:t>65</w:t>
            </w:r>
            <w:r w:rsidR="00C52BC6" w:rsidRPr="00C52BC6">
              <w:rPr>
                <w:rFonts w:ascii="Times New Roman" w:hAnsi="Times New Roman" w:cs="Times New Roman"/>
                <w:noProof/>
                <w:webHidden/>
                <w:sz w:val="24"/>
                <w:szCs w:val="24"/>
              </w:rPr>
              <w:fldChar w:fldCharType="end"/>
            </w:r>
          </w:hyperlink>
        </w:p>
        <w:p w14:paraId="3013C2EB" w14:textId="653F9666" w:rsidR="00C37F05" w:rsidRPr="00890E95" w:rsidRDefault="00C37F05">
          <w:pPr>
            <w:rPr>
              <w:rFonts w:ascii="Times New Roman" w:hAnsi="Times New Roman" w:cs="Times New Roman"/>
            </w:rPr>
          </w:pPr>
          <w:r w:rsidRPr="005B15BA">
            <w:rPr>
              <w:rFonts w:ascii="Times New Roman" w:hAnsi="Times New Roman" w:cs="Times New Roman"/>
              <w:b/>
              <w:bCs/>
              <w:noProof/>
            </w:rPr>
            <w:fldChar w:fldCharType="end"/>
          </w:r>
        </w:p>
      </w:sdtContent>
    </w:sdt>
    <w:p w14:paraId="71EF4789" w14:textId="77777777" w:rsidR="00A9498E" w:rsidRDefault="00A9498E" w:rsidP="00A9498E">
      <w:pPr>
        <w:pStyle w:val="Heading1"/>
        <w:jc w:val="left"/>
      </w:pPr>
      <w:bookmarkStart w:id="0" w:name="_Toc85791386"/>
      <w:r>
        <w:br w:type="page"/>
      </w:r>
    </w:p>
    <w:p w14:paraId="278B0758" w14:textId="2981C1A9" w:rsidR="00AA61BA" w:rsidRDefault="00AA61BA" w:rsidP="00A9498E">
      <w:pPr>
        <w:pStyle w:val="Heading1"/>
      </w:pPr>
      <w:r>
        <w:lastRenderedPageBreak/>
        <w:t>Abstract</w:t>
      </w:r>
      <w:bookmarkEnd w:id="0"/>
    </w:p>
    <w:p w14:paraId="768EDB47" w14:textId="77777777" w:rsidR="00144817" w:rsidRDefault="00AA61BA" w:rsidP="00AA61BA">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Gymnasts is a high intensity, monotonous, and extremely physically and mentally demanding sport. Despite strong research in other, primarily male, populations, internal and external load measures have been scarcely researched in female gymnasts. </w:t>
      </w:r>
      <w:r>
        <w:rPr>
          <w:rFonts w:ascii="Times New Roman" w:hAnsi="Times New Roman" w:cs="Times New Roman"/>
          <w:b/>
          <w:bCs/>
        </w:rPr>
        <w:t>PURPOSE:</w:t>
      </w:r>
      <w:r>
        <w:rPr>
          <w:rFonts w:ascii="Times New Roman" w:hAnsi="Times New Roman" w:cs="Times New Roman"/>
        </w:rPr>
        <w:t xml:space="preserve"> T</w:t>
      </w:r>
      <w:r w:rsidRPr="00890E95">
        <w:rPr>
          <w:rFonts w:ascii="Times New Roman" w:hAnsi="Times New Roman" w:cs="Times New Roman"/>
        </w:rPr>
        <w:t>he purpose of this retrospective analysis is to assess the utility and effectiveness of monitoring internal load, via subjective ratings of physical, mental, and emotional status, and external load, through accelerometry-based metrics, in NCAA female gymnasts.</w:t>
      </w:r>
      <w:r>
        <w:rPr>
          <w:rFonts w:ascii="Times New Roman" w:hAnsi="Times New Roman" w:cs="Times New Roman"/>
        </w:rPr>
        <w:t xml:space="preserve"> </w:t>
      </w:r>
      <w:r>
        <w:rPr>
          <w:rFonts w:ascii="Times New Roman" w:hAnsi="Times New Roman" w:cs="Times New Roman"/>
          <w:b/>
          <w:bCs/>
        </w:rPr>
        <w:t xml:space="preserve">METHODS: </w:t>
      </w:r>
      <w:r>
        <w:rPr>
          <w:rFonts w:ascii="Times New Roman" w:hAnsi="Times New Roman" w:cs="Times New Roman"/>
        </w:rPr>
        <w:t xml:space="preserve">Internal and external load was tracked for one preseason </w:t>
      </w:r>
      <w:r w:rsidRPr="00890E95">
        <w:rPr>
          <w:rFonts w:ascii="Times New Roman" w:hAnsi="Times New Roman" w:cs="Times New Roman"/>
        </w:rPr>
        <w:t>(September 2019 thru January 2020)</w:t>
      </w:r>
      <w:r>
        <w:rPr>
          <w:rFonts w:ascii="Times New Roman" w:hAnsi="Times New Roman" w:cs="Times New Roman"/>
        </w:rPr>
        <w:t xml:space="preserve"> for a </w:t>
      </w:r>
      <w:r w:rsidRPr="00890E95">
        <w:rPr>
          <w:rFonts w:ascii="Times New Roman" w:hAnsi="Times New Roman" w:cs="Times New Roman"/>
        </w:rPr>
        <w:t>NCAA Division I women’s gymnastics team</w:t>
      </w:r>
      <w:r>
        <w:rPr>
          <w:rFonts w:ascii="Times New Roman" w:hAnsi="Times New Roman" w:cs="Times New Roman"/>
        </w:rPr>
        <w:t xml:space="preserve">. </w:t>
      </w:r>
      <w:r w:rsidRPr="00890E95">
        <w:rPr>
          <w:rFonts w:ascii="Times New Roman" w:hAnsi="Times New Roman" w:cs="Times New Roman"/>
        </w:rPr>
        <w:t>The SRSS was used for subjective internal load measures and Catapult trackers were used to measure objective external load.</w:t>
      </w:r>
      <w:r>
        <w:rPr>
          <w:rFonts w:ascii="Times New Roman" w:hAnsi="Times New Roman" w:cs="Times New Roman"/>
        </w:rPr>
        <w:t xml:space="preserve"> The SRSS tracked recovery and stress measures with an added visual analogue scale for sleep and soreness, while the Catapult trackers monitored </w:t>
      </w:r>
      <w:r w:rsidRPr="00890E95">
        <w:rPr>
          <w:rFonts w:ascii="Times New Roman" w:hAnsi="Times New Roman" w:cs="Times New Roman"/>
        </w:rPr>
        <w:t>Player Load, Player Load per Minute, Average Player Load, Total Inertial Movement Analysis (IMA), and IMA jump counts.</w:t>
      </w:r>
      <w:r w:rsidR="005B3F5B">
        <w:rPr>
          <w:rFonts w:ascii="Times New Roman" w:hAnsi="Times New Roman" w:cs="Times New Roman"/>
        </w:rPr>
        <w:t xml:space="preserve"> </w:t>
      </w:r>
      <w:r w:rsidR="005B3F5B">
        <w:rPr>
          <w:rFonts w:ascii="Times New Roman" w:hAnsi="Times New Roman" w:cs="Times New Roman"/>
          <w:b/>
          <w:bCs/>
        </w:rPr>
        <w:t xml:space="preserve">RESULTS: </w:t>
      </w:r>
      <w:r w:rsidR="00A05EE7">
        <w:rPr>
          <w:rFonts w:ascii="Times New Roman" w:hAnsi="Times New Roman" w:cs="Times New Roman"/>
        </w:rPr>
        <w:t xml:space="preserve">All internal load measures correlated with </w:t>
      </w:r>
      <w:proofErr w:type="gramStart"/>
      <w:r w:rsidR="00A05EE7">
        <w:rPr>
          <w:rFonts w:ascii="Times New Roman" w:hAnsi="Times New Roman" w:cs="Times New Roman"/>
        </w:rPr>
        <w:t>one another</w:t>
      </w:r>
      <w:proofErr w:type="gramEnd"/>
      <w:r w:rsidR="00A05EE7">
        <w:rPr>
          <w:rFonts w:ascii="Times New Roman" w:hAnsi="Times New Roman" w:cs="Times New Roman"/>
        </w:rPr>
        <w:t xml:space="preserve"> and external load measures were found to be related to one another, however no relationship existed between internal and external load measures. Sleep and soreness also showed correlations with many load measures. </w:t>
      </w:r>
      <w:r w:rsidR="008C0C30">
        <w:rPr>
          <w:rFonts w:ascii="Times New Roman" w:hAnsi="Times New Roman" w:cs="Times New Roman"/>
        </w:rPr>
        <w:t xml:space="preserve">External load generally decreased over the training blocks of the preseason. </w:t>
      </w:r>
      <w:r w:rsidR="008C0C30">
        <w:rPr>
          <w:rFonts w:ascii="Times New Roman" w:hAnsi="Times New Roman" w:cs="Times New Roman"/>
          <w:b/>
          <w:bCs/>
        </w:rPr>
        <w:t>CONCLUSION:</w:t>
      </w:r>
      <w:r w:rsidR="008C0C30">
        <w:rPr>
          <w:rFonts w:ascii="Times New Roman" w:hAnsi="Times New Roman" w:cs="Times New Roman"/>
        </w:rPr>
        <w:t xml:space="preserve"> Individualized internal and external load monitoring may be necessary for eliciting optimal recovery and performance in elite female gymnasts. </w:t>
      </w:r>
    </w:p>
    <w:p w14:paraId="4E5306ED" w14:textId="6DCEDF82" w:rsidR="00AA61BA" w:rsidRPr="00144817" w:rsidRDefault="00144817" w:rsidP="00AA61BA">
      <w:pPr>
        <w:spacing w:line="480" w:lineRule="auto"/>
        <w:rPr>
          <w:rFonts w:ascii="Times New Roman" w:hAnsi="Times New Roman" w:cs="Times New Roman"/>
        </w:rPr>
      </w:pPr>
      <w:r>
        <w:rPr>
          <w:rFonts w:ascii="Times New Roman" w:hAnsi="Times New Roman" w:cs="Times New Roman"/>
          <w:b/>
          <w:bCs/>
        </w:rPr>
        <w:t xml:space="preserve">KEY WORDS: </w:t>
      </w:r>
      <w:r>
        <w:rPr>
          <w:rFonts w:ascii="Times New Roman" w:hAnsi="Times New Roman" w:cs="Times New Roman"/>
        </w:rPr>
        <w:t>Internal load, External load, Gymnasts, Sleep, Soreness, Monotony</w:t>
      </w:r>
    </w:p>
    <w:p w14:paraId="13EBB1A1" w14:textId="77777777" w:rsidR="00AA61BA" w:rsidRPr="00AA61BA" w:rsidRDefault="00AA61BA" w:rsidP="00AA61BA">
      <w:pPr>
        <w:spacing w:line="480" w:lineRule="auto"/>
        <w:rPr>
          <w:rFonts w:ascii="Times New Roman" w:hAnsi="Times New Roman" w:cs="Times New Roman"/>
        </w:rPr>
      </w:pPr>
    </w:p>
    <w:p w14:paraId="60B631E5" w14:textId="77777777" w:rsidR="0018416C" w:rsidRDefault="0018416C" w:rsidP="001A54BA">
      <w:pPr>
        <w:pStyle w:val="Heading1"/>
        <w:rPr>
          <w:rFonts w:cs="Times New Roman"/>
          <w:szCs w:val="24"/>
        </w:rPr>
        <w:sectPr w:rsidR="0018416C" w:rsidSect="0018416C">
          <w:footerReference w:type="default" r:id="rId11"/>
          <w:footerReference w:type="first" r:id="rId12"/>
          <w:pgSz w:w="12240" w:h="15840"/>
          <w:pgMar w:top="1440" w:right="1440" w:bottom="1440" w:left="1440" w:header="720" w:footer="720" w:gutter="0"/>
          <w:pgNumType w:fmt="lowerRoman"/>
          <w:cols w:space="720"/>
          <w:titlePg/>
          <w:docGrid w:linePitch="360"/>
        </w:sectPr>
      </w:pPr>
      <w:bookmarkStart w:id="1" w:name="_Toc85791387"/>
    </w:p>
    <w:p w14:paraId="47EF6483" w14:textId="6BBD8578" w:rsidR="002236FA" w:rsidRPr="00890E95" w:rsidRDefault="002236FA" w:rsidP="001A54BA">
      <w:pPr>
        <w:pStyle w:val="Heading1"/>
        <w:rPr>
          <w:rFonts w:cs="Times New Roman"/>
          <w:szCs w:val="24"/>
        </w:rPr>
      </w:pPr>
      <w:r w:rsidRPr="00890E95">
        <w:rPr>
          <w:rFonts w:cs="Times New Roman"/>
          <w:szCs w:val="24"/>
        </w:rPr>
        <w:lastRenderedPageBreak/>
        <w:t xml:space="preserve">Chapter </w:t>
      </w:r>
      <w:r w:rsidR="00801163" w:rsidRPr="00890E95">
        <w:rPr>
          <w:rFonts w:cs="Times New Roman"/>
          <w:szCs w:val="24"/>
        </w:rPr>
        <w:t>I –</w:t>
      </w:r>
      <w:r w:rsidR="001A54BA" w:rsidRPr="00890E95">
        <w:rPr>
          <w:rFonts w:cs="Times New Roman"/>
          <w:szCs w:val="24"/>
        </w:rPr>
        <w:t xml:space="preserve"> Introduction</w:t>
      </w:r>
      <w:bookmarkEnd w:id="1"/>
    </w:p>
    <w:p w14:paraId="65034125" w14:textId="7FEA3860" w:rsidR="00BD40BD" w:rsidRPr="00890E95" w:rsidRDefault="00C96390" w:rsidP="00126711">
      <w:pPr>
        <w:pStyle w:val="Heading3"/>
        <w:rPr>
          <w:rFonts w:cs="Times New Roman"/>
        </w:rPr>
      </w:pPr>
      <w:bookmarkStart w:id="2" w:name="_Toc85791388"/>
      <w:r w:rsidRPr="00890E95">
        <w:rPr>
          <w:rFonts w:cs="Times New Roman"/>
        </w:rPr>
        <w:t>Introduction</w:t>
      </w:r>
      <w:bookmarkEnd w:id="2"/>
    </w:p>
    <w:p w14:paraId="7DEBDF19" w14:textId="60DAF8D3" w:rsidR="00A34A38" w:rsidRPr="00890E95" w:rsidRDefault="00A34A38" w:rsidP="00A34A38">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Optimizing performance has long been a priority among coaches, trainers, and athletes. In order to increase performance, training is most effective when tailored to individual athletes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{"citationID":"NzZB4Wx0","properties":{"formattedCitation":"(Alexiou &amp; Coutts, 2008)","plainCitation":"(Alexiou &amp; Coutts, 2008)","noteIndex":0},"citationItems":[{"id":176,"uris":["http://zotero.org/users/6375206/items/7RQTETCF"],"uri":["http://zotero.org/users/6375206/items/7RQTETCF"],"itemData":{"id":176,"type":"article-journal","abstract":"Purpose:\n              The purpose of this study was to compare the session-RPE method for quantifying internal training load (TL) with various HR-based TL quantification methods in a variety of training modes with women soccer players.\n            \n            \n              Methods:\n              \n                Fifteen elite women soccer players took part in the study (age: 19.3 ± 2.0 y and V\n                O2max\n                : 50.8 ± 2.7 mL·kg\n                −1\n                ·min\n                −1\n                ). Session-RPE, heart rate, and duration were recorded for 735 individual training sessions and matches over a period of 16 wk. Correlation analysis was used to compare session-RPE TLs with three commonly used HR-based methods for assessing TL.\n              \n            \n            \n              Results:\n              \n                The mean correlation for session-RPE TL with Banister’s TRIMP, LT\n                zone\n                TL and Edwards’s TL were (\n                r\n                = 0.84, 0.83, and 0.85, all\n                P\n                &lt; .01, respectively). Correlations for session-RPE TL and three HR-based methods separated by session type were all significant (all\n                P\n                &lt; .05). The strongest correlations were reported for technical (\n                r\n                = 0.68 to 0.82), conditioning (\n                r\n                = 0.60 to 0.79), and speed sessions (\n                r\n                = 0.61 to 0.79).\n              \n            \n            \n              Conclusion:\n              The session-RPE TL showed a significant correlation with all training types common to soccer. Higher correlations were found with less intermittent, aerobic-based training sessions and suggest that HR-based TLs relate better to session-RPE TLs in less intermittent training activities. These results support previous findings showing that the session-RPE TL compares favorably with HR-based methods for quantifying internal TL in a variety of soccer training activities.","container-title":"International Journal of Sports Physiology and Performance","DOI":"10.1123/ijspp.3.3.320","ISSN":"1555-0265, 1555-0273","issue":"3","language":"en","page":"320-330","source":"DOI.org (Crossref)","title":"A Comparison of Methods Used for Quantifying Internal Training Load in Women Soccer Players","volume":"3","author":[{"family":"Alexiou","given":"Helen"},{"family":"Coutts","given":"Aaron J."}],"issued":{"date-parts":[["2008",9]]}}}],"schema":"https://github.com/citation-style-language/schema/raw/master/csl-citation.json"}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(Alexiou &amp; Coutts, 2008)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With this goal in mind, accurate assessment of the dose-response relationship between training and recovery is crucial. Athlete load monitoring via routine objective and subjective measurements can be used to modify training and recovery for individual athletes and has become increasingly popular in field sports such as soccer and American football. Despite the success in field sports, athlete monitoring has been </w:t>
      </w:r>
      <w:r w:rsidR="00800CC2">
        <w:rPr>
          <w:rFonts w:ascii="Times New Roman" w:eastAsia="Times New Roman" w:hAnsi="Times New Roman" w:cs="Times New Roman"/>
        </w:rPr>
        <w:t xml:space="preserve">scarcely </w:t>
      </w:r>
      <w:r w:rsidRPr="00890E95">
        <w:rPr>
          <w:rFonts w:ascii="Times New Roman" w:eastAsia="Times New Roman" w:hAnsi="Times New Roman" w:cs="Times New Roman"/>
        </w:rPr>
        <w:t xml:space="preserve">used in Olympic sports, primarily due to financial restraints and cultural norms. One such sport is women’s gymnastics. With the unique combination of biomechanical and bioenergetic characteristics of gymnastics across the various events, monitoring may provide insight into the demand on these athletes. In a study of NCAA athletes, </w:t>
      </w:r>
      <w:proofErr w:type="spellStart"/>
      <w:r w:rsidRPr="00890E95">
        <w:rPr>
          <w:rFonts w:ascii="Times New Roman" w:eastAsia="Times New Roman" w:hAnsi="Times New Roman" w:cs="Times New Roman"/>
        </w:rPr>
        <w:t>Lanese</w:t>
      </w:r>
      <w:proofErr w:type="spellEnd"/>
      <w:r w:rsidRPr="00890E95">
        <w:rPr>
          <w:rFonts w:ascii="Times New Roman" w:eastAsia="Times New Roman" w:hAnsi="Times New Roman" w:cs="Times New Roman"/>
        </w:rPr>
        <w:t xml:space="preserve"> et al</w:t>
      </w:r>
      <w:r w:rsidR="00BA3DC5">
        <w:rPr>
          <w:rFonts w:ascii="Times New Roman" w:eastAsia="Times New Roman" w:hAnsi="Times New Roman" w:cs="Times New Roman"/>
        </w:rPr>
        <w:t>.</w:t>
      </w:r>
      <w:r w:rsidRPr="00890E95">
        <w:rPr>
          <w:rFonts w:ascii="Times New Roman" w:eastAsia="Times New Roman" w:hAnsi="Times New Roman" w:cs="Times New Roman"/>
        </w:rPr>
        <w:t xml:space="preserve"> (1990) compared gymnasts to other gender-matched sports. Gymnastics showed the highest injury rate of any sport despite having the lowest number of participants in the study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{"citationID":"PoggUqDP","properties":{"formattedCitation":"(Lanese et al., 1990)","plainCitation":"(Lanese et al., 1990)","noteIndex":0},"citationItems":[{"id":143,"uris":["http://zotero.org/users/6375206/items/8YCL958E"],"uri":["http://zotero.org/users/6375206/items/8YCL958E"],"itemData":{"id":143,"type":"article-journal","abstract":"Eight matched men's and women's intercollegiate varsity teams were studied prospectively for one academic year to determine the incidence of athletic injury and resulting disability. Sports in which both men and women participated in a comparable manner were chosen: basketball, fencing, gymnastics, swimming, tennis, indoor track, outdoor track, and volleyball. Men (232) and women (150) were injured at comparable rates, 42 percent versus 39 percent. When adjusted for exposure time, seven of the eight sports continued to show similar injury rates. Women gymnasts, however, experienced .82 injuries per 100 person-hours or exposure as compared to .21 injuries for the men (p = .0001). Disability was greater in women gymnasts, 7.44 days per 100 person-hours versus 1.15 days for men (p = .0004). Percent of season lost to injury was also greater for women gymnasts. Types and sites of injury were similar for men and women, with sprains and strains accounting for over half of all injuries. We found no evidence for gender differences in matched sports except for gymnastics, in which technically diverse events may have accounted for the differences observed. ABSTRACT FROM AUTHOR","container-title":"American Journal of Public Health","ISSN":"00900036","issue":"12","journalAbbreviation":"American Journal of Public Health","page":"1459-1462","source":"EBSCOhost","title":"Injury and Disability in Matched Men's and Women's Intercollegiate Sports","volume":"80","author":[{"family":"Lanese","given":"Richard R."},{"family":"Strauss","given":"Richard H."},{"family":"Leizman","given":"Daniel J."},{"family":"Rotondi","given":"Marie"}],"issued":{"date-parts":[["1990",12]]}}}],"schema":"https://github.com/citation-style-language/schema/raw/master/csl-citation.json"}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(Lanese et al., 1990)</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This may, in part, result from a lack of modernized training methods, consistent with the latest training adaptation research and the absence of periodization approaches used to normally determine athlete loading and recovery needs. Therefore, the addition of load monitoring may be essential for providing better insight into the specific demands placed on these athletes, which could potentially help reduce injury rates and/or increase performance.</w:t>
      </w:r>
    </w:p>
    <w:p w14:paraId="5CDAB7CB" w14:textId="79DB297E" w:rsidR="00A34A38" w:rsidRPr="00890E95" w:rsidRDefault="00A34A38" w:rsidP="00A34A38">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Athlete monitoring in field sports typically involves distance, velocity, and acceleration-based metrics, along with collision-based metrics in contact sports such as rugby and American football. Monitoring of these variables may be less important in gymnastics, due to the nature of </w:t>
      </w:r>
      <w:r w:rsidRPr="00890E95">
        <w:rPr>
          <w:rFonts w:ascii="Times New Roman" w:eastAsia="Times New Roman" w:hAnsi="Times New Roman" w:cs="Times New Roman"/>
        </w:rPr>
        <w:lastRenderedPageBreak/>
        <w:t xml:space="preserve">the competitive events. However, gymnasts still experience rotational speeds </w:t>
      </w:r>
      <w:r w:rsidR="00890E95">
        <w:rPr>
          <w:rFonts w:ascii="Times New Roman" w:eastAsia="Times New Roman" w:hAnsi="Times New Roman" w:cs="Times New Roman"/>
        </w:rPr>
        <w:t>&gt;</w:t>
      </w:r>
      <w:r w:rsidRPr="00890E95">
        <w:rPr>
          <w:rFonts w:ascii="Times New Roman" w:eastAsia="Times New Roman" w:hAnsi="Times New Roman" w:cs="Times New Roman"/>
        </w:rPr>
        <w:t>20 meter</w:t>
      </w:r>
      <w:r w:rsidR="00447B1B">
        <w:rPr>
          <w:rFonts w:ascii="Times New Roman" w:eastAsia="Times New Roman" w:hAnsi="Times New Roman" w:cs="Times New Roman"/>
        </w:rPr>
        <w:t xml:space="preserve">s </w:t>
      </w:r>
      <w:r w:rsidRPr="00890E95">
        <w:rPr>
          <w:rFonts w:ascii="Times New Roman" w:eastAsia="Times New Roman" w:hAnsi="Times New Roman" w:cs="Times New Roman"/>
        </w:rPr>
        <w:t xml:space="preserve">per second while somersaulting in the air, </w:t>
      </w:r>
      <w:r w:rsidR="00890E95">
        <w:rPr>
          <w:rFonts w:ascii="Times New Roman" w:eastAsia="Times New Roman" w:hAnsi="Times New Roman" w:cs="Times New Roman"/>
        </w:rPr>
        <w:t>take-off/</w:t>
      </w:r>
      <w:r w:rsidRPr="00890E95">
        <w:rPr>
          <w:rFonts w:ascii="Times New Roman" w:eastAsia="Times New Roman" w:hAnsi="Times New Roman" w:cs="Times New Roman"/>
        </w:rPr>
        <w:t>landing forces that may equal 5-</w:t>
      </w:r>
      <w:r w:rsidR="00890E95">
        <w:rPr>
          <w:rFonts w:ascii="Times New Roman" w:eastAsia="Times New Roman" w:hAnsi="Times New Roman" w:cs="Times New Roman"/>
        </w:rPr>
        <w:t>17.5</w:t>
      </w:r>
      <w:r w:rsidRPr="00890E95">
        <w:rPr>
          <w:rFonts w:ascii="Times New Roman" w:eastAsia="Times New Roman" w:hAnsi="Times New Roman" w:cs="Times New Roman"/>
        </w:rPr>
        <w:t xml:space="preserve"> times their body weight, and centripetal force reaching </w:t>
      </w:r>
      <w:r w:rsidR="00890E95">
        <w:rPr>
          <w:rFonts w:ascii="Times New Roman" w:eastAsia="Times New Roman" w:hAnsi="Times New Roman" w:cs="Times New Roman"/>
        </w:rPr>
        <w:t>3.1-3.6</w:t>
      </w:r>
      <w:r w:rsidRPr="00890E95">
        <w:rPr>
          <w:rFonts w:ascii="Times New Roman" w:eastAsia="Times New Roman" w:hAnsi="Times New Roman" w:cs="Times New Roman"/>
        </w:rPr>
        <w:t xml:space="preserve"> times their body weight while swinging on the uneven bars</w:t>
      </w:r>
      <w:r w:rsidR="00C90B52">
        <w:rPr>
          <w:rFonts w:ascii="Times New Roman" w:eastAsia="Times New Roman" w:hAnsi="Times New Roman" w:cs="Times New Roman"/>
        </w:rPr>
        <w:t xml:space="preserve"> </w:t>
      </w:r>
      <w:r w:rsidR="00C90B52">
        <w:rPr>
          <w:rFonts w:ascii="Times New Roman" w:eastAsia="Times New Roman" w:hAnsi="Times New Roman" w:cs="Times New Roman"/>
        </w:rPr>
        <w:fldChar w:fldCharType="begin"/>
      </w:r>
      <w:r w:rsidR="00C90B52">
        <w:rPr>
          <w:rFonts w:ascii="Times New Roman" w:eastAsia="Times New Roman" w:hAnsi="Times New Roman" w:cs="Times New Roman"/>
        </w:rPr>
        <w:instrText xml:space="preserve"> ADDIN ZOTERO_ITEM CSL_CITATION {"citationID":"ojrdF36h","properties":{"formattedCitation":"(Sands, 2000)","plainCitation":"(Sands, 2000)","noteIndex":0},"citationItems":[{"id":236,"uris":["http://zotero.org/users/6375206/items/2FSBZZRX"],"uri":["http://zotero.org/users/6375206/items/2FSBZZRX"],"itemData":{"id":236,"type":"article-journal","abstract":"The most serious problem faced by contemporary gymnasts is injury. Given that prevention is superior to treatment, can the gymnastics community and the scientific and medical community do a better job at injury prevention? Most research in gymnastics has been descriptive in nature. Injury prevention ultimately requires that one can predict the outcome of certain activities and their injurious nature. Making such predictions requires a knowledge of the scientific and medical aspects of injury, but more than that, one must have an intimate knowledge of the sport. Injury prevention efforts must be firmly grounded in science and medicine while making pragmatic linkages to gymnastics as it exists and is practiced. This article attempts to bridge the gap between the scientific and medical community and what actually happens in gymnastics.","container-title":"Sports Medicine","DOI":"10.2165/00007256-200030050-00004","ISSN":"1179-2035","issue":"5","journalAbbreviation":"Sports Med","language":"en","page":"359-373","source":"Springer Link","title":"Injury Prevention in Women’s Gymnastics","volume":"30","author":[{"family":"Sands","given":"William A."}],"issued":{"date-parts":[["2000",11,1]]}}}],"schema":"https://github.com/citation-style-language/schema/raw/master/csl-citation.json"} </w:instrText>
      </w:r>
      <w:r w:rsidR="00C90B52">
        <w:rPr>
          <w:rFonts w:ascii="Times New Roman" w:eastAsia="Times New Roman" w:hAnsi="Times New Roman" w:cs="Times New Roman"/>
        </w:rPr>
        <w:fldChar w:fldCharType="separate"/>
      </w:r>
      <w:r w:rsidR="00C90B52">
        <w:rPr>
          <w:rFonts w:ascii="Times New Roman" w:eastAsia="Times New Roman" w:hAnsi="Times New Roman" w:cs="Times New Roman"/>
          <w:noProof/>
        </w:rPr>
        <w:t>(Sands, 2000)</w:t>
      </w:r>
      <w:r w:rsidR="00C90B52">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In addition to the extreme forces applied to gymnasts, attaining elite status usually requires early specialization with training starting as young as 5 years old and up to 40 hours per week, which increases the likelihood of injury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{"citationID":"CiPLVjtP","properties":{"formattedCitation":"(Daly et al., 2001)","plainCitation":"(Daly et al., 2001)","noteIndex":0},"citationItems":[{"id":121,"uris":["http://zotero.org/users/6375206/items/AZU9LERE"],"uri":["http://zotero.org/users/6375206/items/AZU9LERE"],"itemData":{"id":121,"type":"article-journal","abstract":"Background—To minimise injury risk and maximise gymnastics performance, coaches, parents, and health professionals working with young gymnasts need to understand and practise safe gymnastics. , Aims—To (a) identify the various injury counter measures specific to gymnastics, (b) critically review the literature describing each injury prevention measure, and (c) assess, using available risk factor and injury data, the weight of evidence to support each of these counter measures. Specific recommendations for further research and implementation strategies to prevent injury and improve safety are also given. , Methods—The relevant literature was identified through the use of Medline (1966 to May 1998) and SPORT Discus (1975 to May 1998) searches, hand searching of journals and reference lists, and discussions with key Australian gymnastics organisations. , Results—The key gymnastics injury counter measures identified in this review include coaching (physical preparation, education, spotting, and performance technique), equipment, and the health support system (medical screening, treatment, and rehabilitation). Categorisation of the type of evidence for the effectiveness of each of these counter measures in preventing injury showed that most of it is based on informal opinion/anecdotal evidence, uncontrolled data based studies, and several prospective epidemiological studies. There is no evidence from formally controlled trials or specific evaluation studies of counter measures for gymnastics. , Conclusions—Although gymnastics is a sport associated with young participants and frequent high volume, high impact training, there is a paucity of information on injury risk factors and the effectiveness of injury practices. Further controlled trials are needed to examine the extent to which injury prevention counter measures can prevent or reduce the occurrence of injury and re-injury. Particular attention should be devoted to improving training facilities, the design and testing of apparatus and personal equipment used by gymnasts, and coaching and the role of spotting in preventing injury. , Key Words: gymnastics; injury prevention; counter measures; effectiveness; coaching; equipment","container-title":"British Journal of Sports Medicine","DOI":"10.1136/bjsm.35.1.8","ISSN":"0306-3674","issue":"1","journalAbbreviation":"Br J Sports Med","note":"PMID: 11157456\nPMCID: PMC1724280","page":"8-19","source":"PubMed Central","title":"Balancing the risk of injury to gymnasts: how effective are the counter measures?","title-short":"Balancing the risk of injury to gymnasts","volume":"35","author":[{"family":"Daly","given":"R"},{"family":"Bass","given":"S"},{"family":"Finch","given":"C"}],"issued":{"date-parts":[["2001",2]]}}}],"schema":"https://github.com/citation-style-language/schema/raw/master/csl-citation.json"}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(Daly et al., 2001)</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w:t>
      </w:r>
    </w:p>
    <w:p w14:paraId="4DC9CE5F" w14:textId="7E3E5560" w:rsidR="00A34A38" w:rsidRPr="00890E95" w:rsidRDefault="00A34A38" w:rsidP="00A34A38">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In a recent investigation in collegiate sport, Hwang &amp; Choi (2016) found that NCAA athletes’ perceived stress was more dependent on academic anxiety than either competition or training stress. In the 2019-2020 academic year, 53 of 74 gymnastics teams currently competing at the NCAA level, had a team GPA of 3.5 or higher, indicating a high focus on academic success amongst </w:t>
      </w:r>
      <w:r w:rsidR="00447B1B">
        <w:rPr>
          <w:rFonts w:ascii="Times New Roman" w:eastAsia="Times New Roman" w:hAnsi="Times New Roman" w:cs="Times New Roman"/>
        </w:rPr>
        <w:t xml:space="preserve">female </w:t>
      </w:r>
      <w:r w:rsidRPr="00890E95">
        <w:rPr>
          <w:rFonts w:ascii="Times New Roman" w:eastAsia="Times New Roman" w:hAnsi="Times New Roman" w:cs="Times New Roman"/>
        </w:rPr>
        <w:t>gymnasts</w:t>
      </w:r>
      <w:r w:rsidR="00890E95">
        <w:rPr>
          <w:rFonts w:ascii="Times New Roman" w:eastAsia="Times New Roman" w:hAnsi="Times New Roman" w:cs="Times New Roman"/>
        </w:rPr>
        <w:t xml:space="preserve"> </w:t>
      </w:r>
      <w:r w:rsidR="00AB3BE1">
        <w:rPr>
          <w:rFonts w:ascii="Times New Roman" w:eastAsia="Times New Roman" w:hAnsi="Times New Roman" w:cs="Times New Roman"/>
        </w:rPr>
        <w:fldChar w:fldCharType="begin"/>
      </w:r>
      <w:r w:rsidR="00AB3BE1">
        <w:rPr>
          <w:rFonts w:ascii="Times New Roman" w:eastAsia="Times New Roman" w:hAnsi="Times New Roman" w:cs="Times New Roman"/>
        </w:rPr>
        <w:instrText xml:space="preserve"> ADDIN ZOTERO_ITEM CSL_CITATION {"citationID":"l8Zb8msF","properties":{"formattedCitation":"(Women\\uc0\\u8217{}s Collegiate Gymnastics Association, 2020)","plainCitation":"(Women’s Collegiate Gymnastics Association, 2020)","noteIndex":0},"citationItems":[{"id":237,"uris":["http://zotero.org/users/6375206/items/2R5TF4I6"],"uri":["http://zotero.org/users/6375206/items/2R5TF4I6"],"itemData":{"id":237,"type":"report","genre":"Press Release","title":"Annual Report 2020","author":[{"family":"Women's Collegiate Gymnastics Association","given":""}],"issued":{"date-parts":[["2020",8,9]]}}}],"schema":"https://github.com/citation-style-language/schema/raw/master/csl-citation.json"} </w:instrText>
      </w:r>
      <w:r w:rsidR="00AB3BE1">
        <w:rPr>
          <w:rFonts w:ascii="Times New Roman" w:eastAsia="Times New Roman" w:hAnsi="Times New Roman" w:cs="Times New Roman"/>
        </w:rPr>
        <w:fldChar w:fldCharType="separate"/>
      </w:r>
      <w:r w:rsidR="00AB3BE1" w:rsidRPr="00AB3BE1">
        <w:rPr>
          <w:rFonts w:ascii="Times New Roman" w:hAnsi="Times New Roman" w:cs="Times New Roman"/>
        </w:rPr>
        <w:t>(Women’s Collegiate Gymnastics Association, 2020)</w:t>
      </w:r>
      <w:r w:rsidR="00AB3BE1">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When taken collectively, the combination of high training monotony, </w:t>
      </w:r>
      <w:r w:rsidR="00890E95">
        <w:rPr>
          <w:rFonts w:ascii="Times New Roman" w:eastAsia="Times New Roman" w:hAnsi="Times New Roman" w:cs="Times New Roman"/>
        </w:rPr>
        <w:t xml:space="preserve">elevated </w:t>
      </w:r>
      <w:r w:rsidRPr="00890E95">
        <w:rPr>
          <w:rFonts w:ascii="Times New Roman" w:eastAsia="Times New Roman" w:hAnsi="Times New Roman" w:cs="Times New Roman"/>
        </w:rPr>
        <w:t>injury</w:t>
      </w:r>
      <w:r w:rsidR="00890E95">
        <w:rPr>
          <w:rFonts w:ascii="Times New Roman" w:eastAsia="Times New Roman" w:hAnsi="Times New Roman" w:cs="Times New Roman"/>
        </w:rPr>
        <w:t xml:space="preserve"> risk</w:t>
      </w:r>
      <w:r w:rsidRPr="00890E95">
        <w:rPr>
          <w:rFonts w:ascii="Times New Roman" w:eastAsia="Times New Roman" w:hAnsi="Times New Roman" w:cs="Times New Roman"/>
        </w:rPr>
        <w:t xml:space="preserve">, and academic demand seems to signal the need for athlete monitoring both inside and outside of practice and competition. </w:t>
      </w:r>
    </w:p>
    <w:p w14:paraId="51FEF45E" w14:textId="4CFF587F" w:rsidR="00A34A38" w:rsidRPr="00890E95" w:rsidRDefault="00A34A38" w:rsidP="00A34A38">
      <w:pPr>
        <w:spacing w:line="480" w:lineRule="auto"/>
        <w:ind w:firstLine="720"/>
        <w:rPr>
          <w:rFonts w:ascii="Times New Roman" w:eastAsia="Times New Roman" w:hAnsi="Times New Roman" w:cs="Times New Roman"/>
        </w:rPr>
      </w:pPr>
      <w:r w:rsidRPr="00890E95">
        <w:rPr>
          <w:rFonts w:ascii="Times New Roman" w:hAnsi="Times New Roman" w:cs="Times New Roman"/>
        </w:rPr>
        <w:t xml:space="preserve">Evidence of the current methods of injury prevention is lacking, indicating a need for further research on practical ways to protect gymnasts </w:t>
      </w:r>
      <w:r w:rsidRPr="00890E95">
        <w:rPr>
          <w:rFonts w:ascii="Times New Roman" w:hAnsi="Times New Roman" w:cs="Times New Roman"/>
        </w:rPr>
        <w:fldChar w:fldCharType="begin"/>
      </w:r>
      <w:r w:rsidR="0065584C">
        <w:rPr>
          <w:rFonts w:ascii="Times New Roman" w:hAnsi="Times New Roman" w:cs="Times New Roman"/>
        </w:rPr>
        <w:instrText xml:space="preserve"> ADDIN ZOTERO_ITEM CSL_CITATION {"citationID":"Ta7b7Zik","properties":{"formattedCitation":"(Daly et al., 2001)","plainCitation":"(Daly et al., 2001)","dontUpdate":true,"noteIndex":0},"citationItems":[{"id":121,"uris":["http://zotero.org/users/6375206/items/AZU9LERE"],"uri":["http://zotero.org/users/6375206/items/AZU9LERE"],"itemData":{"id":121,"type":"article-journal","abstract":"Background—To minimise injury risk and maximise gymnastics performance, coaches, parents, and health professionals working with young gymnasts need to understand and practise safe gymnastics. , Aims—To (a) identify the various injury counter measures specific to gymnastics, (b) critically review the literature describing each injury prevention measure, and (c) assess, using available risk factor and injury data, the weight of evidence to support each of these counter measures. Specific recommendations for further research and implementation strategies to prevent injury and improve safety are also given. , Methods—The relevant literature was identified through the use of Medline (1966 to May 1998) and SPORT Discus (1975 to May 1998) searches, hand searching of journals and reference lists, and discussions with key Australian gymnastics organisations. , Results—The key gymnastics injury counter measures identified in this review include coaching (physical preparation, education, spotting, and performance technique), equipment, and the health support system (medical screening, treatment, and rehabilitation). Categorisation of the type of evidence for the effectiveness of each of these counter measures in preventing injury showed that most of it is based on informal opinion/anecdotal evidence, uncontrolled data based studies, and several prospective epidemiological studies. There is no evidence from formally controlled trials or specific evaluation studies of counter measures for gymnastics. , Conclusions—Although gymnastics is a sport associated with young participants and frequent high volume, high impact training, there is a paucity of information on injury risk factors and the effectiveness of injury practices. Further controlled trials are needed to examine the extent to which injury prevention counter measures can prevent or reduce the occurrence of injury and re-injury. Particular attention should be devoted to improving training facilities, the design and testing of apparatus and personal equipment used by gymnasts, and coaching and the role of spotting in preventing injury. , Key Words: gymnastics; injury prevention; counter measures; effectiveness; coaching; equipment","container-title":"British Journal of Sports Medicine","DOI":"10.1136/bjsm.35.1.8","ISSN":"0306-3674","issue":"1","journalAbbreviation":"Br J Sports Med","note":"PMID: 11157456\nPMCID: PMC1724280","page":"8-19","source":"PubMed Central","title":"Balancing the risk of injury to gymnasts: how effective are the counter measures?","title-short":"Balancing the risk of injury to gymnasts","volume":"35","author":[{"family":"Daly","given":"R"},{"family":"Bass","given":"S"},{"family":"Finch","given":"C"}],"issued":{"date-parts":[["2001",2]]}}}],"schema":"https://github.com/citation-style-language/schema/raw/master/csl-citation.json"} </w:instrText>
      </w:r>
      <w:r w:rsidRPr="00890E95">
        <w:rPr>
          <w:rFonts w:ascii="Times New Roman" w:hAnsi="Times New Roman" w:cs="Times New Roman"/>
        </w:rPr>
        <w:fldChar w:fldCharType="separate"/>
      </w:r>
      <w:r w:rsidRPr="00890E95">
        <w:rPr>
          <w:rFonts w:ascii="Times New Roman" w:hAnsi="Times New Roman" w:cs="Times New Roman"/>
          <w:noProof/>
        </w:rPr>
        <w:t>(</w:t>
      </w:r>
      <w:r w:rsidR="00890E95">
        <w:rPr>
          <w:rFonts w:ascii="Times New Roman" w:hAnsi="Times New Roman" w:cs="Times New Roman"/>
          <w:noProof/>
        </w:rPr>
        <w:t xml:space="preserve">Sands, 2000; </w:t>
      </w:r>
      <w:r w:rsidRPr="00890E95">
        <w:rPr>
          <w:rFonts w:ascii="Times New Roman" w:hAnsi="Times New Roman" w:cs="Times New Roman"/>
          <w:noProof/>
        </w:rPr>
        <w:t>Daly et al., 2001)</w:t>
      </w:r>
      <w:r w:rsidRPr="00890E95">
        <w:rPr>
          <w:rFonts w:ascii="Times New Roman" w:hAnsi="Times New Roman" w:cs="Times New Roman"/>
        </w:rPr>
        <w:fldChar w:fldCharType="end"/>
      </w:r>
      <w:r w:rsidRPr="00890E95">
        <w:rPr>
          <w:rFonts w:ascii="Times New Roman" w:hAnsi="Times New Roman" w:cs="Times New Roman"/>
        </w:rPr>
        <w:t xml:space="preserve">. The current methods for injury prevention have focused on education, spotting (i.e. physically assisting the gymnast to perform a skill), technique drilling, and equipment such as landing surfaces and spring floor configuration </w:t>
      </w:r>
      <w:r w:rsidRPr="00890E95">
        <w:rPr>
          <w:rFonts w:ascii="Times New Roman" w:hAnsi="Times New Roman" w:cs="Times New Roman"/>
        </w:rPr>
        <w:fldChar w:fldCharType="begin"/>
      </w:r>
      <w:r w:rsidRPr="00890E95">
        <w:rPr>
          <w:rFonts w:ascii="Times New Roman" w:hAnsi="Times New Roman" w:cs="Times New Roman"/>
        </w:rPr>
        <w:instrText xml:space="preserve"> ADDIN ZOTERO_ITEM CSL_CITATION {"citationID":"wEhb7k1L","properties":{"formattedCitation":"(Daly et al., 2001)","plainCitation":"(Daly et al., 2001)","noteIndex":0},"citationItems":[{"id":121,"uris":["http://zotero.org/users/6375206/items/AZU9LERE"],"uri":["http://zotero.org/users/6375206/items/AZU9LERE"],"itemData":{"id":121,"type":"article-journal","abstract":"Background—To minimise injury risk and maximise gymnastics performance, coaches, parents, and health professionals working with young gymnasts need to understand and practise safe gymnastics. , Aims—To (a) identify the various injury counter measures specific to gymnastics, (b) critically review the literature describing each injury prevention measure, and (c) assess, using available risk factor and injury data, the weight of evidence to support each of these counter measures. Specific recommendations for further research and implementation strategies to prevent injury and improve safety are also given. , Methods—The relevant literature was identified through the use of Medline (1966 to May 1998) and SPORT Discus (1975 to May 1998) searches, hand searching of journals and reference lists, and discussions with key Australian gymnastics organisations. , Results—The key gymnastics injury counter measures identified in this review include coaching (physical preparation, education, spotting, and performance technique), equipment, and the health support system (medical screening, treatment, and rehabilitation). Categorisation of the type of evidence for the effectiveness of each of these counter measures in preventing injury showed that most of it is based on informal opinion/anecdotal evidence, uncontrolled data based studies, and several prospective epidemiological studies. There is no evidence from formally controlled trials or specific evaluation studies of counter measures for gymnastics. , Conclusions—Although gymnastics is a sport associated with young participants and frequent high volume, high impact training, there is a paucity of information on injury risk factors and the effectiveness of injury practices. Further controlled trials are needed to examine the extent to which injury prevention counter measures can prevent or reduce the occurrence of injury and re-injury. Particular attention should be devoted to improving training facilities, the design and testing of apparatus and personal equipment used by gymnasts, and coaching and the role of spotting in preventing injury. , Key Words: gymnastics; injury prevention; counter measures; effectiveness; coaching; equipment","container-title":"British Journal of Sports Medicine","DOI":"10.1136/bjsm.35.1.8","ISSN":"0306-3674","issue":"1","journalAbbreviation":"Br J Sports Med","note":"PMID: 11157456\nPMCID: PMC1724280","page":"8-19","source":"PubMed Central","title":"Balancing the risk of injury to gymnasts: how effective are the counter measures?","title-short":"Balancing the risk of injury to gymnasts","volume":"35","author":[{"family":"Daly","given":"R"},{"family":"Bass","given":"S"},{"family":"Finch","given":"C"}],"issued":{"date-parts":[["2001",2]]}}}],"schema":"https://github.com/citation-style-language/schema/raw/master/csl-citation.json"} </w:instrText>
      </w:r>
      <w:r w:rsidRPr="00890E95">
        <w:rPr>
          <w:rFonts w:ascii="Times New Roman" w:hAnsi="Times New Roman" w:cs="Times New Roman"/>
        </w:rPr>
        <w:fldChar w:fldCharType="separate"/>
      </w:r>
      <w:r w:rsidRPr="00890E95">
        <w:rPr>
          <w:rFonts w:ascii="Times New Roman" w:hAnsi="Times New Roman" w:cs="Times New Roman"/>
          <w:noProof/>
        </w:rPr>
        <w:t>(Daly et al., 2001)</w:t>
      </w:r>
      <w:r w:rsidRPr="00890E95">
        <w:rPr>
          <w:rFonts w:ascii="Times New Roman" w:hAnsi="Times New Roman" w:cs="Times New Roman"/>
        </w:rPr>
        <w:fldChar w:fldCharType="end"/>
      </w:r>
      <w:r w:rsidRPr="00890E95">
        <w:rPr>
          <w:rFonts w:ascii="Times New Roman" w:hAnsi="Times New Roman" w:cs="Times New Roman"/>
        </w:rPr>
        <w:t xml:space="preserve">. Riddled with monotonous movements both in competition and practice, and subjectively judged for difficulty and execution, gymnasts face physical and mental stressors different from most other sports </w:t>
      </w:r>
      <w:r w:rsidRPr="00890E95">
        <w:rPr>
          <w:rFonts w:ascii="Times New Roman" w:hAnsi="Times New Roman" w:cs="Times New Roman"/>
        </w:rPr>
        <w:fldChar w:fldCharType="begin"/>
      </w:r>
      <w:r w:rsidRPr="00890E95">
        <w:rPr>
          <w:rFonts w:ascii="Times New Roman" w:hAnsi="Times New Roman" w:cs="Times New Roman"/>
        </w:rPr>
        <w:instrText xml:space="preserve"> ADDIN ZOTERO_ITEM CSL_CITATION {"citationID":"dpVnVh8Y","properties":{"formattedCitation":"(Snyder, 1990)","plainCitation":"(Snyder, 1990)","noteIndex":0},"citationItems":[{"id":137,"uris":["http://zotero.org/users/6375206/items/X9NGW9HD"],"uri":["http://zotero.org/users/6375206/items/X9NGW9HD"],"itemData":{"id":137,"type":"article-journal","abstract":"&lt;section class=\"abstract\"&gt;&lt;p&gt;Previous studies of emotion in sport have examined team sports. The present research focuses on an individual sport—women’s collegiate gymnastics. Data were gathered during the gymnastics season of 1988-89 from 10 members of the team and its coach and trainer. The methodology included the use of photo-elicitation interviews and observations of women’s gymnastics. The emotion-work and categories of emotions described were displayed when the gymnasts were off stage, when preparing to compete, between events, and after competition. Discussion focuses on the control and management of emotions according to the “feeling rules” (i.e., the socially constructed subcultural norms of the sport). The gymnasts did display individual variations in their adherence to the feeling rules. Categories of emotion included nervousness, fear of pain and injury, frustration, and disappointment. Emotional social experiences included social psyching up and the happiness and joy associated with a successful performance. Consideration is given to some advantages and qualifications of the photo-elicitation technique.&lt;/p&gt;&lt;/section&gt;","container-title":"Sociology of Sport Journal","DOI":"10.1123/ssj.7.3.254","ISSN":"0741-1235, 1543-2785","issue":"3","language":"en_US","note":"publisher: Human Kinetics, Inc.\nsection: Sociology of Sport Journal","page":"254-270","source":"journals-humankinetics-com.ezproxy.lib.ou.edu","title":"Emotion and Sport: A Case Study of Collegiate Women Gymnasts","title-short":"Emotion and Sport","volume":"7","author":[{"family":"Snyder","given":"Eldon E."}],"issued":{"date-parts":[["1990",9,1]]}}}],"schema":"https://github.com/citation-style-language/schema/raw/master/csl-citation.json"} </w:instrText>
      </w:r>
      <w:r w:rsidRPr="00890E95">
        <w:rPr>
          <w:rFonts w:ascii="Times New Roman" w:hAnsi="Times New Roman" w:cs="Times New Roman"/>
        </w:rPr>
        <w:fldChar w:fldCharType="separate"/>
      </w:r>
      <w:r w:rsidR="00C90B52">
        <w:rPr>
          <w:rFonts w:ascii="Times New Roman" w:hAnsi="Times New Roman" w:cs="Times New Roman"/>
          <w:noProof/>
        </w:rPr>
        <w:t>(Snyder, 1990)</w:t>
      </w:r>
      <w:r w:rsidRPr="00890E95">
        <w:rPr>
          <w:rFonts w:ascii="Times New Roman" w:hAnsi="Times New Roman" w:cs="Times New Roman"/>
        </w:rPr>
        <w:fldChar w:fldCharType="end"/>
      </w:r>
      <w:r w:rsidRPr="00890E95">
        <w:rPr>
          <w:rFonts w:ascii="Times New Roman" w:hAnsi="Times New Roman" w:cs="Times New Roman"/>
        </w:rPr>
        <w:t xml:space="preserve">. The two main athlete monitoring components are external (dose) and internal (response) load. </w:t>
      </w:r>
      <w:r w:rsidRPr="00890E95">
        <w:rPr>
          <w:rFonts w:ascii="Times New Roman" w:eastAsia="Times New Roman" w:hAnsi="Times New Roman" w:cs="Times New Roman"/>
        </w:rPr>
        <w:t>External load measures</w:t>
      </w:r>
      <w:r w:rsidR="00447B1B">
        <w:rPr>
          <w:rFonts w:ascii="Times New Roman" w:eastAsia="Times New Roman" w:hAnsi="Times New Roman" w:cs="Times New Roman"/>
        </w:rPr>
        <w:t>,</w:t>
      </w:r>
      <w:r w:rsidRPr="00890E95">
        <w:rPr>
          <w:rFonts w:ascii="Times New Roman" w:eastAsia="Times New Roman" w:hAnsi="Times New Roman" w:cs="Times New Roman"/>
        </w:rPr>
        <w:t xml:space="preserve"> which represent the imposed stress (physical, mental, emotional, etc</w:t>
      </w:r>
      <w:r w:rsidR="000B6D93">
        <w:rPr>
          <w:rFonts w:ascii="Times New Roman" w:eastAsia="Times New Roman" w:hAnsi="Times New Roman" w:cs="Times New Roman"/>
        </w:rPr>
        <w:t>.</w:t>
      </w:r>
      <w:r w:rsidRPr="00890E95">
        <w:rPr>
          <w:rFonts w:ascii="Times New Roman" w:eastAsia="Times New Roman" w:hAnsi="Times New Roman" w:cs="Times New Roman"/>
        </w:rPr>
        <w:t xml:space="preserve">) placed on an </w:t>
      </w:r>
      <w:r w:rsidRPr="00890E95">
        <w:rPr>
          <w:rFonts w:ascii="Times New Roman" w:eastAsia="Times New Roman" w:hAnsi="Times New Roman" w:cs="Times New Roman"/>
        </w:rPr>
        <w:lastRenderedPageBreak/>
        <w:t>individual, are used in the design of training periodization strategies (practice, weight room, conditioning, etc</w:t>
      </w:r>
      <w:r w:rsidR="00447B1B">
        <w:rPr>
          <w:rFonts w:ascii="Times New Roman" w:eastAsia="Times New Roman" w:hAnsi="Times New Roman" w:cs="Times New Roman"/>
        </w:rPr>
        <w:t>.</w:t>
      </w:r>
      <w:r w:rsidRPr="00890E95">
        <w:rPr>
          <w:rFonts w:ascii="Times New Roman" w:eastAsia="Times New Roman" w:hAnsi="Times New Roman" w:cs="Times New Roman"/>
        </w:rPr>
        <w:t>). Internal load measures</w:t>
      </w:r>
      <w:r w:rsidR="00447B1B">
        <w:rPr>
          <w:rFonts w:ascii="Times New Roman" w:eastAsia="Times New Roman" w:hAnsi="Times New Roman" w:cs="Times New Roman"/>
        </w:rPr>
        <w:t>,</w:t>
      </w:r>
      <w:r w:rsidRPr="00890E95">
        <w:rPr>
          <w:rFonts w:ascii="Times New Roman" w:eastAsia="Times New Roman" w:hAnsi="Times New Roman" w:cs="Times New Roman"/>
        </w:rPr>
        <w:t xml:space="preserve"> which represent the response to stress (physical, mental, emotional, etc</w:t>
      </w:r>
      <w:r w:rsidR="00447B1B">
        <w:rPr>
          <w:rFonts w:ascii="Times New Roman" w:eastAsia="Times New Roman" w:hAnsi="Times New Roman" w:cs="Times New Roman"/>
        </w:rPr>
        <w:t>.</w:t>
      </w:r>
      <w:r w:rsidRPr="00890E95">
        <w:rPr>
          <w:rFonts w:ascii="Times New Roman" w:eastAsia="Times New Roman" w:hAnsi="Times New Roman" w:cs="Times New Roman"/>
        </w:rPr>
        <w:t>)</w:t>
      </w:r>
      <w:r w:rsidR="00447B1B">
        <w:rPr>
          <w:rFonts w:ascii="Times New Roman" w:eastAsia="Times New Roman" w:hAnsi="Times New Roman" w:cs="Times New Roman"/>
        </w:rPr>
        <w:t>,</w:t>
      </w:r>
      <w:r w:rsidRPr="00890E95">
        <w:rPr>
          <w:rFonts w:ascii="Times New Roman" w:eastAsia="Times New Roman" w:hAnsi="Times New Roman" w:cs="Times New Roman"/>
        </w:rPr>
        <w:t xml:space="preserve"> are used to determine individual and/or position group dose-response patterns. </w:t>
      </w:r>
      <w:r w:rsidRPr="00890E95">
        <w:rPr>
          <w:rFonts w:ascii="Times New Roman" w:hAnsi="Times New Roman" w:cs="Times New Roman"/>
        </w:rPr>
        <w:t xml:space="preserve">Research into ways to monitor and assess internal and external load in female gymnasts is lacking. However, determination of these measures may be vital </w:t>
      </w:r>
      <w:proofErr w:type="gramStart"/>
      <w:r w:rsidRPr="00890E95">
        <w:rPr>
          <w:rFonts w:ascii="Times New Roman" w:hAnsi="Times New Roman" w:cs="Times New Roman"/>
        </w:rPr>
        <w:t>in order to</w:t>
      </w:r>
      <w:proofErr w:type="gramEnd"/>
      <w:r w:rsidRPr="00890E95">
        <w:rPr>
          <w:rFonts w:ascii="Times New Roman" w:hAnsi="Times New Roman" w:cs="Times New Roman"/>
        </w:rPr>
        <w:t xml:space="preserve"> maintain and further develop the health and performance of this cohort. </w:t>
      </w:r>
    </w:p>
    <w:p w14:paraId="3CF19C88" w14:textId="63D3084B" w:rsidR="00A34A38" w:rsidRPr="00890E95" w:rsidRDefault="00A34A38" w:rsidP="00A34A38">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Some of the most popular tools used for athlete monitoring include body-mounted accelerometers, recovery-stress questionnaires, force plates, training impulse (TRIMP) scores, ratings of perceived exertion (RPE), and session ratings of perceived exertion (</w:t>
      </w:r>
      <w:proofErr w:type="spellStart"/>
      <w:r w:rsidRPr="00890E95">
        <w:rPr>
          <w:rFonts w:ascii="Times New Roman" w:eastAsia="Times New Roman" w:hAnsi="Times New Roman" w:cs="Times New Roman"/>
        </w:rPr>
        <w:t>sRPE</w:t>
      </w:r>
      <w:proofErr w:type="spellEnd"/>
      <w:r w:rsidRPr="00890E95">
        <w:rPr>
          <w:rFonts w:ascii="Times New Roman" w:eastAsia="Times New Roman" w:hAnsi="Times New Roman" w:cs="Times New Roman"/>
        </w:rPr>
        <w:t xml:space="preserve">). Wearable accelerometers have been used heavily in Australia and now in the United States, where findings across </w:t>
      </w:r>
      <w:r w:rsidR="00447B1B">
        <w:rPr>
          <w:rFonts w:ascii="Times New Roman" w:eastAsia="Times New Roman" w:hAnsi="Times New Roman" w:cs="Times New Roman"/>
        </w:rPr>
        <w:t>various</w:t>
      </w:r>
      <w:r w:rsidR="00447B1B" w:rsidRPr="00890E95">
        <w:rPr>
          <w:rFonts w:ascii="Times New Roman" w:eastAsia="Times New Roman" w:hAnsi="Times New Roman" w:cs="Times New Roman"/>
        </w:rPr>
        <w:t xml:space="preserve"> </w:t>
      </w:r>
      <w:r w:rsidRPr="00890E95">
        <w:rPr>
          <w:rFonts w:ascii="Times New Roman" w:eastAsia="Times New Roman" w:hAnsi="Times New Roman" w:cs="Times New Roman"/>
        </w:rPr>
        <w:t xml:space="preserve">sports have demonstrated associations between increased external load and decreased recovery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{"citationID":"8CyDEx0e","properties":{"formattedCitation":"(Heishman et al., 2018)","plainCitation":"(Heishman et al., 2018)","noteIndex":0},"citationItems":[{"id":6,"uris":["http://zotero.org/users/6375206/items/ESK264I8"],"uri":["http://zotero.org/users/6375206/items/ESK264I8"],"itemData":{"id":6,"type":"article-journal","language":"en","page":"8","source":"Zotero","title":"Noninvasive Assessment of Internal and External Player Load: Implications for Optimizing Athletic Performance","author":[{"family":"Heishman","given":"Aaron D"},{"family":"Curtis","given":"Michael A"},{"family":"Saliba","given":"Ethan"},{"family":"Hornett","given":"Robert J"},{"family":"Malin","given":"Steven K"},{"family":"Weltman","given":"Arthur L"}],"issued":{"date-parts":[["2018"]]}}}],"schema":"https://github.com/citation-style-language/schema/raw/master/csl-citation.json"}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(Heishman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Sport-specific relationships have also been identified between high running speeds and hamstring injury in elite male soccer players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{"citationID":"MzzwXxty","properties":{"formattedCitation":"(Ruddy et al., 2018)","plainCitation":"(Ruddy et al., 2018)","noteIndex":0},"citationItems":[{"id":59,"uris":["http://zotero.org/users/6375206/items/2H5P8VWE"],"uri":["http://zotero.org/users/6375206/items/2H5P8VWE"],"itemData":{"id":59,"type":"article-journal","abstract":"Background To investigate the association between running exposure and the risk of hamstring strain injury (HSI) in elite Australian footballers.\nMethods Elite Australian footballers (n=220) from 5 different teams participated. Global positioning system (GPS) data were provided for every athlete for each training session and match for the entire 2015 season. The occurrences of HSIs throughout the study period were reported. Receiver operator characteristic curve analyses were performed and the relative risk (RR) of subsequent HSI was calculated for absolute and relative running exposure variables related to distance covered above 10 and 24 km/hour in the preceding week/s.\nResults 30 prospective HSIs occurred. For the absolute running exposure variables, weekly distance covered above 24 km/hour (&gt;653 m, RR=3.4, 95% CI 1.6 to 7.2, sensitivity=0.52, specificity=0.76, area under the curve (AUC)=0.63) had the largest influence on the risk of HSI in the following week. For the relative running exposure variables, distance covered above 24 km/hour as a percentage of distance covered above 10 km/hour (&gt;2.5%, RR=6.3, 95% CI 1.5 to 26.7, sensitivity=0.93, specificity=0.34, AUC=0.63) had the largest influence on the risk of HSI in the following week. Despite significant increases in the RR of HSI, the predictive capacity of these variables was limited.\nConclusions An association exists between absolute and relative running exposure variables and elite Australian footballers' risk of subsequent HSI, with the association strongest when examining data within 7–14 days. Despite this, the use of running exposure variables displayed limited clinical utility to predict HSI at the individual level.","container-title":"British Journal of Sports Medicine","DOI":"10.1136/bjsports-2016-096777","ISSN":"0306-3674, 1473-0480","issue":"14","journalAbbreviation":"Br J Sports Med","language":"en","note":"publisher: BMJ Publishing Group Ltd and British Association of Sport and Exercise Medicine\nsection: Original article\nPMID: 27884865","page":"919-928","source":"bjsm.bmj.com","title":"Running exposure is associated with the risk of hamstring strain injury in elite Australian footballers","volume":"52","author":[{"family":"Ruddy","given":"Joshua D."},{"family":"Pollard","given":"Christopher W."},{"family":"Timmins","given":"Ryan G."},{"family":"Williams","given":"Morgan D."},{"family":"Shield","given":"Anthony J."},{"family":"Opar","given":"David A."}],"issued":{"date-parts":[["2018",7,1]]}}}],"schema":"https://github.com/citation-style-language/schema/raw/master/csl-citation.json"}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(Ruddy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It would seem logical these methods may also prove useful in gymnastics. Recovery-stress questionnaires are a popular internal load monitoring tool. Some of the most prominent questionnaires currently include the Recovery-Stress Questionnaire (RESTQ), the Acute Recovery Stress Scale (ARSS), and the Short Recovery Stress Scale (SRSS). The RESTQ is popular because several variations such as the RESTQ-short, RESTQ-sport, and RESTQ-coach were developed from the original RESTQ to be more applicable to specific populations. More recent literature explores the relationship between subjective recovery questionnaires and external load measures and findings have shown that the questionnaires may yield more useful results than external load monitoring but the combination of internal and external load monitoring measures provides the most valuable insights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{"citationID":"wysAfQVp","properties":{"formattedCitation":"(Saw et al., 2016)","plainCitation":"(Saw et al., 2016)","noteIndex":0},"citationItems":[{"id":94,"uris":["http://zotero.org/users/6375206/items/JPL8GFVA"],"uri":["http://zotero.org/users/6375206/items/JPL8GFVA"],"itemData":{"id":94,"type":"article-journal","abstract":"Background Monitoring athlete well-being is essential to guide training and to detect any progression towards negative health outcomes and associated poor performance. Objective (performance, physiological, biochemical) and subjective measures are all options for athlete monitoring.\nObjective We systematically reviewed objective and subjective measures of athlete well-being. Objective measures, including those taken at rest (eg, blood markers, heart rate) and during exercise (eg, oxygen consumption, heart rate response), were compared against subjective measures (eg, mood, perceived stress). All measures were also evaluated for their response to acute and chronic training load.\nMethods The databases Academic search complete, MEDLINE, PsycINFO, SPORTDiscus and PubMed were searched in May 2014. Fifty-six original studies reported concurrent subjective and objective measures of athlete well-being. The quality and strength of findings of each study were evaluated to determine overall levels of evidence.\nResults Subjective and objective measures of athlete well-being generally did not correlate. Subjective measures reflected acute and chronic training loads with superior sensitivity and consistency than objective measures. Subjective well-being was typically impaired with an acute increase in training load, and also with chronic training, while an acute decrease in training load improved subjective well-being.\nSummary This review provides further support for practitioners to use subjective measures to monitor changes in athlete well-being in response to training. Subjective measures may stand alone, or be incorporated into a mixed methods approach to athlete monitoring, as is current practice in many sport settings.","container-title":"British Journal of Sports Medicine","DOI":"10.1136/bjsports-2015-094758","ISSN":"0306-3674, 1473-0480","issue":"5","journalAbbreviation":"Br J Sports Med","language":"en","note":"publisher: BMJ Publishing Group Ltd and British Association of Sport and Exercise Medicine\nsection: Review\nPMID: 26423706","page":"281-291","source":"bjsm-bmj-com.ezproxy.lib.ou.edu","title":"Monitoring the athlete training response: subjective self-reported measures trump commonly used objective measures: a systematic review","title-short":"Monitoring the athlete training response","volume":"50","author":[{"family":"Saw","given":"Anna E."},{"family":"Main","given":"Luana C."},{"family":"Gastin","given":"Paul B."}],"issued":{"date-parts":[["2016",3,1]]}}}],"schema":"https://github.com/citation-style-language/schema/raw/master/csl-citation.json"}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(Saw et al.,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Subjective measures </w:t>
      </w:r>
      <w:r w:rsidRPr="00890E95">
        <w:rPr>
          <w:rFonts w:ascii="Times New Roman" w:eastAsia="Times New Roman" w:hAnsi="Times New Roman" w:cs="Times New Roman"/>
        </w:rPr>
        <w:lastRenderedPageBreak/>
        <w:t xml:space="preserve">are able to detect both acute and chronic training adaptations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{"citationID":"sNAzqU8P","properties":{"formattedCitation":"(Saw et al., 2016)","plainCitation":"(Saw et al., 2016)","noteIndex":0},"citationItems":[{"id":94,"uris":["http://zotero.org/users/6375206/items/JPL8GFVA"],"uri":["http://zotero.org/users/6375206/items/JPL8GFVA"],"itemData":{"id":94,"type":"article-journal","abstract":"Background Monitoring athlete well-being is essential to guide training and to detect any progression towards negative health outcomes and associated poor performance. Objective (performance, physiological, biochemical) and subjective measures are all options for athlete monitoring.\nObjective We systematically reviewed objective and subjective measures of athlete well-being. Objective measures, including those taken at rest (eg, blood markers, heart rate) and during exercise (eg, oxygen consumption, heart rate response), were compared against subjective measures (eg, mood, perceived stress). All measures were also evaluated for their response to acute and chronic training load.\nMethods The databases Academic search complete, MEDLINE, PsycINFO, SPORTDiscus and PubMed were searched in May 2014. Fifty-six original studies reported concurrent subjective and objective measures of athlete well-being. The quality and strength of findings of each study were evaluated to determine overall levels of evidence.\nResults Subjective and objective measures of athlete well-being generally did not correlate. Subjective measures reflected acute and chronic training loads with superior sensitivity and consistency than objective measures. Subjective well-being was typically impaired with an acute increase in training load, and also with chronic training, while an acute decrease in training load improved subjective well-being.\nSummary This review provides further support for practitioners to use subjective measures to monitor changes in athlete well-being in response to training. Subjective measures may stand alone, or be incorporated into a mixed methods approach to athlete monitoring, as is current practice in many sport settings.","container-title":"British Journal of Sports Medicine","DOI":"10.1136/bjsports-2015-094758","ISSN":"0306-3674, 1473-0480","issue":"5","journalAbbreviation":"Br J Sports Med","language":"en","note":"publisher: BMJ Publishing Group Ltd and British Association of Sport and Exercise Medicine\nsection: Review\nPMID: 26423706","page":"281-291","source":"bjsm-bmj-com.ezproxy.lib.ou.edu","title":"Monitoring the athlete training response: subjective self-reported measures trump commonly used objective measures: a systematic review","title-short":"Monitoring the athlete training response","volume":"50","author":[{"family":"Saw","given":"Anna E."},{"family":"Main","given":"Luana C."},{"family":"Gastin","given":"Paul B."}],"issued":{"date-parts":[["2016",3,1]]}}}],"schema":"https://github.com/citation-style-language/schema/raw/master/csl-citation.json"}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(Saw et al.,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The results of one study suggest that monitoring stress-recovery state combined with performance can help elicit optimal training adaptations, thereby helping to prevent overtraining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{"citationID":"ksx7ISHx","properties":{"formattedCitation":"(Nagle et al., 2015)","plainCitation":"(Nagle et al., 2015)","noteIndex":0},"citationItems":[{"id":159,"uris":["http://zotero.org/users/6375206/items/VZB58EEJ"],"uri":["http://zotero.org/users/6375206/items/VZB58EEJ"],"itemData":{"id":159,"type":"article-journal","container-title":"J. Swimming Research","page":"44-53","title":"Changes in Swim Performance and Perceived Stress and Recovery in Female Collegiate Swimmers Across a Competitive Season","volume":"23","author":[{"family":"Nagle","given":"Jacquelyn A."},{"family":"McMillan","given":"James L."},{"family":"Munkasy","given":"Barry A."},{"family":"Joyner","given":"A. Barry"},{"family":"Roorda","given":"Alexander"},{"family":"Scott","given":"Mindy K."},{"family":"Rossi","given":"Stephen J."}],"issued":{"date-parts":[["2015"]]}}}],"schema":"https://github.com/citation-style-language/schema/raw/master/csl-citation.json"}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(Nagle et al., 2015)</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Subjective measures have been found to be useful in various sports, which may point to their potential utility in gymnastics. </w:t>
      </w:r>
    </w:p>
    <w:p w14:paraId="1C0ED3D7" w14:textId="77777777" w:rsidR="00A34A38" w:rsidRPr="00890E95" w:rsidRDefault="00A34A38" w:rsidP="00A34A38">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Acknowledging the complexities of gymnastics, some understood and some unknown, it would seem both innovative and pertinent to better understand the multi-modal stress and recovery dynamics of the sport, as well as better assess the physical demands beyond repetitions of skills and routines. It is known that training monotony increases training strain which may lead to non-functional overreaching. The particularly monotonous training and competition convention that exists within gymnastics, may, in part, explain the high rates of injury and practice days missed by gymnasts. Potentially, with these new insights, training periodization models can be more accurately created to assist with decreasing monotony and increased training outcomes.</w:t>
      </w:r>
    </w:p>
    <w:p w14:paraId="4E4229EA" w14:textId="0EFB9FC3" w:rsidR="00A34A38" w:rsidRPr="00890E95" w:rsidRDefault="00A34A38" w:rsidP="00C37F05">
      <w:pPr>
        <w:spacing w:line="480" w:lineRule="auto"/>
        <w:ind w:firstLine="720"/>
        <w:rPr>
          <w:rFonts w:ascii="Times New Roman" w:hAnsi="Times New Roman" w:cs="Times New Roman"/>
        </w:rPr>
      </w:pPr>
      <w:r w:rsidRPr="00890E95">
        <w:rPr>
          <w:rFonts w:ascii="Times New Roman" w:hAnsi="Times New Roman" w:cs="Times New Roman"/>
        </w:rPr>
        <w:t>Therefore, the purpose of this retrospective analysis is to assess the utility and effectiveness of monitoring internal load, via subjective ratings of physical, mental, and emotional status, and external load, through accelerometry-based metrics, in NCAA female gymnasts. Of key interest are the changes that occur in these variables across one academic semester (preseason training period). In addition, soreness patterns and sleep patterns will be examined to provide additional nuance to relationships between imposed stresses and the resulting performance and recovery responses.</w:t>
      </w:r>
    </w:p>
    <w:p w14:paraId="10057EA9" w14:textId="5E5486B2" w:rsidR="00A34A38" w:rsidRPr="00890E95" w:rsidRDefault="00A34A38" w:rsidP="00263AD5">
      <w:pPr>
        <w:pStyle w:val="Heading3"/>
        <w:rPr>
          <w:rFonts w:cs="Times New Roman"/>
        </w:rPr>
      </w:pPr>
      <w:bookmarkStart w:id="3" w:name="_Toc85791389"/>
      <w:r w:rsidRPr="00890E95">
        <w:rPr>
          <w:rFonts w:cs="Times New Roman"/>
        </w:rPr>
        <w:lastRenderedPageBreak/>
        <w:t>Research Questions</w:t>
      </w:r>
      <w:bookmarkEnd w:id="3"/>
    </w:p>
    <w:p w14:paraId="3DD8D377" w14:textId="45B6A7EA" w:rsidR="00A34A38" w:rsidRPr="00890E95" w:rsidRDefault="00AD692D" w:rsidP="00A34A38">
      <w:pPr>
        <w:pStyle w:val="ListParagraph"/>
        <w:numPr>
          <w:ilvl w:val="0"/>
          <w:numId w:val="14"/>
        </w:numPr>
        <w:spacing w:line="480" w:lineRule="auto"/>
        <w:rPr>
          <w:rFonts w:ascii="Times New Roman" w:hAnsi="Times New Roman" w:cs="Times New Roman"/>
        </w:rPr>
      </w:pPr>
      <w:r>
        <w:rPr>
          <w:rFonts w:ascii="Times New Roman" w:hAnsi="Times New Roman" w:cs="Times New Roman"/>
        </w:rPr>
        <w:t xml:space="preserve">Are </w:t>
      </w:r>
      <w:r w:rsidR="00C015FB">
        <w:rPr>
          <w:rFonts w:ascii="Times New Roman" w:hAnsi="Times New Roman" w:cs="Times New Roman"/>
        </w:rPr>
        <w:t>accelerometry-based external loads</w:t>
      </w:r>
      <w:r w:rsidR="00C015FB" w:rsidRPr="00890E95">
        <w:rPr>
          <w:rFonts w:ascii="Times New Roman" w:hAnsi="Times New Roman" w:cs="Times New Roman"/>
        </w:rPr>
        <w:t xml:space="preserve"> (</w:t>
      </w:r>
      <w:r w:rsidR="00C015FB" w:rsidRPr="00162C2E">
        <w:rPr>
          <w:rStyle w:val="xapple-converted-space"/>
          <w:rFonts w:ascii="Times New Roman" w:hAnsi="Times New Roman" w:cs="Times New Roman"/>
          <w:color w:val="000000"/>
          <w:bdr w:val="none" w:sz="0" w:space="0" w:color="auto" w:frame="1"/>
        </w:rPr>
        <w:t xml:space="preserve">Total </w:t>
      </w:r>
      <w:r w:rsidR="00C015FB" w:rsidRPr="00890E95">
        <w:rPr>
          <w:rFonts w:ascii="Times New Roman" w:hAnsi="Times New Roman" w:cs="Times New Roman"/>
          <w:color w:val="000000"/>
          <w:bdr w:val="none" w:sz="0" w:space="0" w:color="auto" w:frame="1"/>
        </w:rPr>
        <w:t>Player Load</w:t>
      </w:r>
      <w:r w:rsidR="00C015FB">
        <w:rPr>
          <w:rFonts w:ascii="Times New Roman" w:hAnsi="Times New Roman" w:cs="Times New Roman"/>
          <w:color w:val="000000"/>
          <w:bdr w:val="none" w:sz="0" w:space="0" w:color="auto" w:frame="1"/>
        </w:rPr>
        <w:t xml:space="preserve"> (</w:t>
      </w:r>
      <w:proofErr w:type="spellStart"/>
      <w:r w:rsidR="00C015FB">
        <w:rPr>
          <w:rFonts w:ascii="Times New Roman" w:hAnsi="Times New Roman" w:cs="Times New Roman"/>
          <w:color w:val="000000"/>
          <w:bdr w:val="none" w:sz="0" w:space="0" w:color="auto" w:frame="1"/>
        </w:rPr>
        <w:t>PL</w:t>
      </w:r>
      <w:r w:rsidR="00C015FB" w:rsidRPr="00F66B38">
        <w:rPr>
          <w:rFonts w:ascii="Times New Roman" w:hAnsi="Times New Roman" w:cs="Times New Roman"/>
          <w:color w:val="000000"/>
          <w:bdr w:val="none" w:sz="0" w:space="0" w:color="auto" w:frame="1"/>
          <w:vertAlign w:val="superscript"/>
        </w:rPr>
        <w:t>Total</w:t>
      </w:r>
      <w:proofErr w:type="spellEnd"/>
      <w:r w:rsidR="00C015FB">
        <w:rPr>
          <w:rFonts w:ascii="Times New Roman" w:hAnsi="Times New Roman" w:cs="Times New Roman"/>
          <w:color w:val="000000"/>
          <w:bdr w:val="none" w:sz="0" w:space="0" w:color="auto" w:frame="1"/>
        </w:rPr>
        <w:t xml:space="preserve">), </w:t>
      </w:r>
      <w:r w:rsidR="00C015FB" w:rsidRPr="00890E95">
        <w:rPr>
          <w:rFonts w:ascii="Times New Roman" w:hAnsi="Times New Roman" w:cs="Times New Roman"/>
          <w:color w:val="000000"/>
          <w:bdr w:val="none" w:sz="0" w:space="0" w:color="auto" w:frame="1"/>
        </w:rPr>
        <w:t>Player Load per min</w:t>
      </w:r>
      <w:r w:rsidR="00C015FB">
        <w:rPr>
          <w:rFonts w:ascii="Times New Roman" w:hAnsi="Times New Roman" w:cs="Times New Roman"/>
          <w:color w:val="000000"/>
          <w:bdr w:val="none" w:sz="0" w:space="0" w:color="auto" w:frame="1"/>
        </w:rPr>
        <w:t xml:space="preserve"> (PL</w:t>
      </w:r>
      <w:r w:rsidR="00C015FB" w:rsidRPr="00F66B38">
        <w:rPr>
          <w:rFonts w:ascii="Times New Roman" w:hAnsi="Times New Roman" w:cs="Times New Roman"/>
          <w:color w:val="000000"/>
          <w:bdr w:val="none" w:sz="0" w:space="0" w:color="auto" w:frame="1"/>
          <w:vertAlign w:val="superscript"/>
        </w:rPr>
        <w:t>-1min</w:t>
      </w:r>
      <w:r w:rsidR="00C015FB">
        <w:rPr>
          <w:rFonts w:ascii="Times New Roman" w:hAnsi="Times New Roman" w:cs="Times New Roman"/>
          <w:color w:val="000000"/>
          <w:bdr w:val="none" w:sz="0" w:space="0" w:color="auto" w:frame="1"/>
        </w:rPr>
        <w:t>), Player Load 1D-Up (PL</w:t>
      </w:r>
      <w:r w:rsidR="00C015FB" w:rsidRPr="00F66B38">
        <w:rPr>
          <w:rFonts w:ascii="Times New Roman" w:hAnsi="Times New Roman" w:cs="Times New Roman"/>
          <w:color w:val="000000"/>
          <w:bdr w:val="none" w:sz="0" w:space="0" w:color="auto" w:frame="1"/>
          <w:vertAlign w:val="superscript"/>
        </w:rPr>
        <w:t>Z</w:t>
      </w:r>
      <w:r w:rsidR="00C015FB">
        <w:rPr>
          <w:rFonts w:ascii="Times New Roman" w:hAnsi="Times New Roman" w:cs="Times New Roman"/>
          <w:color w:val="000000"/>
          <w:bdr w:val="none" w:sz="0" w:space="0" w:color="auto" w:frame="1"/>
        </w:rPr>
        <w:t>), and IMA jump count (IMA)</w:t>
      </w:r>
      <w:r w:rsidR="00C015FB" w:rsidRPr="00890E95">
        <w:rPr>
          <w:rFonts w:ascii="Times New Roman" w:hAnsi="Times New Roman" w:cs="Times New Roman"/>
        </w:rPr>
        <w:t>)</w:t>
      </w:r>
      <w:r w:rsidR="00C015FB">
        <w:rPr>
          <w:rFonts w:ascii="Times New Roman" w:hAnsi="Times New Roman" w:cs="Times New Roman"/>
        </w:rPr>
        <w:t xml:space="preserve"> </w:t>
      </w:r>
      <w:r>
        <w:rPr>
          <w:rFonts w:ascii="Times New Roman" w:hAnsi="Times New Roman" w:cs="Times New Roman"/>
        </w:rPr>
        <w:t xml:space="preserve">different across the four training phases </w:t>
      </w:r>
      <w:r w:rsidR="00C015FB" w:rsidRPr="00C015FB">
        <w:rPr>
          <w:rFonts w:ascii="Times New Roman" w:hAnsi="Times New Roman" w:cs="Times New Roman"/>
        </w:rPr>
        <w:t>(Skills/General Prep 1, Combinations/General Prep 2, Practice Routines/Special Prep 1, Competitive Routines/Special Prep 2)</w:t>
      </w:r>
      <w:r w:rsidR="00C015FB">
        <w:rPr>
          <w:rFonts w:ascii="Times New Roman" w:hAnsi="Times New Roman" w:cs="Times New Roman"/>
        </w:rPr>
        <w:t xml:space="preserve"> </w:t>
      </w:r>
      <w:r>
        <w:rPr>
          <w:rFonts w:ascii="Times New Roman" w:hAnsi="Times New Roman" w:cs="Times New Roman"/>
        </w:rPr>
        <w:t>of a collegiate women’s gymnastics preseason?</w:t>
      </w:r>
      <w:r w:rsidR="00A34A38" w:rsidRPr="00890E95">
        <w:rPr>
          <w:rFonts w:ascii="Times New Roman" w:hAnsi="Times New Roman" w:cs="Times New Roman"/>
        </w:rPr>
        <w:t xml:space="preserve"> </w:t>
      </w:r>
    </w:p>
    <w:p w14:paraId="7C109AAE" w14:textId="3FEE8A8D" w:rsidR="00C015FB" w:rsidRPr="00C015FB" w:rsidRDefault="00C015FB" w:rsidP="00C015FB">
      <w:pPr>
        <w:pStyle w:val="ListParagraph"/>
        <w:numPr>
          <w:ilvl w:val="0"/>
          <w:numId w:val="14"/>
        </w:numPr>
        <w:spacing w:line="480" w:lineRule="auto"/>
        <w:rPr>
          <w:rFonts w:ascii="Times New Roman" w:hAnsi="Times New Roman" w:cs="Times New Roman"/>
        </w:rPr>
      </w:pPr>
      <w:r w:rsidRPr="00C015FB">
        <w:rPr>
          <w:rFonts w:ascii="Times New Roman" w:hAnsi="Times New Roman" w:cs="Times New Roman"/>
        </w:rPr>
        <w:t xml:space="preserve">Where did the highest and lowest </w:t>
      </w:r>
      <w:r>
        <w:rPr>
          <w:rFonts w:ascii="Times New Roman" w:hAnsi="Times New Roman" w:cs="Times New Roman"/>
        </w:rPr>
        <w:t>accelerometry-based external load</w:t>
      </w:r>
      <w:r w:rsidRPr="00890E95">
        <w:rPr>
          <w:rFonts w:ascii="Times New Roman" w:hAnsi="Times New Roman" w:cs="Times New Roman"/>
        </w:rPr>
        <w:t xml:space="preserve"> </w:t>
      </w:r>
      <w:r w:rsidRPr="00C015FB">
        <w:rPr>
          <w:rFonts w:ascii="Times New Roman" w:hAnsi="Times New Roman" w:cs="Times New Roman"/>
        </w:rPr>
        <w:t>(</w:t>
      </w:r>
      <w:proofErr w:type="spellStart"/>
      <w:r>
        <w:rPr>
          <w:rFonts w:ascii="Times New Roman" w:hAnsi="Times New Roman" w:cs="Times New Roman"/>
          <w:color w:val="000000"/>
          <w:bdr w:val="none" w:sz="0" w:space="0" w:color="auto" w:frame="1"/>
        </w:rPr>
        <w:t>PL</w:t>
      </w:r>
      <w:r w:rsidRPr="00F66B38">
        <w:rPr>
          <w:rFonts w:ascii="Times New Roman" w:hAnsi="Times New Roman" w:cs="Times New Roman"/>
          <w:color w:val="000000"/>
          <w:bdr w:val="none" w:sz="0" w:space="0" w:color="auto" w:frame="1"/>
          <w:vertAlign w:val="superscript"/>
        </w:rPr>
        <w:t>Total</w:t>
      </w:r>
      <w:proofErr w:type="spellEnd"/>
      <w:r w:rsidRPr="00C015FB">
        <w:rPr>
          <w:rFonts w:ascii="Times New Roman" w:hAnsi="Times New Roman" w:cs="Times New Roman"/>
        </w:rPr>
        <w:t xml:space="preserve">, </w:t>
      </w:r>
      <w:r>
        <w:rPr>
          <w:rFonts w:ascii="Times New Roman" w:hAnsi="Times New Roman" w:cs="Times New Roman"/>
          <w:color w:val="000000"/>
          <w:bdr w:val="none" w:sz="0" w:space="0" w:color="auto" w:frame="1"/>
        </w:rPr>
        <w:t>PL</w:t>
      </w:r>
      <w:r w:rsidRPr="00F66B38">
        <w:rPr>
          <w:rFonts w:ascii="Times New Roman" w:hAnsi="Times New Roman" w:cs="Times New Roman"/>
          <w:color w:val="000000"/>
          <w:bdr w:val="none" w:sz="0" w:space="0" w:color="auto" w:frame="1"/>
          <w:vertAlign w:val="superscript"/>
        </w:rPr>
        <w:t>-1min</w:t>
      </w:r>
      <w:r w:rsidRPr="00C015FB">
        <w:rPr>
          <w:rFonts w:ascii="Times New Roman" w:hAnsi="Times New Roman" w:cs="Times New Roman"/>
        </w:rPr>
        <w:t xml:space="preserve">, </w:t>
      </w:r>
      <w:r>
        <w:rPr>
          <w:rFonts w:ascii="Times New Roman" w:hAnsi="Times New Roman" w:cs="Times New Roman"/>
          <w:color w:val="000000"/>
          <w:bdr w:val="none" w:sz="0" w:space="0" w:color="auto" w:frame="1"/>
        </w:rPr>
        <w:t>PL</w:t>
      </w:r>
      <w:r w:rsidRPr="00F66B38">
        <w:rPr>
          <w:rFonts w:ascii="Times New Roman" w:hAnsi="Times New Roman" w:cs="Times New Roman"/>
          <w:color w:val="000000"/>
          <w:bdr w:val="none" w:sz="0" w:space="0" w:color="auto" w:frame="1"/>
          <w:vertAlign w:val="superscript"/>
        </w:rPr>
        <w:t>Z</w:t>
      </w:r>
      <w:r w:rsidRPr="00C015FB">
        <w:rPr>
          <w:rFonts w:ascii="Times New Roman" w:hAnsi="Times New Roman" w:cs="Times New Roman"/>
        </w:rPr>
        <w:t xml:space="preserve">, </w:t>
      </w:r>
      <w:r>
        <w:rPr>
          <w:rFonts w:ascii="Times New Roman" w:hAnsi="Times New Roman" w:cs="Times New Roman"/>
          <w:color w:val="000000"/>
          <w:bdr w:val="none" w:sz="0" w:space="0" w:color="auto" w:frame="1"/>
        </w:rPr>
        <w:t>IMA</w:t>
      </w:r>
      <w:r w:rsidRPr="00C015FB">
        <w:rPr>
          <w:rFonts w:ascii="Times New Roman" w:hAnsi="Times New Roman" w:cs="Times New Roman"/>
        </w:rPr>
        <w:t>) scores occur and how did they relate to the highest and lowest soreness, sleep quality, and practice duration measurements during pre-season training?</w:t>
      </w:r>
    </w:p>
    <w:p w14:paraId="05A25842" w14:textId="21F09ADF" w:rsidR="006D1556" w:rsidRDefault="006D1556" w:rsidP="006D1556">
      <w:pPr>
        <w:pStyle w:val="ListParagraph"/>
        <w:numPr>
          <w:ilvl w:val="1"/>
          <w:numId w:val="14"/>
        </w:numPr>
        <w:spacing w:line="480" w:lineRule="auto"/>
        <w:rPr>
          <w:rFonts w:ascii="Times New Roman" w:hAnsi="Times New Roman" w:cs="Times New Roman"/>
        </w:rPr>
      </w:pPr>
      <w:r>
        <w:rPr>
          <w:rFonts w:ascii="Times New Roman" w:hAnsi="Times New Roman" w:cs="Times New Roman"/>
        </w:rPr>
        <w:t>Were the highest and lowest external and internal load metrics significantly different from each other?</w:t>
      </w:r>
    </w:p>
    <w:p w14:paraId="42354D4E" w14:textId="5C039735" w:rsidR="00A34A38" w:rsidRDefault="006D1556" w:rsidP="006D1556">
      <w:pPr>
        <w:pStyle w:val="ListParagraph"/>
        <w:numPr>
          <w:ilvl w:val="1"/>
          <w:numId w:val="14"/>
        </w:numPr>
        <w:spacing w:line="480" w:lineRule="auto"/>
        <w:rPr>
          <w:rFonts w:ascii="Times New Roman" w:hAnsi="Times New Roman" w:cs="Times New Roman"/>
        </w:rPr>
      </w:pPr>
      <w:r>
        <w:rPr>
          <w:rFonts w:ascii="Times New Roman" w:hAnsi="Times New Roman" w:cs="Times New Roman"/>
        </w:rPr>
        <w:t>Did significant changes in external load result in significant changes to s</w:t>
      </w:r>
      <w:r w:rsidR="00A34A38" w:rsidRPr="00890E95">
        <w:rPr>
          <w:rFonts w:ascii="Times New Roman" w:hAnsi="Times New Roman" w:cs="Times New Roman"/>
        </w:rPr>
        <w:t>tress composite</w:t>
      </w:r>
      <w:r>
        <w:rPr>
          <w:rFonts w:ascii="Times New Roman" w:hAnsi="Times New Roman" w:cs="Times New Roman"/>
        </w:rPr>
        <w:t xml:space="preserve"> and </w:t>
      </w:r>
      <w:r w:rsidR="00A34A38" w:rsidRPr="00890E95">
        <w:rPr>
          <w:rFonts w:ascii="Times New Roman" w:hAnsi="Times New Roman" w:cs="Times New Roman"/>
        </w:rPr>
        <w:t>recovery composite scores for the following day?</w:t>
      </w:r>
    </w:p>
    <w:p w14:paraId="682F467F" w14:textId="1EB8490C" w:rsidR="006D1556" w:rsidRDefault="006D1556" w:rsidP="006D1556">
      <w:pPr>
        <w:pStyle w:val="ListParagraph"/>
        <w:numPr>
          <w:ilvl w:val="1"/>
          <w:numId w:val="14"/>
        </w:numPr>
        <w:spacing w:line="480" w:lineRule="auto"/>
        <w:rPr>
          <w:rFonts w:ascii="Times New Roman" w:hAnsi="Times New Roman" w:cs="Times New Roman"/>
        </w:rPr>
      </w:pPr>
      <w:r>
        <w:rPr>
          <w:rFonts w:ascii="Times New Roman" w:hAnsi="Times New Roman" w:cs="Times New Roman"/>
        </w:rPr>
        <w:t>Did significant changes in external load result in significant changes to soreness and sleep quality scores for the following day?</w:t>
      </w:r>
    </w:p>
    <w:p w14:paraId="2E1872D1" w14:textId="40162AB2" w:rsidR="00A655E6" w:rsidRDefault="006D1556" w:rsidP="00A34A38">
      <w:pPr>
        <w:pStyle w:val="ListParagraph"/>
        <w:numPr>
          <w:ilvl w:val="0"/>
          <w:numId w:val="14"/>
        </w:numPr>
        <w:spacing w:line="480" w:lineRule="auto"/>
        <w:rPr>
          <w:rFonts w:ascii="Times New Roman" w:hAnsi="Times New Roman" w:cs="Times New Roman"/>
        </w:rPr>
      </w:pPr>
      <w:r>
        <w:rPr>
          <w:rFonts w:ascii="Times New Roman" w:hAnsi="Times New Roman" w:cs="Times New Roman"/>
        </w:rPr>
        <w:t>Are accelerometry-based external loads</w:t>
      </w:r>
      <w:r w:rsidRPr="00890E95">
        <w:rPr>
          <w:rFonts w:ascii="Times New Roman" w:hAnsi="Times New Roman" w:cs="Times New Roman"/>
        </w:rPr>
        <w:t xml:space="preserve"> (</w:t>
      </w:r>
      <w:r w:rsidRPr="00162C2E">
        <w:rPr>
          <w:rStyle w:val="xapple-converted-space"/>
          <w:rFonts w:ascii="Times New Roman" w:hAnsi="Times New Roman" w:cs="Times New Roman"/>
          <w:color w:val="000000"/>
          <w:bdr w:val="none" w:sz="0" w:space="0" w:color="auto" w:frame="1"/>
        </w:rPr>
        <w:t xml:space="preserve">Total </w:t>
      </w:r>
      <w:r w:rsidRPr="00890E95">
        <w:rPr>
          <w:rFonts w:ascii="Times New Roman" w:hAnsi="Times New Roman" w:cs="Times New Roman"/>
          <w:color w:val="000000"/>
          <w:bdr w:val="none" w:sz="0" w:space="0" w:color="auto" w:frame="1"/>
        </w:rPr>
        <w:t>Player Load</w:t>
      </w:r>
      <w:r>
        <w:rPr>
          <w:rFonts w:ascii="Times New Roman" w:hAnsi="Times New Roman" w:cs="Times New Roman"/>
          <w:color w:val="000000"/>
          <w:bdr w:val="none" w:sz="0" w:space="0" w:color="auto" w:frame="1"/>
        </w:rPr>
        <w:t xml:space="preserve"> (</w:t>
      </w:r>
      <w:proofErr w:type="spellStart"/>
      <w:r>
        <w:rPr>
          <w:rFonts w:ascii="Times New Roman" w:hAnsi="Times New Roman" w:cs="Times New Roman"/>
          <w:color w:val="000000"/>
          <w:bdr w:val="none" w:sz="0" w:space="0" w:color="auto" w:frame="1"/>
        </w:rPr>
        <w:t>PL</w:t>
      </w:r>
      <w:r w:rsidRPr="00F66B38">
        <w:rPr>
          <w:rFonts w:ascii="Times New Roman" w:hAnsi="Times New Roman" w:cs="Times New Roman"/>
          <w:color w:val="000000"/>
          <w:bdr w:val="none" w:sz="0" w:space="0" w:color="auto" w:frame="1"/>
          <w:vertAlign w:val="superscript"/>
        </w:rPr>
        <w:t>Total</w:t>
      </w:r>
      <w:proofErr w:type="spellEnd"/>
      <w:r>
        <w:rPr>
          <w:rFonts w:ascii="Times New Roman" w:hAnsi="Times New Roman" w:cs="Times New Roman"/>
          <w:color w:val="000000"/>
          <w:bdr w:val="none" w:sz="0" w:space="0" w:color="auto" w:frame="1"/>
        </w:rPr>
        <w:t xml:space="preserve">), </w:t>
      </w:r>
      <w:r w:rsidRPr="00890E95">
        <w:rPr>
          <w:rFonts w:ascii="Times New Roman" w:hAnsi="Times New Roman" w:cs="Times New Roman"/>
          <w:color w:val="000000"/>
          <w:bdr w:val="none" w:sz="0" w:space="0" w:color="auto" w:frame="1"/>
        </w:rPr>
        <w:t>Player Load per min</w:t>
      </w:r>
      <w:r>
        <w:rPr>
          <w:rFonts w:ascii="Times New Roman" w:hAnsi="Times New Roman" w:cs="Times New Roman"/>
          <w:color w:val="000000"/>
          <w:bdr w:val="none" w:sz="0" w:space="0" w:color="auto" w:frame="1"/>
        </w:rPr>
        <w:t xml:space="preserve"> (PL</w:t>
      </w:r>
      <w:r w:rsidRPr="00F66B38">
        <w:rPr>
          <w:rFonts w:ascii="Times New Roman" w:hAnsi="Times New Roman" w:cs="Times New Roman"/>
          <w:color w:val="000000"/>
          <w:bdr w:val="none" w:sz="0" w:space="0" w:color="auto" w:frame="1"/>
          <w:vertAlign w:val="superscript"/>
        </w:rPr>
        <w:t>-1min</w:t>
      </w:r>
      <w:r>
        <w:rPr>
          <w:rFonts w:ascii="Times New Roman" w:hAnsi="Times New Roman" w:cs="Times New Roman"/>
          <w:color w:val="000000"/>
          <w:bdr w:val="none" w:sz="0" w:space="0" w:color="auto" w:frame="1"/>
        </w:rPr>
        <w:t>), Player Load 1D-Up (PL</w:t>
      </w:r>
      <w:r w:rsidRPr="00F66B38">
        <w:rPr>
          <w:rFonts w:ascii="Times New Roman" w:hAnsi="Times New Roman" w:cs="Times New Roman"/>
          <w:color w:val="000000"/>
          <w:bdr w:val="none" w:sz="0" w:space="0" w:color="auto" w:frame="1"/>
          <w:vertAlign w:val="superscript"/>
        </w:rPr>
        <w:t>Z</w:t>
      </w:r>
      <w:r>
        <w:rPr>
          <w:rFonts w:ascii="Times New Roman" w:hAnsi="Times New Roman" w:cs="Times New Roman"/>
          <w:color w:val="000000"/>
          <w:bdr w:val="none" w:sz="0" w:space="0" w:color="auto" w:frame="1"/>
        </w:rPr>
        <w:t>), and IMA jump count (IMA)</w:t>
      </w:r>
      <w:r w:rsidRPr="00890E95">
        <w:rPr>
          <w:rFonts w:ascii="Times New Roman" w:hAnsi="Times New Roman" w:cs="Times New Roman"/>
        </w:rPr>
        <w:t>)</w:t>
      </w:r>
      <w:r>
        <w:rPr>
          <w:rFonts w:ascii="Times New Roman" w:hAnsi="Times New Roman" w:cs="Times New Roman"/>
        </w:rPr>
        <w:t xml:space="preserve"> significantly related to </w:t>
      </w:r>
      <w:r w:rsidR="00A655E6">
        <w:rPr>
          <w:rFonts w:ascii="Times New Roman" w:hAnsi="Times New Roman" w:cs="Times New Roman"/>
        </w:rPr>
        <w:t>subjectively measured internal loads (sleep, soreness, recovery, stress)</w:t>
      </w:r>
      <w:r w:rsidR="00EB3436">
        <w:rPr>
          <w:rFonts w:ascii="Times New Roman" w:hAnsi="Times New Roman" w:cs="Times New Roman"/>
        </w:rPr>
        <w:t>?</w:t>
      </w:r>
    </w:p>
    <w:p w14:paraId="0A4C0EED" w14:textId="578E13AA" w:rsidR="00320297" w:rsidRPr="00320297" w:rsidRDefault="00A655E6" w:rsidP="009412D8">
      <w:pPr>
        <w:pStyle w:val="ListParagraph"/>
        <w:spacing w:line="480" w:lineRule="auto"/>
      </w:pPr>
      <w:r>
        <w:rPr>
          <w:rFonts w:ascii="Times New Roman" w:hAnsi="Times New Roman" w:cs="Times New Roman"/>
        </w:rPr>
        <w:t xml:space="preserve">Do </w:t>
      </w:r>
      <w:r w:rsidR="006D1556">
        <w:rPr>
          <w:rFonts w:ascii="Times New Roman" w:hAnsi="Times New Roman" w:cs="Times New Roman"/>
        </w:rPr>
        <w:t>relationships exist between</w:t>
      </w:r>
      <w:r w:rsidR="00A34A38" w:rsidRPr="00890E95">
        <w:rPr>
          <w:rFonts w:ascii="Times New Roman" w:hAnsi="Times New Roman" w:cs="Times New Roman"/>
        </w:rPr>
        <w:t xml:space="preserve"> sleep</w:t>
      </w:r>
      <w:r w:rsidR="006D1556">
        <w:rPr>
          <w:rFonts w:ascii="Times New Roman" w:hAnsi="Times New Roman" w:cs="Times New Roman"/>
        </w:rPr>
        <w:t xml:space="preserve"> and soreness measures with </w:t>
      </w:r>
      <w:r w:rsidR="00234703">
        <w:rPr>
          <w:rFonts w:ascii="Times New Roman" w:hAnsi="Times New Roman" w:cs="Times New Roman"/>
        </w:rPr>
        <w:t xml:space="preserve">the </w:t>
      </w:r>
      <w:r w:rsidR="00A34A38" w:rsidRPr="00890E95">
        <w:rPr>
          <w:rFonts w:ascii="Times New Roman" w:hAnsi="Times New Roman" w:cs="Times New Roman"/>
        </w:rPr>
        <w:t>subjective physical, mental, and emotional domains of the stress recovery scale?</w:t>
      </w:r>
    </w:p>
    <w:p w14:paraId="0A020F67" w14:textId="73F4C5E0" w:rsidR="00A34A38" w:rsidRPr="00890E95" w:rsidRDefault="00A34A38" w:rsidP="00263AD5">
      <w:pPr>
        <w:pStyle w:val="Heading3"/>
        <w:rPr>
          <w:rFonts w:cs="Times New Roman"/>
        </w:rPr>
      </w:pPr>
      <w:bookmarkStart w:id="4" w:name="_Toc85791390"/>
      <w:r w:rsidRPr="00890E95">
        <w:rPr>
          <w:rFonts w:cs="Times New Roman"/>
        </w:rPr>
        <w:t>Hypotheses</w:t>
      </w:r>
      <w:bookmarkEnd w:id="4"/>
    </w:p>
    <w:p w14:paraId="0C1597D8" w14:textId="7C7DD2AF" w:rsidR="00A34A38" w:rsidRPr="00890E95" w:rsidRDefault="00A34A38" w:rsidP="00A34A38">
      <w:pPr>
        <w:pStyle w:val="ListParagraph"/>
        <w:numPr>
          <w:ilvl w:val="0"/>
          <w:numId w:val="15"/>
        </w:numPr>
        <w:spacing w:line="480" w:lineRule="auto"/>
        <w:rPr>
          <w:rFonts w:ascii="Times New Roman" w:hAnsi="Times New Roman" w:cs="Times New Roman"/>
        </w:rPr>
      </w:pPr>
      <w:r w:rsidRPr="00890E95">
        <w:rPr>
          <w:rFonts w:ascii="Times New Roman" w:hAnsi="Times New Roman" w:cs="Times New Roman"/>
        </w:rPr>
        <w:t xml:space="preserve">Alternative Hypothesis: </w:t>
      </w:r>
      <w:r w:rsidR="00A01969">
        <w:rPr>
          <w:rFonts w:ascii="Times New Roman" w:hAnsi="Times New Roman" w:cs="Times New Roman"/>
        </w:rPr>
        <w:t xml:space="preserve">Accelerometry-based external load measures do differ across preseason training phases, with Skills/General Prep 1 being higher than </w:t>
      </w:r>
      <w:r w:rsidR="00A01969">
        <w:rPr>
          <w:rFonts w:ascii="Times New Roman" w:hAnsi="Times New Roman" w:cs="Times New Roman"/>
        </w:rPr>
        <w:lastRenderedPageBreak/>
        <w:t>Combinations/General Prep 2 and Practice Routines/Special Prep 1 being higher than Competitive Routines/Special Prep 2</w:t>
      </w:r>
      <w:r w:rsidRPr="00890E95">
        <w:rPr>
          <w:rFonts w:ascii="Times New Roman" w:hAnsi="Times New Roman" w:cs="Times New Roman"/>
        </w:rPr>
        <w:t xml:space="preserve">. </w:t>
      </w:r>
    </w:p>
    <w:p w14:paraId="336F0080" w14:textId="020881E8" w:rsidR="00A34A38" w:rsidRPr="00DE3D95" w:rsidRDefault="00A34A38" w:rsidP="00DE3D95">
      <w:pPr>
        <w:pStyle w:val="ListParagraph"/>
        <w:numPr>
          <w:ilvl w:val="2"/>
          <w:numId w:val="15"/>
        </w:numPr>
        <w:spacing w:line="480" w:lineRule="auto"/>
        <w:rPr>
          <w:rFonts w:ascii="Times New Roman" w:hAnsi="Times New Roman" w:cs="Times New Roman"/>
        </w:rPr>
      </w:pPr>
      <w:r w:rsidRPr="00DE3D95">
        <w:rPr>
          <w:rFonts w:ascii="Times New Roman" w:hAnsi="Times New Roman" w:cs="Times New Roman"/>
        </w:rPr>
        <w:t xml:space="preserve">Null Hypothesis: There is no </w:t>
      </w:r>
      <w:r w:rsidR="00A01969" w:rsidRPr="00DE3D95">
        <w:rPr>
          <w:rFonts w:ascii="Times New Roman" w:hAnsi="Times New Roman" w:cs="Times New Roman"/>
        </w:rPr>
        <w:t xml:space="preserve">difference in accelerometry-based external load measures across preseason training phases. </w:t>
      </w:r>
    </w:p>
    <w:p w14:paraId="44730FD5" w14:textId="2A1E0D50" w:rsidR="00A34A38" w:rsidRDefault="00A34A38" w:rsidP="00B47238">
      <w:pPr>
        <w:pStyle w:val="ListParagraph"/>
        <w:numPr>
          <w:ilvl w:val="0"/>
          <w:numId w:val="15"/>
        </w:numPr>
        <w:spacing w:line="480" w:lineRule="auto"/>
        <w:rPr>
          <w:rFonts w:ascii="Times New Roman" w:hAnsi="Times New Roman" w:cs="Times New Roman"/>
        </w:rPr>
      </w:pPr>
      <w:r w:rsidRPr="00890E95">
        <w:rPr>
          <w:rFonts w:ascii="Times New Roman" w:hAnsi="Times New Roman" w:cs="Times New Roman"/>
        </w:rPr>
        <w:t xml:space="preserve">Alternative Hypothesis: </w:t>
      </w:r>
      <w:r w:rsidR="00B47238" w:rsidRPr="00DE3D95">
        <w:rPr>
          <w:rFonts w:ascii="Times New Roman" w:hAnsi="Times New Roman" w:cs="Times New Roman"/>
        </w:rPr>
        <w:t>The highest external load scores occurred at the beginning and end of each training phase and the lowest external load measures occurred in the middle of the training phases. High external load measures preceded high soreness, pr</w:t>
      </w:r>
      <w:r w:rsidR="00DE3D95">
        <w:rPr>
          <w:rFonts w:ascii="Times New Roman" w:hAnsi="Times New Roman" w:cs="Times New Roman"/>
        </w:rPr>
        <w:t>e</w:t>
      </w:r>
      <w:r w:rsidR="00B47238" w:rsidRPr="00DE3D95">
        <w:rPr>
          <w:rFonts w:ascii="Times New Roman" w:hAnsi="Times New Roman" w:cs="Times New Roman"/>
        </w:rPr>
        <w:t xml:space="preserve">ceded low sleep quality scores. </w:t>
      </w:r>
    </w:p>
    <w:p w14:paraId="33F44E65" w14:textId="179C1A15" w:rsidR="00BB73BC" w:rsidRDefault="00BB73BC" w:rsidP="00DE3D95">
      <w:pPr>
        <w:pStyle w:val="ListParagraph"/>
        <w:numPr>
          <w:ilvl w:val="2"/>
          <w:numId w:val="15"/>
        </w:numPr>
        <w:spacing w:line="480" w:lineRule="auto"/>
        <w:rPr>
          <w:rFonts w:ascii="Times New Roman" w:hAnsi="Times New Roman" w:cs="Times New Roman"/>
        </w:rPr>
      </w:pPr>
      <w:r>
        <w:rPr>
          <w:rFonts w:ascii="Times New Roman" w:hAnsi="Times New Roman" w:cs="Times New Roman"/>
        </w:rPr>
        <w:t xml:space="preserve">Null Hypothesis: There was no pattern in the high and low external load scores. </w:t>
      </w:r>
    </w:p>
    <w:p w14:paraId="7E478660" w14:textId="44664E41" w:rsidR="00B47238" w:rsidRDefault="00B47238" w:rsidP="00B47238">
      <w:pPr>
        <w:pStyle w:val="ListParagraph"/>
        <w:numPr>
          <w:ilvl w:val="1"/>
          <w:numId w:val="15"/>
        </w:numPr>
        <w:spacing w:line="480" w:lineRule="auto"/>
        <w:rPr>
          <w:rFonts w:ascii="Times New Roman" w:hAnsi="Times New Roman" w:cs="Times New Roman"/>
        </w:rPr>
      </w:pPr>
      <w:r>
        <w:rPr>
          <w:rFonts w:ascii="Times New Roman" w:hAnsi="Times New Roman" w:cs="Times New Roman"/>
        </w:rPr>
        <w:t>The highest and lowest external and internal load metric</w:t>
      </w:r>
      <w:r w:rsidR="00BB73BC">
        <w:rPr>
          <w:rFonts w:ascii="Times New Roman" w:hAnsi="Times New Roman" w:cs="Times New Roman"/>
        </w:rPr>
        <w:t>s</w:t>
      </w:r>
      <w:r>
        <w:rPr>
          <w:rFonts w:ascii="Times New Roman" w:hAnsi="Times New Roman" w:cs="Times New Roman"/>
        </w:rPr>
        <w:t xml:space="preserve"> were significantly different from each other. </w:t>
      </w:r>
    </w:p>
    <w:p w14:paraId="3F5B555F" w14:textId="6ED86592" w:rsidR="00BB73BC" w:rsidRDefault="00BB73BC" w:rsidP="00DE3D95">
      <w:pPr>
        <w:pStyle w:val="ListParagraph"/>
        <w:numPr>
          <w:ilvl w:val="2"/>
          <w:numId w:val="15"/>
        </w:numPr>
        <w:spacing w:line="480" w:lineRule="auto"/>
        <w:rPr>
          <w:rFonts w:ascii="Times New Roman" w:hAnsi="Times New Roman" w:cs="Times New Roman"/>
        </w:rPr>
      </w:pPr>
      <w:r>
        <w:rPr>
          <w:rFonts w:ascii="Times New Roman" w:hAnsi="Times New Roman" w:cs="Times New Roman"/>
        </w:rPr>
        <w:t xml:space="preserve">Null Hypothesis: The highest and lowest external and internal load metrics were not significantly different.  </w:t>
      </w:r>
    </w:p>
    <w:p w14:paraId="3FC94374" w14:textId="02A42979" w:rsidR="00B47238" w:rsidRDefault="00B47238" w:rsidP="00B47238">
      <w:pPr>
        <w:pStyle w:val="ListParagraph"/>
        <w:numPr>
          <w:ilvl w:val="1"/>
          <w:numId w:val="15"/>
        </w:numPr>
        <w:spacing w:line="480" w:lineRule="auto"/>
        <w:rPr>
          <w:rFonts w:ascii="Times New Roman" w:hAnsi="Times New Roman" w:cs="Times New Roman"/>
        </w:rPr>
      </w:pPr>
      <w:r>
        <w:rPr>
          <w:rFonts w:ascii="Times New Roman" w:hAnsi="Times New Roman" w:cs="Times New Roman"/>
        </w:rPr>
        <w:t xml:space="preserve">Increased external load resulted in increased stress composite and decreased recovery composite scores on the following day. </w:t>
      </w:r>
      <w:r w:rsidR="00256B40">
        <w:rPr>
          <w:rFonts w:ascii="Times New Roman" w:hAnsi="Times New Roman" w:cs="Times New Roman"/>
        </w:rPr>
        <w:t xml:space="preserve">Decreased external load </w:t>
      </w:r>
      <w:r w:rsidR="000E2CA2">
        <w:rPr>
          <w:rFonts w:ascii="Times New Roman" w:hAnsi="Times New Roman" w:cs="Times New Roman"/>
        </w:rPr>
        <w:t>resulted</w:t>
      </w:r>
      <w:r w:rsidR="00256B40">
        <w:rPr>
          <w:rFonts w:ascii="Times New Roman" w:hAnsi="Times New Roman" w:cs="Times New Roman"/>
        </w:rPr>
        <w:t xml:space="preserve"> in decreased stress composite and increased recovery composite scores for the </w:t>
      </w:r>
      <w:r w:rsidR="000E2CA2">
        <w:rPr>
          <w:rFonts w:ascii="Times New Roman" w:hAnsi="Times New Roman" w:cs="Times New Roman"/>
        </w:rPr>
        <w:t>following</w:t>
      </w:r>
      <w:r w:rsidR="00256B40">
        <w:rPr>
          <w:rFonts w:ascii="Times New Roman" w:hAnsi="Times New Roman" w:cs="Times New Roman"/>
        </w:rPr>
        <w:t xml:space="preserve"> day. </w:t>
      </w:r>
    </w:p>
    <w:p w14:paraId="6ED7C43F" w14:textId="76FE5612" w:rsidR="00D86A5F" w:rsidRDefault="00D86A5F" w:rsidP="00DE3D95">
      <w:pPr>
        <w:pStyle w:val="ListParagraph"/>
        <w:numPr>
          <w:ilvl w:val="2"/>
          <w:numId w:val="15"/>
        </w:numPr>
        <w:spacing w:line="480" w:lineRule="auto"/>
        <w:rPr>
          <w:rFonts w:ascii="Times New Roman" w:hAnsi="Times New Roman" w:cs="Times New Roman"/>
        </w:rPr>
      </w:pPr>
      <w:r>
        <w:rPr>
          <w:rFonts w:ascii="Times New Roman" w:hAnsi="Times New Roman" w:cs="Times New Roman"/>
        </w:rPr>
        <w:t xml:space="preserve">Null Hypothesis: Changes in external load measures did not significantly influence stress composite or recovery composite scores. </w:t>
      </w:r>
    </w:p>
    <w:p w14:paraId="0AC1149A" w14:textId="06CC84E2" w:rsidR="00B47238" w:rsidRDefault="00B47238" w:rsidP="00BB73BC">
      <w:pPr>
        <w:pStyle w:val="ListParagraph"/>
        <w:numPr>
          <w:ilvl w:val="1"/>
          <w:numId w:val="15"/>
        </w:numPr>
        <w:spacing w:line="480" w:lineRule="auto"/>
        <w:rPr>
          <w:rFonts w:ascii="Times New Roman" w:hAnsi="Times New Roman" w:cs="Times New Roman"/>
        </w:rPr>
      </w:pPr>
      <w:r>
        <w:rPr>
          <w:rFonts w:ascii="Times New Roman" w:hAnsi="Times New Roman" w:cs="Times New Roman"/>
        </w:rPr>
        <w:t xml:space="preserve">Significant increases in external load resulted in significant increases in soreness and significant decreases in sleep quality for the following day. Significant </w:t>
      </w:r>
      <w:r>
        <w:rPr>
          <w:rFonts w:ascii="Times New Roman" w:hAnsi="Times New Roman" w:cs="Times New Roman"/>
        </w:rPr>
        <w:lastRenderedPageBreak/>
        <w:t xml:space="preserve">decreases in external load resulted in significant decreases in soreness and significant increases in sleep quality for the following day. </w:t>
      </w:r>
    </w:p>
    <w:p w14:paraId="6F1283ED" w14:textId="34AC94F5" w:rsidR="004376F6" w:rsidRPr="00DE3D95" w:rsidRDefault="004376F6" w:rsidP="00DE3D95">
      <w:pPr>
        <w:pStyle w:val="ListParagraph"/>
        <w:numPr>
          <w:ilvl w:val="2"/>
          <w:numId w:val="15"/>
        </w:numPr>
        <w:spacing w:line="480" w:lineRule="auto"/>
        <w:rPr>
          <w:rFonts w:ascii="Times New Roman" w:hAnsi="Times New Roman" w:cs="Times New Roman"/>
        </w:rPr>
      </w:pPr>
      <w:r>
        <w:rPr>
          <w:rFonts w:ascii="Times New Roman" w:hAnsi="Times New Roman" w:cs="Times New Roman"/>
        </w:rPr>
        <w:t xml:space="preserve">Null Hypothesis: Significant changes in external load did not significantly </w:t>
      </w:r>
      <w:r w:rsidR="00234703">
        <w:rPr>
          <w:rFonts w:ascii="Times New Roman" w:hAnsi="Times New Roman" w:cs="Times New Roman"/>
        </w:rPr>
        <w:t>affect</w:t>
      </w:r>
      <w:r>
        <w:rPr>
          <w:rFonts w:ascii="Times New Roman" w:hAnsi="Times New Roman" w:cs="Times New Roman"/>
        </w:rPr>
        <w:t xml:space="preserve"> soreness or sleep quality. </w:t>
      </w:r>
    </w:p>
    <w:p w14:paraId="00B8B141" w14:textId="51FC3ABF" w:rsidR="00A34A38" w:rsidRPr="00DE3D95" w:rsidRDefault="00A34A38" w:rsidP="00EB3436">
      <w:pPr>
        <w:pStyle w:val="ListParagraph"/>
        <w:numPr>
          <w:ilvl w:val="0"/>
          <w:numId w:val="15"/>
        </w:numPr>
        <w:spacing w:line="480" w:lineRule="auto"/>
        <w:rPr>
          <w:rFonts w:ascii="Times New Roman" w:hAnsi="Times New Roman" w:cs="Times New Roman"/>
        </w:rPr>
      </w:pPr>
      <w:r w:rsidRPr="00890E95">
        <w:rPr>
          <w:rFonts w:ascii="Times New Roman" w:hAnsi="Times New Roman" w:cs="Times New Roman"/>
        </w:rPr>
        <w:t xml:space="preserve">Alternative Hypothesis: </w:t>
      </w:r>
      <w:r w:rsidR="00EB3436" w:rsidRPr="00DE3D95">
        <w:rPr>
          <w:rFonts w:ascii="Times New Roman" w:hAnsi="Times New Roman" w:cs="Times New Roman"/>
        </w:rPr>
        <w:t xml:space="preserve">Accelerometry-based external load measures are significantly inversely related to sleep and recovery and significantly directly related to soreness and stress. </w:t>
      </w:r>
    </w:p>
    <w:p w14:paraId="4874B193" w14:textId="54669DE2" w:rsidR="00A34A38" w:rsidRDefault="00A34A38" w:rsidP="00FD3469">
      <w:pPr>
        <w:pStyle w:val="ListParagraph"/>
        <w:numPr>
          <w:ilvl w:val="2"/>
          <w:numId w:val="15"/>
        </w:numPr>
        <w:spacing w:line="480" w:lineRule="auto"/>
        <w:rPr>
          <w:rFonts w:ascii="Times New Roman" w:hAnsi="Times New Roman" w:cs="Times New Roman"/>
        </w:rPr>
      </w:pPr>
      <w:r w:rsidRPr="00890E95">
        <w:rPr>
          <w:rFonts w:ascii="Times New Roman" w:hAnsi="Times New Roman" w:cs="Times New Roman"/>
        </w:rPr>
        <w:t xml:space="preserve">Null Hypothesis: </w:t>
      </w:r>
      <w:r w:rsidR="00FD3469">
        <w:rPr>
          <w:rFonts w:ascii="Times New Roman" w:hAnsi="Times New Roman" w:cs="Times New Roman"/>
        </w:rPr>
        <w:t xml:space="preserve">Accelerometry-based external load measures are not significantly related to sleep, soreness, recovery, or stress. </w:t>
      </w:r>
      <w:r w:rsidRPr="00890E95">
        <w:rPr>
          <w:rFonts w:ascii="Times New Roman" w:hAnsi="Times New Roman" w:cs="Times New Roman"/>
        </w:rPr>
        <w:t xml:space="preserve"> </w:t>
      </w:r>
    </w:p>
    <w:p w14:paraId="0420AD40" w14:textId="77777777" w:rsidR="00234703" w:rsidRDefault="00234703" w:rsidP="00234703">
      <w:pPr>
        <w:pStyle w:val="ListParagraph"/>
        <w:numPr>
          <w:ilvl w:val="1"/>
          <w:numId w:val="15"/>
        </w:numPr>
        <w:spacing w:line="480" w:lineRule="auto"/>
        <w:rPr>
          <w:rFonts w:ascii="Times New Roman" w:hAnsi="Times New Roman" w:cs="Times New Roman"/>
        </w:rPr>
      </w:pPr>
      <w:r>
        <w:rPr>
          <w:rFonts w:ascii="Times New Roman" w:hAnsi="Times New Roman" w:cs="Times New Roman"/>
        </w:rPr>
        <w:t xml:space="preserve">Sleep and soreness measures directly correlate with the subjective physical, mental, and emotional domains of the stress recovery scale. </w:t>
      </w:r>
    </w:p>
    <w:p w14:paraId="5AF459E6" w14:textId="37202A8F" w:rsidR="00234703" w:rsidRPr="00890E95" w:rsidRDefault="00234703" w:rsidP="00DE3D95">
      <w:pPr>
        <w:pStyle w:val="ListParagraph"/>
        <w:numPr>
          <w:ilvl w:val="2"/>
          <w:numId w:val="15"/>
        </w:numPr>
        <w:spacing w:line="480" w:lineRule="auto"/>
        <w:rPr>
          <w:rFonts w:ascii="Times New Roman" w:hAnsi="Times New Roman" w:cs="Times New Roman"/>
        </w:rPr>
      </w:pPr>
      <w:r>
        <w:rPr>
          <w:rFonts w:ascii="Times New Roman" w:hAnsi="Times New Roman" w:cs="Times New Roman"/>
        </w:rPr>
        <w:t xml:space="preserve">Null Hypothesis: Sleep and soreness measures do not correlate with the subjective physical, mental, and emotional domains of the stress recovery scale. </w:t>
      </w:r>
    </w:p>
    <w:p w14:paraId="75911DF1" w14:textId="45D62153" w:rsidR="00A34A38" w:rsidRPr="00890E95" w:rsidRDefault="00A34A38" w:rsidP="00263AD5">
      <w:pPr>
        <w:pStyle w:val="Heading3"/>
        <w:rPr>
          <w:rFonts w:cs="Times New Roman"/>
        </w:rPr>
      </w:pPr>
      <w:bookmarkStart w:id="5" w:name="_Toc85791391"/>
      <w:r w:rsidRPr="00890E95">
        <w:rPr>
          <w:rFonts w:cs="Times New Roman"/>
        </w:rPr>
        <w:t>Significance of the Study</w:t>
      </w:r>
      <w:bookmarkEnd w:id="5"/>
    </w:p>
    <w:p w14:paraId="5B36A627" w14:textId="7617B855" w:rsidR="00A34A38" w:rsidRPr="00890E95" w:rsidRDefault="00A34A38" w:rsidP="00A34A38">
      <w:pPr>
        <w:spacing w:line="480" w:lineRule="auto"/>
        <w:rPr>
          <w:rFonts w:ascii="Times New Roman" w:hAnsi="Times New Roman" w:cs="Times New Roman"/>
        </w:rPr>
      </w:pPr>
      <w:r w:rsidRPr="00890E95">
        <w:rPr>
          <w:rFonts w:ascii="Times New Roman" w:hAnsi="Times New Roman" w:cs="Times New Roman"/>
        </w:rPr>
        <w:tab/>
        <w:t xml:space="preserve">As gymnastics has one of the highest injury rates in the NCAA and collegiate gymnasts have unique mental and emotional stressors with subjective judging and high academic demands, modernized injury prevention techniques are imperative to increasing performance and effectively preventing injury. With the absence or near absence of a formulized monitoring system to understand the physical, mental, and emotional demands of </w:t>
      </w:r>
      <w:r w:rsidR="00800CC2">
        <w:rPr>
          <w:rFonts w:ascii="Times New Roman" w:hAnsi="Times New Roman" w:cs="Times New Roman"/>
        </w:rPr>
        <w:t xml:space="preserve">participation in </w:t>
      </w:r>
      <w:r w:rsidRPr="00890E95">
        <w:rPr>
          <w:rFonts w:ascii="Times New Roman" w:hAnsi="Times New Roman" w:cs="Times New Roman"/>
        </w:rPr>
        <w:t>collegiate gymnastics, objective accelerometry-based and subjective recovery-stress measures may help coaches, trainers, and other support staff increase the proficiency and safety of the training and competition process.</w:t>
      </w:r>
    </w:p>
    <w:p w14:paraId="5A910CE5" w14:textId="2BCE9F2A" w:rsidR="00A34A38" w:rsidRPr="00890E95" w:rsidRDefault="00A34A38" w:rsidP="00263AD5">
      <w:pPr>
        <w:pStyle w:val="Heading3"/>
        <w:rPr>
          <w:rFonts w:cs="Times New Roman"/>
        </w:rPr>
      </w:pPr>
      <w:bookmarkStart w:id="6" w:name="_Toc85791392"/>
      <w:r w:rsidRPr="00890E95">
        <w:rPr>
          <w:rFonts w:cs="Times New Roman"/>
        </w:rPr>
        <w:lastRenderedPageBreak/>
        <w:t>Delimitations</w:t>
      </w:r>
      <w:bookmarkEnd w:id="6"/>
    </w:p>
    <w:p w14:paraId="09A88828" w14:textId="77777777" w:rsidR="00A34A38" w:rsidRPr="00890E95" w:rsidRDefault="00A34A38" w:rsidP="00A34A38">
      <w:pPr>
        <w:pStyle w:val="ListParagraph"/>
        <w:numPr>
          <w:ilvl w:val="0"/>
          <w:numId w:val="16"/>
        </w:numPr>
        <w:spacing w:line="480" w:lineRule="auto"/>
        <w:rPr>
          <w:rFonts w:ascii="Times New Roman" w:hAnsi="Times New Roman" w:cs="Times New Roman"/>
        </w:rPr>
      </w:pPr>
      <w:r w:rsidRPr="00890E95">
        <w:rPr>
          <w:rFonts w:ascii="Times New Roman" w:hAnsi="Times New Roman" w:cs="Times New Roman"/>
        </w:rPr>
        <w:t>Participants will have no existing orthopedic injuries</w:t>
      </w:r>
    </w:p>
    <w:p w14:paraId="217C2DA4" w14:textId="77777777" w:rsidR="00A34A38" w:rsidRPr="00890E95" w:rsidRDefault="00A34A38" w:rsidP="00A34A38">
      <w:pPr>
        <w:pStyle w:val="ListParagraph"/>
        <w:numPr>
          <w:ilvl w:val="0"/>
          <w:numId w:val="16"/>
        </w:numPr>
        <w:spacing w:line="480" w:lineRule="auto"/>
        <w:rPr>
          <w:rFonts w:ascii="Times New Roman" w:hAnsi="Times New Roman" w:cs="Times New Roman"/>
        </w:rPr>
      </w:pPr>
      <w:r w:rsidRPr="00890E95">
        <w:rPr>
          <w:rFonts w:ascii="Times New Roman" w:hAnsi="Times New Roman" w:cs="Times New Roman"/>
        </w:rPr>
        <w:t>Participants will be aged between 18-25 years at the start of the study</w:t>
      </w:r>
    </w:p>
    <w:p w14:paraId="33EFAE84" w14:textId="77777777" w:rsidR="00A34A38" w:rsidRPr="00890E95" w:rsidRDefault="00A34A38" w:rsidP="00A34A38">
      <w:pPr>
        <w:pStyle w:val="ListParagraph"/>
        <w:numPr>
          <w:ilvl w:val="0"/>
          <w:numId w:val="16"/>
        </w:numPr>
        <w:spacing w:line="480" w:lineRule="auto"/>
        <w:rPr>
          <w:rFonts w:ascii="Times New Roman" w:hAnsi="Times New Roman" w:cs="Times New Roman"/>
        </w:rPr>
      </w:pPr>
      <w:r w:rsidRPr="00890E95">
        <w:rPr>
          <w:rFonts w:ascii="Times New Roman" w:hAnsi="Times New Roman" w:cs="Times New Roman"/>
        </w:rPr>
        <w:t>Participants will be active NCAA female gymnasts competing at the Division 1 level</w:t>
      </w:r>
    </w:p>
    <w:p w14:paraId="0D06D1CD" w14:textId="7AA6A390" w:rsidR="00A34A38" w:rsidRPr="00890E95" w:rsidRDefault="00A34A38" w:rsidP="00263AD5">
      <w:pPr>
        <w:pStyle w:val="Heading3"/>
        <w:rPr>
          <w:rFonts w:cs="Times New Roman"/>
        </w:rPr>
      </w:pPr>
      <w:bookmarkStart w:id="7" w:name="_Toc85791393"/>
      <w:r w:rsidRPr="00890E95">
        <w:rPr>
          <w:rFonts w:cs="Times New Roman"/>
        </w:rPr>
        <w:t>Limitations</w:t>
      </w:r>
      <w:bookmarkEnd w:id="7"/>
    </w:p>
    <w:p w14:paraId="59AB62C3" w14:textId="77777777" w:rsidR="00A34A38" w:rsidRPr="00890E95" w:rsidRDefault="00A34A38" w:rsidP="00A34A38">
      <w:pPr>
        <w:pStyle w:val="ListParagraph"/>
        <w:numPr>
          <w:ilvl w:val="0"/>
          <w:numId w:val="17"/>
        </w:numPr>
        <w:spacing w:line="480" w:lineRule="auto"/>
        <w:rPr>
          <w:rFonts w:ascii="Times New Roman" w:hAnsi="Times New Roman" w:cs="Times New Roman"/>
        </w:rPr>
      </w:pPr>
      <w:r w:rsidRPr="00890E95">
        <w:rPr>
          <w:rFonts w:ascii="Times New Roman" w:hAnsi="Times New Roman" w:cs="Times New Roman"/>
        </w:rPr>
        <w:t>The sample will be a convenience sample</w:t>
      </w:r>
    </w:p>
    <w:p w14:paraId="1EF8C303" w14:textId="77777777" w:rsidR="00A34A38" w:rsidRPr="00890E95" w:rsidRDefault="00A34A38" w:rsidP="00A34A38">
      <w:pPr>
        <w:pStyle w:val="ListParagraph"/>
        <w:numPr>
          <w:ilvl w:val="0"/>
          <w:numId w:val="17"/>
        </w:numPr>
        <w:spacing w:line="480" w:lineRule="auto"/>
        <w:rPr>
          <w:rFonts w:ascii="Times New Roman" w:hAnsi="Times New Roman" w:cs="Times New Roman"/>
        </w:rPr>
      </w:pPr>
      <w:r w:rsidRPr="00890E95">
        <w:rPr>
          <w:rFonts w:ascii="Times New Roman" w:hAnsi="Times New Roman" w:cs="Times New Roman"/>
        </w:rPr>
        <w:t>All participants will be from the same NCAA Division I women’s gymnastics team</w:t>
      </w:r>
    </w:p>
    <w:p w14:paraId="485DFA58" w14:textId="43A48617" w:rsidR="00A34A38" w:rsidRPr="00890E95" w:rsidRDefault="00A34A38" w:rsidP="00A34A38">
      <w:pPr>
        <w:pStyle w:val="ListParagraph"/>
        <w:numPr>
          <w:ilvl w:val="0"/>
          <w:numId w:val="17"/>
        </w:numPr>
        <w:spacing w:line="480" w:lineRule="auto"/>
        <w:rPr>
          <w:rFonts w:ascii="Times New Roman" w:hAnsi="Times New Roman" w:cs="Times New Roman"/>
        </w:rPr>
      </w:pPr>
      <w:r w:rsidRPr="00890E95">
        <w:rPr>
          <w:rFonts w:ascii="Times New Roman" w:hAnsi="Times New Roman" w:cs="Times New Roman"/>
        </w:rPr>
        <w:t>All accelerometry data will be collected during practice by the team head athletic trainer and thus the researchers were not present to ensure all measurement guidelines were followed (timing, proper use, proper fit, etc</w:t>
      </w:r>
      <w:r w:rsidR="004B336E">
        <w:rPr>
          <w:rFonts w:ascii="Times New Roman" w:hAnsi="Times New Roman" w:cs="Times New Roman"/>
        </w:rPr>
        <w:t>.</w:t>
      </w:r>
      <w:r w:rsidRPr="00890E95">
        <w:rPr>
          <w:rFonts w:ascii="Times New Roman" w:hAnsi="Times New Roman" w:cs="Times New Roman"/>
        </w:rPr>
        <w:t>)</w:t>
      </w:r>
    </w:p>
    <w:p w14:paraId="5859DAE8" w14:textId="77777777" w:rsidR="00A34A38" w:rsidRPr="00890E95" w:rsidRDefault="00A34A38" w:rsidP="00A34A38">
      <w:pPr>
        <w:pStyle w:val="ListParagraph"/>
        <w:numPr>
          <w:ilvl w:val="0"/>
          <w:numId w:val="17"/>
        </w:numPr>
        <w:spacing w:line="480" w:lineRule="auto"/>
        <w:rPr>
          <w:rFonts w:ascii="Times New Roman" w:hAnsi="Times New Roman" w:cs="Times New Roman"/>
        </w:rPr>
      </w:pPr>
      <w:r w:rsidRPr="00890E95">
        <w:rPr>
          <w:rFonts w:ascii="Times New Roman" w:hAnsi="Times New Roman" w:cs="Times New Roman"/>
        </w:rPr>
        <w:t>All participants will fill out the survey each day, on their own, without the assistance of the researchers to ensure they were completed properly and upon waking.</w:t>
      </w:r>
    </w:p>
    <w:p w14:paraId="0A2FE76D" w14:textId="72EACE71" w:rsidR="00A34A38" w:rsidRPr="00890E95" w:rsidRDefault="00A34A38" w:rsidP="00263AD5">
      <w:pPr>
        <w:pStyle w:val="Heading3"/>
        <w:rPr>
          <w:rFonts w:cs="Times New Roman"/>
        </w:rPr>
      </w:pPr>
      <w:bookmarkStart w:id="8" w:name="_Toc85791394"/>
      <w:r w:rsidRPr="00890E95">
        <w:rPr>
          <w:rFonts w:cs="Times New Roman"/>
        </w:rPr>
        <w:t>Assumptions</w:t>
      </w:r>
      <w:bookmarkEnd w:id="8"/>
    </w:p>
    <w:p w14:paraId="6ACDFEB6" w14:textId="77777777" w:rsidR="00A34A38" w:rsidRPr="00890E95" w:rsidRDefault="00A34A38" w:rsidP="00A34A38">
      <w:pPr>
        <w:pStyle w:val="ListParagraph"/>
        <w:numPr>
          <w:ilvl w:val="0"/>
          <w:numId w:val="18"/>
        </w:numPr>
        <w:spacing w:line="480" w:lineRule="auto"/>
        <w:rPr>
          <w:rFonts w:ascii="Times New Roman" w:hAnsi="Times New Roman" w:cs="Times New Roman"/>
        </w:rPr>
      </w:pPr>
      <w:r w:rsidRPr="00890E95">
        <w:rPr>
          <w:rFonts w:ascii="Times New Roman" w:hAnsi="Times New Roman" w:cs="Times New Roman"/>
        </w:rPr>
        <w:t>Participants understand the SRSS questionnaire and answer it properly and accurately</w:t>
      </w:r>
    </w:p>
    <w:p w14:paraId="7BB17C35" w14:textId="77777777" w:rsidR="00A34A38" w:rsidRPr="00890E95" w:rsidRDefault="00A34A38" w:rsidP="00A34A38">
      <w:pPr>
        <w:pStyle w:val="ListParagraph"/>
        <w:numPr>
          <w:ilvl w:val="0"/>
          <w:numId w:val="18"/>
        </w:numPr>
        <w:spacing w:line="480" w:lineRule="auto"/>
        <w:rPr>
          <w:rFonts w:ascii="Times New Roman" w:hAnsi="Times New Roman" w:cs="Times New Roman"/>
        </w:rPr>
      </w:pPr>
      <w:r w:rsidRPr="00890E95">
        <w:rPr>
          <w:rFonts w:ascii="Times New Roman" w:hAnsi="Times New Roman" w:cs="Times New Roman"/>
        </w:rPr>
        <w:t>Participants answer the SRSS questionnaire at the same time each morning, as prescribed</w:t>
      </w:r>
    </w:p>
    <w:p w14:paraId="62F6F344" w14:textId="77777777" w:rsidR="00A34A38" w:rsidRPr="00890E95" w:rsidRDefault="00A34A38" w:rsidP="00A34A38">
      <w:pPr>
        <w:pStyle w:val="ListParagraph"/>
        <w:numPr>
          <w:ilvl w:val="0"/>
          <w:numId w:val="18"/>
        </w:numPr>
        <w:spacing w:line="480" w:lineRule="auto"/>
        <w:rPr>
          <w:rFonts w:ascii="Times New Roman" w:hAnsi="Times New Roman" w:cs="Times New Roman"/>
        </w:rPr>
      </w:pPr>
      <w:r w:rsidRPr="00890E95">
        <w:rPr>
          <w:rFonts w:ascii="Times New Roman" w:hAnsi="Times New Roman" w:cs="Times New Roman"/>
        </w:rPr>
        <w:t>All equipment is properly calibrated and worn correctly by participants as specified by the researchers</w:t>
      </w:r>
    </w:p>
    <w:p w14:paraId="11A05AE0" w14:textId="5EA7B447" w:rsidR="00A34A38" w:rsidRPr="00890E95" w:rsidRDefault="00A34A38" w:rsidP="00A34A38">
      <w:pPr>
        <w:pStyle w:val="ListParagraph"/>
        <w:numPr>
          <w:ilvl w:val="0"/>
          <w:numId w:val="18"/>
        </w:numPr>
        <w:spacing w:line="480" w:lineRule="auto"/>
        <w:rPr>
          <w:rFonts w:ascii="Times New Roman" w:hAnsi="Times New Roman" w:cs="Times New Roman"/>
        </w:rPr>
      </w:pPr>
      <w:r w:rsidRPr="00890E95">
        <w:rPr>
          <w:rFonts w:ascii="Times New Roman" w:hAnsi="Times New Roman" w:cs="Times New Roman"/>
        </w:rPr>
        <w:t xml:space="preserve">Participants were honest about their injury status </w:t>
      </w:r>
    </w:p>
    <w:p w14:paraId="30C68D7B" w14:textId="6510A1D9" w:rsidR="00A34A38" w:rsidRPr="00890E95" w:rsidRDefault="00A34A38" w:rsidP="00263AD5">
      <w:pPr>
        <w:pStyle w:val="Heading3"/>
        <w:rPr>
          <w:rFonts w:cs="Times New Roman"/>
        </w:rPr>
      </w:pPr>
      <w:bookmarkStart w:id="9" w:name="_Toc85791395"/>
      <w:r w:rsidRPr="00890E95">
        <w:rPr>
          <w:rFonts w:cs="Times New Roman"/>
        </w:rPr>
        <w:t>Operational Definitions</w:t>
      </w:r>
      <w:bookmarkEnd w:id="9"/>
    </w:p>
    <w:p w14:paraId="4C2E6533" w14:textId="445A7B80" w:rsidR="00A34A38" w:rsidRDefault="00857AA1" w:rsidP="00A34A38">
      <w:pPr>
        <w:spacing w:line="480" w:lineRule="auto"/>
        <w:rPr>
          <w:rFonts w:ascii="Times New Roman" w:hAnsi="Times New Roman" w:cs="Times New Roman"/>
        </w:rPr>
      </w:pPr>
      <w:r>
        <w:rPr>
          <w:rFonts w:ascii="Times New Roman" w:hAnsi="Times New Roman" w:cs="Times New Roman"/>
          <w:b/>
          <w:bCs/>
        </w:rPr>
        <w:t xml:space="preserve">Immediate </w:t>
      </w:r>
      <w:r w:rsidR="00A34A38" w:rsidRPr="00890E95">
        <w:rPr>
          <w:rFonts w:ascii="Times New Roman" w:hAnsi="Times New Roman" w:cs="Times New Roman"/>
          <w:b/>
          <w:bCs/>
        </w:rPr>
        <w:t>Recovery:</w:t>
      </w:r>
      <w:r w:rsidR="00A34A38" w:rsidRPr="00890E95">
        <w:rPr>
          <w:rFonts w:ascii="Times New Roman" w:hAnsi="Times New Roman" w:cs="Times New Roman"/>
        </w:rPr>
        <w:t xml:space="preserve"> </w:t>
      </w:r>
      <w:r>
        <w:rPr>
          <w:rFonts w:ascii="Times New Roman" w:hAnsi="Times New Roman" w:cs="Times New Roman"/>
        </w:rPr>
        <w:t xml:space="preserve">Recovery that occurs during bouts of rapid effort when one muscle group is not used for a short period of time; allows for regeneration of ATP </w:t>
      </w:r>
      <w:r>
        <w:rPr>
          <w:rFonts w:ascii="Times New Roman" w:hAnsi="Times New Roman" w:cs="Times New Roman"/>
        </w:rPr>
        <w:fldChar w:fldCharType="begin"/>
      </w:r>
      <w:r>
        <w:rPr>
          <w:rFonts w:ascii="Times New Roman" w:hAnsi="Times New Roman" w:cs="Times New Roman"/>
        </w:rPr>
        <w:instrText xml:space="preserve"> ADDIN ZOTERO_ITEM CSL_CITATION {"citationID":"hGi7Zx8y","properties":{"formattedCitation":"(Bishop et al., 2008)","plainCitation":"(Bishop et al., 2008)","noteIndex":0},"citationItems":[{"id":234,"uris":["http://zotero.org/users/6375206/items/EQQQWH9V"],"uri":["http://zotero.org/users/6375206/items/EQQQWH9V"],"itemData":{"id":234,"type":"article-journal","abstract":"Athletes spend a much greater proportion of their time recovering than they do in training. Yet, much attention has been given to training with very little investigation of recovery. The purpose of this review is to stimulate further research into this vital area of training. Recovery can be categorized in three terms: i) immediate recovery between exertions; ii) short-term recovery between repeats (e.g., between resistance sets or interval bouts); and iii) training recovery between workouts. The focus of this review is training recovery. Full training recovery is essential to optimal performance and improvement. This review includes an examination of extant research on recovery and a very brief review of some potential modalities and techniques for hastening recovery and the time course of recovery and responses to some treatments. Measures of recovery and practical considerations are discussed briefly. Much research is needed in this area, but there are obstacles to high quality research. Attention must be given to key issues in research on recovery, especially the individual response to recovery treatments.","container-title":"The Journal of Strength &amp; Conditioning Research","DOI":"10.1519/JSC.0b013e31816eb518","ISSN":"1064-8011","issue":"3","language":"en-US","page":"1015–1024","source":"journals.lww.com","title":"Recovery From Training: A Brief Review: Brief Review","title-short":"Recovery From Training","volume":"22","author":[{"family":"Bishop","given":"Phillip A."},{"family":"Jones","given":"Eric"},{"family":"Woods","given":"A. Krista"}],"issued":{"date-parts":[["2008",5]]}}}],"schema":"https://github.com/citation-style-language/schema/raw/master/csl-citation.json"}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(Bishop et al., 2008)</w:t>
      </w:r>
      <w:r>
        <w:rPr>
          <w:rFonts w:ascii="Times New Roman" w:hAnsi="Times New Roman" w:cs="Times New Roman"/>
        </w:rPr>
        <w:fldChar w:fldCharType="end"/>
      </w:r>
      <w:r>
        <w:rPr>
          <w:rFonts w:ascii="Times New Roman" w:hAnsi="Times New Roman" w:cs="Times New Roman"/>
        </w:rPr>
        <w:t xml:space="preserve">. </w:t>
      </w:r>
    </w:p>
    <w:p w14:paraId="2A55AEA2" w14:textId="0C8D166B" w:rsidR="00857AA1" w:rsidRDefault="00857AA1" w:rsidP="00A34A38">
      <w:pPr>
        <w:spacing w:line="480" w:lineRule="auto"/>
        <w:rPr>
          <w:rFonts w:ascii="Times New Roman" w:hAnsi="Times New Roman" w:cs="Times New Roman"/>
        </w:rPr>
      </w:pPr>
      <w:r>
        <w:rPr>
          <w:rFonts w:ascii="Times New Roman" w:hAnsi="Times New Roman" w:cs="Times New Roman"/>
          <w:b/>
          <w:bCs/>
        </w:rPr>
        <w:lastRenderedPageBreak/>
        <w:t xml:space="preserve">Short-Term Recovery: </w:t>
      </w:r>
      <w:r>
        <w:rPr>
          <w:rFonts w:ascii="Times New Roman" w:hAnsi="Times New Roman" w:cs="Times New Roman"/>
        </w:rPr>
        <w:t>Short-term recovery occurs</w:t>
      </w:r>
      <w:r w:rsidR="000A04B1">
        <w:rPr>
          <w:rFonts w:ascii="Times New Roman" w:hAnsi="Times New Roman" w:cs="Times New Roman"/>
        </w:rPr>
        <w:t xml:space="preserve"> with intermittent rest, such as</w:t>
      </w:r>
      <w:r>
        <w:rPr>
          <w:rFonts w:ascii="Times New Roman" w:hAnsi="Times New Roman" w:cs="Times New Roman"/>
        </w:rPr>
        <w:t xml:space="preserve"> between sets or other intervals </w:t>
      </w:r>
      <w:r>
        <w:rPr>
          <w:rFonts w:ascii="Times New Roman" w:hAnsi="Times New Roman" w:cs="Times New Roman"/>
        </w:rPr>
        <w:fldChar w:fldCharType="begin"/>
      </w:r>
      <w:r>
        <w:rPr>
          <w:rFonts w:ascii="Times New Roman" w:hAnsi="Times New Roman" w:cs="Times New Roman"/>
        </w:rPr>
        <w:instrText xml:space="preserve"> ADDIN ZOTERO_ITEM CSL_CITATION {"citationID":"dS3kgH5d","properties":{"formattedCitation":"(Bishop et al., 2008)","plainCitation":"(Bishop et al., 2008)","noteIndex":0},"citationItems":[{"id":234,"uris":["http://zotero.org/users/6375206/items/EQQQWH9V"],"uri":["http://zotero.org/users/6375206/items/EQQQWH9V"],"itemData":{"id":234,"type":"article-journal","abstract":"Athletes spend a much greater proportion of their time recovering than they do in training. Yet, much attention has been given to training with very little investigation of recovery. The purpose of this review is to stimulate further research into this vital area of training. Recovery can be categorized in three terms: i) immediate recovery between exertions; ii) short-term recovery between repeats (e.g., between resistance sets or interval bouts); and iii) training recovery between workouts. The focus of this review is training recovery. Full training recovery is essential to optimal performance and improvement. This review includes an examination of extant research on recovery and a very brief review of some potential modalities and techniques for hastening recovery and the time course of recovery and responses to some treatments. Measures of recovery and practical considerations are discussed briefly. Much research is needed in this area, but there are obstacles to high quality research. Attention must be given to key issues in research on recovery, especially the individual response to recovery treatments.","container-title":"The Journal of Strength &amp; Conditioning Research","DOI":"10.1519/JSC.0b013e31816eb518","ISSN":"1064-8011","issue":"3","language":"en-US","page":"1015–1024","source":"journals.lww.com","title":"Recovery From Training: A Brief Review: Brief Review","title-short":"Recovery From Training","volume":"22","author":[{"family":"Bishop","given":"Phillip A."},{"family":"Jones","given":"Eric"},{"family":"Woods","given":"A. Krista"}],"issued":{"date-parts":[["2008",5]]}}}],"schema":"https://github.com/citation-style-language/schema/raw/master/csl-citation.json"}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(Bishop et al., 2008)</w:t>
      </w:r>
      <w:r>
        <w:rPr>
          <w:rFonts w:ascii="Times New Roman" w:hAnsi="Times New Roman" w:cs="Times New Roman"/>
        </w:rPr>
        <w:fldChar w:fldCharType="end"/>
      </w:r>
      <w:r>
        <w:rPr>
          <w:rFonts w:ascii="Times New Roman" w:hAnsi="Times New Roman" w:cs="Times New Roman"/>
        </w:rPr>
        <w:t xml:space="preserve">. </w:t>
      </w:r>
    </w:p>
    <w:p w14:paraId="1BA1B0C2" w14:textId="319A35E7" w:rsidR="00871E1A" w:rsidRPr="00871E1A" w:rsidRDefault="00871E1A" w:rsidP="00A34A38">
      <w:pPr>
        <w:spacing w:line="480" w:lineRule="auto"/>
        <w:rPr>
          <w:rFonts w:ascii="Times New Roman" w:hAnsi="Times New Roman" w:cs="Times New Roman"/>
        </w:rPr>
      </w:pPr>
      <w:r>
        <w:rPr>
          <w:rFonts w:ascii="Times New Roman" w:hAnsi="Times New Roman" w:cs="Times New Roman"/>
          <w:b/>
          <w:bCs/>
        </w:rPr>
        <w:t xml:space="preserve">Training Recovery: </w:t>
      </w:r>
      <w:r>
        <w:rPr>
          <w:rFonts w:ascii="Times New Roman" w:hAnsi="Times New Roman" w:cs="Times New Roman"/>
        </w:rPr>
        <w:t xml:space="preserve">Training recovery occurs across hours or days between training sessions or competition </w:t>
      </w:r>
      <w:r>
        <w:rPr>
          <w:rFonts w:ascii="Times New Roman" w:hAnsi="Times New Roman" w:cs="Times New Roman"/>
        </w:rPr>
        <w:fldChar w:fldCharType="begin"/>
      </w:r>
      <w:r>
        <w:rPr>
          <w:rFonts w:ascii="Times New Roman" w:hAnsi="Times New Roman" w:cs="Times New Roman"/>
        </w:rPr>
        <w:instrText xml:space="preserve"> ADDIN ZOTERO_ITEM CSL_CITATION {"citationID":"1tZEMrPd","properties":{"formattedCitation":"(Bishop et al., 2008)","plainCitation":"(Bishop et al., 2008)","noteIndex":0},"citationItems":[{"id":234,"uris":["http://zotero.org/users/6375206/items/EQQQWH9V"],"uri":["http://zotero.org/users/6375206/items/EQQQWH9V"],"itemData":{"id":234,"type":"article-journal","abstract":"Athletes spend a much greater proportion of their time recovering than they do in training. Yet, much attention has been given to training with very little investigation of recovery. The purpose of this review is to stimulate further research into this vital area of training. Recovery can be categorized in three terms: i) immediate recovery between exertions; ii) short-term recovery between repeats (e.g., between resistance sets or interval bouts); and iii) training recovery between workouts. The focus of this review is training recovery. Full training recovery is essential to optimal performance and improvement. This review includes an examination of extant research on recovery and a very brief review of some potential modalities and techniques for hastening recovery and the time course of recovery and responses to some treatments. Measures of recovery and practical considerations are discussed briefly. Much research is needed in this area, but there are obstacles to high quality research. Attention must be given to key issues in research on recovery, especially the individual response to recovery treatments.","container-title":"The Journal of Strength &amp; Conditioning Research","DOI":"10.1519/JSC.0b013e31816eb518","ISSN":"1064-8011","issue":"3","language":"en-US","page":"1015–1024","source":"journals.lww.com","title":"Recovery From Training: A Brief Review: Brief Review","title-short":"Recovery From Training","volume":"22","author":[{"family":"Bishop","given":"Phillip A."},{"family":"Jones","given":"Eric"},{"family":"Woods","given":"A. Krista"}],"issued":{"date-parts":[["2008",5]]}}}],"schema":"https://github.com/citation-style-language/schema/raw/master/csl-citation.json"}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(Bishop et al., 2008)</w:t>
      </w:r>
      <w:r>
        <w:rPr>
          <w:rFonts w:ascii="Times New Roman" w:hAnsi="Times New Roman" w:cs="Times New Roman"/>
        </w:rPr>
        <w:fldChar w:fldCharType="end"/>
      </w:r>
      <w:r>
        <w:rPr>
          <w:rFonts w:ascii="Times New Roman" w:hAnsi="Times New Roman" w:cs="Times New Roman"/>
        </w:rPr>
        <w:t xml:space="preserve">. </w:t>
      </w:r>
    </w:p>
    <w:p w14:paraId="2AED343D" w14:textId="77777777" w:rsidR="00A34A38" w:rsidRPr="00890E95" w:rsidRDefault="00A34A38" w:rsidP="00A34A38">
      <w:pPr>
        <w:spacing w:line="480" w:lineRule="auto"/>
        <w:rPr>
          <w:rFonts w:ascii="Times New Roman" w:hAnsi="Times New Roman" w:cs="Times New Roman"/>
        </w:rPr>
      </w:pPr>
      <w:r w:rsidRPr="00890E95">
        <w:rPr>
          <w:rFonts w:ascii="Times New Roman" w:hAnsi="Times New Roman" w:cs="Times New Roman"/>
          <w:b/>
          <w:bCs/>
        </w:rPr>
        <w:t>Non-functional Overreaching</w:t>
      </w:r>
      <w:r w:rsidRPr="00890E95">
        <w:rPr>
          <w:rFonts w:ascii="Times New Roman" w:hAnsi="Times New Roman" w:cs="Times New Roman"/>
        </w:rPr>
        <w:t xml:space="preserve">: A short term decline in performance ability unaccompanied by symptoms of overtraining such as negative adaptations </w:t>
      </w:r>
      <w:r w:rsidRPr="00890E95">
        <w:rPr>
          <w:rFonts w:ascii="Times New Roman" w:hAnsi="Times New Roman" w:cs="Times New Roman"/>
        </w:rPr>
        <w:fldChar w:fldCharType="begin"/>
      </w:r>
      <w:r w:rsidRPr="00890E95">
        <w:rPr>
          <w:rFonts w:ascii="Times New Roman" w:hAnsi="Times New Roman" w:cs="Times New Roman"/>
        </w:rPr>
        <w:instrText xml:space="preserve"> ADDIN ZOTERO_ITEM CSL_CITATION {"citationID":"SFgQDWXI","properties":{"formattedCitation":"(Kellmann et al., 2018)","plainCitation":"(Kellmann et al., 2018)","noteIndex":0},"citationItems":[{"id":18,"uris":["http://zotero.org/users/6375206/items/QDR7VU8D"],"uri":["http://zotero.org/users/6375206/items/QDR7VU8D"],"itemData":{"id":18,"type":"article-journal","abstract":"The relationship between recovery and fatigue and its impact on performance has attracted the interest of sport science for many years. An adequate balance between stress (training and competition load, other life demands) and recovery is essential for athletes to achieve continuous high-level performance. Research has focused on the examination of physiological and psychological recovery strategies to compensate external and internal training and competition loads. A systematic monitoring of recovery and the subsequent implementation of recovery routines aims at maximizing performance and preventing negative developments such as underrecovery, nonfunctional overreaching, the overtraining syndrome, injuries, or illnesses. Due to the inter- and intraindividual variability of responses to training, competition, and recovery strategies, a diverse set of expertise is required to address the multifaceted phenomena of recovery, performance, and their interactions to transfer knowledge from sport science to sport practice. For this purpose, a symposium on Recovery and Performance was organized at the Technical University Munich Science and Study Center Raitenhaslach (Germany) in September 2016. Various international experts from many disciplines and research areas gathered to discuss and share their knowledge of recovery for performance enhancement in a variety of settings. The results of this meeting are outlined in this consensus statement that provides central definitions, theoretical frameworks, and practical implications as a synopsis of the current knowledge of recovery and performance. While our understanding of the complex relationship between recovery and performance has significantly increased through research, some important issues for future investigations are also elaborated. ABSTRACT FROM AUTHOR","container-title":"International Journal of Sports Physiology &amp; Performance","ISSN":"15550265","issue":"2","journalAbbreviation":"International Journal of Sports Physiology &amp; Performance","page":"240-245","source":"EBSCOhost","title":"Recovery and Performance in Sport: Consensus Statement","title-short":"Recovery and Performance in Sport","volume":"13","author":[{"family":"Kellmann","given":"Michael"},{"family":"Bertollo","given":"Maurizio"},{"family":"Bosquet","given":"Laurent"},{"family":"Brink","given":"Michel"},{"family":"Coutts","given":"Aaron J."},{"family":"Duffield","given":"Rob"},{"family":"Erlacher","given":"Daniel"},{"family":"Halson","given":"Shona L."},{"family":"Hecksteden","given":"Anne"},{"family":"Heidari","given":"Jahan"},{"family":"Kallus","given":"K. Wolfgang"},{"family":"Meeusen","given":"Romain"},{"family":"Mujika","given":"Iñigo"},{"family":"Robazza","given":"Claudio"},{"family":"Skorski","given":"Sabrina"},{"family":"Venter","given":"Ranel"},{"family":"Beckmann","given":"Jürgen"}],"issued":{"date-parts":[["2018",2]]}}}],"schema":"https://github.com/citation-style-language/schema/raw/master/csl-citation.json"} </w:instrText>
      </w:r>
      <w:r w:rsidRPr="00890E95">
        <w:rPr>
          <w:rFonts w:ascii="Times New Roman" w:hAnsi="Times New Roman" w:cs="Times New Roman"/>
        </w:rPr>
        <w:fldChar w:fldCharType="separate"/>
      </w:r>
      <w:r w:rsidRPr="00890E95">
        <w:rPr>
          <w:rFonts w:ascii="Times New Roman" w:hAnsi="Times New Roman" w:cs="Times New Roman"/>
        </w:rPr>
        <w:t>(Kellmann et al., 2018)</w:t>
      </w:r>
      <w:r w:rsidRPr="00890E95">
        <w:rPr>
          <w:rFonts w:ascii="Times New Roman" w:hAnsi="Times New Roman" w:cs="Times New Roman"/>
        </w:rPr>
        <w:fldChar w:fldCharType="end"/>
      </w:r>
      <w:r w:rsidRPr="00890E95">
        <w:rPr>
          <w:rFonts w:ascii="Times New Roman" w:hAnsi="Times New Roman" w:cs="Times New Roman"/>
        </w:rPr>
        <w:t xml:space="preserve">. </w:t>
      </w:r>
    </w:p>
    <w:p w14:paraId="68F9D269" w14:textId="77777777" w:rsidR="00A34A38" w:rsidRPr="00890E95" w:rsidRDefault="00A34A38" w:rsidP="00A34A38">
      <w:pPr>
        <w:spacing w:line="480" w:lineRule="auto"/>
        <w:rPr>
          <w:rFonts w:ascii="Times New Roman" w:hAnsi="Times New Roman" w:cs="Times New Roman"/>
        </w:rPr>
      </w:pPr>
      <w:r w:rsidRPr="00890E95">
        <w:rPr>
          <w:rFonts w:ascii="Times New Roman" w:hAnsi="Times New Roman" w:cs="Times New Roman"/>
          <w:b/>
          <w:bCs/>
        </w:rPr>
        <w:t>Overtraining</w:t>
      </w:r>
      <w:r w:rsidRPr="00890E95">
        <w:rPr>
          <w:rFonts w:ascii="Times New Roman" w:hAnsi="Times New Roman" w:cs="Times New Roman"/>
        </w:rPr>
        <w:t xml:space="preserve">: Overtraining syndrome is categorized by a negative response to excessive training or exercise neglecting proper recovery causing negative effects to multiple body systems and changes in mood </w:t>
      </w:r>
      <w:r w:rsidRPr="00890E95">
        <w:rPr>
          <w:rFonts w:ascii="Times New Roman" w:hAnsi="Times New Roman" w:cs="Times New Roman"/>
        </w:rPr>
        <w:fldChar w:fldCharType="begin"/>
      </w:r>
      <w:r w:rsidRPr="00890E95">
        <w:rPr>
          <w:rFonts w:ascii="Times New Roman" w:hAnsi="Times New Roman" w:cs="Times New Roman"/>
        </w:rPr>
        <w:instrText xml:space="preserve"> ADDIN ZOTERO_ITEM CSL_CITATION {"citationID":"3sTflqtF","properties":{"formattedCitation":"(Kreher &amp; Schwartz, 2012)","plainCitation":"(Kreher &amp; Schwartz, 2012)","noteIndex":0},"citationItems":[{"id":15,"uris":["http://zotero.org/users/6375206/items/T7Y5487J"],"uri":["http://zotero.org/users/6375206/items/T7Y5487J"],"itemData":{"id":15,"type":"article-journal","abstract":"Context:\nFatigue and underperformance are common in athletes. Understanding overtraining syndrome (OTS) is helpful in the evaluation, management, and education of athletes.\n\nEvidence Acquisition:\nRelevant articles in English were searched with OVID (1948-2011) and PubMed using the following keywords: overtraining syndrome, overtraining, overreaching, unexplained underperformance, staleness, pathophysiology, management, treatment, evaluation. Bibliographies were reviewed for additional resources.\n\nResults:\nOTS appears to be a maladapted response to excessive exercise without adequate rest, resulting in perturbations of multiple body systems (neurologic, endocrinologic, immunologic) coupled with mood changes. Many hypotheses of OTS pathogenesis are reviewed, and a clinical approach to athletes with possible OTS (including history, testing, and prevention) is presented.\n\nConclusions:\nOTS remains a clinical diagnosis with arbitrary definitions per the European College of Sports Science’s position statement. History and, in most situations, limited serologies are helpful. However, much remains to be learned given that most past research has been on athletes with overreaching rather than OTS.","container-title":"Sports Health","DOI":"10.1177/1941738111434406","ISSN":"1941-7381","issue":"2","journalAbbreviation":"Sports Health","note":"PMID: 23016079\nPMCID: PMC3435910","page":"128-138","source":"PubMed Central","title":"Overtraining Syndrome","volume":"4","author":[{"family":"Kreher","given":"Jeffrey B."},{"family":"Schwartz","given":"Jennifer B."}],"issued":{"date-parts":[["2012",3]]}}}],"schema":"https://github.com/citation-style-language/schema/raw/master/csl-citation.json"} </w:instrText>
      </w:r>
      <w:r w:rsidRPr="00890E95">
        <w:rPr>
          <w:rFonts w:ascii="Times New Roman" w:hAnsi="Times New Roman" w:cs="Times New Roman"/>
        </w:rPr>
        <w:fldChar w:fldCharType="separate"/>
      </w:r>
      <w:r w:rsidRPr="00890E95">
        <w:rPr>
          <w:rFonts w:ascii="Times New Roman" w:hAnsi="Times New Roman" w:cs="Times New Roman"/>
        </w:rPr>
        <w:t>(Kreher &amp; Schwartz, 2012)</w:t>
      </w:r>
      <w:r w:rsidRPr="00890E95">
        <w:rPr>
          <w:rFonts w:ascii="Times New Roman" w:hAnsi="Times New Roman" w:cs="Times New Roman"/>
        </w:rPr>
        <w:fldChar w:fldCharType="end"/>
      </w:r>
      <w:r w:rsidRPr="00890E95">
        <w:rPr>
          <w:rFonts w:ascii="Times New Roman" w:hAnsi="Times New Roman" w:cs="Times New Roman"/>
        </w:rPr>
        <w:t xml:space="preserve">. </w:t>
      </w:r>
    </w:p>
    <w:p w14:paraId="530A0692" w14:textId="40DEFFAD" w:rsidR="00A34A38" w:rsidRDefault="00A34A38" w:rsidP="00A34A38">
      <w:pPr>
        <w:spacing w:line="480" w:lineRule="auto"/>
        <w:rPr>
          <w:rFonts w:ascii="Times New Roman" w:hAnsi="Times New Roman" w:cs="Times New Roman"/>
        </w:rPr>
      </w:pPr>
      <w:r w:rsidRPr="00890E95">
        <w:rPr>
          <w:rFonts w:ascii="Times New Roman" w:hAnsi="Times New Roman" w:cs="Times New Roman"/>
          <w:b/>
          <w:bCs/>
        </w:rPr>
        <w:t>Player Load</w:t>
      </w:r>
      <w:r w:rsidR="00B760E8">
        <w:rPr>
          <w:rFonts w:ascii="Times New Roman" w:hAnsi="Times New Roman" w:cs="Times New Roman"/>
          <w:b/>
          <w:bCs/>
        </w:rPr>
        <w:t xml:space="preserve"> (PL)</w:t>
      </w:r>
      <w:r w:rsidRPr="00890E95">
        <w:rPr>
          <w:rFonts w:ascii="Times New Roman" w:hAnsi="Times New Roman" w:cs="Times New Roman"/>
        </w:rPr>
        <w:t xml:space="preserve">: A measure of player acceleration in three dimensions </w:t>
      </w:r>
      <w:r w:rsidRPr="00890E95">
        <w:rPr>
          <w:rFonts w:ascii="Times New Roman" w:hAnsi="Times New Roman" w:cs="Times New Roman"/>
        </w:rPr>
        <w:fldChar w:fldCharType="begin"/>
      </w:r>
      <w:r w:rsidRPr="00890E95">
        <w:rPr>
          <w:rFonts w:ascii="Times New Roman" w:hAnsi="Times New Roman" w:cs="Times New Roman"/>
        </w:rPr>
        <w:instrText xml:space="preserve"> ADDIN ZOTERO_ITEM CSL_CITATION {"citationID":"p6xUXas2","properties":{"formattedCitation":"(Barrett et al., 2014)","plainCitation":"(Barrett et al., 2014)","noteIndex":0},"citationItems":[{"id":87,"uris":["http://zotero.org/users/6375206/items/JG6CDF5R"],"uri":["http://zotero.org/users/6375206/items/JG6CDF5R"],"itemData":{"id":87,"type":"article-journal","abstract":"PURPOSE: The study aimed to establish the test-retest reliability and convergent validity of PlayerLoad™ (triaxial-accelerometer data) during a standardized bout of treadmill running. METHODS: Forty-four team-sport players performed 2 standardized incremental treadmill running tests (7-16 km/h) 7 d apart. Players' oxygen uptake (VO2; n = 20), heart rate (n = 44), and triaxialaccelerometer data (PlayerLoad; n = 44) measured at both the scapulae and at the center of mass (COM), were recorded. Accelerometer data from the individual component planes of PlayerLoad (anteroposterior [PLAP], mediolateral [PLML], and vertical [PLV]) were also examined. RESULTS: Moderate to high test-retest reliability was observed for PlayerLoad and its individual planes (ICC .80-.97, CV 4.2-14.8%) at both unit locations. PlayerLoad was significantly higher at COM vs scapulae (223.4 ± 42.6 vs 185.5 ± 26.3 arbitrary units; P = .001). The percentage contributions of individual planes to PlayerLoad were higher for PLML at the COM (scapulae 20.4% ± 3.8%, COM 26.5% ± 4.9%; P = .001) but lower for PLV (scapulae 55.7% ± 5.3%, COM 49.5% ± 6.9%; P = .001). Between-subjects correlations between PlayerLoad and VO2, and between PlayerLoad and heart rate were trivial to moderate (r = -.43 to .33), whereas within-subject correlations were nearly perfect (r = .92-.98). CONCLUSIONS: PlayerLoad had a moderate to high degree of test-retest reliability and demonstrated convergent validity with measures of exercise intensity on an individual basis. However, caution should be applied in making between-athletes contrasts in loading and when using recordings from the scapulae to identify lower-limb movement patterns. ABSTRACT FROM AUTHOR","container-title":"International Journal of Sports Physiology &amp; Performance","ISSN":"15550265","issue":"6","journalAbbreviation":"International Journal of Sports Physiology &amp; Performance","page":"945-952","source":"EBSCOhost","title":"PlayerLoad™: Reliability, Convergent Validity, and Influence of Unit Position During Treadmill Running","title-short":"PlayerLoad™","volume":"9","author":[{"family":"Barrett","given":"Steve"},{"family":"Midgley","given":"Adrian"},{"family":"Lovell","given":"Ric"}],"issued":{"date-parts":[["2014",11]]}}}],"schema":"https://github.com/citation-style-language/schema/raw/master/csl-citation.json"} </w:instrText>
      </w:r>
      <w:r w:rsidRPr="00890E95">
        <w:rPr>
          <w:rFonts w:ascii="Times New Roman" w:hAnsi="Times New Roman" w:cs="Times New Roman"/>
        </w:rPr>
        <w:fldChar w:fldCharType="separate"/>
      </w:r>
      <w:r w:rsidRPr="00890E95">
        <w:rPr>
          <w:rFonts w:ascii="Times New Roman" w:hAnsi="Times New Roman" w:cs="Times New Roman"/>
        </w:rPr>
        <w:t>(Barrett et al., 2014)</w:t>
      </w:r>
      <w:r w:rsidRPr="00890E95">
        <w:rPr>
          <w:rFonts w:ascii="Times New Roman" w:hAnsi="Times New Roman" w:cs="Times New Roman"/>
        </w:rPr>
        <w:fldChar w:fldCharType="end"/>
      </w:r>
      <w:r w:rsidRPr="00890E95">
        <w:rPr>
          <w:rFonts w:ascii="Times New Roman" w:hAnsi="Times New Roman" w:cs="Times New Roman"/>
        </w:rPr>
        <w:t>.</w:t>
      </w:r>
    </w:p>
    <w:p w14:paraId="10AE4B05" w14:textId="4FD2D9D9" w:rsidR="00B760E8" w:rsidRPr="002953FB" w:rsidRDefault="00B760E8" w:rsidP="00A34A38">
      <w:pPr>
        <w:spacing w:line="480" w:lineRule="auto"/>
        <w:rPr>
          <w:rFonts w:ascii="Times New Roman" w:hAnsi="Times New Roman" w:cs="Times New Roman"/>
        </w:rPr>
      </w:pPr>
      <w:r w:rsidRPr="00DE3D95">
        <w:rPr>
          <w:rFonts w:ascii="Times New Roman" w:hAnsi="Times New Roman" w:cs="Times New Roman"/>
          <w:b/>
          <w:bCs/>
        </w:rPr>
        <w:t>Player Load Per Minute (PL</w:t>
      </w:r>
      <w:r w:rsidRPr="00DE3D95">
        <w:rPr>
          <w:rFonts w:ascii="Times New Roman" w:hAnsi="Times New Roman" w:cs="Times New Roman"/>
          <w:b/>
          <w:bCs/>
          <w:vertAlign w:val="superscript"/>
        </w:rPr>
        <w:t>min-1</w:t>
      </w:r>
      <w:r w:rsidRPr="00DE3D95">
        <w:rPr>
          <w:rFonts w:ascii="Times New Roman" w:hAnsi="Times New Roman" w:cs="Times New Roman"/>
          <w:b/>
          <w:bCs/>
        </w:rPr>
        <w:t>):</w:t>
      </w:r>
      <w:r w:rsidR="00871E1A" w:rsidRPr="00DE3D95">
        <w:rPr>
          <w:rFonts w:ascii="Times New Roman" w:hAnsi="Times New Roman" w:cs="Times New Roman"/>
          <w:b/>
          <w:bCs/>
        </w:rPr>
        <w:t xml:space="preserve"> </w:t>
      </w:r>
      <w:r w:rsidR="002953FB">
        <w:rPr>
          <w:rFonts w:ascii="Times New Roman" w:hAnsi="Times New Roman" w:cs="Times New Roman"/>
        </w:rPr>
        <w:t>Total Player Load divided by session duration in minutes</w:t>
      </w:r>
      <w:r w:rsidR="00783980">
        <w:rPr>
          <w:rFonts w:ascii="Times New Roman" w:hAnsi="Times New Roman" w:cs="Times New Roman"/>
        </w:rPr>
        <w:t xml:space="preserve">. </w:t>
      </w:r>
    </w:p>
    <w:p w14:paraId="3E8DDBB7" w14:textId="5E40C280" w:rsidR="00B760E8" w:rsidRPr="00F93E5E" w:rsidRDefault="00B760E8" w:rsidP="00A34A38">
      <w:pPr>
        <w:spacing w:line="480" w:lineRule="auto"/>
        <w:rPr>
          <w:rFonts w:ascii="Times New Roman" w:hAnsi="Times New Roman" w:cs="Times New Roman"/>
        </w:rPr>
      </w:pPr>
      <w:r w:rsidRPr="00DE3D95">
        <w:rPr>
          <w:rFonts w:ascii="Times New Roman" w:hAnsi="Times New Roman" w:cs="Times New Roman"/>
          <w:b/>
          <w:bCs/>
        </w:rPr>
        <w:t>Player Load 1D Up (PL</w:t>
      </w:r>
      <w:r w:rsidRPr="00DE3D95">
        <w:rPr>
          <w:rFonts w:ascii="Times New Roman" w:hAnsi="Times New Roman" w:cs="Times New Roman"/>
          <w:b/>
          <w:bCs/>
          <w:vertAlign w:val="superscript"/>
        </w:rPr>
        <w:t>Z</w:t>
      </w:r>
      <w:r w:rsidRPr="00DE3D95">
        <w:rPr>
          <w:rFonts w:ascii="Times New Roman" w:hAnsi="Times New Roman" w:cs="Times New Roman"/>
          <w:b/>
          <w:bCs/>
        </w:rPr>
        <w:t>):</w:t>
      </w:r>
      <w:r w:rsidR="00F93E5E">
        <w:rPr>
          <w:rFonts w:ascii="Times New Roman" w:hAnsi="Times New Roman" w:cs="Times New Roman"/>
          <w:b/>
          <w:bCs/>
        </w:rPr>
        <w:t xml:space="preserve"> </w:t>
      </w:r>
      <w:r w:rsidR="00F93E5E">
        <w:rPr>
          <w:rFonts w:ascii="Times New Roman" w:hAnsi="Times New Roman" w:cs="Times New Roman"/>
        </w:rPr>
        <w:t xml:space="preserve">Player Load that occurs in the </w:t>
      </w:r>
      <w:r w:rsidR="00543315">
        <w:rPr>
          <w:rFonts w:ascii="Times New Roman" w:hAnsi="Times New Roman" w:cs="Times New Roman"/>
        </w:rPr>
        <w:t xml:space="preserve">vertical </w:t>
      </w:r>
      <w:r w:rsidR="00F93E5E">
        <w:rPr>
          <w:rFonts w:ascii="Times New Roman" w:hAnsi="Times New Roman" w:cs="Times New Roman"/>
        </w:rPr>
        <w:t>Z plane</w:t>
      </w:r>
      <w:r w:rsidR="00543315">
        <w:rPr>
          <w:rFonts w:ascii="Times New Roman" w:hAnsi="Times New Roman" w:cs="Times New Roman"/>
        </w:rPr>
        <w:t>.</w:t>
      </w:r>
    </w:p>
    <w:p w14:paraId="42E414EC" w14:textId="055895FB" w:rsidR="00B760E8" w:rsidRPr="00654674" w:rsidRDefault="00B760E8" w:rsidP="00A34A38">
      <w:pPr>
        <w:spacing w:line="480" w:lineRule="auto"/>
        <w:rPr>
          <w:rFonts w:ascii="Times New Roman" w:hAnsi="Times New Roman" w:cs="Times New Roman"/>
        </w:rPr>
      </w:pPr>
      <w:r w:rsidRPr="00DE3D95">
        <w:rPr>
          <w:rFonts w:ascii="Times New Roman" w:hAnsi="Times New Roman" w:cs="Times New Roman"/>
          <w:b/>
          <w:bCs/>
        </w:rPr>
        <w:t>Visual Analog Scale (VAS):</w:t>
      </w:r>
      <w:r w:rsidR="00814D1D" w:rsidRPr="00DE3D95">
        <w:rPr>
          <w:rFonts w:ascii="Times New Roman" w:hAnsi="Times New Roman" w:cs="Times New Roman"/>
          <w:b/>
          <w:bCs/>
        </w:rPr>
        <w:t xml:space="preserve"> </w:t>
      </w:r>
      <w:r w:rsidR="00654674">
        <w:rPr>
          <w:rFonts w:ascii="Times New Roman" w:hAnsi="Times New Roman" w:cs="Times New Roman"/>
        </w:rPr>
        <w:t xml:space="preserve">Linear, numerical scale used to rate qualities such as state and mood in questionnaires </w:t>
      </w:r>
      <w:r w:rsidR="00654674">
        <w:rPr>
          <w:rFonts w:ascii="Times New Roman" w:hAnsi="Times New Roman" w:cs="Times New Roman"/>
        </w:rPr>
        <w:fldChar w:fldCharType="begin"/>
      </w:r>
      <w:r w:rsidR="00654674">
        <w:rPr>
          <w:rFonts w:ascii="Times New Roman" w:hAnsi="Times New Roman" w:cs="Times New Roman"/>
        </w:rPr>
        <w:instrText xml:space="preserve"> ADDIN ZOTERO_ITEM CSL_CITATION {"citationID":"qOEOU35w","properties":{"formattedCitation":"(Kellmann &amp; Kolling, 2019)","plainCitation":"(Kellmann &amp; Kolling, 2019)","noteIndex":0},"citationItems":[{"id":163,"uris":["http://zotero.org/users/6375206/items/3YR9XEE6"],"uri":["http://zotero.org/users/6375206/items/3YR9XEE6"],"itemData":{"id":163,"type":"book","publisher":"Routledge","title":"Recovery and Stress in Sport","author":[{"family":"Kellmann","given":"Michael"},{"family":"Kolling","given":"Sarah"}],"issued":{"date-parts":[["2019"]]}}}],"schema":"https://github.com/citation-style-language/schema/raw/master/csl-citation.json"} </w:instrText>
      </w:r>
      <w:r w:rsidR="00654674">
        <w:rPr>
          <w:rFonts w:ascii="Times New Roman" w:hAnsi="Times New Roman" w:cs="Times New Roman"/>
        </w:rPr>
        <w:fldChar w:fldCharType="separate"/>
      </w:r>
      <w:r w:rsidR="00654674">
        <w:rPr>
          <w:rFonts w:ascii="Times New Roman" w:hAnsi="Times New Roman" w:cs="Times New Roman"/>
          <w:noProof/>
        </w:rPr>
        <w:t>(Kellmann &amp; Kolling, 2019)</w:t>
      </w:r>
      <w:r w:rsidR="00654674">
        <w:rPr>
          <w:rFonts w:ascii="Times New Roman" w:hAnsi="Times New Roman" w:cs="Times New Roman"/>
        </w:rPr>
        <w:fldChar w:fldCharType="end"/>
      </w:r>
      <w:r w:rsidR="00654674">
        <w:rPr>
          <w:rFonts w:ascii="Times New Roman" w:hAnsi="Times New Roman" w:cs="Times New Roman"/>
        </w:rPr>
        <w:t>.</w:t>
      </w:r>
    </w:p>
    <w:p w14:paraId="42AAF59E" w14:textId="77777777" w:rsidR="00A34A38" w:rsidRPr="00890E95" w:rsidRDefault="00A34A38" w:rsidP="00A34A38">
      <w:pPr>
        <w:spacing w:line="480" w:lineRule="auto"/>
        <w:rPr>
          <w:rFonts w:ascii="Times New Roman" w:hAnsi="Times New Roman" w:cs="Times New Roman"/>
        </w:rPr>
      </w:pPr>
      <w:r w:rsidRPr="00890E95">
        <w:rPr>
          <w:rFonts w:ascii="Times New Roman" w:hAnsi="Times New Roman" w:cs="Times New Roman"/>
          <w:b/>
          <w:bCs/>
        </w:rPr>
        <w:t>Internal Load</w:t>
      </w:r>
      <w:r w:rsidRPr="00890E95">
        <w:rPr>
          <w:rFonts w:ascii="Times New Roman" w:hAnsi="Times New Roman" w:cs="Times New Roman"/>
        </w:rPr>
        <w:t xml:space="preserve">: The relative physiological and psychological stress imposed on athletes during training sessions or competition </w:t>
      </w:r>
      <w:r w:rsidRPr="00890E95">
        <w:rPr>
          <w:rFonts w:ascii="Times New Roman" w:hAnsi="Times New Roman" w:cs="Times New Roman"/>
        </w:rPr>
        <w:fldChar w:fldCharType="begin"/>
      </w:r>
      <w:r w:rsidRPr="00890E95">
        <w:rPr>
          <w:rFonts w:ascii="Times New Roman" w:hAnsi="Times New Roman" w:cs="Times New Roman"/>
        </w:rPr>
        <w:instrText xml:space="preserve"> ADDIN ZOTERO_ITEM CSL_CITATION {"citationID":"45I6b2Gv","properties":{"formattedCitation":"(Halson, 2014)","plainCitation":"(Halson, 2014)","noteIndex":0},"citationItems":[{"id":132,"uris":["http://zotero.org/users/6375206/items/3XQ5H35U"],"uri":["http://zotero.org/users/6375206/items/3XQ5H35U"],"itemData":{"id":132,"type":"article-journal","abstract":"Many athletes, coaches, and support staff are taking an increasingly scientific approach to both designing and monitoring training programs. Appropriate load monitoring can aid in determining whether an athlete is adapting to a training program and in minimizing the risk of developing non-functional overreaching, illness, and/or injury. In order to gain an understanding of the training load and its effect on the athlete, a number of potential markers are available for use. However, very few of these markers have strong scientific evidence supporting their use, and there is yet to be a single, definitive marker described in the literature. Research has investigated a number of external load quantifying and monitoring tools, such as power output measuring devices, time-motion analysis, as well as internal load unit measures, including perception of effort, heart rate, blood lactate, and training impulse. Dissociation between external and internal load units may reveal the state of fatigue of an athlete. Other monitoring tools used by high-performance programs include heart rate recovery, neuromuscular function, biochemical/hormonal/immunological assessments, questionnaires and diaries, psychomotor speed, and sleep quality and quantity. The monitoring approach taken with athletes may depend on whether the athlete is engaging in individual or team sport activity; however, the importance of individualization of load monitoring cannot be over emphasized. Detecting meaningful changes with scientific and statistical approaches can provide confidence and certainty when implementing change. Appropriate monitoring of training load can provide important information to athletes and coaches; however, monitoring systems should be intuitive, provide efficient data analysis and interpretation, and enable efficient reporting of simple, yet scientifically valid, feedback.","container-title":"Sports Medicine","DOI":"10.1007/s40279-014-0253-z","ISSN":"1179-2035","issue":"2","journalAbbreviation":"Sports Med","language":"en","page":"139-147","source":"Springer Link","title":"Monitoring Training Load to Understand Fatigue in Athletes","volume":"44","author":[{"family":"Halson","given":"Shona L."}],"issued":{"date-parts":[["2014",11,1]]}}}],"schema":"https://github.com/citation-style-language/schema/raw/master/csl-citation.json"} </w:instrText>
      </w:r>
      <w:r w:rsidRPr="00890E95">
        <w:rPr>
          <w:rFonts w:ascii="Times New Roman" w:hAnsi="Times New Roman" w:cs="Times New Roman"/>
        </w:rPr>
        <w:fldChar w:fldCharType="separate"/>
      </w:r>
      <w:r w:rsidRPr="00890E95">
        <w:rPr>
          <w:rFonts w:ascii="Times New Roman" w:hAnsi="Times New Roman" w:cs="Times New Roman"/>
          <w:noProof/>
        </w:rPr>
        <w:t>(Halson, 2014)</w:t>
      </w:r>
      <w:r w:rsidRPr="00890E95">
        <w:rPr>
          <w:rFonts w:ascii="Times New Roman" w:hAnsi="Times New Roman" w:cs="Times New Roman"/>
        </w:rPr>
        <w:fldChar w:fldCharType="end"/>
      </w:r>
      <w:r w:rsidRPr="00890E95">
        <w:rPr>
          <w:rFonts w:ascii="Times New Roman" w:hAnsi="Times New Roman" w:cs="Times New Roman"/>
        </w:rPr>
        <w:t>.</w:t>
      </w:r>
    </w:p>
    <w:p w14:paraId="339D7B6D" w14:textId="77777777" w:rsidR="00A34A38" w:rsidRPr="00890E95" w:rsidRDefault="00A34A38" w:rsidP="00A34A38">
      <w:pPr>
        <w:spacing w:line="480" w:lineRule="auto"/>
        <w:rPr>
          <w:rFonts w:ascii="Times New Roman" w:hAnsi="Times New Roman" w:cs="Times New Roman"/>
        </w:rPr>
      </w:pPr>
      <w:r w:rsidRPr="00890E95">
        <w:rPr>
          <w:rFonts w:ascii="Times New Roman" w:hAnsi="Times New Roman" w:cs="Times New Roman"/>
          <w:b/>
          <w:bCs/>
        </w:rPr>
        <w:t>External Load</w:t>
      </w:r>
      <w:r w:rsidRPr="00890E95">
        <w:rPr>
          <w:rFonts w:ascii="Times New Roman" w:hAnsi="Times New Roman" w:cs="Times New Roman"/>
        </w:rPr>
        <w:t xml:space="preserve">: The amount of work completed by an athlete during a training session or competition </w:t>
      </w:r>
      <w:r w:rsidRPr="00890E95">
        <w:rPr>
          <w:rFonts w:ascii="Times New Roman" w:hAnsi="Times New Roman" w:cs="Times New Roman"/>
        </w:rPr>
        <w:fldChar w:fldCharType="begin"/>
      </w:r>
      <w:r w:rsidRPr="00890E95">
        <w:rPr>
          <w:rFonts w:ascii="Times New Roman" w:hAnsi="Times New Roman" w:cs="Times New Roman"/>
        </w:rPr>
        <w:instrText xml:space="preserve"> ADDIN ZOTERO_ITEM CSL_CITATION {"citationID":"lCzW76mS","properties":{"formattedCitation":"(Wallace et al., 2009)","plainCitation":"(Wallace et al., 2009)","noteIndex":0},"citationItems":[{"id":179,"uris":["http://zotero.org/users/6375206/items/LSPQVNCN"],"uri":["http://zotero.org/users/6375206/items/LSPQVNCN"],"itemData":{"id":179,"type":"article-journal","abstract":"Wallace, LK, Slattery, KM, and Coutts, AJ. The ecological validity and application of the session-RPE method for quantifying training loads in swimming. J Strength Cond Res 23(1): 33–38, 2009—There are few practical methods available for evaluating training loads (TL) during swimming. The purpose of this study was to examine the ecological validity of the sessionrating of perceived exertion (RPE) method for quantifying internal TL in competitive swimmers using heart rate (HR)based methods and distance as criterion measures. This study also examined the correspondence between athlete and coach perceptions of internal TL using the session-RPE method. Twelve (six male, six female) well-trained swimmers (mean 6 SD: age 22.3 6 3.1 years, weight 71.8 6 11.6 kg, height 175.0 6 9.0 cm) participated in this study. All subjects completed a swimming step test to evaluate individual HR zones and blood lactate proﬁle before undertaking 20 swim training sessions where RPE, HR, and distance covered were recorded. Training load was then calculated for each session using the session-RPE, HR-based methods, and session distance. The session-RPE scores were correlated to HR-based methods for measuring internal TL as well as training distance for each swimmer. All individual correlations between session-RPE, HR-based methods (r = 0.55–0.94; p , 0.05), and distance measures (r = 0.37–0.81; p , 0.05) were signiﬁcant. Two-way ANOVA showed that there was a signiﬁcant interaction for training intensity 3 coach-athlete perception, indicating that coach RPE was lower than athlete RPE for low-intensity sessions and higher than athlete RPE at high-intensity sessions. The results of this study suggest that session-RPE may provide a practical, noninvasive method for quantifying internal TL in competitive swimmers.","container-title":"Journal of Strength and Conditioning Research","DOI":"10.1519/JSC.0b013e3181874512","ISSN":"1064-8011","issue":"1","journalAbbreviation":"Journal of Strength and Conditioning Research","language":"en","page":"33-38","source":"DOI.org (Crossref)","title":"The Ecological Validity and Application of the Session-RPE Method for Quantifying Training Loads in Swimming:","title-short":"The Ecological Validity and Application of the Session-RPE Method for Quantifying Training Loads in Swimming","volume":"23","author":[{"family":"Wallace","given":"Lee K"},{"family":"Slattery","given":"Katie M"},{"family":"Coutts","given":"Aaron J"}],"issued":{"date-parts":[["2009",1]]}}}],"schema":"https://github.com/citation-style-language/schema/raw/master/csl-citation.json"} </w:instrText>
      </w:r>
      <w:r w:rsidRPr="00890E95">
        <w:rPr>
          <w:rFonts w:ascii="Times New Roman" w:hAnsi="Times New Roman" w:cs="Times New Roman"/>
        </w:rPr>
        <w:fldChar w:fldCharType="separate"/>
      </w:r>
      <w:r w:rsidRPr="00890E95">
        <w:rPr>
          <w:rFonts w:ascii="Times New Roman" w:hAnsi="Times New Roman" w:cs="Times New Roman"/>
          <w:noProof/>
        </w:rPr>
        <w:t>(Wallace et al., 2009)</w:t>
      </w:r>
      <w:r w:rsidRPr="00890E95">
        <w:rPr>
          <w:rFonts w:ascii="Times New Roman" w:hAnsi="Times New Roman" w:cs="Times New Roman"/>
        </w:rPr>
        <w:fldChar w:fldCharType="end"/>
      </w:r>
      <w:r w:rsidRPr="00890E95">
        <w:rPr>
          <w:rFonts w:ascii="Times New Roman" w:hAnsi="Times New Roman" w:cs="Times New Roman"/>
        </w:rPr>
        <w:t>.</w:t>
      </w:r>
    </w:p>
    <w:p w14:paraId="3B94D3F3" w14:textId="6B0E6AF0" w:rsidR="00A34A38" w:rsidRDefault="00A34A38" w:rsidP="00A34A38">
      <w:pPr>
        <w:spacing w:line="480" w:lineRule="auto"/>
        <w:rPr>
          <w:rFonts w:ascii="Times New Roman" w:eastAsia="Times New Roman" w:hAnsi="Times New Roman" w:cs="Times New Roman"/>
        </w:rPr>
      </w:pPr>
    </w:p>
    <w:p w14:paraId="23296037" w14:textId="0CB2B892" w:rsidR="0067336C" w:rsidRDefault="0067336C" w:rsidP="00A34A38">
      <w:pPr>
        <w:spacing w:line="480" w:lineRule="auto"/>
        <w:rPr>
          <w:rFonts w:ascii="Times New Roman" w:eastAsia="Times New Roman" w:hAnsi="Times New Roman" w:cs="Times New Roman"/>
        </w:rPr>
      </w:pPr>
    </w:p>
    <w:p w14:paraId="3F5F73A2" w14:textId="4BE3E957" w:rsidR="0067336C" w:rsidRDefault="0067336C" w:rsidP="00A34A38">
      <w:pPr>
        <w:spacing w:line="480" w:lineRule="auto"/>
        <w:rPr>
          <w:rFonts w:ascii="Times New Roman" w:eastAsia="Times New Roman" w:hAnsi="Times New Roman" w:cs="Times New Roman"/>
        </w:rPr>
      </w:pPr>
    </w:p>
    <w:p w14:paraId="017B8022" w14:textId="77777777" w:rsidR="0067336C" w:rsidRPr="00890E95" w:rsidRDefault="0067336C" w:rsidP="00A34A38">
      <w:pPr>
        <w:spacing w:line="480" w:lineRule="auto"/>
        <w:rPr>
          <w:rFonts w:ascii="Times New Roman" w:eastAsia="Times New Roman" w:hAnsi="Times New Roman" w:cs="Times New Roman"/>
        </w:rPr>
      </w:pPr>
    </w:p>
    <w:p w14:paraId="3DFA02D9" w14:textId="776E7F36" w:rsidR="0088608D" w:rsidRPr="00890E95" w:rsidRDefault="002236FA" w:rsidP="00A8116E">
      <w:pPr>
        <w:pStyle w:val="Heading1"/>
        <w:rPr>
          <w:rFonts w:cs="Times New Roman"/>
          <w:szCs w:val="24"/>
        </w:rPr>
      </w:pPr>
      <w:bookmarkStart w:id="10" w:name="_Toc85791396"/>
      <w:r w:rsidRPr="00890E95">
        <w:rPr>
          <w:rFonts w:cs="Times New Roman"/>
          <w:szCs w:val="24"/>
        </w:rPr>
        <w:lastRenderedPageBreak/>
        <w:t xml:space="preserve">Chapter </w:t>
      </w:r>
      <w:r w:rsidR="00801163" w:rsidRPr="00890E95">
        <w:rPr>
          <w:rFonts w:cs="Times New Roman"/>
          <w:szCs w:val="24"/>
        </w:rPr>
        <w:t>II</w:t>
      </w:r>
      <w:r w:rsidR="001A54BA" w:rsidRPr="00890E95">
        <w:rPr>
          <w:rFonts w:cs="Times New Roman"/>
          <w:szCs w:val="24"/>
        </w:rPr>
        <w:t xml:space="preserve"> – Literature Review</w:t>
      </w:r>
      <w:bookmarkEnd w:id="10"/>
    </w:p>
    <w:p w14:paraId="317DD348" w14:textId="61FFC5E7" w:rsidR="002236FA" w:rsidRPr="00890E95" w:rsidRDefault="002236FA" w:rsidP="00263AD5">
      <w:pPr>
        <w:pStyle w:val="Heading3"/>
        <w:rPr>
          <w:rFonts w:cs="Times New Roman"/>
        </w:rPr>
      </w:pPr>
      <w:bookmarkStart w:id="11" w:name="_Toc85791397"/>
      <w:r w:rsidRPr="00890E95">
        <w:rPr>
          <w:rFonts w:cs="Times New Roman"/>
        </w:rPr>
        <w:t>Introduction</w:t>
      </w:r>
      <w:bookmarkEnd w:id="11"/>
      <w:r w:rsidRPr="00890E95">
        <w:rPr>
          <w:rFonts w:cs="Times New Roman"/>
        </w:rPr>
        <w:t> </w:t>
      </w:r>
    </w:p>
    <w:p w14:paraId="21FE8CA3" w14:textId="32FB172A" w:rsidR="00D313EA" w:rsidRPr="00890E95" w:rsidRDefault="002236FA" w:rsidP="00D313EA">
      <w:pPr>
        <w:spacing w:line="480" w:lineRule="auto"/>
        <w:rPr>
          <w:rFonts w:ascii="Times New Roman" w:hAnsi="Times New Roman" w:cs="Times New Roman"/>
        </w:rPr>
      </w:pPr>
      <w:r w:rsidRPr="00890E95">
        <w:rPr>
          <w:rFonts w:ascii="Times New Roman" w:hAnsi="Times New Roman" w:cs="Times New Roman"/>
          <w:color w:val="000000"/>
        </w:rPr>
        <w:tab/>
      </w:r>
      <w:r w:rsidR="00D313EA" w:rsidRPr="00890E95">
        <w:rPr>
          <w:rFonts w:ascii="Times New Roman" w:eastAsia="Times New Roman" w:hAnsi="Times New Roman" w:cs="Times New Roman"/>
        </w:rPr>
        <w:t xml:space="preserve">Currently, athlete tracking and performance monitoring in the United States are predominantly used in men’s sports such as American football, soccer, and hockey. Research related to the load imposed throughout practice and competition, referred to as external load, is lacking in women’s sports, resulting in an incomplete understanding of training adaptations, performance demands, and injury etiology in this population. Specifically, women’s gymnastics presents unique external load demands based on the bioenergetic and biomechanical nature of the sport. Women’s gymnastics also represents the sport with the highest injury rates, particularly in the lower extremities and the head and neck region. As a result, a deeper understanding of the physical, mental, emotional, and technical demands of gymnastics seems warranted. </w:t>
      </w:r>
      <w:r w:rsidR="00D313EA" w:rsidRPr="00890E95">
        <w:rPr>
          <w:rFonts w:ascii="Times New Roman" w:hAnsi="Times New Roman" w:cs="Times New Roman"/>
        </w:rPr>
        <w:t xml:space="preserve">A thorough search of </w:t>
      </w:r>
      <w:proofErr w:type="spellStart"/>
      <w:r w:rsidR="00D313EA" w:rsidRPr="00890E95">
        <w:rPr>
          <w:rFonts w:ascii="Times New Roman" w:hAnsi="Times New Roman" w:cs="Times New Roman"/>
        </w:rPr>
        <w:t>SportDiscus</w:t>
      </w:r>
      <w:proofErr w:type="spellEnd"/>
      <w:r w:rsidR="00D313EA" w:rsidRPr="00890E95">
        <w:rPr>
          <w:rFonts w:ascii="Times New Roman" w:hAnsi="Times New Roman" w:cs="Times New Roman"/>
        </w:rPr>
        <w:t xml:space="preserve"> and PubMed was conducted using combinations of the following search terms: accelerometry, wearable technology, </w:t>
      </w:r>
      <w:proofErr w:type="spellStart"/>
      <w:r w:rsidR="00D313EA" w:rsidRPr="00890E95">
        <w:rPr>
          <w:rFonts w:ascii="Times New Roman" w:hAnsi="Times New Roman" w:cs="Times New Roman"/>
        </w:rPr>
        <w:t>PlayerLoad</w:t>
      </w:r>
      <w:proofErr w:type="spellEnd"/>
      <w:r w:rsidR="00D313EA" w:rsidRPr="00890E95">
        <w:rPr>
          <w:rFonts w:ascii="Times New Roman" w:hAnsi="Times New Roman" w:cs="Times New Roman"/>
        </w:rPr>
        <w:t xml:space="preserve">, fatigue, recovery, stress, collegiate athlete, female gymnast, academic stress, gymnastics injury, female athlete triad, internal load, external load, and NCAA gymnasts. </w:t>
      </w:r>
      <w:r w:rsidR="00800CC2">
        <w:rPr>
          <w:rFonts w:ascii="Times New Roman" w:hAnsi="Times New Roman" w:cs="Times New Roman"/>
        </w:rPr>
        <w:t>A</w:t>
      </w:r>
      <w:r w:rsidR="00D313EA" w:rsidRPr="00890E95">
        <w:rPr>
          <w:rFonts w:ascii="Times New Roman" w:hAnsi="Times New Roman" w:cs="Times New Roman"/>
        </w:rPr>
        <w:t xml:space="preserve">rticles were chosen, reviewed for relevance, and summarized relative to the current investigation’s specific aims. </w:t>
      </w:r>
    </w:p>
    <w:p w14:paraId="3D6619B0" w14:textId="537B2A51" w:rsidR="00D313EA" w:rsidRPr="00890E95" w:rsidRDefault="00D313EA" w:rsidP="00263AD5">
      <w:pPr>
        <w:pStyle w:val="Heading3"/>
        <w:rPr>
          <w:rFonts w:eastAsia="Times New Roman" w:cs="Times New Roman"/>
        </w:rPr>
      </w:pPr>
      <w:bookmarkStart w:id="12" w:name="_Toc85791398"/>
      <w:r w:rsidRPr="00890E95">
        <w:rPr>
          <w:rFonts w:eastAsia="Times New Roman" w:cs="Times New Roman"/>
        </w:rPr>
        <w:t>Stress, Fatigue, and Recovery</w:t>
      </w:r>
      <w:bookmarkEnd w:id="12"/>
    </w:p>
    <w:p w14:paraId="10F451ED" w14:textId="05B52F9D" w:rsidR="00D313EA" w:rsidRPr="00890E95" w:rsidRDefault="00D313EA" w:rsidP="00D313EA">
      <w:pPr>
        <w:spacing w:line="480" w:lineRule="auto"/>
        <w:rPr>
          <w:rFonts w:ascii="Times New Roman" w:eastAsia="Times New Roman" w:hAnsi="Times New Roman" w:cs="Times New Roman"/>
          <w:bCs/>
        </w:rPr>
      </w:pPr>
      <w:r w:rsidRPr="00890E95">
        <w:rPr>
          <w:rFonts w:ascii="Times New Roman" w:eastAsia="Times New Roman" w:hAnsi="Times New Roman" w:cs="Times New Roman"/>
        </w:rPr>
        <w:tab/>
      </w:r>
      <w:r w:rsidRPr="00890E95">
        <w:rPr>
          <w:rFonts w:ascii="Times New Roman" w:eastAsia="Times New Roman" w:hAnsi="Times New Roman" w:cs="Times New Roman"/>
          <w:bCs/>
        </w:rPr>
        <w:t xml:space="preserve">Stress is any physiological or biological deviation from the body’s optimal state </w:t>
      </w:r>
      <w:r w:rsidRPr="00890E95">
        <w:rPr>
          <w:rFonts w:ascii="Times New Roman" w:eastAsia="Times New Roman" w:hAnsi="Times New Roman" w:cs="Times New Roman"/>
          <w:bCs/>
        </w:rPr>
        <w:fldChar w:fldCharType="begin"/>
      </w:r>
      <w:r w:rsidRPr="00890E95">
        <w:rPr>
          <w:rFonts w:ascii="Times New Roman" w:eastAsia="Times New Roman" w:hAnsi="Times New Roman" w:cs="Times New Roman"/>
          <w:bCs/>
        </w:rPr>
        <w:instrText xml:space="preserve"> ADDIN ZOTERO_ITEM CSL_CITATION {"citationID":"yoHK5B8q","properties":{"formattedCitation":"(Kellmann, 2002)","plainCitation":"(Kellmann, 2002)","noteIndex":0},"citationItems":[{"id":90,"uris":["http://zotero.org/users/6375206/items/C7CSDCJN"],"uri":["http://zotero.org/users/6375206/items/C7CSDCJN"],"itemData":{"id":90,"type":"book","event-place":"Champaign, IL","ISBN":"0-7360-3400-5","publisher":"Human Kinetics","publisher-place":"Champaign, IL","title":"Enhancing Recovery: Preventing Underperformance in Athletes","URL":"https://books-google-com.ezproxy.lib.ou.edu/books?hl=en&amp;lr=&amp;id=Qp-WkTxvlvIC&amp;oi=fnd&amp;pg=PP9&amp;dq=enhancing+recovery&amp;ots=qJ4FwXjr7R&amp;sig=9WVNqJsssxOxHQgMI3NpeZWcd0A#v=onepage&amp;q=enhancing%20recovery&amp;f=false","author":[{"family":"Kellmann","given":"Michael"}],"accessed":{"date-parts":[["2020",4,29]]},"issued":{"date-parts":[["2002"]]}}}],"schema":"https://github.com/citation-style-language/schema/raw/master/csl-citation.json"} </w:instrText>
      </w:r>
      <w:r w:rsidRPr="00890E95">
        <w:rPr>
          <w:rFonts w:ascii="Times New Roman" w:eastAsia="Times New Roman" w:hAnsi="Times New Roman" w:cs="Times New Roman"/>
          <w:bCs/>
        </w:rPr>
        <w:fldChar w:fldCharType="separate"/>
      </w:r>
      <w:r w:rsidRPr="00890E95">
        <w:rPr>
          <w:rFonts w:ascii="Times New Roman" w:eastAsia="Times New Roman" w:hAnsi="Times New Roman" w:cs="Times New Roman"/>
          <w:bCs/>
          <w:noProof/>
        </w:rPr>
        <w:t>(Kellmann, 2002)</w:t>
      </w:r>
      <w:r w:rsidRPr="00890E95">
        <w:rPr>
          <w:rFonts w:ascii="Times New Roman" w:eastAsia="Times New Roman" w:hAnsi="Times New Roman" w:cs="Times New Roman"/>
          <w:bCs/>
        </w:rPr>
        <w:fldChar w:fldCharType="end"/>
      </w:r>
      <w:r w:rsidRPr="00890E95">
        <w:rPr>
          <w:rFonts w:ascii="Times New Roman" w:eastAsia="Times New Roman" w:hAnsi="Times New Roman" w:cs="Times New Roman"/>
          <w:bCs/>
        </w:rPr>
        <w:t xml:space="preserve">. Stressors originate from factors affecting the body from the outside, which can include exercise, training, academics, and relationships, all of which are experienced by collegiate athletes </w:t>
      </w:r>
      <w:r w:rsidRPr="00890E95">
        <w:rPr>
          <w:rFonts w:ascii="Times New Roman" w:eastAsia="Times New Roman" w:hAnsi="Times New Roman" w:cs="Times New Roman"/>
          <w:bCs/>
        </w:rPr>
        <w:fldChar w:fldCharType="begin"/>
      </w:r>
      <w:r w:rsidRPr="00890E95">
        <w:rPr>
          <w:rFonts w:ascii="Times New Roman" w:eastAsia="Times New Roman" w:hAnsi="Times New Roman" w:cs="Times New Roman"/>
          <w:bCs/>
        </w:rPr>
        <w:instrText xml:space="preserve"> ADDIN ZOTERO_ITEM CSL_CITATION {"citationID":"3BBrTAy6","properties":{"formattedCitation":"(Kellmann, 2002)","plainCitation":"(Kellmann, 2002)","dontUpdate":true,"noteIndex":0},"citationItems":[{"id":90,"uris":["http://zotero.org/users/6375206/items/C7CSDCJN"],"uri":["http://zotero.org/users/6375206/items/C7CSDCJN"],"itemData":{"id":90,"type":"book","event-place":"Champaign, IL","ISBN":"0-7360-3400-5","publisher":"Human Kinetics","publisher-place":"Champaign, IL","title":"Enhancing Recovery: Preventing Underperformance in Athletes","URL":"https://books-google-com.ezproxy.lib.ou.edu/books?hl=en&amp;lr=&amp;id=Qp-WkTxvlvIC&amp;oi=fnd&amp;pg=PP9&amp;dq=enhancing+recovery&amp;ots=qJ4FwXjr7R&amp;sig=9WVNqJsssxOxHQgMI3NpeZWcd0A#v=onepage&amp;q=enhancing%20recovery&amp;f=false","author":[{"family":"Kellmann","given":"Michael"}],"accessed":{"date-parts":[["2020",4,29]]},"issued":{"date-parts":[["2002"]]}}}],"schema":"https://github.com/citation-style-language/schema/raw/master/csl-citation.json"} </w:instrText>
      </w:r>
      <w:r w:rsidRPr="00890E95">
        <w:rPr>
          <w:rFonts w:ascii="Times New Roman" w:eastAsia="Times New Roman" w:hAnsi="Times New Roman" w:cs="Times New Roman"/>
          <w:bCs/>
        </w:rPr>
        <w:fldChar w:fldCharType="separate"/>
      </w:r>
      <w:r w:rsidRPr="00890E95">
        <w:rPr>
          <w:rFonts w:ascii="Times New Roman" w:eastAsia="Times New Roman" w:hAnsi="Times New Roman" w:cs="Times New Roman"/>
          <w:bCs/>
          <w:noProof/>
        </w:rPr>
        <w:t>(Kellmann, 2002</w:t>
      </w:r>
      <w:r w:rsidRPr="00890E95">
        <w:rPr>
          <w:rFonts w:ascii="Times New Roman" w:eastAsia="Times New Roman" w:hAnsi="Times New Roman" w:cs="Times New Roman"/>
          <w:bCs/>
        </w:rPr>
        <w:fldChar w:fldCharType="end"/>
      </w:r>
      <w:r w:rsidRPr="00890E95">
        <w:rPr>
          <w:rFonts w:ascii="Times New Roman" w:eastAsia="Times New Roman" w:hAnsi="Times New Roman" w:cs="Times New Roman"/>
          <w:bCs/>
        </w:rPr>
        <w:t>;</w:t>
      </w:r>
      <w:r w:rsidR="00800CC2">
        <w:rPr>
          <w:rFonts w:ascii="Times New Roman" w:eastAsia="Times New Roman" w:hAnsi="Times New Roman" w:cs="Times New Roman"/>
          <w:bCs/>
        </w:rPr>
        <w:t xml:space="preserve"> </w:t>
      </w:r>
      <w:r w:rsidRPr="00890E95">
        <w:rPr>
          <w:rFonts w:ascii="Times New Roman" w:eastAsia="Times New Roman" w:hAnsi="Times New Roman" w:cs="Times New Roman"/>
          <w:bCs/>
        </w:rPr>
        <w:fldChar w:fldCharType="begin"/>
      </w:r>
      <w:r w:rsidRPr="00890E95">
        <w:rPr>
          <w:rFonts w:ascii="Times New Roman" w:eastAsia="Times New Roman" w:hAnsi="Times New Roman" w:cs="Times New Roman"/>
          <w:bCs/>
        </w:rPr>
        <w:instrText xml:space="preserve"> ADDIN ZOTERO_ITEM CSL_CITATION {"citationID":"CVII716t","properties":{"formattedCitation":"(Hwang &amp; Choi, 2016)","plainCitation":"(Hwang &amp; Choi, 2016)","dontUpdate":true,"noteIndex":0},"citationItems":[{"id":139,"uris":["http://zotero.org/users/6375206/items/EM95GFPP"],"uri":["http://zotero.org/users/6375206/items/EM95GFPP"],"itemData":{"id":139,"type":"article-journal","abstract":"Collegiate student athletes face psychological stressors in adjusting to campus life. This study used preexisting, nationally representative data administered by the National Collegiate Athletic Association for student athletes in 2010 to explore the conjunctive relationships among demographics, personal characteristics, social contexts, and physical condition in predicting perceived stress. The number of valid samples was 19,967 from 609 member institutions. A data mining methodology (i.e., SEARCH) was applied to model the distribution of the perceived stress. Results showed that significant stressors included the variables related to academics, physical well-being, and social contexts. Academic anxiety was the most important predictor, and its interactions with abusive coaching behavior and an inclusive team environment were shown to reduce perceived stress. Sufficient sleep was also found as a moderator in the positive relationship between perceived stress and academic anxiety.","container-title":"Psychological Reports","DOI":"10.1177/0033294116674776","ISSN":"0033-2941","issue":"3","journalAbbreviation":"Psychol Rep","language":"en","note":"publisher: SAGE Publications Inc","page":"787-803","source":"SAGE Journals","title":"Data Mining in the Exploration of Stressors Among NCAA Student Athletes","volume":"119","author":[{"family":"Hwang","given":"Seunghyun"},{"family":"Choi","given":"Youngjun"}],"issued":{"date-parts":[["2016",12,1]]}}}],"schema":"https://github.com/citation-style-language/schema/raw/master/csl-citation.json"} </w:instrText>
      </w:r>
      <w:r w:rsidRPr="00890E95">
        <w:rPr>
          <w:rFonts w:ascii="Times New Roman" w:eastAsia="Times New Roman" w:hAnsi="Times New Roman" w:cs="Times New Roman"/>
          <w:bCs/>
        </w:rPr>
        <w:fldChar w:fldCharType="separate"/>
      </w:r>
      <w:r w:rsidRPr="00890E95">
        <w:rPr>
          <w:rFonts w:ascii="Times New Roman" w:eastAsia="Times New Roman" w:hAnsi="Times New Roman" w:cs="Times New Roman"/>
          <w:bCs/>
          <w:noProof/>
        </w:rPr>
        <w:t>Hwang &amp; Choi, 2016</w:t>
      </w:r>
      <w:r w:rsidRPr="00890E95">
        <w:rPr>
          <w:rFonts w:ascii="Times New Roman" w:eastAsia="Times New Roman" w:hAnsi="Times New Roman" w:cs="Times New Roman"/>
          <w:bCs/>
        </w:rPr>
        <w:fldChar w:fldCharType="end"/>
      </w:r>
      <w:r w:rsidRPr="00890E95">
        <w:rPr>
          <w:rFonts w:ascii="Times New Roman" w:eastAsia="Times New Roman" w:hAnsi="Times New Roman" w:cs="Times New Roman"/>
          <w:bCs/>
        </w:rPr>
        <w:t xml:space="preserve">). Stress can be acute or chronic, depending on the stressor and duration </w:t>
      </w:r>
      <w:r w:rsidRPr="00890E95">
        <w:rPr>
          <w:rFonts w:ascii="Times New Roman" w:eastAsia="Times New Roman" w:hAnsi="Times New Roman" w:cs="Times New Roman"/>
          <w:bCs/>
        </w:rPr>
        <w:fldChar w:fldCharType="begin"/>
      </w:r>
      <w:r w:rsidRPr="00890E95">
        <w:rPr>
          <w:rFonts w:ascii="Times New Roman" w:eastAsia="Times New Roman" w:hAnsi="Times New Roman" w:cs="Times New Roman"/>
          <w:bCs/>
        </w:rPr>
        <w:instrText xml:space="preserve"> ADDIN ZOTERO_ITEM CSL_CITATION {"citationID":"Q6FEZXut","properties":{"formattedCitation":"(Lopes Dos Santos et al., 2020)","plainCitation":"(Lopes Dos Santos et al., 2020)","noteIndex":0},"citationItems":[{"id":196,"uris":["http://zotero.org/users/6375206/items/JK7BB4CU"],"uri":["http://zotero.org/users/6375206/items/JK7BB4CU"],"itemData":{"id":196,"type":"article-journal","abstract":"College students are required to manage a variety of stressors related to academic, social and financial commitments. In addition to the burdens facing most college students, collegiate-athletes must devote a substantial amount of time to improving their sporting abilities. The strength and conditioning professional sees the athlete on nearly a daily basis and is able to recognize the changes in performance and behavior an athlete may exhibit as a result of these stressors. As such, the strength and conditioning professional may serve an integral role in the monitoring of these stressors and may be able to alter training programs to improve both performance and wellness. The purpose of this paper is to discuss stressors experienced by collegiate-athletes, developing an early detection system through monitoring techniques that identify the detrimental effects of stress, and discuss appropriate stress management strategies for this population.","container-title":"Frontiers in Sports and Active Living","DOI":"10.3389/fspor.2020.00042","ISSN":"2624-9367","journalAbbreviation":"Front. Sports Act. Living","language":"English","note":"publisher: Frontiers","source":"Frontiers","title":"Stress in Academic and Athletic Performance in Collegiate Athletes: A Narrative Review of Sources and Monitoring Strategies","title-short":"Stress in Academic and Athletic Performance in Collegiate Athletes","URL":"https://www.frontiersin.org/articles/10.3389/fspor.2020.00042/full","volume":"2","author":[{"family":"Lopes Dos Santos","given":"Marcel"},{"family":"Uftring","given":"Melissa"},{"family":"Stahl","given":"Cody A."},{"family":"Lockie","given":"Robert G."},{"family":"Alvar","given":"Brent"},{"family":"Mann","given":"J. Bryan"},{"family":"Dawes","given":"J. Jay"}],"accessed":{"date-parts":[["2021",1,25]]},"issued":{"date-parts":[["2020"]]}}}],"schema":"https://github.com/citation-style-language/schema/raw/master/csl-citation.json"} </w:instrText>
      </w:r>
      <w:r w:rsidRPr="00890E95">
        <w:rPr>
          <w:rFonts w:ascii="Times New Roman" w:eastAsia="Times New Roman" w:hAnsi="Times New Roman" w:cs="Times New Roman"/>
          <w:bCs/>
        </w:rPr>
        <w:fldChar w:fldCharType="separate"/>
      </w:r>
      <w:r w:rsidRPr="00890E95">
        <w:rPr>
          <w:rFonts w:ascii="Times New Roman" w:eastAsia="Times New Roman" w:hAnsi="Times New Roman" w:cs="Times New Roman"/>
          <w:bCs/>
          <w:noProof/>
        </w:rPr>
        <w:t>(Lopes Dos Santos et al., 2020)</w:t>
      </w:r>
      <w:r w:rsidRPr="00890E95">
        <w:rPr>
          <w:rFonts w:ascii="Times New Roman" w:eastAsia="Times New Roman" w:hAnsi="Times New Roman" w:cs="Times New Roman"/>
          <w:bCs/>
        </w:rPr>
        <w:fldChar w:fldCharType="end"/>
      </w:r>
      <w:r w:rsidRPr="00890E95">
        <w:rPr>
          <w:rFonts w:ascii="Times New Roman" w:eastAsia="Times New Roman" w:hAnsi="Times New Roman" w:cs="Times New Roman"/>
          <w:bCs/>
        </w:rPr>
        <w:t xml:space="preserve">. Depending on perception and coping methods, stress can be seen as negative (distress) or positive (eustress) </w:t>
      </w:r>
      <w:r w:rsidRPr="00890E95">
        <w:rPr>
          <w:rFonts w:ascii="Times New Roman" w:eastAsia="Times New Roman" w:hAnsi="Times New Roman" w:cs="Times New Roman"/>
          <w:bCs/>
        </w:rPr>
        <w:fldChar w:fldCharType="begin"/>
      </w:r>
      <w:r w:rsidRPr="00890E95">
        <w:rPr>
          <w:rFonts w:ascii="Times New Roman" w:eastAsia="Times New Roman" w:hAnsi="Times New Roman" w:cs="Times New Roman"/>
          <w:bCs/>
        </w:rPr>
        <w:instrText xml:space="preserve"> ADDIN ZOTERO_ITEM CSL_CITATION {"citationID":"Slt7fqlG","properties":{"formattedCitation":"(Lopes Dos Santos et al., 2020)","plainCitation":"(Lopes Dos Santos et al., 2020)","noteIndex":0},"citationItems":[{"id":196,"uris":["http://zotero.org/users/6375206/items/JK7BB4CU"],"uri":["http://zotero.org/users/6375206/items/JK7BB4CU"],"itemData":{"id":196,"type":"article-journal","abstract":"College students are required to manage a variety of stressors related to academic, social and financial commitments. In addition to the burdens facing most college students, collegiate-athletes must devote a substantial amount of time to improving their sporting abilities. The strength and conditioning professional sees the athlete on nearly a daily basis and is able to recognize the changes in performance and behavior an athlete may exhibit as a result of these stressors. As such, the strength and conditioning professional may serve an integral role in the monitoring of these stressors and may be able to alter training programs to improve both performance and wellness. The purpose of this paper is to discuss stressors experienced by collegiate-athletes, developing an early detection system through monitoring techniques that identify the detrimental effects of stress, and discuss appropriate stress management strategies for this population.","container-title":"Frontiers in Sports and Active Living","DOI":"10.3389/fspor.2020.00042","ISSN":"2624-9367","journalAbbreviation":"Front. Sports Act. Living","language":"English","note":"publisher: Frontiers","source":"Frontiers","title":"Stress in Academic and Athletic Performance in Collegiate Athletes: A Narrative Review of Sources and Monitoring Strategies","title-short":"Stress in Academic and Athletic Performance in Collegiate Athletes","URL":"https://www.frontiersin.org/articles/10.3389/fspor.2020.00042/full","volume":"2","author":[{"family":"Lopes Dos Santos","given":"Marcel"},{"family":"Uftring","given":"Melissa"},{"family":"Stahl","given":"Cody A."},{"family":"Lockie","given":"Robert G."},{"family":"Alvar","given":"Brent"},{"family":"Mann","given":"J. Bryan"},{"family":"Dawes","given":"J. Jay"}],"accessed":{"date-parts":[["2021",1,25]]},"issued":{"date-parts":[["2020"]]}}}],"schema":"https://github.com/citation-style-language/schema/raw/master/csl-citation.json"} </w:instrText>
      </w:r>
      <w:r w:rsidRPr="00890E95">
        <w:rPr>
          <w:rFonts w:ascii="Times New Roman" w:eastAsia="Times New Roman" w:hAnsi="Times New Roman" w:cs="Times New Roman"/>
          <w:bCs/>
        </w:rPr>
        <w:fldChar w:fldCharType="separate"/>
      </w:r>
      <w:r w:rsidRPr="00890E95">
        <w:rPr>
          <w:rFonts w:ascii="Times New Roman" w:eastAsia="Times New Roman" w:hAnsi="Times New Roman" w:cs="Times New Roman"/>
          <w:bCs/>
          <w:noProof/>
        </w:rPr>
        <w:t xml:space="preserve">(Lopes Dos </w:t>
      </w:r>
      <w:r w:rsidRPr="00890E95">
        <w:rPr>
          <w:rFonts w:ascii="Times New Roman" w:eastAsia="Times New Roman" w:hAnsi="Times New Roman" w:cs="Times New Roman"/>
          <w:bCs/>
          <w:noProof/>
        </w:rPr>
        <w:lastRenderedPageBreak/>
        <w:t>Santos et al., 2020)</w:t>
      </w:r>
      <w:r w:rsidRPr="00890E95">
        <w:rPr>
          <w:rFonts w:ascii="Times New Roman" w:eastAsia="Times New Roman" w:hAnsi="Times New Roman" w:cs="Times New Roman"/>
          <w:bCs/>
        </w:rPr>
        <w:fldChar w:fldCharType="end"/>
      </w:r>
      <w:r w:rsidRPr="00890E95">
        <w:rPr>
          <w:rFonts w:ascii="Times New Roman" w:eastAsia="Times New Roman" w:hAnsi="Times New Roman" w:cs="Times New Roman"/>
          <w:bCs/>
        </w:rPr>
        <w:t xml:space="preserve">. Stress can have positive effects on the body, but if not properly managed, the effects can result in negative outcomes such as overtraining, fatigue, injury, sickness, and burnout </w:t>
      </w:r>
      <w:r w:rsidRPr="00890E95">
        <w:rPr>
          <w:rFonts w:ascii="Times New Roman" w:eastAsia="Times New Roman" w:hAnsi="Times New Roman" w:cs="Times New Roman"/>
          <w:bCs/>
        </w:rPr>
        <w:fldChar w:fldCharType="begin"/>
      </w:r>
      <w:r w:rsidRPr="00890E95">
        <w:rPr>
          <w:rFonts w:ascii="Times New Roman" w:eastAsia="Times New Roman" w:hAnsi="Times New Roman" w:cs="Times New Roman"/>
          <w:bCs/>
        </w:rPr>
        <w:instrText xml:space="preserve"> ADDIN ZOTERO_ITEM CSL_CITATION {"citationID":"KBRalIil","properties":{"formattedCitation":"(Kellmann, 2002)","plainCitation":"(Kellmann, 2002)","noteIndex":0},"citationItems":[{"id":90,"uris":["http://zotero.org/users/6375206/items/C7CSDCJN"],"uri":["http://zotero.org/users/6375206/items/C7CSDCJN"],"itemData":{"id":90,"type":"book","event-place":"Champaign, IL","ISBN":"0-7360-3400-5","publisher":"Human Kinetics","publisher-place":"Champaign, IL","title":"Enhancing Recovery: Preventing Underperformance in Athletes","URL":"https://books-google-com.ezproxy.lib.ou.edu/books?hl=en&amp;lr=&amp;id=Qp-WkTxvlvIC&amp;oi=fnd&amp;pg=PP9&amp;dq=enhancing+recovery&amp;ots=qJ4FwXjr7R&amp;sig=9WVNqJsssxOxHQgMI3NpeZWcd0A#v=onepage&amp;q=enhancing%20recovery&amp;f=false","author":[{"family":"Kellmann","given":"Michael"}],"accessed":{"date-parts":[["2020",4,29]]},"issued":{"date-parts":[["2002"]]}}}],"schema":"https://github.com/citation-style-language/schema/raw/master/csl-citation.json"} </w:instrText>
      </w:r>
      <w:r w:rsidRPr="00890E95">
        <w:rPr>
          <w:rFonts w:ascii="Times New Roman" w:eastAsia="Times New Roman" w:hAnsi="Times New Roman" w:cs="Times New Roman"/>
          <w:bCs/>
        </w:rPr>
        <w:fldChar w:fldCharType="separate"/>
      </w:r>
      <w:r w:rsidRPr="00890E95">
        <w:rPr>
          <w:rFonts w:ascii="Times New Roman" w:eastAsia="Times New Roman" w:hAnsi="Times New Roman" w:cs="Times New Roman"/>
          <w:bCs/>
          <w:noProof/>
        </w:rPr>
        <w:t>(Kellmann, 2002)</w:t>
      </w:r>
      <w:r w:rsidRPr="00890E95">
        <w:rPr>
          <w:rFonts w:ascii="Times New Roman" w:eastAsia="Times New Roman" w:hAnsi="Times New Roman" w:cs="Times New Roman"/>
          <w:bCs/>
        </w:rPr>
        <w:fldChar w:fldCharType="end"/>
      </w:r>
      <w:r w:rsidRPr="00890E95">
        <w:rPr>
          <w:rFonts w:ascii="Times New Roman" w:eastAsia="Times New Roman" w:hAnsi="Times New Roman" w:cs="Times New Roman"/>
          <w:bCs/>
        </w:rPr>
        <w:t xml:space="preserve">. When stress is managed properly, positive adaptations are elicited which is the expected outcome of </w:t>
      </w:r>
      <w:r w:rsidR="00FF2EBB">
        <w:rPr>
          <w:rFonts w:ascii="Times New Roman" w:eastAsia="Times New Roman" w:hAnsi="Times New Roman" w:cs="Times New Roman"/>
          <w:bCs/>
        </w:rPr>
        <w:t xml:space="preserve">a </w:t>
      </w:r>
      <w:r w:rsidRPr="00890E95">
        <w:rPr>
          <w:rFonts w:ascii="Times New Roman" w:eastAsia="Times New Roman" w:hAnsi="Times New Roman" w:cs="Times New Roman"/>
          <w:bCs/>
        </w:rPr>
        <w:t>well-planned training</w:t>
      </w:r>
      <w:r w:rsidR="00FF2EBB">
        <w:rPr>
          <w:rFonts w:ascii="Times New Roman" w:eastAsia="Times New Roman" w:hAnsi="Times New Roman" w:cs="Times New Roman"/>
          <w:bCs/>
        </w:rPr>
        <w:t xml:space="preserve"> program</w:t>
      </w:r>
      <w:r w:rsidRPr="00890E95">
        <w:rPr>
          <w:rFonts w:ascii="Times New Roman" w:eastAsia="Times New Roman" w:hAnsi="Times New Roman" w:cs="Times New Roman"/>
          <w:bCs/>
        </w:rPr>
        <w:t xml:space="preserve">. </w:t>
      </w:r>
    </w:p>
    <w:p w14:paraId="07F7B489" w14:textId="77777777" w:rsidR="00D313EA" w:rsidRPr="00890E95" w:rsidRDefault="00D313EA" w:rsidP="00D313EA">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A sport-specific recovery-fatigue continuum has been proposed in a consensus statement by many exercise physiologists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{"citationID":"25p5Joxc","properties":{"formattedCitation":"(Kellmann et al., 2018)","plainCitation":"(Kellmann et al., 2018)","noteIndex":0},"citationItems":[{"id":18,"uris":["http://zotero.org/users/6375206/items/QDR7VU8D"],"uri":["http://zotero.org/users/6375206/items/QDR7VU8D"],"itemData":{"id":18,"type":"article-journal","abstract":"The relationship between recovery and fatigue and its impact on performance has attracted the interest of sport science for many years. An adequate balance between stress (training and competition load, other life demands) and recovery is essential for athletes to achieve continuous high-level performance. Research has focused on the examination of physiological and psychological recovery strategies to compensate external and internal training and competition loads. A systematic monitoring of recovery and the subsequent implementation of recovery routines aims at maximizing performance and preventing negative developments such as underrecovery, nonfunctional overreaching, the overtraining syndrome, injuries, or illnesses. Due to the inter- and intraindividual variability of responses to training, competition, and recovery strategies, a diverse set of expertise is required to address the multifaceted phenomena of recovery, performance, and their interactions to transfer knowledge from sport science to sport practice. For this purpose, a symposium on Recovery and Performance was organized at the Technical University Munich Science and Study Center Raitenhaslach (Germany) in September 2016. Various international experts from many disciplines and research areas gathered to discuss and share their knowledge of recovery for performance enhancement in a variety of settings. The results of this meeting are outlined in this consensus statement that provides central definitions, theoretical frameworks, and practical implications as a synopsis of the current knowledge of recovery and performance. While our understanding of the complex relationship between recovery and performance has significantly increased through research, some important issues for future investigations are also elaborated. ABSTRACT FROM AUTHOR","container-title":"International Journal of Sports Physiology &amp; Performance","ISSN":"15550265","issue":"2","journalAbbreviation":"International Journal of Sports Physiology &amp; Performance","page":"240-245","source":"EBSCOhost","title":"Recovery and Performance in Sport: Consensus Statement","title-short":"Recovery and Performance in Sport","volume":"13","author":[{"family":"Kellmann","given":"Michael"},{"family":"Bertollo","given":"Maurizio"},{"family":"Bosquet","given":"Laurent"},{"family":"Brink","given":"Michel"},{"family":"Coutts","given":"Aaron J."},{"family":"Duffield","given":"Rob"},{"family":"Erlacher","given":"Daniel"},{"family":"Halson","given":"Shona L."},{"family":"Hecksteden","given":"Anne"},{"family":"Heidari","given":"Jahan"},{"family":"Kallus","given":"K. Wolfgang"},{"family":"Meeusen","given":"Romain"},{"family":"Mujika","given":"Iñigo"},{"family":"Robazza","given":"Claudio"},{"family":"Skorski","given":"Sabrina"},{"family":"Venter","given":"Ranel"},{"family":"Beckmann","given":"Jürgen"}],"issued":{"date-parts":[["2018",2]]}}}],"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(Kellmann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This continuum demonstrates the complexity of both fatigue and recovery and shows that the two are highly interrelated. As the body endures more stress and becomes increasingly fatigued, it strays farther from and demands more to return to a state of recovery. A certain degree of fatigue is necessary to elicit functional overreaching, which enhances performance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{"citationID":"QNxmK1LD","properties":{"formattedCitation":"(Kellmann et al., 2018)","plainCitation":"(Kellmann et al., 2018)","noteIndex":0},"citationItems":[{"id":18,"uris":["http://zotero.org/users/6375206/items/QDR7VU8D"],"uri":["http://zotero.org/users/6375206/items/QDR7VU8D"],"itemData":{"id":18,"type":"article-journal","abstract":"The relationship between recovery and fatigue and its impact on performance has attracted the interest of sport science for many years. An adequate balance between stress (training and competition load, other life demands) and recovery is essential for athletes to achieve continuous high-level performance. Research has focused on the examination of physiological and psychological recovery strategies to compensate external and internal training and competition loads. A systematic monitoring of recovery and the subsequent implementation of recovery routines aims at maximizing performance and preventing negative developments such as underrecovery, nonfunctional overreaching, the overtraining syndrome, injuries, or illnesses. Due to the inter- and intraindividual variability of responses to training, competition, and recovery strategies, a diverse set of expertise is required to address the multifaceted phenomena of recovery, performance, and their interactions to transfer knowledge from sport science to sport practice. For this purpose, a symposium on Recovery and Performance was organized at the Technical University Munich Science and Study Center Raitenhaslach (Germany) in September 2016. Various international experts from many disciplines and research areas gathered to discuss and share their knowledge of recovery for performance enhancement in a variety of settings. The results of this meeting are outlined in this consensus statement that provides central definitions, theoretical frameworks, and practical implications as a synopsis of the current knowledge of recovery and performance. While our understanding of the complex relationship between recovery and performance has significantly increased through research, some important issues for future investigations are also elaborated. ABSTRACT FROM AUTHOR","container-title":"International Journal of Sports Physiology &amp; Performance","ISSN":"15550265","issue":"2","journalAbbreviation":"International Journal of Sports Physiology &amp; Performance","page":"240-245","source":"EBSCOhost","title":"Recovery and Performance in Sport: Consensus Statement","title-short":"Recovery and Performance in Sport","volume":"13","author":[{"family":"Kellmann","given":"Michael"},{"family":"Bertollo","given":"Maurizio"},{"family":"Bosquet","given":"Laurent"},{"family":"Brink","given":"Michel"},{"family":"Coutts","given":"Aaron J."},{"family":"Duffield","given":"Rob"},{"family":"Erlacher","given":"Daniel"},{"family":"Halson","given":"Shona L."},{"family":"Hecksteden","given":"Anne"},{"family":"Heidari","given":"Jahan"},{"family":"Kallus","given":"K. Wolfgang"},{"family":"Meeusen","given":"Romain"},{"family":"Mujika","given":"Iñigo"},{"family":"Robazza","given":"Claudio"},{"family":"Skorski","given":"Sabrina"},{"family":"Venter","given":"Ranel"},{"family":"Beckmann","given":"Jürgen"}],"issued":{"date-parts":[["2018",2]]}}}],"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(Kellmann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In contrast, fatigue becomes a problem when sufficient recovery is not allowed.</w:t>
      </w:r>
    </w:p>
    <w:p w14:paraId="44D5B187" w14:textId="36A8054D" w:rsidR="00D313EA" w:rsidRPr="00890E95" w:rsidRDefault="00D313EA" w:rsidP="00D313EA">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Recovery has been defined as a complex process of physical restoration over time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{"citationID":"iNorQcFh","properties":{"formattedCitation":"(Kellmann et al., 2018)","plainCitation":"(Kellmann et al., 2018)","noteIndex":0},"citationItems":[{"id":18,"uris":["http://zotero.org/users/6375206/items/QDR7VU8D"],"uri":["http://zotero.org/users/6375206/items/QDR7VU8D"],"itemData":{"id":18,"type":"article-journal","abstract":"The relationship between recovery and fatigue and its impact on performance has attracted the interest of sport science for many years. An adequate balance between stress (training and competition load, other life demands) and recovery is essential for athletes to achieve continuous high-level performance. Research has focused on the examination of physiological and psychological recovery strategies to compensate external and internal training and competition loads. A systematic monitoring of recovery and the subsequent implementation of recovery routines aims at maximizing performance and preventing negative developments such as underrecovery, nonfunctional overreaching, the overtraining syndrome, injuries, or illnesses. Due to the inter- and intraindividual variability of responses to training, competition, and recovery strategies, a diverse set of expertise is required to address the multifaceted phenomena of recovery, performance, and their interactions to transfer knowledge from sport science to sport practice. For this purpose, a symposium on Recovery and Performance was organized at the Technical University Munich Science and Study Center Raitenhaslach (Germany) in September 2016. Various international experts from many disciplines and research areas gathered to discuss and share their knowledge of recovery for performance enhancement in a variety of settings. The results of this meeting are outlined in this consensus statement that provides central definitions, theoretical frameworks, and practical implications as a synopsis of the current knowledge of recovery and performance. While our understanding of the complex relationship between recovery and performance has significantly increased through research, some important issues for future investigations are also elaborated. ABSTRACT FROM AUTHOR","container-title":"International Journal of Sports Physiology &amp; Performance","ISSN":"15550265","issue":"2","journalAbbreviation":"International Journal of Sports Physiology &amp; Performance","page":"240-245","source":"EBSCOhost","title":"Recovery and Performance in Sport: Consensus Statement","title-short":"Recovery and Performance in Sport","volume":"13","author":[{"family":"Kellmann","given":"Michael"},{"family":"Bertollo","given":"Maurizio"},{"family":"Bosquet","given":"Laurent"},{"family":"Brink","given":"Michel"},{"family":"Coutts","given":"Aaron J."},{"family":"Duffield","given":"Rob"},{"family":"Erlacher","given":"Daniel"},{"family":"Halson","given":"Shona L."},{"family":"Hecksteden","given":"Anne"},{"family":"Heidari","given":"Jahan"},{"family":"Kallus","given":"K. Wolfgang"},{"family":"Meeusen","given":"Romain"},{"family":"Mujika","given":"Iñigo"},{"family":"Robazza","given":"Claudio"},{"family":"Skorski","given":"Sabrina"},{"family":"Venter","given":"Ranel"},{"family":"Beckmann","given":"Jürgen"}],"issued":{"date-parts":[["2018",2]]}}}],"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(Kellmann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Recovery occurs across </w:t>
      </w:r>
      <w:r w:rsidR="00FF2EBB">
        <w:rPr>
          <w:rFonts w:ascii="Times New Roman" w:eastAsia="Times New Roman" w:hAnsi="Times New Roman" w:cs="Times New Roman"/>
        </w:rPr>
        <w:t xml:space="preserve">three </w:t>
      </w:r>
      <w:r w:rsidRPr="00890E95">
        <w:rPr>
          <w:rFonts w:ascii="Times New Roman" w:eastAsia="Times New Roman" w:hAnsi="Times New Roman" w:cs="Times New Roman"/>
        </w:rPr>
        <w:t>distinct time periods, immediate, short term, and training recovery.</w:t>
      </w:r>
      <w:r w:rsidRPr="00890E95">
        <w:rPr>
          <w:rFonts w:ascii="Times New Roman" w:eastAsia="Times New Roman" w:hAnsi="Times New Roman" w:cs="Times New Roman"/>
          <w:bCs/>
        </w:rPr>
        <w:t xml:space="preserve"> During a training session or competition, fatigue is defined as the failure to maintain the desired or expected force output </w:t>
      </w:r>
      <w:r w:rsidRPr="00890E95">
        <w:rPr>
          <w:rFonts w:ascii="Times New Roman" w:eastAsia="Times New Roman" w:hAnsi="Times New Roman" w:cs="Times New Roman"/>
          <w:bCs/>
        </w:rPr>
        <w:fldChar w:fldCharType="begin"/>
      </w:r>
      <w:r w:rsidRPr="00890E95">
        <w:rPr>
          <w:rFonts w:ascii="Times New Roman" w:eastAsia="Times New Roman" w:hAnsi="Times New Roman" w:cs="Times New Roman"/>
          <w:bCs/>
        </w:rPr>
        <w:instrText xml:space="preserve"> ADDIN ZOTERO_ITEM CSL_CITATION {"citationID":"WrgeLzk3","properties":{"formattedCitation":"(Bishop et al., 2008; Taylor et al., 2012)","plainCitation":"(Bishop et al., 2008; Taylor et al., 2012)","noteIndex":0},"citationItems":[{"id":234,"uris":["http://zotero.org/users/6375206/items/EQQQWH9V"],"uri":["http://zotero.org/users/6375206/items/EQQQWH9V"],"itemData":{"id":234,"type":"article-journal","abstract":"Athletes spend a much greater proportion of their time recovering than they do in training. Yet, much attention has been given to training with very little investigation of recovery. The purpose of this review is to stimulate further research into this vital area of training. Recovery can be categorized in three terms: i) immediate recovery between exertions; ii) short-term recovery between repeats (e.g., between resistance sets or interval bouts); and iii) training recovery between workouts. The focus of this review is training recovery. Full training recovery is essential to optimal performance and improvement. This review includes an examination of extant research on recovery and a very brief review of some potential modalities and techniques for hastening recovery and the time course of recovery and responses to some treatments. Measures of recovery and practical considerations are discussed briefly. Much research is needed in this area, but there are obstacles to high quality research. Attention must be given to key issues in research on recovery, especially the individual response to recovery treatments.","container-title":"The Journal of Strength &amp; Conditioning Research","DOI":"10.1519/JSC.0b013e31816eb518","ISSN":"1064-8011","issue":"3","language":"en-US","page":"1015–1024","source":"journals.lww.com","title":"Recovery From Training: A Brief Review: Brief Review","title-short":"Recovery From Training","volume":"22","author":[{"family":"Bishop","given":"Phillip A."},{"family":"Jones","given":"Eric"},{"family":"Woods","given":"A. Krista"}],"issued":{"date-parts":[["2008",5]]}}},{"id":232,"uris":["http://zotero.org/users/6375206/items/9LVB7RPD"],"uri":["http://zotero.org/users/6375206/items/9LVB7RPD"],"itemData":{"id":232,"type":"article-journal","abstract":"BSTRACT Research has identified a plethora of physiological, biochemical, psychological and performance markers that help inform coaching staff about when an athlete is in a state of fatigue or recovery. However use of such markers in the regular high performance training environment remains undocumented. To establish current best practice methods for training monitoring, 100 participants involved in coaching or sport science support roles in a variety of high performance sports programs were invited to participate in an online survey. The response rate was 55% with results indicating 91% of respondents implemented some form of training monitoring system. A majority of respondents (70%) indicated there was an equal focus between load quantification and the monitoring of fatigue and recovery within their training monitoring system. Interestingly, 20% of participants indicated the focus was solely on load quantification, while 10% solely monitored the fatigue/recovery process. Respondents reported that the aims of their monitoring systems were to prevent overtraining (22%), reduce injuries (29%), monitor the effectiveness of training programs (27%), and ensure maintenance of performance throughout competitive periods (22%). A variety of methods were used to achieve this, based mainly on experiential evidence rather than replication of methods used in scientific publications. Of the methods identified for monitoring fatigue and recovery responses, self-report questionnaires (84%) and practical tests of maximal neuromuscular performance (61%) were the most commonly utilised.","container-title":"Journal of Australian Strength and Conditioning","journalAbbreviation":"Journal of Australian Strength and Conditioning","page":"12-23","source":"ResearchGate","title":"Fatigue Monitoring in High Performance Sport: A Survey of Current Trends","title-short":"Fatigue Monitoring in High Performance Sport","volume":"20","author":[{"family":"Taylor","given":"Kristie-Lee"},{"family":"Chapman","given":"Dale"},{"family":"Cronin","given":"John"},{"family":"Newton","given":"Michael"},{"family":"Gill","given":"Nicholas"}],"issued":{"date-parts":[["2012",3,1]]}}}],"schema":"https://github.com/citation-style-language/schema/raw/master/csl-citation.json"} </w:instrText>
      </w:r>
      <w:r w:rsidRPr="00890E95">
        <w:rPr>
          <w:rFonts w:ascii="Times New Roman" w:eastAsia="Times New Roman" w:hAnsi="Times New Roman" w:cs="Times New Roman"/>
          <w:bCs/>
        </w:rPr>
        <w:fldChar w:fldCharType="separate"/>
      </w:r>
      <w:r w:rsidRPr="00890E95">
        <w:rPr>
          <w:rFonts w:ascii="Times New Roman" w:eastAsia="Times New Roman" w:hAnsi="Times New Roman" w:cs="Times New Roman"/>
          <w:bCs/>
          <w:noProof/>
        </w:rPr>
        <w:t>(Bishop et al., 2008; Taylor et al., 2012)</w:t>
      </w:r>
      <w:r w:rsidRPr="00890E95">
        <w:rPr>
          <w:rFonts w:ascii="Times New Roman" w:eastAsia="Times New Roman" w:hAnsi="Times New Roman" w:cs="Times New Roman"/>
          <w:bCs/>
        </w:rPr>
        <w:fldChar w:fldCharType="end"/>
      </w:r>
      <w:r w:rsidRPr="00890E95">
        <w:rPr>
          <w:rFonts w:ascii="Times New Roman" w:eastAsia="Times New Roman" w:hAnsi="Times New Roman" w:cs="Times New Roman"/>
          <w:bCs/>
        </w:rPr>
        <w:t xml:space="preserve">. Immediate recovery occurs between rapid efforts such as the time one leg is not active during sprints </w:t>
      </w:r>
      <w:r w:rsidRPr="00890E95">
        <w:rPr>
          <w:rFonts w:ascii="Times New Roman" w:eastAsia="Times New Roman" w:hAnsi="Times New Roman" w:cs="Times New Roman"/>
          <w:bCs/>
        </w:rPr>
        <w:fldChar w:fldCharType="begin"/>
      </w:r>
      <w:r w:rsidRPr="00890E95">
        <w:rPr>
          <w:rFonts w:ascii="Times New Roman" w:eastAsia="Times New Roman" w:hAnsi="Times New Roman" w:cs="Times New Roman"/>
          <w:bCs/>
        </w:rPr>
        <w:instrText xml:space="preserve"> ADDIN ZOTERO_ITEM CSL_CITATION {"citationID":"vAsSDA6v","properties":{"formattedCitation":"(Bishop et al., 2008)","plainCitation":"(Bishop et al., 2008)","noteIndex":0},"citationItems":[{"id":234,"uris":["http://zotero.org/users/6375206/items/EQQQWH9V"],"uri":["http://zotero.org/users/6375206/items/EQQQWH9V"],"itemData":{"id":234,"type":"article-journal","abstract":"Athletes spend a much greater proportion of their time recovering than they do in training. Yet, much attention has been given to training with very little investigation of recovery. The purpose of this review is to stimulate further research into this vital area of training. Recovery can be categorized in three terms: i) immediate recovery between exertions; ii) short-term recovery between repeats (e.g., between resistance sets or interval bouts); and iii) training recovery between workouts. The focus of this review is training recovery. Full training recovery is essential to optimal performance and improvement. This review includes an examination of extant research on recovery and a very brief review of some potential modalities and techniques for hastening recovery and the time course of recovery and responses to some treatments. Measures of recovery and practical considerations are discussed briefly. Much research is needed in this area, but there are obstacles to high quality research. Attention must be given to key issues in research on recovery, especially the individual response to recovery treatments.","container-title":"The Journal of Strength &amp; Conditioning Research","DOI":"10.1519/JSC.0b013e31816eb518","ISSN":"1064-8011","issue":"3","language":"en-US","page":"1015–1024","source":"journals.lww.com","title":"Recovery From Training: A Brief Review: Brief Review","title-short":"Recovery From Training","volume":"22","author":[{"family":"Bishop","given":"Phillip A."},{"family":"Jones","given":"Eric"},{"family":"Woods","given":"A. Krista"}],"issued":{"date-parts":[["2008",5]]}}}],"schema":"https://github.com/citation-style-language/schema/raw/master/csl-citation.json"} </w:instrText>
      </w:r>
      <w:r w:rsidRPr="00890E95">
        <w:rPr>
          <w:rFonts w:ascii="Times New Roman" w:eastAsia="Times New Roman" w:hAnsi="Times New Roman" w:cs="Times New Roman"/>
          <w:bCs/>
        </w:rPr>
        <w:fldChar w:fldCharType="separate"/>
      </w:r>
      <w:r w:rsidRPr="00890E95">
        <w:rPr>
          <w:rFonts w:ascii="Times New Roman" w:eastAsia="Times New Roman" w:hAnsi="Times New Roman" w:cs="Times New Roman"/>
          <w:bCs/>
          <w:noProof/>
        </w:rPr>
        <w:t>(Bishop et al., 2008)</w:t>
      </w:r>
      <w:r w:rsidRPr="00890E95">
        <w:rPr>
          <w:rFonts w:ascii="Times New Roman" w:eastAsia="Times New Roman" w:hAnsi="Times New Roman" w:cs="Times New Roman"/>
          <w:bCs/>
        </w:rPr>
        <w:fldChar w:fldCharType="end"/>
      </w:r>
      <w:r w:rsidRPr="00890E95">
        <w:rPr>
          <w:rFonts w:ascii="Times New Roman" w:eastAsia="Times New Roman" w:hAnsi="Times New Roman" w:cs="Times New Roman"/>
          <w:bCs/>
        </w:rPr>
        <w:t xml:space="preserve">. Short term recovery encompasses the intermittent rest that occurs during training and competition </w:t>
      </w:r>
      <w:r w:rsidRPr="00890E95">
        <w:rPr>
          <w:rFonts w:ascii="Times New Roman" w:eastAsia="Times New Roman" w:hAnsi="Times New Roman" w:cs="Times New Roman"/>
          <w:bCs/>
        </w:rPr>
        <w:fldChar w:fldCharType="begin"/>
      </w:r>
      <w:r w:rsidRPr="00890E95">
        <w:rPr>
          <w:rFonts w:ascii="Times New Roman" w:eastAsia="Times New Roman" w:hAnsi="Times New Roman" w:cs="Times New Roman"/>
          <w:bCs/>
        </w:rPr>
        <w:instrText xml:space="preserve"> ADDIN ZOTERO_ITEM CSL_CITATION {"citationID":"rGa2BQ9C","properties":{"formattedCitation":"(Bishop et al., 2008)","plainCitation":"(Bishop et al., 2008)","noteIndex":0},"citationItems":[{"id":234,"uris":["http://zotero.org/users/6375206/items/EQQQWH9V"],"uri":["http://zotero.org/users/6375206/items/EQQQWH9V"],"itemData":{"id":234,"type":"article-journal","abstract":"Athletes spend a much greater proportion of their time recovering than they do in training. Yet, much attention has been given to training with very little investigation of recovery. The purpose of this review is to stimulate further research into this vital area of training. Recovery can be categorized in three terms: i) immediate recovery between exertions; ii) short-term recovery between repeats (e.g., between resistance sets or interval bouts); and iii) training recovery between workouts. The focus of this review is training recovery. Full training recovery is essential to optimal performance and improvement. This review includes an examination of extant research on recovery and a very brief review of some potential modalities and techniques for hastening recovery and the time course of recovery and responses to some treatments. Measures of recovery and practical considerations are discussed briefly. Much research is needed in this area, but there are obstacles to high quality research. Attention must be given to key issues in research on recovery, especially the individual response to recovery treatments.","container-title":"The Journal of Strength &amp; Conditioning Research","DOI":"10.1519/JSC.0b013e31816eb518","ISSN":"1064-8011","issue":"3","language":"en-US","page":"1015–1024","source":"journals.lww.com","title":"Recovery From Training: A Brief Review: Brief Review","title-short":"Recovery From Training","volume":"22","author":[{"family":"Bishop","given":"Phillip A."},{"family":"Jones","given":"Eric"},{"family":"Woods","given":"A. Krista"}],"issued":{"date-parts":[["2008",5]]}}}],"schema":"https://github.com/citation-style-language/schema/raw/master/csl-citation.json"} </w:instrText>
      </w:r>
      <w:r w:rsidRPr="00890E95">
        <w:rPr>
          <w:rFonts w:ascii="Times New Roman" w:eastAsia="Times New Roman" w:hAnsi="Times New Roman" w:cs="Times New Roman"/>
          <w:bCs/>
        </w:rPr>
        <w:fldChar w:fldCharType="separate"/>
      </w:r>
      <w:r w:rsidRPr="00890E95">
        <w:rPr>
          <w:rFonts w:ascii="Times New Roman" w:eastAsia="Times New Roman" w:hAnsi="Times New Roman" w:cs="Times New Roman"/>
          <w:bCs/>
          <w:noProof/>
        </w:rPr>
        <w:t>(Bishop et al., 2008)</w:t>
      </w:r>
      <w:r w:rsidRPr="00890E95">
        <w:rPr>
          <w:rFonts w:ascii="Times New Roman" w:eastAsia="Times New Roman" w:hAnsi="Times New Roman" w:cs="Times New Roman"/>
          <w:bCs/>
        </w:rPr>
        <w:fldChar w:fldCharType="end"/>
      </w:r>
      <w:r w:rsidRPr="00890E95">
        <w:rPr>
          <w:rFonts w:ascii="Times New Roman" w:eastAsia="Times New Roman" w:hAnsi="Times New Roman" w:cs="Times New Roman"/>
          <w:bCs/>
        </w:rPr>
        <w:t xml:space="preserve">. Finally, training recovery occurs between sessions, the time from one competition or training to another, usually hours or days </w:t>
      </w:r>
      <w:r w:rsidRPr="00890E95">
        <w:rPr>
          <w:rFonts w:ascii="Times New Roman" w:eastAsia="Times New Roman" w:hAnsi="Times New Roman" w:cs="Times New Roman"/>
          <w:bCs/>
        </w:rPr>
        <w:fldChar w:fldCharType="begin"/>
      </w:r>
      <w:r w:rsidRPr="00890E95">
        <w:rPr>
          <w:rFonts w:ascii="Times New Roman" w:eastAsia="Times New Roman" w:hAnsi="Times New Roman" w:cs="Times New Roman"/>
          <w:bCs/>
        </w:rPr>
        <w:instrText xml:space="preserve"> ADDIN ZOTERO_ITEM CSL_CITATION {"citationID":"8A4RLMUi","properties":{"formattedCitation":"(Bishop et al., 2008)","plainCitation":"(Bishop et al., 2008)","noteIndex":0},"citationItems":[{"id":234,"uris":["http://zotero.org/users/6375206/items/EQQQWH9V"],"uri":["http://zotero.org/users/6375206/items/EQQQWH9V"],"itemData":{"id":234,"type":"article-journal","abstract":"Athletes spend a much greater proportion of their time recovering than they do in training. Yet, much attention has been given to training with very little investigation of recovery. The purpose of this review is to stimulate further research into this vital area of training. Recovery can be categorized in three terms: i) immediate recovery between exertions; ii) short-term recovery between repeats (e.g., between resistance sets or interval bouts); and iii) training recovery between workouts. The focus of this review is training recovery. Full training recovery is essential to optimal performance and improvement. This review includes an examination of extant research on recovery and a very brief review of some potential modalities and techniques for hastening recovery and the time course of recovery and responses to some treatments. Measures of recovery and practical considerations are discussed briefly. Much research is needed in this area, but there are obstacles to high quality research. Attention must be given to key issues in research on recovery, especially the individual response to recovery treatments.","container-title":"The Journal of Strength &amp; Conditioning Research","DOI":"10.1519/JSC.0b013e31816eb518","ISSN":"1064-8011","issue":"3","language":"en-US","page":"1015–1024","source":"journals.lww.com","title":"Recovery From Training: A Brief Review: Brief Review","title-short":"Recovery From Training","volume":"22","author":[{"family":"Bishop","given":"Phillip A."},{"family":"Jones","given":"Eric"},{"family":"Woods","given":"A. Krista"}],"issued":{"date-parts":[["2008",5]]}}}],"schema":"https://github.com/citation-style-language/schema/raw/master/csl-citation.json"} </w:instrText>
      </w:r>
      <w:r w:rsidRPr="00890E95">
        <w:rPr>
          <w:rFonts w:ascii="Times New Roman" w:eastAsia="Times New Roman" w:hAnsi="Times New Roman" w:cs="Times New Roman"/>
          <w:bCs/>
        </w:rPr>
        <w:fldChar w:fldCharType="separate"/>
      </w:r>
      <w:r w:rsidRPr="00890E95">
        <w:rPr>
          <w:rFonts w:ascii="Times New Roman" w:eastAsia="Times New Roman" w:hAnsi="Times New Roman" w:cs="Times New Roman"/>
          <w:bCs/>
          <w:noProof/>
        </w:rPr>
        <w:t>(Bishop et al., 2008)</w:t>
      </w:r>
      <w:r w:rsidRPr="00890E95">
        <w:rPr>
          <w:rFonts w:ascii="Times New Roman" w:eastAsia="Times New Roman" w:hAnsi="Times New Roman" w:cs="Times New Roman"/>
          <w:bCs/>
        </w:rPr>
        <w:fldChar w:fldCharType="end"/>
      </w:r>
      <w:r w:rsidRPr="00890E95">
        <w:rPr>
          <w:rFonts w:ascii="Times New Roman" w:eastAsia="Times New Roman" w:hAnsi="Times New Roman" w:cs="Times New Roman"/>
          <w:bCs/>
        </w:rPr>
        <w:t xml:space="preserve">. </w:t>
      </w:r>
      <w:r w:rsidRPr="00890E95">
        <w:rPr>
          <w:rFonts w:ascii="Times New Roman" w:eastAsia="Times New Roman" w:hAnsi="Times New Roman" w:cs="Times New Roman"/>
        </w:rPr>
        <w:t xml:space="preserve">Alternatively, fatigue can be thought of as a lack of physiological and psychological balance that must be compensated for with proper recovery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{"citationID":"tFUoQluM","properties":{"formattedCitation":"(Kellmann et al., 2018)","plainCitation":"(Kellmann et al., 2018)","noteIndex":0},"citationItems":[{"id":18,"uris":["http://zotero.org/users/6375206/items/QDR7VU8D"],"uri":["http://zotero.org/users/6375206/items/QDR7VU8D"],"itemData":{"id":18,"type":"article-journal","abstract":"The relationship between recovery and fatigue and its impact on performance has attracted the interest of sport science for many years. An adequate balance between stress (training and competition load, other life demands) and recovery is essential for athletes to achieve continuous high-level performance. Research has focused on the examination of physiological and psychological recovery strategies to compensate external and internal training and competition loads. A systematic monitoring of recovery and the subsequent implementation of recovery routines aims at maximizing performance and preventing negative developments such as underrecovery, nonfunctional overreaching, the overtraining syndrome, injuries, or illnesses. Due to the inter- and intraindividual variability of responses to training, competition, and recovery strategies, a diverse set of expertise is required to address the multifaceted phenomena of recovery, performance, and their interactions to transfer knowledge from sport science to sport practice. For this purpose, a symposium on Recovery and Performance was organized at the Technical University Munich Science and Study Center Raitenhaslach (Germany) in September 2016. Various international experts from many disciplines and research areas gathered to discuss and share their knowledge of recovery for performance enhancement in a variety of settings. The results of this meeting are outlined in this consensus statement that provides central definitions, theoretical frameworks, and practical implications as a synopsis of the current knowledge of recovery and performance. While our understanding of the complex relationship between recovery and performance has significantly increased through research, some important issues for future investigations are also elaborated. ABSTRACT FROM AUTHOR","container-title":"International Journal of Sports Physiology &amp; Performance","ISSN":"15550265","issue":"2","journalAbbreviation":"International Journal of Sports Physiology &amp; Performance","page":"240-245","source":"EBSCOhost","title":"Recovery and Performance in Sport: Consensus Statement","title-short":"Recovery and Performance in Sport","volume":"13","author":[{"family":"Kellmann","given":"Michael"},{"family":"Bertollo","given":"Maurizio"},{"family":"Bosquet","given":"Laurent"},{"family":"Brink","given":"Michel"},{"family":"Coutts","given":"Aaron J."},{"family":"Duffield","given":"Rob"},{"family":"Erlacher","given":"Daniel"},{"family":"Halson","given":"Shona L."},{"family":"Hecksteden","given":"Anne"},{"family":"Heidari","given":"Jahan"},{"family":"Kallus","given":"K. Wolfgang"},{"family":"Meeusen","given":"Romain"},{"family":"Mujika","given":"Iñigo"},{"family":"Robazza","given":"Claudio"},{"family":"Skorski","given":"Sabrina"},{"family":"Venter","given":"Ranel"},{"family":"Beckmann","given":"Jürgen"}],"issued":{"date-parts":[["2018",2]]}}}],"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(Kellmann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w:t>
      </w:r>
      <w:proofErr w:type="spellStart"/>
      <w:r w:rsidRPr="00890E95">
        <w:rPr>
          <w:rFonts w:ascii="Times New Roman" w:eastAsia="Times New Roman" w:hAnsi="Times New Roman" w:cs="Times New Roman"/>
        </w:rPr>
        <w:t>Debien</w:t>
      </w:r>
      <w:proofErr w:type="spellEnd"/>
      <w:r w:rsidRPr="00890E95">
        <w:rPr>
          <w:rFonts w:ascii="Times New Roman" w:eastAsia="Times New Roman" w:hAnsi="Times New Roman" w:cs="Times New Roman"/>
        </w:rPr>
        <w:t xml:space="preserve"> et al.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Z205ZaQG","properties":{"formattedCitation":"(2020)","plainCitation":"(2020)","noteIndex":0},"citationItems":[{"id":209,"uris":["http://zotero.org/users/6375206/items/9V32EDLN"],"uri":["http://zotero.org/users/6375206/items/9V32EDLN"],"itemData":{"id":209,"type":"article-journal","abstract":"Rhythmic gymnastics requires a high level of complexity and perfection of technical gestures, associated with well-developed physical and artistic capacities. The training-load and recovery profiles of rhythmic gymnasts across a season are unknown.To analyze the training load and recovery of professional rhythmic gymnasts during 1 season.Cohort study.Brazilian National Training Center of Rhythmic Gymnastics and competition facilities.Eight gymnasts from the Brazilian national senior rhythmic gymnastics group.Session rating of perceived exertion (session-RPE) and total quality recovery (TQR) scores were collected daily for 43 weeks. We obtained the session-RPE after each session and TQR score before the first session of the day. Performances during 5 competitions were also recorded. The season was divided into 8 periods. Total weekly internal training load (wITL), training intensity, frequency, duration, recovery, and acute : chronic workload ratio were calculated for analysis.The season mean wITL was 10 381 ± 4894 arbitrary units, mean session-RPE score was 5.0 ± 1.6, and mean TQR score was 12.8 ± 1.3. The gymnasts trained an average of 8.7 ± 2.9 sessions per week, with a mean duration of 219 ± 36 minutes. Each competitive period showed increased wITL compared with the previous period. Training-load variables (wITL and session-RPE) and recovery were inversely correlated. Gymnasts were poorly recovered (TQR &amp;lt; 13) during 50.9% of the season (n = 167 times), especially during competitive weeks. Spikes in load (acute : chronic workload ratio ≥ 1.5) occurred across 18.1% of the season (n = 55 times).The training-load variables and recovery changed throughout a professional rhythmic gymnastics group season, mainly during competitive periods. The correct distribution of training load is critical to ensure that gymnasts are entering competitions in a recovered state.","container-title":"Journal of Athletic Training","DOI":"10.4085/1062-6050-402.19","ISSN":"1062-6050","issue":"9","journalAbbreviation":"Journal of Athletic Training","page":"977-983","source":"Silverchair","title":"Training Load and Recovery During a Pre-Olympic Season in Professional Rhythmic Gymnasts","volume":"55","author":[{"family":"Debien","given":"Paula Barreiros"},{"family":"Miloski","given":"Bernardo"},{"family":"Werneck","given":"Francisco Zacaron"},{"family":"Timoteo","given":"Thiago Ferreira"},{"family":"Ferezin","given":"Camila"},{"family":"Filho","given":"Maurício Gattás Bara"},{"family":"Gabbett","given":"Tim J."}],"issued":{"date-parts":[["2020",7,30]]}},"suppress-author":true}],"schema":"https://github.com/citation-style-language/schema/raw/master/csl-citation.json"}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(2020)</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found that gymnasts are chronically under-recovered, demonstrated by a score of</w:t>
      </w:r>
      <w:r w:rsidR="00E4697A">
        <w:rPr>
          <w:rFonts w:ascii="Times New Roman" w:eastAsia="Times New Roman" w:hAnsi="Times New Roman" w:cs="Times New Roman"/>
        </w:rPr>
        <w:t xml:space="preserve"> </w:t>
      </w:r>
      <w:r w:rsidRPr="00890E95">
        <w:rPr>
          <w:rFonts w:ascii="Times New Roman" w:eastAsia="Times New Roman" w:hAnsi="Times New Roman" w:cs="Times New Roman"/>
        </w:rPr>
        <w:t>&lt;13 on the total quality recovery (TQR) scale</w:t>
      </w:r>
      <w:r w:rsidR="00FF2EBB">
        <w:rPr>
          <w:rFonts w:ascii="Times New Roman" w:eastAsia="Times New Roman" w:hAnsi="Times New Roman" w:cs="Times New Roman"/>
        </w:rPr>
        <w:t>,</w:t>
      </w:r>
      <w:r w:rsidRPr="00890E95">
        <w:rPr>
          <w:rFonts w:ascii="Times New Roman" w:eastAsia="Times New Roman" w:hAnsi="Times New Roman" w:cs="Times New Roman"/>
        </w:rPr>
        <w:t xml:space="preserve"> for about half the competitive season. A negative </w:t>
      </w:r>
      <w:r w:rsidRPr="00890E95">
        <w:rPr>
          <w:rFonts w:ascii="Times New Roman" w:eastAsia="Times New Roman" w:hAnsi="Times New Roman" w:cs="Times New Roman"/>
        </w:rPr>
        <w:lastRenderedPageBreak/>
        <w:t xml:space="preserve">correlation between recovery and training load was identified using session RPE and TQR, suggesting a modification to training programming may be warranted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{"citationID":"s1LGGOAM","properties":{"formattedCitation":"(Debien et al., 2020)","plainCitation":"(Debien et al., 2020)","noteIndex":0},"citationItems":[{"id":209,"uris":["http://zotero.org/users/6375206/items/9V32EDLN"],"uri":["http://zotero.org/users/6375206/items/9V32EDLN"],"itemData":{"id":209,"type":"article-journal","abstract":"Rhythmic gymnastics requires a high level of complexity and perfection of technical gestures, associated with well-developed physical and artistic capacities. The training-load and recovery profiles of rhythmic gymnasts across a season are unknown.To analyze the training load and recovery of professional rhythmic gymnasts during 1 season.Cohort study.Brazilian National Training Center of Rhythmic Gymnastics and competition facilities.Eight gymnasts from the Brazilian national senior rhythmic gymnastics group.Session rating of perceived exertion (session-RPE) and total quality recovery (TQR) scores were collected daily for 43 weeks. We obtained the session-RPE after each session and TQR score before the first session of the day. Performances during 5 competitions were also recorded. The season was divided into 8 periods. Total weekly internal training load (wITL), training intensity, frequency, duration, recovery, and acute : chronic workload ratio were calculated for analysis.The season mean wITL was 10 381 ± 4894 arbitrary units, mean session-RPE score was 5.0 ± 1.6, and mean TQR score was 12.8 ± 1.3. The gymnasts trained an average of 8.7 ± 2.9 sessions per week, with a mean duration of 219 ± 36 minutes. Each competitive period showed increased wITL compared with the previous period. Training-load variables (wITL and session-RPE) and recovery were inversely correlated. Gymnasts were poorly recovered (TQR &amp;lt; 13) during 50.9% of the season (n = 167 times), especially during competitive weeks. Spikes in load (acute : chronic workload ratio ≥ 1.5) occurred across 18.1% of the season (n = 55 times).The training-load variables and recovery changed throughout a professional rhythmic gymnastics group season, mainly during competitive periods. The correct distribution of training load is critical to ensure that gymnasts are entering competitions in a recovered state.","container-title":"Journal of Athletic Training","DOI":"10.4085/1062-6050-402.19","ISSN":"1062-6050","issue":"9","journalAbbreviation":"Journal of Athletic Training","page":"977-983","source":"Silverchair","title":"Training Load and Recovery During a Pre-Olympic Season in Professional Rhythmic Gymnasts","volume":"55","author":[{"family":"Debien","given":"Paula Barreiros"},{"family":"Miloski","given":"Bernardo"},{"family":"Werneck","given":"Francisco Zacaron"},{"family":"Timoteo","given":"Thiago Ferreira"},{"family":"Ferezin","given":"Camila"},{"family":"Filho","given":"Maurício Gattás Bara"},{"family":"Gabbett","given":"Tim J."}],"issued":{"date-parts":[["2020",7,30]]}}}],"schema":"https://github.com/citation-style-language/schema/raw/master/csl-citation.json"}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(Debien et al., 2020)</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w:t>
      </w:r>
    </w:p>
    <w:p w14:paraId="55086601" w14:textId="77777777" w:rsidR="00D313EA" w:rsidRPr="00890E95" w:rsidRDefault="00D313EA" w:rsidP="00D313EA">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Mental fatigue has been shown to affect physical performance in athletes. Mental fatigue can be defined as tiredness resulting from cognitive activity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{"citationID":"giU6KS9s","properties":{"formattedCitation":"(Marcora et al., 2009)","plainCitation":"(Marcora et al., 2009)","noteIndex":0},"citationItems":[{"id":173,"uris":["http://zotero.org/users/6375206/items/CRGWLK7I"],"uri":["http://zotero.org/users/6375206/items/CRGWLK7I"],"itemData":{"id":173,"type":"article-journal","abstract":"Mental fatigue is a psychobiological state caused by prolonged periods of demanding cognitive activity. Although the impact of mental fatigue on cognitive and skilled performance is well known, its effect on physical performance has not been thoroughly investigated. In this randomized crossover study, 16 subjects cycled to exhaustion at 80% of their peak power output after 90 min of a demanding cognitive task (mental fatigue) or 90 min of watching emotionally neutral documentaries (control). After experimental treatment, a mood questionnaire revealed a state of mental fatigue (P = 0.005) that significantly reduced time to exhaustion (640 ± 316 s) compared with the control condition (754 ± 339 s) (P = 0.003). This negative effect was not mediated by cardiorespiratory and musculoenergetic factors as physiological responses to intense exercise remained largely unaffected. Self-reported success and intrinsic motivation related to the physical task were also unaffected by prior cognitive activity. However, mentally fatigued subjects rated perception of effort during exercise to be significantly higher compared with the control condition (P = 0.007). As ratings of perceived exertion increased similarly over time in both conditions (P &lt; 0.001), mentally fatigued subjects reached their maximal level of perceived exertion and disengaged from the physical task earlier than in the control condition. In conclusion, our study provides experimental evidence that mental fatigue limits exercise tolerance in humans through higher perception of effort rather than cardiorespiratory and musculoenergetic mechanisms. Future research in this area should investigate the common neurocognitive resources shared by physical and mental activity.","container-title":"Journal of Applied Physiology","DOI":"10.1152/japplphysiol.91324.2008","ISSN":"8750-7587","issue":"3","note":"publisher: American Physiological Society","page":"857-864","source":"journals-physiology-org.ezproxy.lib.ou.edu (Atypon)","title":"Mental fatigue impairs physical performance in humans","volume":"106","author":[{"family":"Marcora","given":"Samuele M."},{"family":"Staiano","given":"Walter"},{"family":"Manning","given":"Victoria"}],"issued":{"date-parts":[["2009",3,1]]}}}],"schema":"https://github.com/citation-style-language/schema/raw/master/csl-citation.json"}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(Marcora et al., 2009)</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When mentally fatigued subjects were compared with a non-fatigued control group, the experimental group had a significantly lower time to exhaustion in a cycling test than the control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{"citationID":"CzTCWcCt","properties":{"formattedCitation":"(Marcora et al., 2009)","plainCitation":"(Marcora et al., 2009)","noteIndex":0},"citationItems":[{"id":173,"uris":["http://zotero.org/users/6375206/items/CRGWLK7I"],"uri":["http://zotero.org/users/6375206/items/CRGWLK7I"],"itemData":{"id":173,"type":"article-journal","abstract":"Mental fatigue is a psychobiological state caused by prolonged periods of demanding cognitive activity. Although the impact of mental fatigue on cognitive and skilled performance is well known, its effect on physical performance has not been thoroughly investigated. In this randomized crossover study, 16 subjects cycled to exhaustion at 80% of their peak power output after 90 min of a demanding cognitive task (mental fatigue) or 90 min of watching emotionally neutral documentaries (control). After experimental treatment, a mood questionnaire revealed a state of mental fatigue (P = 0.005) that significantly reduced time to exhaustion (640 ± 316 s) compared with the control condition (754 ± 339 s) (P = 0.003). This negative effect was not mediated by cardiorespiratory and musculoenergetic factors as physiological responses to intense exercise remained largely unaffected. Self-reported success and intrinsic motivation related to the physical task were also unaffected by prior cognitive activity. However, mentally fatigued subjects rated perception of effort during exercise to be significantly higher compared with the control condition (P = 0.007). As ratings of perceived exertion increased similarly over time in both conditions (P &lt; 0.001), mentally fatigued subjects reached their maximal level of perceived exertion and disengaged from the physical task earlier than in the control condition. In conclusion, our study provides experimental evidence that mental fatigue limits exercise tolerance in humans through higher perception of effort rather than cardiorespiratory and musculoenergetic mechanisms. Future research in this area should investigate the common neurocognitive resources shared by physical and mental activity.","container-title":"Journal of Applied Physiology","DOI":"10.1152/japplphysiol.91324.2008","ISSN":"8750-7587","issue":"3","note":"publisher: American Physiological Society","page":"857-864","source":"journals-physiology-org.ezproxy.lib.ou.edu (Atypon)","title":"Mental fatigue impairs physical performance in humans","volume":"106","author":[{"family":"Marcora","given":"Samuele M."},{"family":"Staiano","given":"Walter"},{"family":"Manning","given":"Victoria"}],"issued":{"date-parts":[["2009",3,1]]}}}],"schema":"https://github.com/citation-style-language/schema/raw/master/csl-citation.json"}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(Marcora et al., 2009)</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In 2016, Smith et al., found that after a mental fatiguing treatment (the Stroop task), soccer players covered shorter distances in a Yo-Yo test than those who had not had the fatiguing treatment. These studies, taken together, illustrate the potential value of monitoring mental fatigue </w:t>
      </w:r>
      <w:proofErr w:type="gramStart"/>
      <w:r w:rsidRPr="00890E95">
        <w:rPr>
          <w:rFonts w:ascii="Times New Roman" w:eastAsia="Times New Roman" w:hAnsi="Times New Roman" w:cs="Times New Roman"/>
        </w:rPr>
        <w:t>in order to</w:t>
      </w:r>
      <w:proofErr w:type="gramEnd"/>
      <w:r w:rsidRPr="00890E95">
        <w:rPr>
          <w:rFonts w:ascii="Times New Roman" w:eastAsia="Times New Roman" w:hAnsi="Times New Roman" w:cs="Times New Roman"/>
        </w:rPr>
        <w:t xml:space="preserve"> maintain and/or increase performance. Mental fatigue has been shown to affect performance in multiple exercise types, making it an important consideration across all sports. </w:t>
      </w:r>
    </w:p>
    <w:p w14:paraId="3E3E05A9" w14:textId="3585CBCF" w:rsidR="00D313EA" w:rsidRPr="00890E95" w:rsidRDefault="00D313EA" w:rsidP="00D313EA">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Another factor that may contribute to the mismanagement of stress and fatigue is a mismatch between how a coach and player may view the intensity and/or challenge of a given training session. According to </w:t>
      </w:r>
      <w:proofErr w:type="spellStart"/>
      <w:r w:rsidRPr="00890E95">
        <w:rPr>
          <w:rFonts w:ascii="Times New Roman" w:eastAsia="Times New Roman" w:hAnsi="Times New Roman" w:cs="Times New Roman"/>
        </w:rPr>
        <w:t>Doeven</w:t>
      </w:r>
      <w:proofErr w:type="spellEnd"/>
      <w:r w:rsidRPr="00890E95">
        <w:rPr>
          <w:rFonts w:ascii="Times New Roman" w:eastAsia="Times New Roman" w:hAnsi="Times New Roman" w:cs="Times New Roman"/>
        </w:rPr>
        <w:t xml:space="preserve"> et al. (2017), there is often a discrepancy between coaches and athletes in their ratings of intensity produced by a training session. Often, a session that a coach intends to be light may be experienced as heavy by athletes and vice versa. Additionally, coaches tend to believe that players are more recovered than they </w:t>
      </w:r>
      <w:r w:rsidR="00FF2EBB">
        <w:rPr>
          <w:rFonts w:ascii="Times New Roman" w:eastAsia="Times New Roman" w:hAnsi="Times New Roman" w:cs="Times New Roman"/>
        </w:rPr>
        <w:t xml:space="preserve">actually </w:t>
      </w:r>
      <w:r w:rsidRPr="00890E95">
        <w:rPr>
          <w:rFonts w:ascii="Times New Roman" w:eastAsia="Times New Roman" w:hAnsi="Times New Roman" w:cs="Times New Roman"/>
        </w:rPr>
        <w:t xml:space="preserve">are, therefore would train athletes harder than they should be provided their recovery level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{"citationID":"dqf6eLRe","properties":{"formattedCitation":"(Doeven et al., 2017)","plainCitation":"(Doeven et al., 2017)","noteIndex":0},"citationItems":[{"id":134,"uris":["http://zotero.org/users/6375206/items/DBSDFPXN"],"uri":["http://zotero.org/users/6375206/items/DBSDFPXN"],"itemData":{"id":134,"type":"article-journal","abstract":"During intensified phases of competition, attunement of exertion and recovery is crucial to maintain performance. Although a mismatch between coach and player perceptions of training load is demonstrated, it is unknown if these discrepancies also exist for match exertion and recovery. Purpose: To determine match exertion and subsequent recovery and to investigate the extent to which the coach is able to estimate players' match exertion and recovery. Methods: Rating of perceived exertion (RPE) and total quality of recovery (TQR) of 14 professional basketball players (age 26.7 ± 3.8 y, height 197.2 ± 9.1 cm, weight 100.3 ± 15.2 kg, body fat 10.3% ± 3.6%) were compared with observations of the coach. During an in-season phase of 15 matches within 6 wk, players gave RPEs after each match. TQR scores were filled out before the first training session after the match. The coach rated observed exertion (ROE) and recovery (TQ-OR) of the players. Results: RPE was lower than ROE (15.6 ± 2.3 and 16.1 ± 1.4; P = .029). Furthermore, TQR was lower than TQ-OR (12.7 ± 3.0 and 15.3 ± 1.3; P &lt; .001). Correlations between coach- and player-perceived exertion and recovery were r = .25 and r = .21, respectively. For recovery within 1 d the correlation was r = .68, but for recovery after 1-2 d no association existed. Conclusion: Players perceive match exertion as hard to very hard and subsequent recovery reasonable. The coach overestimates match exertion and underestimates degree of recovery. Correspondence between coach and players is thus not optimal. This mismatch potentially leads to inadequate planning of training sessions and decreases in performance during fixture congestion in basketball. ABSTRACT FROM AUTHOR","container-title":"International Journal of Sports Physiology &amp; Performance","ISSN":"15550265","issue":"9","journalAbbreviation":"International Journal of Sports Physiology &amp; Performance","page":"1151-1156","source":"EBSCOhost","title":"Impaired Player-Coach Perceptions of Exertion and Recovery During Match Congestion","volume":"12","author":[{"family":"Doeven","given":"Steven H."},{"family":"Brink","given":"Michel S."},{"family":"Frencken","given":"Wouter G. P."},{"family":"Lemmink","given":"Koen A. P. M."}],"issued":{"date-parts":[["2017",10]]}}}],"schema":"https://github.com/citation-style-language/schema/raw/master/csl-citation.json"}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(Doeven et al., 2017)</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Perpetuation of this cycle could lead athletes to a state of chronic under-recovery and nonfunctional overreaching. Many different measures have been used to assess load, fatigue, and recovery on an individual level. Previous studies have utilized these to create a more </w:t>
      </w:r>
      <w:r w:rsidRPr="00890E95">
        <w:rPr>
          <w:rFonts w:ascii="Times New Roman" w:eastAsia="Times New Roman" w:hAnsi="Times New Roman" w:cs="Times New Roman"/>
        </w:rPr>
        <w:lastRenderedPageBreak/>
        <w:t xml:space="preserve">comprehensive picture of player load and recovery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{"citationID":"1Q7DK2kw","properties":{"formattedCitation":"(Doeven et al., 2017)","plainCitation":"(Doeven et al., 2017)","noteIndex":0},"citationItems":[{"id":134,"uris":["http://zotero.org/users/6375206/items/DBSDFPXN"],"uri":["http://zotero.org/users/6375206/items/DBSDFPXN"],"itemData":{"id":134,"type":"article-journal","abstract":"During intensified phases of competition, attunement of exertion and recovery is crucial to maintain performance. Although a mismatch between coach and player perceptions of training load is demonstrated, it is unknown if these discrepancies also exist for match exertion and recovery. Purpose: To determine match exertion and subsequent recovery and to investigate the extent to which the coach is able to estimate players' match exertion and recovery. Methods: Rating of perceived exertion (RPE) and total quality of recovery (TQR) of 14 professional basketball players (age 26.7 ± 3.8 y, height 197.2 ± 9.1 cm, weight 100.3 ± 15.2 kg, body fat 10.3% ± 3.6%) were compared with observations of the coach. During an in-season phase of 15 matches within 6 wk, players gave RPEs after each match. TQR scores were filled out before the first training session after the match. The coach rated observed exertion (ROE) and recovery (TQ-OR) of the players. Results: RPE was lower than ROE (15.6 ± 2.3 and 16.1 ± 1.4; P = .029). Furthermore, TQR was lower than TQ-OR (12.7 ± 3.0 and 15.3 ± 1.3; P &lt; .001). Correlations between coach- and player-perceived exertion and recovery were r = .25 and r = .21, respectively. For recovery within 1 d the correlation was r = .68, but for recovery after 1-2 d no association existed. Conclusion: Players perceive match exertion as hard to very hard and subsequent recovery reasonable. The coach overestimates match exertion and underestimates degree of recovery. Correspondence between coach and players is thus not optimal. This mismatch potentially leads to inadequate planning of training sessions and decreases in performance during fixture congestion in basketball. ABSTRACT FROM AUTHOR","container-title":"International Journal of Sports Physiology &amp; Performance","ISSN":"15550265","issue":"9","journalAbbreviation":"International Journal of Sports Physiology &amp; Performance","page":"1151-1156","source":"EBSCOhost","title":"Impaired Player-Coach Perceptions of Exertion and Recovery During Match Congestion","volume":"12","author":[{"family":"Doeven","given":"Steven H."},{"family":"Brink","given":"Michel S."},{"family":"Frencken","given":"Wouter G. P."},{"family":"Lemmink","given":"Koen A. P. M."}],"issued":{"date-parts":[["2017",10]]}}}],"schema":"https://github.com/citation-style-language/schema/raw/master/csl-citation.json"}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(Doeven et al., 2017)</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Additional research is needed to recognize the potential impact of implementing such measures in gymnasts. </w:t>
      </w:r>
    </w:p>
    <w:p w14:paraId="6C6C014E" w14:textId="77777777" w:rsidR="00D313EA" w:rsidRPr="00890E95" w:rsidRDefault="00D313EA" w:rsidP="00D313EA">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There are risks associated with competing and training in an under-recovered state, which include chronic stress, nonfunctional overreaching, a reduction in work capacity and performance ability, and even illness or injury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{"citationID":"1KiVVLPz","properties":{"formattedCitation":"(Fomin &amp; Nasedkin, n.d.)","plainCitation":"(Fomin &amp; Nasedkin, n.d.)","dontUpdate":true,"noteIndex":0},"citationItems":[{"id":42,"uris":["http://zotero.org/users/6375206/items/RU7NFE8B"],"uri":["http://zotero.org/users/6375206/items/RU7NFE8B"],"itemData":{"id":42,"type":"article-journal","language":"en","page":"32","source":"Zotero","title":"EFFECTIVE MANAGEMENT OF ATHLETE PREPARATION","author":[{"family":"Fomin","given":"Roman"},{"family":"Nasedkin","given":"Valery"}]}}],"schema":"https://github.com/citation-style-language/schema/raw/master/csl-citation.json"}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(Fomin &amp; Nasedkin, 2013)</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Keane et al.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uzinlHb4","properties":{"formattedCitation":"(2015)","plainCitation":"(2015)","noteIndex":0},"citationItems":[{"id":212,"uris":["http://zotero.org/users/6375206/items/2M2VFZSB"],"uri":["http://zotero.org/users/6375206/items/2M2VFZSB"],"itemData":{"id":212,"type":"article-journal","abstract":"Keane, KM, Salicki, R, Goodall, S, Thomas, K, and Howatson, G. Muscle damage response in female collegiate athletes after repeated sprint activity. J Strength Cond Res 29(10): 2802–2807, 2015—Exercise-induced muscle damage (EIMD) is a well-investigated area, however there is a paucity of data surrounding the damage response in females. The aim of this study was to examine the damage responses from a sport-specific bout of repeated sprints in female athletes. Eleven well-trained females (mean ± SD; age: 22 ± 3 years; height: 166.6 ± 5.7 cm; mass: 62.7 ± 4.5 kg) in the luteal phase of the menstrual cycle completed a repeated sprint protocol designed to induce EIMD (15 × 30 m sprints). Creatine kinase, countermovement jump height, knee extensor maximal voluntary isometric contraction (MVIC) force, delayed onset muscle soreness (DOMS), 30-m sprint time, and limb girth were recorded before, after, 24, 48, and 72 hours after exercise. Creatine kinase was elevated at 24, 48, and 72 hours (p ≤ 0.05), peaking at 24 hours (+418%) and returning toward baseline at 72 hours. Countermovement jump height was reduced immediately after, 24, and 48 hours (p ≤ 0.05). Sprint performance was also negatively affected immediately after, 24, 48, and 72 hours after exercise. Muscle soreness peaked at 48 hours (p &lt; 0.01) and remained significantly elevated at 72 hours after exercise (p &lt; 0.01). Limb girth and MVIC did not alter over time. This study provides new information on the EIMD response in trained females after a sport-specific bout of repeated sprints. Importantly, this damage response has the potential to negatively affect performance for several days after exercise.","container-title":"The Journal of Strength &amp; Conditioning Research","DOI":"10.1519/JSC.0000000000000961","ISSN":"1064-8011","issue":"10","language":"en-US","page":"2802–2807","source":"journals-lww-com.ezproxy.lib.ou.edu","title":"Muscle Damage Response in Female Collegiate Athletes After Repeated Sprint Activity","volume":"29","author":[{"family":"Keane","given":"Karen M."},{"family":"Salicki","given":"Rebecca"},{"family":"Goodall","given":"Stuart"},{"family":"Thomas","given":"Kevin"},{"family":"Howatson","given":"Glyn"}],"issued":{"date-parts":[["2015",10]]}},"suppress-author":true}],"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(2015)</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studied sport-specific muscle damage in female field sport athletes. After muscle damage was induced by a repeated-sprint protocol, athletes showed delayed onset muscle soreness, increased blood creatine kinase levels, increased sprint times, and decreased countermovement jump performance up to 72 hours post damage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{"citationID":"yr9fihDh","properties":{"formattedCitation":"(Keane et al., 2015)","plainCitation":"(Keane et al., 2015)","noteIndex":0},"citationItems":[{"id":212,"uris":["http://zotero.org/users/6375206/items/2M2VFZSB"],"uri":["http://zotero.org/users/6375206/items/2M2VFZSB"],"itemData":{"id":212,"type":"article-journal","abstract":"Keane, KM, Salicki, R, Goodall, S, Thomas, K, and Howatson, G. Muscle damage response in female collegiate athletes after repeated sprint activity. J Strength Cond Res 29(10): 2802–2807, 2015—Exercise-induced muscle damage (EIMD) is a well-investigated area, however there is a paucity of data surrounding the damage response in females. The aim of this study was to examine the damage responses from a sport-specific bout of repeated sprints in female athletes. Eleven well-trained females (mean ± SD; age: 22 ± 3 years; height: 166.6 ± 5.7 cm; mass: 62.7 ± 4.5 kg) in the luteal phase of the menstrual cycle completed a repeated sprint protocol designed to induce EIMD (15 × 30 m sprints). Creatine kinase, countermovement jump height, knee extensor maximal voluntary isometric contraction (MVIC) force, delayed onset muscle soreness (DOMS), 30-m sprint time, and limb girth were recorded before, after, 24, 48, and 72 hours after exercise. Creatine kinase was elevated at 24, 48, and 72 hours (p ≤ 0.05), peaking at 24 hours (+418%) and returning toward baseline at 72 hours. Countermovement jump height was reduced immediately after, 24, and 48 hours (p ≤ 0.05). Sprint performance was also negatively affected immediately after, 24, 48, and 72 hours after exercise. Muscle soreness peaked at 48 hours (p &lt; 0.01) and remained significantly elevated at 72 hours after exercise (p &lt; 0.01). Limb girth and MVIC did not alter over time. This study provides new information on the EIMD response in trained females after a sport-specific bout of repeated sprints. Importantly, this damage response has the potential to negatively affect performance for several days after exercise.","container-title":"The Journal of Strength &amp; Conditioning Research","DOI":"10.1519/JSC.0000000000000961","ISSN":"1064-8011","issue":"10","language":"en-US","page":"2802–2807","source":"journals-lww-com.ezproxy.lib.ou.edu","title":"Muscle Damage Response in Female Collegiate Athletes After Repeated Sprint Activity","volume":"29","author":[{"family":"Keane","given":"Karen M."},{"family":"Salicki","given":"Rebecca"},{"family":"Goodall","given":"Stuart"},{"family":"Thomas","given":"Kevin"},{"family":"Howatson","given":"Glyn"}],"issued":{"date-parts":[["2015",10]]}}}],"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(Keane et al., 2015)</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All signs of damage are important, but the increased sprint times show that under-recovery could decrease performance in competition and may correspond to changes in subjective soreness ratings and/or blood markers. </w:t>
      </w:r>
    </w:p>
    <w:p w14:paraId="067AF02C" w14:textId="4328B7CB" w:rsidR="00D313EA" w:rsidRPr="00890E95" w:rsidRDefault="00D313EA" w:rsidP="00D313EA">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 Th</w:t>
      </w:r>
      <w:r w:rsidR="00FF2EBB">
        <w:rPr>
          <w:rFonts w:ascii="Times New Roman" w:eastAsia="Times New Roman" w:hAnsi="Times New Roman" w:cs="Times New Roman"/>
        </w:rPr>
        <w:t>erefore</w:t>
      </w:r>
      <w:r w:rsidRPr="00890E95">
        <w:rPr>
          <w:rFonts w:ascii="Times New Roman" w:eastAsia="Times New Roman" w:hAnsi="Times New Roman" w:cs="Times New Roman"/>
        </w:rPr>
        <w:t>, the identification of valid, reliable, and practically relevant measures is warranted to elucidate the interplay between stress, fatigue, and recovery in individual athletes of a particular sport, such as gymnastics. When the internal and external loads experienced by these athletes are properly assessed, training approaches can be tailored to enhance the physiological, technical, and tactical domains that lead to optimal performance.</w:t>
      </w:r>
    </w:p>
    <w:p w14:paraId="355C6B94" w14:textId="77777777" w:rsidR="00D313EA" w:rsidRPr="00890E95" w:rsidRDefault="00D313EA" w:rsidP="00D313EA">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Internal load is the relative psychological and physiological response to the imposed external load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{"citationID":"yte4ERwx","properties":{"formattedCitation":"(Halson, 2014)","plainCitation":"(Halson, 2014)","noteIndex":0},"citationItems":[{"id":132,"uris":["http://zotero.org/users/6375206/items/3XQ5H35U"],"uri":["http://zotero.org/users/6375206/items/3XQ5H35U"],"itemData":{"id":132,"type":"article-journal","abstract":"Many athletes, coaches, and support staff are taking an increasingly scientific approach to both designing and monitoring training programs. Appropriate load monitoring can aid in determining whether an athlete is adapting to a training program and in minimizing the risk of developing non-functional overreaching, illness, and/or injury. In order to gain an understanding of the training load and its effect on the athlete, a number of potential markers are available for use. However, very few of these markers have strong scientific evidence supporting their use, and there is yet to be a single, definitive marker described in the literature. Research has investigated a number of external load quantifying and monitoring tools, such as power output measuring devices, time-motion analysis, as well as internal load unit measures, including perception of effort, heart rate, blood lactate, and training impulse. Dissociation between external and internal load units may reveal the state of fatigue of an athlete. Other monitoring tools used by high-performance programs include heart rate recovery, neuromuscular function, biochemical/hormonal/immunological assessments, questionnaires and diaries, psychomotor speed, and sleep quality and quantity. The monitoring approach taken with athletes may depend on whether the athlete is engaging in individual or team sport activity; however, the importance of individualization of load monitoring cannot be over emphasized. Detecting meaningful changes with scientific and statistical approaches can provide confidence and certainty when implementing change. Appropriate monitoring of training load can provide important information to athletes and coaches; however, monitoring systems should be intuitive, provide efficient data analysis and interpretation, and enable efficient reporting of simple, yet scientifically valid, feedback.","container-title":"Sports Medicine","DOI":"10.1007/s40279-014-0253-z","ISSN":"1179-2035","issue":"2","journalAbbreviation":"Sports Med","language":"en","page":"139-147","source":"Springer Link","title":"Monitoring Training Load to Understand Fatigue in Athletes","volume":"44","author":[{"family":"Halson","given":"Shona L."}],"issued":{"date-parts":[["2014",11,1]]}}}],"schema":"https://github.com/citation-style-language/schema/raw/master/csl-citation.json"}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(Halson, 2014)</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Internal load can be influenced by training status and environmental conditions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{"citationID":"6GQEjL08","properties":{"formattedCitation":"(Halson, 2014)","plainCitation":"(Halson, 2014)","noteIndex":0},"citationItems":[{"id":132,"uris":["http://zotero.org/users/6375206/items/3XQ5H35U"],"uri":["http://zotero.org/users/6375206/items/3XQ5H35U"],"itemData":{"id":132,"type":"article-journal","abstract":"Many athletes, coaches, and support staff are taking an increasingly scientific approach to both designing and monitoring training programs. Appropriate load monitoring can aid in determining whether an athlete is adapting to a training program and in minimizing the risk of developing non-functional overreaching, illness, and/or injury. In order to gain an understanding of the training load and its effect on the athlete, a number of potential markers are available for use. However, very few of these markers have strong scientific evidence supporting their use, and there is yet to be a single, definitive marker described in the literature. Research has investigated a number of external load quantifying and monitoring tools, such as power output measuring devices, time-motion analysis, as well as internal load unit measures, including perception of effort, heart rate, blood lactate, and training impulse. Dissociation between external and internal load units may reveal the state of fatigue of an athlete. Other monitoring tools used by high-performance programs include heart rate recovery, neuromuscular function, biochemical/hormonal/immunological assessments, questionnaires and diaries, psychomotor speed, and sleep quality and quantity. The monitoring approach taken with athletes may depend on whether the athlete is engaging in individual or team sport activity; however, the importance of individualization of load monitoring cannot be over emphasized. Detecting meaningful changes with scientific and statistical approaches can provide confidence and certainty when implementing change. Appropriate monitoring of training load can provide important information to athletes and coaches; however, monitoring systems should be intuitive, provide efficient data analysis and interpretation, and enable efficient reporting of simple, yet scientifically valid, feedback.","container-title":"Sports Medicine","DOI":"10.1007/s40279-014-0253-z","ISSN":"1179-2035","issue":"2","journalAbbreviation":"Sports Med","language":"en","page":"139-147","source":"Springer Link","title":"Monitoring Training Load to Understand Fatigue in Athletes","volume":"44","author":[{"family":"Halson","given":"Shona L."}],"issued":{"date-parts":[["2014",11,1]]}}}],"schema":"https://github.com/citation-style-language/schema/raw/master/csl-citation.json"}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(Halson, 2014)</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As training status and some environmental conditions are unique to each athlete, monitoring internal load seems necessary </w:t>
      </w:r>
      <w:proofErr w:type="gramStart"/>
      <w:r w:rsidRPr="00890E95">
        <w:rPr>
          <w:rFonts w:ascii="Times New Roman" w:eastAsia="Times New Roman" w:hAnsi="Times New Roman" w:cs="Times New Roman"/>
        </w:rPr>
        <w:t>in order to</w:t>
      </w:r>
      <w:proofErr w:type="gramEnd"/>
      <w:r w:rsidRPr="00890E95">
        <w:rPr>
          <w:rFonts w:ascii="Times New Roman" w:eastAsia="Times New Roman" w:hAnsi="Times New Roman" w:cs="Times New Roman"/>
        </w:rPr>
        <w:t xml:space="preserve"> properly train athletes. Depending on the recovery state of an athlete, the same absolute workload could be perceived as more or less intense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{"citationID":"WWtT86Js","properties":{"formattedCitation":"(Halson, 2014)","plainCitation":"(Halson, 2014)","noteIndex":0},"citationItems":[{"id":132,"uris":["http://zotero.org/users/6375206/items/3XQ5H35U"],"uri":["http://zotero.org/users/6375206/items/3XQ5H35U"],"itemData":{"id":132,"type":"article-journal","abstract":"Many athletes, coaches, and support staff are taking an increasingly scientific approach to both designing and monitoring training programs. Appropriate load monitoring can aid in determining whether an athlete is adapting to a training program and in minimizing the risk of developing non-functional overreaching, illness, and/or injury. In order to gain an understanding of the training load and its effect on the athlete, a number of potential markers are available for use. However, very few of these markers have strong scientific evidence supporting their use, and there is yet to be a single, definitive marker described in the literature. Research has investigated a number of external load quantifying and monitoring tools, such as power output measuring devices, time-motion analysis, as well as internal load unit measures, including perception of effort, heart rate, blood lactate, and training impulse. Dissociation between external and internal load units may reveal the state of fatigue of an athlete. Other monitoring tools used by high-performance programs include heart rate recovery, neuromuscular function, biochemical/hormonal/immunological assessments, questionnaires and diaries, psychomotor speed, and sleep quality and quantity. The monitoring approach taken with athletes may depend on whether the athlete is engaging in individual or team sport activity; however, the importance of individualization of load monitoring cannot be over emphasized. Detecting meaningful changes with scientific and statistical approaches can provide confidence and certainty when implementing change. Appropriate monitoring of training load can provide important information to athletes and coaches; however, monitoring systems should be intuitive, provide efficient data analysis and interpretation, and enable efficient reporting of simple, yet scientifically valid, feedback.","container-title":"Sports Medicine","DOI":"10.1007/s40279-014-0253-z","ISSN":"1179-2035","issue":"2","journalAbbreviation":"Sports Med","language":"en","page":"139-147","source":"Springer Link","title":"Monitoring Training Load to Understand Fatigue in Athletes","volume":"44","author":[{"family":"Halson","given":"Shona L."}],"issued":{"date-parts":[["2014",11,1]]}}}],"schema":"https://github.com/citation-style-language/schema/raw/master/csl-citation.json"}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(Halson, 2014)</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Internal load can be measured using several different methods including Rating of Perceived Exertion (RPE), Session Rating of Perceived </w:t>
      </w:r>
      <w:r w:rsidRPr="00890E95">
        <w:rPr>
          <w:rFonts w:ascii="Times New Roman" w:eastAsia="Times New Roman" w:hAnsi="Times New Roman" w:cs="Times New Roman"/>
        </w:rPr>
        <w:lastRenderedPageBreak/>
        <w:t>Exertion (</w:t>
      </w:r>
      <w:proofErr w:type="spellStart"/>
      <w:r w:rsidRPr="00890E95">
        <w:rPr>
          <w:rFonts w:ascii="Times New Roman" w:eastAsia="Times New Roman" w:hAnsi="Times New Roman" w:cs="Times New Roman"/>
        </w:rPr>
        <w:t>sRPE</w:t>
      </w:r>
      <w:proofErr w:type="spellEnd"/>
      <w:r w:rsidRPr="00890E95">
        <w:rPr>
          <w:rFonts w:ascii="Times New Roman" w:eastAsia="Times New Roman" w:hAnsi="Times New Roman" w:cs="Times New Roman"/>
        </w:rPr>
        <w:t>), and Recovery-Stress Questionnaires, as well as sleep and soreness visual analog scales (VAS).</w:t>
      </w:r>
    </w:p>
    <w:p w14:paraId="3597CAF5" w14:textId="3A03A277" w:rsidR="00D313EA" w:rsidRPr="00890E95" w:rsidRDefault="00D313EA" w:rsidP="00D313EA">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Subjective monitoring is frequently used as an alternative to more expensive and more technically demanding approaches (</w:t>
      </w:r>
      <w:r w:rsidR="00FF2EBB" w:rsidRPr="00890E95">
        <w:rPr>
          <w:rFonts w:ascii="Times New Roman" w:eastAsia="Times New Roman" w:hAnsi="Times New Roman" w:cs="Times New Roman"/>
        </w:rPr>
        <w:t>e.g.,</w:t>
      </w:r>
      <w:r w:rsidRPr="00890E95">
        <w:rPr>
          <w:rFonts w:ascii="Times New Roman" w:eastAsia="Times New Roman" w:hAnsi="Times New Roman" w:cs="Times New Roman"/>
        </w:rPr>
        <w:t xml:space="preserve"> force plates, accelerometers, dynamometers, etc</w:t>
      </w:r>
      <w:r w:rsidR="00FF2EBB">
        <w:rPr>
          <w:rFonts w:ascii="Times New Roman" w:eastAsia="Times New Roman" w:hAnsi="Times New Roman" w:cs="Times New Roman"/>
        </w:rPr>
        <w:t>.</w:t>
      </w:r>
      <w:r w:rsidRPr="00890E95">
        <w:rPr>
          <w:rFonts w:ascii="Times New Roman" w:eastAsia="Times New Roman" w:hAnsi="Times New Roman" w:cs="Times New Roman"/>
        </w:rPr>
        <w:t xml:space="preserve">) when this type of external load monitoring equipment is not available or practical. The RESTQ-Sport has been shown to follow the dose-response relationship in training loads measured through RPE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{"citationID":"Kl86MWKl","properties":{"formattedCitation":"(Nicolas et al., 2019)","plainCitation":"(Nicolas et al., 2019)","noteIndex":0},"citationItems":[{"id":78,"uris":["http://zotero.org/users/6375206/items/SE6LB57S"],"uri":["http://zotero.org/users/6375206/items/SE6LB57S"],"itemData":{"id":78,"type":"article-journal","abstract":"Background\nPsychological stress and recovery monitoring is a key issue for increasing athletes' health, well-being, and performance. This multi-study report examined changes and the dose–response relationships between recovery–stress psychological states, training load (TL), heart rate (HR), heart rate recovery (HRR), and heart rate variability (HRV) while providing evidence for the factorial validity of a short French version of the Recovery–Stress Questionnaire for Athletes (RESTQ-36-R-Sport).\nMethods\nFour hundred and seventy-three university athletes (Study 1), 72 full expert swimmers (Study 2), and 11 national to international swimmers (Study 3) participated in the study. Data were analyzed through confirmatory factor analyses (Study 1), repeated ANOVAs and correlational analyses (Study 2), t tests and correlational analyses (Study 3).\nResults\nMultiple-group confirmatory factor analyses showed that the RESTQ-36-R-Sport scores were partially invariant across gender, type of sport, and practice level (Study 1). A dose–response relationship was performed between TL and RESTQ-36-R-Sport scores during an ecological training program (Study 2). Finally, relationships were found between physiological (HRR) and psychological (RESTQ-36-R-Sport) states during an ecological tapering period leading to a national championship (Study 3).\nConclusion\nAs a whole, these findings provided evidence for the usefulness of the short version of the RESTQ-36-R-Sport for regular monitoring to prevent potential maladaptation due to intensive competitive sport practice.","container-title":"Journal of Sport and Health Science","DOI":"10.1016/j.jshs.2016.03.007","ISSN":"2095-2546","issue":"1","journalAbbreviation":"Journal of Sport and Health Science","language":"en","page":"77-88","source":"ScienceDirect","title":"Monitoring stress and recovery states: Structural and external stages of the short version of the RESTQ sport in elite swimmers before championships","title-short":"Monitoring stress and recovery states","volume":"8","author":[{"family":"Nicolas","given":"Michel"},{"family":"Vacher","given":"Philippe"},{"family":"Martinent","given":"Guillaume"},{"family":"Mourot","given":"Laurent"}],"issued":{"date-parts":[["2019",1,1]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(Nicolas et al., 2019)</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In this investigation into collegiate athletes, training load was negatively associated with perceived recovery and positively associated with perceived stress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{"citationID":"lsX3vhpQ","properties":{"formattedCitation":"(Nicolas et al., 2019)","plainCitation":"(Nicolas et al., 2019)","noteIndex":0},"citationItems":[{"id":78,"uris":["http://zotero.org/users/6375206/items/SE6LB57S"],"uri":["http://zotero.org/users/6375206/items/SE6LB57S"],"itemData":{"id":78,"type":"article-journal","abstract":"Background\nPsychological stress and recovery monitoring is a key issue for increasing athletes' health, well-being, and performance. This multi-study report examined changes and the dose–response relationships between recovery–stress psychological states, training load (TL), heart rate (HR), heart rate recovery (HRR), and heart rate variability (HRV) while providing evidence for the factorial validity of a short French version of the Recovery–Stress Questionnaire for Athletes (RESTQ-36-R-Sport).\nMethods\nFour hundred and seventy-three university athletes (Study 1), 72 full expert swimmers (Study 2), and 11 national to international swimmers (Study 3) participated in the study. Data were analyzed through confirmatory factor analyses (Study 1), repeated ANOVAs and correlational analyses (Study 2), t tests and correlational analyses (Study 3).\nResults\nMultiple-group confirmatory factor analyses showed that the RESTQ-36-R-Sport scores were partially invariant across gender, type of sport, and practice level (Study 1). A dose–response relationship was performed between TL and RESTQ-36-R-Sport scores during an ecological training program (Study 2). Finally, relationships were found between physiological (HRR) and psychological (RESTQ-36-R-Sport) states during an ecological tapering period leading to a national championship (Study 3).\nConclusion\nAs a whole, these findings provided evidence for the usefulness of the short version of the RESTQ-36-R-Sport for regular monitoring to prevent potential maladaptation due to intensive competitive sport practice.","container-title":"Journal of Sport and Health Science","DOI":"10.1016/j.jshs.2016.03.007","ISSN":"2095-2546","issue":"1","journalAbbreviation":"Journal of Sport and Health Science","language":"en","page":"77-88","source":"ScienceDirect","title":"Monitoring stress and recovery states: Structural and external stages of the short version of the RESTQ sport in elite swimmers before championships","title-short":"Monitoring stress and recovery states","volume":"8","author":[{"family":"Nicolas","given":"Michel"},{"family":"Vacher","given":"Philippe"},{"family":"Martinent","given":"Guillaume"},{"family":"Mourot","given":"Laurent"}],"issued":{"date-parts":[["2019",1,1]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(Nicolas et al., 2019)</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In fact, evidence exists in some investigations that subjective measures may be more dependable than other load monitoring measures. In a systematic review, subjective stress and recovery measures such as RESTQ and POMS questionnaires have been shown to have high sensitivity for mood disturbance, stress, and perceived recovery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{"citationID":"17WCev8B","properties":{"formattedCitation":"(Saw et al., 2016)","plainCitation":"(Saw et al., 2016)","noteIndex":0},"citationItems":[{"id":94,"uris":["http://zotero.org/users/6375206/items/JPL8GFVA"],"uri":["http://zotero.org/users/6375206/items/JPL8GFVA"],"itemData":{"id":94,"type":"article-journal","abstract":"Background Monitoring athlete well-being is essential to guide training and to detect any progression towards negative health outcomes and associated poor performance. Objective (performance, physiological, biochemical) and subjective measures are all options for athlete monitoring.\nObjective We systematically reviewed objective and subjective measures of athlete well-being. Objective measures, including those taken at rest (eg, blood markers, heart rate) and during exercise (eg, oxygen consumption, heart rate response), were compared against subjective measures (eg, mood, perceived stress). All measures were also evaluated for their response to acute and chronic training load.\nMethods The databases Academic search complete, MEDLINE, PsycINFO, SPORTDiscus and PubMed were searched in May 2014. Fifty-six original studies reported concurrent subjective and objective measures of athlete well-being. The quality and strength of findings of each study were evaluated to determine overall levels of evidence.\nResults Subjective and objective measures of athlete well-being generally did not correlate. Subjective measures reflected acute and chronic training loads with superior sensitivity and consistency than objective measures. Subjective well-being was typically impaired with an acute increase in training load, and also with chronic training, while an acute decrease in training load improved subjective well-being.\nSummary This review provides further support for practitioners to use subjective measures to monitor changes in athlete well-being in response to training. Subjective measures may stand alone, or be incorporated into a mixed methods approach to athlete monitoring, as is current practice in many sport settings.","container-title":"British Journal of Sports Medicine","DOI":"10.1136/bjsports-2015-094758","ISSN":"0306-3674, 1473-0480","issue":"5","journalAbbreviation":"Br J Sports Med","language":"en","note":"publisher: BMJ Publishing Group Ltd and British Association of Sport and Exercise Medicine\nsection: Review\nPMID: 26423706","page":"281-291","source":"bjsm-bmj-com.ezproxy.lib.ou.edu","title":"Monitoring the athlete training response: subjective self-reported measures trump commonly used objective measures: a systematic review","title-short":"Monitoring the athlete training response","volume":"50","author":[{"family":"Saw","given":"Anna E."},{"family":"Main","given":"Luana C."},{"family":"Gastin","given":"Paul B."}],"issued":{"date-parts":[["2016",3,1]]}}}],"schema":"https://github.com/citation-style-language/schema/raw/master/csl-citation.json"}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(Saw et al.,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Overall subjective well-being, as measured by each study’s respective questionnaire, was responsive to changes in both acute and chronic training stress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{"citationID":"zFbWnWeS","properties":{"formattedCitation":"(Saw et al., 2016)","plainCitation":"(Saw et al., 2016)","noteIndex":0},"citationItems":[{"id":94,"uris":["http://zotero.org/users/6375206/items/JPL8GFVA"],"uri":["http://zotero.org/users/6375206/items/JPL8GFVA"],"itemData":{"id":94,"type":"article-journal","abstract":"Background Monitoring athlete well-being is essential to guide training and to detect any progression towards negative health outcomes and associated poor performance. Objective (performance, physiological, biochemical) and subjective measures are all options for athlete monitoring.\nObjective We systematically reviewed objective and subjective measures of athlete well-being. Objective measures, including those taken at rest (eg, blood markers, heart rate) and during exercise (eg, oxygen consumption, heart rate response), were compared against subjective measures (eg, mood, perceived stress). All measures were also evaluated for their response to acute and chronic training load.\nMethods The databases Academic search complete, MEDLINE, PsycINFO, SPORTDiscus and PubMed were searched in May 2014. Fifty-six original studies reported concurrent subjective and objective measures of athlete well-being. The quality and strength of findings of each study were evaluated to determine overall levels of evidence.\nResults Subjective and objective measures of athlete well-being generally did not correlate. Subjective measures reflected acute and chronic training loads with superior sensitivity and consistency than objective measures. Subjective well-being was typically impaired with an acute increase in training load, and also with chronic training, while an acute decrease in training load improved subjective well-being.\nSummary This review provides further support for practitioners to use subjective measures to monitor changes in athlete well-being in response to training. Subjective measures may stand alone, or be incorporated into a mixed methods approach to athlete monitoring, as is current practice in many sport settings.","container-title":"British Journal of Sports Medicine","DOI":"10.1136/bjsports-2015-094758","ISSN":"0306-3674, 1473-0480","issue":"5","journalAbbreviation":"Br J Sports Med","language":"en","note":"publisher: BMJ Publishing Group Ltd and British Association of Sport and Exercise Medicine\nsection: Review\nPMID: 26423706","page":"281-291","source":"bjsm-bmj-com.ezproxy.lib.ou.edu","title":"Monitoring the athlete training response: subjective self-reported measures trump commonly used objective measures: a systematic review","title-short":"Monitoring the athlete training response","volume":"50","author":[{"family":"Saw","given":"Anna E."},{"family":"Main","given":"Luana C."},{"family":"Gastin","given":"Paul B."}],"issued":{"date-parts":[["2016",3,1]]}}}],"schema":"https://github.com/citation-style-language/schema/raw/master/csl-citation.json"}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(Saw et al.,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w:t>
      </w:r>
    </w:p>
    <w:p w14:paraId="1B51E9B4" w14:textId="387C8673" w:rsidR="00D313EA" w:rsidRPr="00890E95" w:rsidRDefault="00D313EA" w:rsidP="00D313EA">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Additionally, subjective measures may represent an athlete’s readiness more accurately than objective measures when examining their congruity to performance outcomes (e.g. yards gained, high-speed running distance, peak power)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{"citationID":"PjeC8FtT","properties":{"formattedCitation":"(Saw et al., 2016)","plainCitation":"(Saw et al., 2016)","noteIndex":0},"citationItems":[{"id":94,"uris":["http://zotero.org/users/6375206/items/JPL8GFVA"],"uri":["http://zotero.org/users/6375206/items/JPL8GFVA"],"itemData":{"id":94,"type":"article-journal","abstract":"Background Monitoring athlete well-being is essential to guide training and to detect any progression towards negative health outcomes and associated poor performance. Objective (performance, physiological, biochemical) and subjective measures are all options for athlete monitoring.\nObjective We systematically reviewed objective and subjective measures of athlete well-being. Objective measures, including those taken at rest (eg, blood markers, heart rate) and during exercise (eg, oxygen consumption, heart rate response), were compared against subjective measures (eg, mood, perceived stress). All measures were also evaluated for their response to acute and chronic training load.\nMethods The databases Academic search complete, MEDLINE, PsycINFO, SPORTDiscus and PubMed were searched in May 2014. Fifty-six original studies reported concurrent subjective and objective measures of athlete well-being. The quality and strength of findings of each study were evaluated to determine overall levels of evidence.\nResults Subjective and objective measures of athlete well-being generally did not correlate. Subjective measures reflected acute and chronic training loads with superior sensitivity and consistency than objective measures. Subjective well-being was typically impaired with an acute increase in training load, and also with chronic training, while an acute decrease in training load improved subjective well-being.\nSummary This review provides further support for practitioners to use subjective measures to monitor changes in athlete well-being in response to training. Subjective measures may stand alone, or be incorporated into a mixed methods approach to athlete monitoring, as is current practice in many sport settings.","container-title":"British Journal of Sports Medicine","DOI":"10.1136/bjsports-2015-094758","ISSN":"0306-3674, 1473-0480","issue":"5","journalAbbreviation":"Br J Sports Med","language":"en","note":"publisher: BMJ Publishing Group Ltd and British Association of Sport and Exercise Medicine\nsection: Review\nPMID: 26423706","page":"281-291","source":"bjsm-bmj-com.ezproxy.lib.ou.edu","title":"Monitoring the athlete training response: subjective self-reported measures trump commonly used objective measures: a systematic review","title-short":"Monitoring the athlete training response","volume":"50","author":[{"family":"Saw","given":"Anna E."},{"family":"Main","given":"Luana C."},{"family":"Gastin","given":"Paul B."}],"issued":{"date-parts":[["2016",3,1]]}}}],"schema":"https://github.com/citation-style-language/schema/raw/master/csl-citation.json"}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(Saw et al.,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For instance, </w:t>
      </w:r>
      <w:proofErr w:type="spellStart"/>
      <w:r w:rsidRPr="00890E95">
        <w:rPr>
          <w:rFonts w:ascii="Times New Roman" w:eastAsia="Times New Roman" w:hAnsi="Times New Roman" w:cs="Times New Roman"/>
        </w:rPr>
        <w:t>Dumoriter</w:t>
      </w:r>
      <w:proofErr w:type="spellEnd"/>
      <w:r w:rsidRPr="00890E95">
        <w:rPr>
          <w:rFonts w:ascii="Times New Roman" w:eastAsia="Times New Roman" w:hAnsi="Times New Roman" w:cs="Times New Roman"/>
        </w:rPr>
        <w:t xml:space="preserve"> et al. (2018) measured training load in female gymnasts using </w:t>
      </w:r>
      <w:proofErr w:type="spellStart"/>
      <w:r w:rsidRPr="00890E95">
        <w:rPr>
          <w:rFonts w:ascii="Times New Roman" w:eastAsia="Times New Roman" w:hAnsi="Times New Roman" w:cs="Times New Roman"/>
        </w:rPr>
        <w:t>sRPE</w:t>
      </w:r>
      <w:proofErr w:type="spellEnd"/>
      <w:r w:rsidRPr="00890E95">
        <w:rPr>
          <w:rFonts w:ascii="Times New Roman" w:eastAsia="Times New Roman" w:hAnsi="Times New Roman" w:cs="Times New Roman"/>
        </w:rPr>
        <w:t xml:space="preserve"> (RPE x training duration in minutes), while also monitoring sleep over a 14-week period. Gymnasts trained according to their respective age groups and seniors competed in national and world competitions at the end of the study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{"citationID":"P7pMKmcX","properties":{"formattedCitation":"(Dumortier et al., 2018)","plainCitation":"(Dumortier et al., 2018)","noteIndex":0},"citationItems":[{"id":146,"uris":["http://zotero.org/users/6375206/items/PMENMA3P"],"uri":["http://zotero.org/users/6375206/items/PMENMA3P"],"itemData":{"id":146,"type":"article-journal","abstract":"Training load (TL) and recovery should be in optimal balance to obtain maximal performance gains. We aimed to study sleep as a recovery technique and its relationship with TL and performance in elite athletes. Twenty-six elite female artistic gymnasts were divided into an under 13 (n = 6), an under 14 (n = 6), a junior (n = 7; 14-15y) and a senior (=World Championship (WC) competitors, n = 7; ≥16y) category. Sleep, through sleep logs, and training parameters, using the session Rate of Perceived Exertion (sRPE) scale, were monitored to calculate total sleep time (TST), sleep efficiency (SE), TL, monotony and strain. Performance of WC competitors was evaluated through coach and WC qualification ranking. For the entire group, TST (effect sizes (ES) = -1.12, confidence intervals (CI) = -60:-47, P&lt; .05) and SE (ES = -0.13, CI = -1.40:-0.10, P =.022) were shorter during week than weekend nights. TST and SE were highest in youngest gymnasts (P&lt; .05). TL was lowest in under 13 and senior gymnasts (P&lt; .05), while TL, monotony and strain were highest in junior gymnasts (P&lt; .05). A negative regression was found between TST and TL the day after, while higher TL also led to lower TST the following night (P&lt; .001). For the WC competitors, TST the night before the qualifications was shorter than the mean TST of the WC period (ES = -0.95, CI = -170:24, P =.030). TST correlated with coach ranking (r = -0.857, P = .014). Higher TL correlated with worse WC (r = 0.829, P = .042) and coach (r = 0.893, P = .007) ranking. This research in elite gymnasts indicated associations between decreased TST, augmented TL and inferior performance. Optimizing sleep and TL may therefore represent strategies to enhance performance. ABSTRACT FROM AUTHOR","container-title":"European Journal of Sport Science","ISSN":"17461391","issue":"2","journalAbbreviation":"European Journal of Sport Science","page":"151-161","source":"EBSCOhost","title":"Sleep, training load and performance in elite female gymnasts","volume":"18","author":[{"family":"Dumortier","given":"J."},{"family":"Mariman","given":"A."},{"family":"Boone","given":"J."},{"family":"Delesie","given":"L."},{"family":"Tobback","given":"E."},{"family":"Vogelaers","given":"D."},{"family":"Bourgois","given":"J. G."}],"issued":{"date-parts":[["2018",3]]}}}],"schema":"https://github.com/citation-style-language/schema/raw/master/csl-citation.json"}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(Dumortier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Training was tapered through a </w:t>
      </w:r>
      <w:r w:rsidR="006E4CB9" w:rsidRPr="00890E95">
        <w:rPr>
          <w:rFonts w:ascii="Times New Roman" w:eastAsia="Times New Roman" w:hAnsi="Times New Roman" w:cs="Times New Roman"/>
        </w:rPr>
        <w:t>one-week</w:t>
      </w:r>
      <w:r w:rsidRPr="00890E95">
        <w:rPr>
          <w:rFonts w:ascii="Times New Roman" w:eastAsia="Times New Roman" w:hAnsi="Times New Roman" w:cs="Times New Roman"/>
        </w:rPr>
        <w:t xml:space="preserve">, general method (non-specific for the individual), using team </w:t>
      </w:r>
      <w:proofErr w:type="spellStart"/>
      <w:r w:rsidRPr="00890E95">
        <w:rPr>
          <w:rFonts w:ascii="Times New Roman" w:eastAsia="Times New Roman" w:hAnsi="Times New Roman" w:cs="Times New Roman"/>
        </w:rPr>
        <w:t>sRPE</w:t>
      </w:r>
      <w:proofErr w:type="spellEnd"/>
      <w:r w:rsidRPr="00890E95">
        <w:rPr>
          <w:rFonts w:ascii="Times New Roman" w:eastAsia="Times New Roman" w:hAnsi="Times New Roman" w:cs="Times New Roman"/>
        </w:rPr>
        <w:t xml:space="preserve"> to determine tapering protocol, as proposed by </w:t>
      </w:r>
      <w:proofErr w:type="spellStart"/>
      <w:r w:rsidRPr="00890E95">
        <w:rPr>
          <w:rFonts w:ascii="Times New Roman" w:eastAsia="Times New Roman" w:hAnsi="Times New Roman" w:cs="Times New Roman"/>
        </w:rPr>
        <w:t>Toubekis</w:t>
      </w:r>
      <w:proofErr w:type="spellEnd"/>
      <w:r w:rsidRPr="00890E95">
        <w:rPr>
          <w:rFonts w:ascii="Times New Roman" w:eastAsia="Times New Roman" w:hAnsi="Times New Roman" w:cs="Times New Roman"/>
        </w:rPr>
        <w:t xml:space="preserve"> et al. (2013) before competitions. The study showed that lower sleep values resulted </w:t>
      </w:r>
      <w:r w:rsidRPr="00890E95">
        <w:rPr>
          <w:rFonts w:ascii="Times New Roman" w:eastAsia="Times New Roman" w:hAnsi="Times New Roman" w:cs="Times New Roman"/>
        </w:rPr>
        <w:lastRenderedPageBreak/>
        <w:t xml:space="preserve">in higher </w:t>
      </w:r>
      <w:proofErr w:type="spellStart"/>
      <w:r w:rsidRPr="00890E95">
        <w:rPr>
          <w:rFonts w:ascii="Times New Roman" w:eastAsia="Times New Roman" w:hAnsi="Times New Roman" w:cs="Times New Roman"/>
        </w:rPr>
        <w:t>sRPE</w:t>
      </w:r>
      <w:proofErr w:type="spellEnd"/>
      <w:r w:rsidRPr="00890E95">
        <w:rPr>
          <w:rFonts w:ascii="Times New Roman" w:eastAsia="Times New Roman" w:hAnsi="Times New Roman" w:cs="Times New Roman"/>
        </w:rPr>
        <w:t xml:space="preserve"> values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{"citationID":"7Je2BMG3","properties":{"formattedCitation":"(Dumortier et al., 2018)","plainCitation":"(Dumortier et al., 2018)","noteIndex":0},"citationItems":[{"id":146,"uris":["http://zotero.org/users/6375206/items/PMENMA3P"],"uri":["http://zotero.org/users/6375206/items/PMENMA3P"],"itemData":{"id":146,"type":"article-journal","abstract":"Training load (TL) and recovery should be in optimal balance to obtain maximal performance gains. We aimed to study sleep as a recovery technique and its relationship with TL and performance in elite athletes. Twenty-six elite female artistic gymnasts were divided into an under 13 (n = 6), an under 14 (n = 6), a junior (n = 7; 14-15y) and a senior (=World Championship (WC) competitors, n = 7; ≥16y) category. Sleep, through sleep logs, and training parameters, using the session Rate of Perceived Exertion (sRPE) scale, were monitored to calculate total sleep time (TST), sleep efficiency (SE), TL, monotony and strain. Performance of WC competitors was evaluated through coach and WC qualification ranking. For the entire group, TST (effect sizes (ES) = -1.12, confidence intervals (CI) = -60:-47, P&lt; .05) and SE (ES = -0.13, CI = -1.40:-0.10, P =.022) were shorter during week than weekend nights. TST and SE were highest in youngest gymnasts (P&lt; .05). TL was lowest in under 13 and senior gymnasts (P&lt; .05), while TL, monotony and strain were highest in junior gymnasts (P&lt; .05). A negative regression was found between TST and TL the day after, while higher TL also led to lower TST the following night (P&lt; .001). For the WC competitors, TST the night before the qualifications was shorter than the mean TST of the WC period (ES = -0.95, CI = -170:24, P =.030). TST correlated with coach ranking (r = -0.857, P = .014). Higher TL correlated with worse WC (r = 0.829, P = .042) and coach (r = 0.893, P = .007) ranking. This research in elite gymnasts indicated associations between decreased TST, augmented TL and inferior performance. Optimizing sleep and TL may therefore represent strategies to enhance performance. ABSTRACT FROM AUTHOR","container-title":"European Journal of Sport Science","ISSN":"17461391","issue":"2","journalAbbreviation":"European Journal of Sport Science","page":"151-161","source":"EBSCOhost","title":"Sleep, training load and performance in elite female gymnasts","volume":"18","author":[{"family":"Dumortier","given":"J."},{"family":"Mariman","given":"A."},{"family":"Boone","given":"J."},{"family":"Delesie","given":"L."},{"family":"Tobback","given":"E."},{"family":"Vogelaers","given":"D."},{"family":"Bourgois","given":"J. G."}],"issued":{"date-parts":[["2018",3]]}}}],"schema":"https://github.com/citation-style-language/schema/raw/master/csl-citation.json"}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(Dumortier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Additionally, senior gymnasts that had higher </w:t>
      </w:r>
      <w:proofErr w:type="spellStart"/>
      <w:r w:rsidRPr="00890E95">
        <w:rPr>
          <w:rFonts w:ascii="Times New Roman" w:eastAsia="Times New Roman" w:hAnsi="Times New Roman" w:cs="Times New Roman"/>
        </w:rPr>
        <w:t>sRPE</w:t>
      </w:r>
      <w:proofErr w:type="spellEnd"/>
      <w:r w:rsidRPr="00890E95">
        <w:rPr>
          <w:rFonts w:ascii="Times New Roman" w:eastAsia="Times New Roman" w:hAnsi="Times New Roman" w:cs="Times New Roman"/>
        </w:rPr>
        <w:t xml:space="preserve"> values scored poorly compared to those with lower </w:t>
      </w:r>
      <w:proofErr w:type="spellStart"/>
      <w:r w:rsidRPr="00890E95">
        <w:rPr>
          <w:rFonts w:ascii="Times New Roman" w:eastAsia="Times New Roman" w:hAnsi="Times New Roman" w:cs="Times New Roman"/>
        </w:rPr>
        <w:t>sRPE</w:t>
      </w:r>
      <w:proofErr w:type="spellEnd"/>
      <w:r w:rsidRPr="00890E95">
        <w:rPr>
          <w:rFonts w:ascii="Times New Roman" w:eastAsia="Times New Roman" w:hAnsi="Times New Roman" w:cs="Times New Roman"/>
        </w:rPr>
        <w:t xml:space="preserve"> values in their World Championship competition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{"citationID":"ioWPFssc","properties":{"formattedCitation":"(Dumortier et al., 2018)","plainCitation":"(Dumortier et al., 2018)","noteIndex":0},"citationItems":[{"id":146,"uris":["http://zotero.org/users/6375206/items/PMENMA3P"],"uri":["http://zotero.org/users/6375206/items/PMENMA3P"],"itemData":{"id":146,"type":"article-journal","abstract":"Training load (TL) and recovery should be in optimal balance to obtain maximal performance gains. We aimed to study sleep as a recovery technique and its relationship with TL and performance in elite athletes. Twenty-six elite female artistic gymnasts were divided into an under 13 (n = 6), an under 14 (n = 6), a junior (n = 7; 14-15y) and a senior (=World Championship (WC) competitors, n = 7; ≥16y) category. Sleep, through sleep logs, and training parameters, using the session Rate of Perceived Exertion (sRPE) scale, were monitored to calculate total sleep time (TST), sleep efficiency (SE), TL, monotony and strain. Performance of WC competitors was evaluated through coach and WC qualification ranking. For the entire group, TST (effect sizes (ES) = -1.12, confidence intervals (CI) = -60:-47, P&lt; .05) and SE (ES = -0.13, CI = -1.40:-0.10, P =.022) were shorter during week than weekend nights. TST and SE were highest in youngest gymnasts (P&lt; .05). TL was lowest in under 13 and senior gymnasts (P&lt; .05), while TL, monotony and strain were highest in junior gymnasts (P&lt; .05). A negative regression was found between TST and TL the day after, while higher TL also led to lower TST the following night (P&lt; .001). For the WC competitors, TST the night before the qualifications was shorter than the mean TST of the WC period (ES = -0.95, CI = -170:24, P =.030). TST correlated with coach ranking (r = -0.857, P = .014). Higher TL correlated with worse WC (r = 0.829, P = .042) and coach (r = 0.893, P = .007) ranking. This research in elite gymnasts indicated associations between decreased TST, augmented TL and inferior performance. Optimizing sleep and TL may therefore represent strategies to enhance performance. ABSTRACT FROM AUTHOR","container-title":"European Journal of Sport Science","ISSN":"17461391","issue":"2","journalAbbreviation":"European Journal of Sport Science","page":"151-161","source":"EBSCOhost","title":"Sleep, training load and performance in elite female gymnasts","volume":"18","author":[{"family":"Dumortier","given":"J."},{"family":"Mariman","given":"A."},{"family":"Boone","given":"J."},{"family":"Delesie","given":"L."},{"family":"Tobback","given":"E."},{"family":"Vogelaers","given":"D."},{"family":"Bourgois","given":"J. G."}],"issued":{"date-parts":[["2018",3]]}}}],"schema":"https://github.com/citation-style-language/schema/raw/master/csl-citation.json"}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(Dumortier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The authors suggest the proposed tapering method was insufficient, especially for lesser trained gymnasts due to its general, non-individualized nature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{"citationID":"duec3v8l","properties":{"formattedCitation":"(Dumortier et al., 2018)","plainCitation":"(Dumortier et al., 2018)","noteIndex":0},"citationItems":[{"id":146,"uris":["http://zotero.org/users/6375206/items/PMENMA3P"],"uri":["http://zotero.org/users/6375206/items/PMENMA3P"],"itemData":{"id":146,"type":"article-journal","abstract":"Training load (TL) and recovery should be in optimal balance to obtain maximal performance gains. We aimed to study sleep as a recovery technique and its relationship with TL and performance in elite athletes. Twenty-six elite female artistic gymnasts were divided into an under 13 (n = 6), an under 14 (n = 6), a junior (n = 7; 14-15y) and a senior (=World Championship (WC) competitors, n = 7; ≥16y) category. Sleep, through sleep logs, and training parameters, using the session Rate of Perceived Exertion (sRPE) scale, were monitored to calculate total sleep time (TST), sleep efficiency (SE), TL, monotony and strain. Performance of WC competitors was evaluated through coach and WC qualification ranking. For the entire group, TST (effect sizes (ES) = -1.12, confidence intervals (CI) = -60:-47, P&lt; .05) and SE (ES = -0.13, CI = -1.40:-0.10, P =.022) were shorter during week than weekend nights. TST and SE were highest in youngest gymnasts (P&lt; .05). TL was lowest in under 13 and senior gymnasts (P&lt; .05), while TL, monotony and strain were highest in junior gymnasts (P&lt; .05). A negative regression was found between TST and TL the day after, while higher TL also led to lower TST the following night (P&lt; .001). For the WC competitors, TST the night before the qualifications was shorter than the mean TST of the WC period (ES = -0.95, CI = -170:24, P =.030). TST correlated with coach ranking (r = -0.857, P = .014). Higher TL correlated with worse WC (r = 0.829, P = .042) and coach (r = 0.893, P = .007) ranking. This research in elite gymnasts indicated associations between decreased TST, augmented TL and inferior performance. Optimizing sleep and TL may therefore represent strategies to enhance performance. ABSTRACT FROM AUTHOR","container-title":"European Journal of Sport Science","ISSN":"17461391","issue":"2","journalAbbreviation":"European Journal of Sport Science","page":"151-161","source":"EBSCOhost","title":"Sleep, training load and performance in elite female gymnasts","volume":"18","author":[{"family":"Dumortier","given":"J."},{"family":"Mariman","given":"A."},{"family":"Boone","given":"J."},{"family":"Delesie","given":"L."},{"family":"Tobback","given":"E."},{"family":"Vogelaers","given":"D."},{"family":"Bourgois","given":"J. G."}],"issued":{"date-parts":[["2018",3]]}}}],"schema":"https://github.com/citation-style-language/schema/raw/master/csl-citation.json"}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(Dumortier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A potential remedy for insufficient universal tapering strategies could be individualized monitoring leading to a more specific tapering approach. </w:t>
      </w:r>
    </w:p>
    <w:p w14:paraId="307F69EB" w14:textId="1A1901DC" w:rsidR="00D313EA" w:rsidRPr="00890E95" w:rsidRDefault="00D313EA" w:rsidP="00D313EA">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While subjective measures had previously been mistakenly perceived as lesser monitoring data when compared to objective measures, more and more studies are showing that subjective measures are highly valuable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{"citationID":"kHiCS6xh","properties":{"formattedCitation":"(Collette et al., 2018; Govus et al., 2018; Nicolas et al., 2019; Saw et al., 2016)","plainCitation":"(Collette et al., 2018; Govus et al., 2018; Nicolas et al., 2019; Saw et al., 2016)","noteIndex":0},"citationItems":[{"id":227,"uris":["http://zotero.org/users/6375206/items/GNMF2D7G"],"uri":["http://zotero.org/users/6375206/items/GNMF2D7G"],"itemData":{"id":227,"type":"article-journal","abstract":"The aim of this study was to analyze the individual time-delayed linear effect relationship between training load and recovery-stress state with single case time series methods. Session-RPE (sRPE) and Acute:Chronic-Workload-Ratio (ACWR) were used to compare different methods for quantifying the internal training load with regard to their interrelationship with the recovery-stress state. Internal load and recovery-stress state of five highly-trained female swimmers (training frequency 13.6 ± 0.8 sessions per week) were daily documented over 17 weeks. Two different types of sRPE were applied: RPE*duration (sRPEh) and RPE*volume (sRPEkm). Subsequently, we calculated the ratios ACWRh and ACWRkm (sRPE last-week: 4-week exponentially-weighted-moving-average). The recovery-stress state was measured by using the Acute Recovery and Stress Scale (ARSS), consisting of eight scales, [recovery: Physical-Performance-Capability (PPC), Mental-Performance-Capability (MPC), Emotional-Balance (EB), Overall-Recovery (OR), stress: Muscular-Stress (MS), Lack-of-Activation (LA), Negative-Emotional-State (NES), Overall-Stress (OS)]. To examine the relation between training load and recovery-stress state a cross correlation (Rcc) was conducted. A large variation of training load can be observed in the individual week-to-week fluctuations. Rcc individually reaches values above 0.3, especially with sRPEkm as lead variable. Overall, there is a large range with significant differences between the recovery and stress dimensions of the ARSS and between the training load methods, with sRPEkm having the largest span of R = 1.16. High inter-individual differences between the athletes lie in strength and direction of the correlation |0.66| ≤ Rcc ≥ |-0.50|. The time delayed effects (lags 0-7) are highly individual, however, clear patterns can be observed. The ARSS, especially PPC, OR, MS and OS, is a suitable tool for monitoring the acute recovery-stress state in swimmers. MPC, EB, LA and NES are less affected by training induced changes. Comparably high Rcc and Ranges result from the internal load methods, whereby sRPE, especially sRPEkm, shows a stronger relation to recovery-stress state than ACWR. Based on these results and the individual differences in terms of time delay in training response, we recommend for swimming to use session RPE to monitor the internal training load and to use the ARSS, with a focus at the physical and overall-scales, to monitor the recovery-stress state.","container-title":"Frontiers in Physiology","DOI":"10.3389/fphys.2018.00845","ISSN":"1664-042X","journalAbbreviation":"Front. Physiol.","language":"English","note":"publisher: Frontiers","source":"Frontiers","title":"Relation Between Training Load and Recovery-Stress State in High-Performance Swimming","URL":"https://www.frontiersin.org/articles/10.3389/fphys.2018.00845/full","volume":"9","author":[{"family":"Collette","given":"Robert"},{"family":"Kellmann","given":"Michael"},{"family":"Ferrauti","given":"Alexander"},{"family":"Meyer","given":"Tim"},{"family":"Pfeiffer","given":"Mark"}],"accessed":{"date-parts":[["2021",2,9]]},"issued":{"date-parts":[["2018"]]}}},{"id":127,"uris":["http://zotero.org/users/6375206/items/UPR2YK8G"],"uri":["http://zotero.org/users/6375206/items/UPR2YK8G"],"itemData":{"id":127,"type":"article-journal","abstract":"&lt;section class=\"abstract\"&gt;&lt;p&gt;&lt;em&gt;&lt;strong&gt;Context&lt;/strong&gt;:&lt;/em&gt; The relationship between pretraining subjective wellness and external and internal training load in American college football is unclear. &lt;strong&gt;&lt;em&gt;Purpose&lt;/em&gt;&lt;/strong&gt;&lt;em&gt;:&lt;/em&gt; To examine the relationship of pretraining subjective wellness (sleep quality, muscle soreness, energy, wellness Z score) with player load and session rating of perceived exertion (s-RPE-TL) in American college football players. &lt;em&gt;&lt;strong&gt;Methods&lt;/strong&gt;:&lt;/em&gt; Subjective wellness (measured using 5-point, Likert-scale questionnaires), external load (derived from GPS and accelerometry), and s-RPE-TL were collected during 3 typical training sessions per week for the second half of an American college football season (8 wk). The relationship of pretraining subjective wellness with player load and s-RPE training load was analyzed using linear mixed models with a random intercept for athlete and a random slope for training session. Standardized mean differences (SMDs) denote the effect magnitude. &lt;em&gt;&lt;strong&gt;Results&lt;/strong&gt;:&lt;/em&gt; A 1-unit increase in wellness &lt;em&gt;Z&lt;/em&gt; score and energy was associated with trivial 2.3% (90% confidence interval [CI] 0.5, 4.2; SMD 0.12) and 2.6% (90% CI 0.1, 5.2; SMD 0.13) increases in player load, respectively. A 1-unit increase in muscle soreness (players felt less sore) corresponded to a trivial 4.4% (90% CI −8.4, −0.3; SMD −0.05) decrease in s-RPE training load. &lt;em&gt;&lt;strong&gt;Conclusion&lt;/strong&gt;:&lt;/em&gt; Measuring pretraining subjective wellness may provide information about players’ capacity to perform in a training session and could be a key determinant of their response to the imposed training demands American college football. Hence, monitoring subjective wellness may aid in the individualization of training prescription in American college football players.&lt;/p&gt;&lt;/section&gt;","container-title":"International Journal of Sports Physiology and Performance","DOI":"10.1123/ijspp.2016-0714","ISSN":"1555-0273, 1555-0265","issue":"1","language":"en_US","note":"publisher: Human Kinetics\nsection: International Journal of Sports Physiology and Performance","page":"95-101","source":"journals-humankinetics-com.ezproxy.lib.ou.edu","title":"Relationship Between Pretraining Subjective Wellness Measures, Player Load, and Rating-of-Perceived-Exertion Training Load in American College Football","volume":"13","author":[{"family":"Govus","given":"Andrew D."},{"family":"Coutts","given":"Aaron"},{"family":"Duffield","given":"Rob"},{"family":"Murray","given":"Andrew"},{"family":"Fullagar","given":"Hugh"}],"issued":{"date-parts":[["2018",1,1]]}}},{"id":78,"uris":["http://zotero.org/users/6375206/items/SE6LB57S"],"uri":["http://zotero.org/users/6375206/items/SE6LB57S"],"itemData":{"id":78,"type":"article-journal","abstract":"Background\nPsychological stress and recovery monitoring is a key issue for increasing athletes' health, well-being, and performance. This multi-study report examined changes and the dose–response relationships between recovery–stress psychological states, training load (TL), heart rate (HR), heart rate recovery (HRR), and heart rate variability (HRV) while providing evidence for the factorial validity of a short French version of the Recovery–Stress Questionnaire for Athletes (RESTQ-36-R-Sport).\nMethods\nFour hundred and seventy-three university athletes (Study 1), 72 full expert swimmers (Study 2), and 11 national to international swimmers (Study 3) participated in the study. Data were analyzed through confirmatory factor analyses (Study 1), repeated ANOVAs and correlational analyses (Study 2), t tests and correlational analyses (Study 3).\nResults\nMultiple-group confirmatory factor analyses showed that the RESTQ-36-R-Sport scores were partially invariant across gender, type of sport, and practice level (Study 1). A dose–response relationship was performed between TL and RESTQ-36-R-Sport scores during an ecological training program (Study 2). Finally, relationships were found between physiological (HRR) and psychological (RESTQ-36-R-Sport) states during an ecological tapering period leading to a national championship (Study 3).\nConclusion\nAs a whole, these findings provided evidence for the usefulness of the short version of the RESTQ-36-R-Sport for regular monitoring to prevent potential maladaptation due to intensive competitive sport practice.","container-title":"Journal of Sport and Health Science","DOI":"10.1016/j.jshs.2016.03.007","ISSN":"2095-2546","issue":"1","journalAbbreviation":"Journal of Sport and Health Science","language":"en","page":"77-88","source":"ScienceDirect","title":"Monitoring stress and recovery states: Structural and external stages of the short version of the RESTQ sport in elite swimmers before championships","title-short":"Monitoring stress and recovery states","volume":"8","author":[{"family":"Nicolas","given":"Michel"},{"family":"Vacher","given":"Philippe"},{"family":"Martinent","given":"Guillaume"},{"family":"Mourot","given":"Laurent"}],"issued":{"date-parts":[["2019",1,1]]}}},{"id":94,"uris":["http://zotero.org/users/6375206/items/JPL8GFVA"],"uri":["http://zotero.org/users/6375206/items/JPL8GFVA"],"itemData":{"id":94,"type":"article-journal","abstract":"Background Monitoring athlete well-being is essential to guide training and to detect any progression towards negative health outcomes and associated poor performance. Objective (performance, physiological, biochemical) and subjective measures are all options for athlete monitoring.\nObjective We systematically reviewed objective and subjective measures of athlete well-being. Objective measures, including those taken at rest (eg, blood markers, heart rate) and during exercise (eg, oxygen consumption, heart rate response), were compared against subjective measures (eg, mood, perceived stress). All measures were also evaluated for their response to acute and chronic training load.\nMethods The databases Academic search complete, MEDLINE, PsycINFO, SPORTDiscus and PubMed were searched in May 2014. Fifty-six original studies reported concurrent subjective and objective measures of athlete well-being. The quality and strength of findings of each study were evaluated to determine overall levels of evidence.\nResults Subjective and objective measures of athlete well-being generally did not correlate. Subjective measures reflected acute and chronic training loads with superior sensitivity and consistency than objective measures. Subjective well-being was typically impaired with an acute increase in training load, and also with chronic training, while an acute decrease in training load improved subjective well-being.\nSummary This review provides further support for practitioners to use subjective measures to monitor changes in athlete well-being in response to training. Subjective measures may stand alone, or be incorporated into a mixed methods approach to athlete monitoring, as is current practice in many sport settings.","container-title":"British Journal of Sports Medicine","DOI":"10.1136/bjsports-2015-094758","ISSN":"0306-3674, 1473-0480","issue":"5","journalAbbreviation":"Br J Sports Med","language":"en","note":"publisher: BMJ Publishing Group Ltd and British Association of Sport and Exercise Medicine\nsection: Review\nPMID: 26423706","page":"281-291","source":"bjsm-bmj-com.ezproxy.lib.ou.edu","title":"Monitoring the athlete training response: subjective self-reported measures trump commonly used objective measures: a systematic review","title-short":"Monitoring the athlete training response","volume":"50","author":[{"family":"Saw","given":"Anna E."},{"family":"Main","given":"Luana C."},{"family":"Gastin","given":"Paul B."}],"issued":{"date-parts":[["2016",3,1]]}}}],"schema":"https://github.com/citation-style-language/schema/raw/master/csl-citation.json"}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(Collette et al., 2018; Govus et al., 2018; Nicolas et al., 2019; Saw et al.,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Lastly, subjective measures are typically questionnaires, they can be used frequently, especially shortened versions, </w:t>
      </w:r>
      <w:proofErr w:type="gramStart"/>
      <w:r w:rsidRPr="00890E95">
        <w:rPr>
          <w:rFonts w:ascii="Times New Roman" w:eastAsia="Times New Roman" w:hAnsi="Times New Roman" w:cs="Times New Roman"/>
        </w:rPr>
        <w:t>in order to</w:t>
      </w:r>
      <w:proofErr w:type="gramEnd"/>
      <w:r w:rsidRPr="00890E95">
        <w:rPr>
          <w:rFonts w:ascii="Times New Roman" w:eastAsia="Times New Roman" w:hAnsi="Times New Roman" w:cs="Times New Roman"/>
        </w:rPr>
        <w:t xml:space="preserve"> routinely monitor athletes and adapt training intensities and durations. Many studies have found correlations between internal and external load monitoring measures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{"citationID":"75qtPpXg","properties":{"formattedCitation":"(Govus et al., 2018; McLaren et al., 2018)","plainCitation":"(Govus et al., 2018; McLaren et al., 2018)","noteIndex":0},"citationItems":[{"id":127,"uris":["http://zotero.org/users/6375206/items/UPR2YK8G"],"uri":["http://zotero.org/users/6375206/items/UPR2YK8G"],"itemData":{"id":127,"type":"article-journal","abstract":"&lt;section class=\"abstract\"&gt;&lt;p&gt;&lt;em&gt;&lt;strong&gt;Context&lt;/strong&gt;:&lt;/em&gt; The relationship between pretraining subjective wellness and external and internal training load in American college football is unclear. &lt;strong&gt;&lt;em&gt;Purpose&lt;/em&gt;&lt;/strong&gt;&lt;em&gt;:&lt;/em&gt; To examine the relationship of pretraining subjective wellness (sleep quality, muscle soreness, energy, wellness Z score) with player load and session rating of perceived exertion (s-RPE-TL) in American college football players. &lt;em&gt;&lt;strong&gt;Methods&lt;/strong&gt;:&lt;/em&gt; Subjective wellness (measured using 5-point, Likert-scale questionnaires), external load (derived from GPS and accelerometry), and s-RPE-TL were collected during 3 typical training sessions per week for the second half of an American college football season (8 wk). The relationship of pretraining subjective wellness with player load and s-RPE training load was analyzed using linear mixed models with a random intercept for athlete and a random slope for training session. Standardized mean differences (SMDs) denote the effect magnitude. &lt;em&gt;&lt;strong&gt;Results&lt;/strong&gt;:&lt;/em&gt; A 1-unit increase in wellness &lt;em&gt;Z&lt;/em&gt; score and energy was associated with trivial 2.3% (90% confidence interval [CI] 0.5, 4.2; SMD 0.12) and 2.6% (90% CI 0.1, 5.2; SMD 0.13) increases in player load, respectively. A 1-unit increase in muscle soreness (players felt less sore) corresponded to a trivial 4.4% (90% CI −8.4, −0.3; SMD −0.05) decrease in s-RPE training load. &lt;em&gt;&lt;strong&gt;Conclusion&lt;/strong&gt;:&lt;/em&gt; Measuring pretraining subjective wellness may provide information about players’ capacity to perform in a training session and could be a key determinant of their response to the imposed training demands American college football. Hence, monitoring subjective wellness may aid in the individualization of training prescription in American college football players.&lt;/p&gt;&lt;/section&gt;","container-title":"International Journal of Sports Physiology and Performance","DOI":"10.1123/ijspp.2016-0714","ISSN":"1555-0273, 1555-0265","issue":"1","language":"en_US","note":"publisher: Human Kinetics\nsection: International Journal of Sports Physiology and Performance","page":"95-101","source":"journals-humankinetics-com.ezproxy.lib.ou.edu","title":"Relationship Between Pretraining Subjective Wellness Measures, Player Load, and Rating-of-Perceived-Exertion Training Load in American College Football","volume":"13","author":[{"family":"Govus","given":"Andrew D."},{"family":"Coutts","given":"Aaron"},{"family":"Duffield","given":"Rob"},{"family":"Murray","given":"Andrew"},{"family":"Fullagar","given":"Hugh"}],"issued":{"date-parts":[["2018",1,1]]}}},{"id":180,"uris":["http://zotero.org/users/6375206/items/ZZA2I98T"],"uri":["http://zotero.org/users/6375206/items/ZZA2I98T"],"itemData":{"id":180,"type":"article-journal","abstract":"The associations between internal and external measures of training load and intensity are important in understanding the training process and the validity of specific internal measures.","container-title":"Sports Medicine","DOI":"10.1007/s40279-017-0830-z","ISSN":"1179-2035","issue":"3","journalAbbreviation":"Sports Med","language":"en","page":"641-658","source":"Springer Link","title":"The Relationships Between Internal and External Measures of Training Load and Intensity in Team Sports: A Meta-Analysis","title-short":"The Relationships Between Internal and External Measures of Training Load and Intensity in Team Sports","volume":"48","author":[{"family":"McLaren","given":"Shaun J."},{"family":"Macpherson","given":"Tom W."},{"family":"Coutts","given":"Aaron J."},{"family":"Hurst","given":"Christopher"},{"family":"Spears","given":"Iain R."},{"family":"Weston","given":"Matthew"}],"issued":{"date-parts":[["2018",3,1]]}}}],"schema":"https://github.com/citation-style-language/schema/raw/master/csl-citation.json"}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(Govus et al., 2018; McLaren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Pretraining subjective wellness (soreness, sleep, and energy) was shown to increase about 2.3% with a 1 point increase in PL with significant correlation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{"citationID":"9v4hdFq0","properties":{"formattedCitation":"(Govus et al., 2018)","plainCitation":"(Govus et al., 2018)","noteIndex":0},"citationItems":[{"id":127,"uris":["http://zotero.org/users/6375206/items/UPR2YK8G"],"uri":["http://zotero.org/users/6375206/items/UPR2YK8G"],"itemData":{"id":127,"type":"article-journal","abstract":"&lt;section class=\"abstract\"&gt;&lt;p&gt;&lt;em&gt;&lt;strong&gt;Context&lt;/strong&gt;:&lt;/em&gt; The relationship between pretraining subjective wellness and external and internal training load in American college football is unclear. &lt;strong&gt;&lt;em&gt;Purpose&lt;/em&gt;&lt;/strong&gt;&lt;em&gt;:&lt;/em&gt; To examine the relationship of pretraining subjective wellness (sleep quality, muscle soreness, energy, wellness Z score) with player load and session rating of perceived exertion (s-RPE-TL) in American college football players. &lt;em&gt;&lt;strong&gt;Methods&lt;/strong&gt;:&lt;/em&gt; Subjective wellness (measured using 5-point, Likert-scale questionnaires), external load (derived from GPS and accelerometry), and s-RPE-TL were collected during 3 typical training sessions per week for the second half of an American college football season (8 wk). The relationship of pretraining subjective wellness with player load and s-RPE training load was analyzed using linear mixed models with a random intercept for athlete and a random slope for training session. Standardized mean differences (SMDs) denote the effect magnitude. &lt;em&gt;&lt;strong&gt;Results&lt;/strong&gt;:&lt;/em&gt; A 1-unit increase in wellness &lt;em&gt;Z&lt;/em&gt; score and energy was associated with trivial 2.3% (90% confidence interval [CI] 0.5, 4.2; SMD 0.12) and 2.6% (90% CI 0.1, 5.2; SMD 0.13) increases in player load, respectively. A 1-unit increase in muscle soreness (players felt less sore) corresponded to a trivial 4.4% (90% CI −8.4, −0.3; SMD −0.05) decrease in s-RPE training load. &lt;em&gt;&lt;strong&gt;Conclusion&lt;/strong&gt;:&lt;/em&gt; Measuring pretraining subjective wellness may provide information about players’ capacity to perform in a training session and could be a key determinant of their response to the imposed training demands American college football. Hence, monitoring subjective wellness may aid in the individualization of training prescription in American college football players.&lt;/p&gt;&lt;/section&gt;","container-title":"International Journal of Sports Physiology and Performance","DOI":"10.1123/ijspp.2016-0714","ISSN":"1555-0273, 1555-0265","issue":"1","language":"en_US","note":"publisher: Human Kinetics\nsection: International Journal of Sports Physiology and Performance","page":"95-101","source":"journals-humankinetics-com.ezproxy.lib.ou.edu","title":"Relationship Between Pretraining Subjective Wellness Measures, Player Load, and Rating-of-Perceived-Exertion Training Load in American College Football","volume":"13","author":[{"family":"Govus","given":"Andrew D."},{"family":"Coutts","given":"Aaron"},{"family":"Duffield","given":"Rob"},{"family":"Murray","given":"Andrew"},{"family":"Fullagar","given":"Hugh"}],"issued":{"date-parts":[["2018",1,1]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(Govus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Strong correlations (CI = 0.74-0.83) between internal load (</w:t>
      </w:r>
      <w:proofErr w:type="spellStart"/>
      <w:r w:rsidRPr="00890E95">
        <w:rPr>
          <w:rFonts w:ascii="Times New Roman" w:eastAsia="Times New Roman" w:hAnsi="Times New Roman" w:cs="Times New Roman"/>
        </w:rPr>
        <w:t>sRPE</w:t>
      </w:r>
      <w:proofErr w:type="spellEnd"/>
      <w:r w:rsidRPr="00890E95">
        <w:rPr>
          <w:rFonts w:ascii="Times New Roman" w:eastAsia="Times New Roman" w:hAnsi="Times New Roman" w:cs="Times New Roman"/>
        </w:rPr>
        <w:t xml:space="preserve">) and external load (total distance) have been found in athletes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{"citationID":"ehXGQfem","properties":{"formattedCitation":"(McLaren et al., 2018)","plainCitation":"(McLaren et al., 2018)","noteIndex":0},"citationItems":[{"id":180,"uris":["http://zotero.org/users/6375206/items/ZZA2I98T"],"uri":["http://zotero.org/users/6375206/items/ZZA2I98T"],"itemData":{"id":180,"type":"article-journal","abstract":"The associations between internal and external measures of training load and intensity are important in understanding the training process and the validity of specific internal measures.","container-title":"Sports Medicine","DOI":"10.1007/s40279-017-0830-z","ISSN":"1179-2035","issue":"3","journalAbbreviation":"Sports Med","language":"en","page":"641-658","source":"Springer Link","title":"The Relationships Between Internal and External Measures of Training Load and Intensity in Team Sports: A Meta-Analysis","title-short":"The Relationships Between Internal and External Measures of Training Load and Intensity in Team Sports","volume":"48","author":[{"family":"McLaren","given":"Shaun J."},{"family":"Macpherson","given":"Tom W."},{"family":"Coutts","given":"Aaron J."},{"family":"Hurst","given":"Christopher"},{"family":"Spears","given":"Iain R."},{"family":"Weston","given":"Matthew"}],"issued":{"date-parts":[["2018",3,1]]}}}],"schema":"https://github.com/citation-style-language/schema/raw/master/csl-citation.json"}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(McLaren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Given these strong correlations between monitoring internal and external load, coaches have an opportunity to choose measuring/monitoring approaches congruent with their time, budgetary, and staff constraints. The key to implementation of any load monitoring program</w:t>
      </w:r>
      <w:r w:rsidR="006E4CB9">
        <w:rPr>
          <w:rFonts w:ascii="Times New Roman" w:eastAsia="Times New Roman" w:hAnsi="Times New Roman" w:cs="Times New Roman"/>
        </w:rPr>
        <w:t xml:space="preserve"> </w:t>
      </w:r>
      <w:r w:rsidRPr="00890E95">
        <w:rPr>
          <w:rFonts w:ascii="Times New Roman" w:eastAsia="Times New Roman" w:hAnsi="Times New Roman" w:cs="Times New Roman"/>
        </w:rPr>
        <w:t xml:space="preserve">is the likelihood of getting full and consistent participation from the athletes themselves, and the ease with which data can be organized, analyzed, and disseminated for training adjustments. It would seem the use of both subjective and objective measures in </w:t>
      </w:r>
      <w:r w:rsidRPr="00890E95">
        <w:rPr>
          <w:rFonts w:ascii="Times New Roman" w:eastAsia="Times New Roman" w:hAnsi="Times New Roman" w:cs="Times New Roman"/>
        </w:rPr>
        <w:lastRenderedPageBreak/>
        <w:t>gymnastics could help with the difficulty coaching staffs experience with preparing for four vastly different events.</w:t>
      </w:r>
    </w:p>
    <w:p w14:paraId="230F39CF" w14:textId="2BB72774" w:rsidR="00D313EA" w:rsidRPr="00890E95" w:rsidRDefault="00D313EA" w:rsidP="00263AD5">
      <w:pPr>
        <w:pStyle w:val="Heading3"/>
        <w:rPr>
          <w:rFonts w:eastAsia="Times New Roman" w:cs="Times New Roman"/>
        </w:rPr>
      </w:pPr>
      <w:bookmarkStart w:id="13" w:name="_Toc85791399"/>
      <w:r w:rsidRPr="00890E95">
        <w:rPr>
          <w:rFonts w:eastAsia="Times New Roman" w:cs="Times New Roman"/>
        </w:rPr>
        <w:t>Accelerometry</w:t>
      </w:r>
      <w:bookmarkEnd w:id="13"/>
    </w:p>
    <w:p w14:paraId="1A298116" w14:textId="4C69027A" w:rsidR="00D313EA" w:rsidRPr="00890E95" w:rsidRDefault="00D313EA" w:rsidP="00D313EA">
      <w:pPr>
        <w:spacing w:line="480" w:lineRule="auto"/>
        <w:rPr>
          <w:rFonts w:ascii="Times New Roman" w:eastAsia="Times New Roman" w:hAnsi="Times New Roman" w:cs="Times New Roman"/>
        </w:rPr>
      </w:pPr>
      <w:r w:rsidRPr="00890E95">
        <w:rPr>
          <w:rFonts w:ascii="Times New Roman" w:eastAsia="Times New Roman" w:hAnsi="Times New Roman" w:cs="Times New Roman"/>
          <w:b/>
          <w:bCs/>
        </w:rPr>
        <w:tab/>
      </w:r>
      <w:r w:rsidRPr="00890E95">
        <w:rPr>
          <w:rFonts w:ascii="Times New Roman" w:eastAsia="Times New Roman" w:hAnsi="Times New Roman" w:cs="Times New Roman"/>
        </w:rPr>
        <w:t xml:space="preserve">Accelerometers are devices that monitor movement-related accelerations in all three cardinal planes and associated axes in order to determine the intensity of a bout of exercise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{"citationID":"oB3AB9zO","properties":{"formattedCitation":"(Chen &amp; Bassett, 2005)","plainCitation":"(Chen &amp; Bassett, 2005)","noteIndex":0},"citationItems":[{"id":206,"uris":["http://zotero.org/users/6375206/items/KSH4KBT7"],"uri":["http://zotero.org/users/6375206/items/KSH4KBT7"],"itemData":{"id":206,"type":"article-journal","container-title":"Medicine &amp; Science in Sports &amp; Exercise","DOI":"10.1249/01.mss.0000185571.49104.82","ISSN":"0195-9131","issue":"Supplement","journalAbbreviation":"Medicine &amp; Science in Sports &amp; Exercise","language":"en","page":"S490-S500","source":"DOI.org (Crossref)","title":"The Technology of Accelerometry-Based Activity Monitors: Current and Future:","title-short":"The Technology of Accelerometry-Based Activity Monitors","volume":"37","author":[{"family":"Chen","given":"Kong Y."},{"family":"Bassett","given":"David R."}],"issued":{"date-parts":[["2005",11]]}}}],"schema":"https://github.com/citation-style-language/schema/raw/master/csl-citation.json"}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(Chen &amp; Bassett, 2005)</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Accelerometer-based tracking was first adopted by researchers in the 1980s, but has progressed to a mainstay amongst field-based sports in Europe, Australia, and increasingly in the United States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{"citationID":"RzRTcDeZ","properties":{"formattedCitation":"(Troiano et al., 2014)","plainCitation":"(Troiano et al., 2014)","noteIndex":0},"citationItems":[{"id":201,"uris":["http://zotero.org/users/6375206/items/3HAWA7FC"],"uri":["http://zotero.org/users/6375206/items/3HAWA7FC"],"itemData":{"id":201,"type":"article-journal","abstract":"The technology and application of current accelerometer-based devices in physical activity (PA) research allow the capture and storage or transmission of large volumes of raw acceleration signal data. These rich data not only provide opportunities to improve PA characterisation, but also bring logistical and analytic challenges. We discuss how researchers and developers from multiple disciplines are responding to the analytic challenges and how advances in data storage, transmission and big data computing will minimise logistical challenges. These new approaches also bring the need for several paradigm shifts for PA researchers, including a shift from count-based approaches and regression calibrations for PA energy expenditure (PAEE) estimation to activity characterisation and EE estimation based on features extracted from raw acceleration signals. Furthermore, a collaborative approach towards analytic methods is proposed to facilitate PA research, which requires a shift away from multiple independent calibration studies. Finally, we make the case for a distinction between PA represented by accelerometer-based devices and PA assessed by self-report.","container-title":"British Journal of Sports Medicine","DOI":"10.1136/bjsports-2014-093546","ISSN":"0306-3674, 1473-0480","issue":"13","journalAbbreviation":"Br J Sports Med","language":"en","note":"publisher: BMJ Publishing Group Ltd and British Association of Sport and Exercise Medicine\nsection: Review\nPMID: 24782483","page":"1019-1023","source":"bjsm-bmj-com.ezproxy.lib.ou.edu","title":"Evolution of accelerometer methods for physical activity research","volume":"48","author":[{"family":"Troiano","given":"Richard P."},{"family":"McClain","given":"James J."},{"family":"Brychta","given":"Robert J."},{"family":"Chen","given":"Kong Y."}],"issued":{"date-parts":[["2014",7,1]]}}}],"schema":"https://github.com/citation-style-language/schema/raw/master/csl-citation.json"}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(Troiano et al., 2014)</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The popularization of accelerometry comes, in part, as a result of the devices becoming more reliable and affordable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{"citationID":"1Vz67XUu","properties":{"formattedCitation":"(Chen &amp; Bassett, 2005; Troiano et al., 2014)","plainCitation":"(Chen &amp; Bassett, 2005; Troiano et al., 2014)","noteIndex":0},"citationItems":[{"id":206,"uris":["http://zotero.org/users/6375206/items/KSH4KBT7"],"uri":["http://zotero.org/users/6375206/items/KSH4KBT7"],"itemData":{"id":206,"type":"article-journal","container-title":"Medicine &amp; Science in Sports &amp; Exercise","DOI":"10.1249/01.mss.0000185571.49104.82","ISSN":"0195-9131","issue":"Supplement","journalAbbreviation":"Medicine &amp; Science in Sports &amp; Exercise","language":"en","page":"S490-S500","source":"DOI.org (Crossref)","title":"The Technology of Accelerometry-Based Activity Monitors: Current and Future:","title-short":"The Technology of Accelerometry-Based Activity Monitors","volume":"37","author":[{"family":"Chen","given":"Kong Y."},{"family":"Bassett","given":"David R."}],"issued":{"date-parts":[["2005",11]]}}},{"id":201,"uris":["http://zotero.org/users/6375206/items/3HAWA7FC"],"uri":["http://zotero.org/users/6375206/items/3HAWA7FC"],"itemData":{"id":201,"type":"article-journal","abstract":"The technology and application of current accelerometer-based devices in physical activity (PA) research allow the capture and storage or transmission of large volumes of raw acceleration signal data. These rich data not only provide opportunities to improve PA characterisation, but also bring logistical and analytic challenges. We discuss how researchers and developers from multiple disciplines are responding to the analytic challenges and how advances in data storage, transmission and big data computing will minimise logistical challenges. These new approaches also bring the need for several paradigm shifts for PA researchers, including a shift from count-based approaches and regression calibrations for PA energy expenditure (PAEE) estimation to activity characterisation and EE estimation based on features extracted from raw acceleration signals. Furthermore, a collaborative approach towards analytic methods is proposed to facilitate PA research, which requires a shift away from multiple independent calibration studies. Finally, we make the case for a distinction between PA represented by accelerometer-based devices and PA assessed by self-report.","container-title":"British Journal of Sports Medicine","DOI":"10.1136/bjsports-2014-093546","ISSN":"0306-3674, 1473-0480","issue":"13","journalAbbreviation":"Br J Sports Med","language":"en","note":"publisher: BMJ Publishing Group Ltd and British Association of Sport and Exercise Medicine\nsection: Review\nPMID: 24782483","page":"1019-1023","source":"bjsm-bmj-com.ezproxy.lib.ou.edu","title":"Evolution of accelerometer methods for physical activity research","volume":"48","author":[{"family":"Troiano","given":"Richard P."},{"family":"McClain","given":"James J."},{"family":"Brychta","given":"Robert J."},{"family":"Chen","given":"Kong Y."}],"issued":{"date-parts":[["2014",7,1]]}}}],"schema":"https://github.com/citation-style-language/schema/raw/master/csl-citation.json"}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(Chen &amp; Bassett, 2005; Troiano et al., 2014)</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Previously, accelerometers were a single-use device, however more recently, devices that measure accelerometry have begun to include other measures such as heart rate, ECG, and temperature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{"citationID":"322aIppT","properties":{"formattedCitation":"(Chen &amp; Bassett, 2005)","plainCitation":"(Chen &amp; Bassett, 2005)","noteIndex":0},"citationItems":[{"id":206,"uris":["http://zotero.org/users/6375206/items/KSH4KBT7"],"uri":["http://zotero.org/users/6375206/items/KSH4KBT7"],"itemData":{"id":206,"type":"article-journal","container-title":"Medicine &amp; Science in Sports &amp; Exercise","DOI":"10.1249/01.mss.0000185571.49104.82","ISSN":"0195-9131","issue":"Supplement","journalAbbreviation":"Medicine &amp; Science in Sports &amp; Exercise","language":"en","page":"S490-S500","source":"DOI.org (Crossref)","title":"The Technology of Accelerometry-Based Activity Monitors: Current and Future:","title-short":"The Technology of Accelerometry-Based Activity Monitors","volume":"37","author":[{"family":"Chen","given":"Kong Y."},{"family":"Bassett","given":"David R."}],"issued":{"date-parts":[["2005",11]]}}}],"schema":"https://github.com/citation-style-language/schema/raw/master/csl-citation.json"}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(Chen &amp; Bassett, 2005)</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w:t>
      </w:r>
    </w:p>
    <w:p w14:paraId="4549D606" w14:textId="7390ECF1" w:rsidR="00D313EA" w:rsidRPr="00890E95" w:rsidRDefault="00D313EA" w:rsidP="00D313EA">
      <w:pPr>
        <w:spacing w:line="480" w:lineRule="auto"/>
        <w:rPr>
          <w:rFonts w:ascii="Times New Roman" w:eastAsia="Times New Roman" w:hAnsi="Times New Roman" w:cs="Times New Roman"/>
        </w:rPr>
      </w:pPr>
      <w:r w:rsidRPr="00890E95">
        <w:rPr>
          <w:rFonts w:ascii="Times New Roman" w:eastAsia="Times New Roman" w:hAnsi="Times New Roman" w:cs="Times New Roman"/>
        </w:rPr>
        <w:tab/>
        <w:t xml:space="preserve">In one recent study, accelerometry-based devices were used to determine differences between positions in NCAA Division I football players via inertial movement analysis, distance covered, and maximum velocity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{"citationID":"HEU3Cm4x","properties":{"formattedCitation":"(Bayliff et al., 2019)","plainCitation":"(Bayliff et al., 2019)","noteIndex":0},"citationItems":[{"id":219,"uris":["http://zotero.org/users/6375206/items/EG37H3A5"],"uri":["http://zotero.org/users/6375206/items/EG37H3A5"],"itemData":{"id":219,"type":"article-journal","abstract":"Bayliff, GE, Jacobson, BH, Moghaddam, M, and Estrada, C. Global positioning system monitoring of selected physical demands of NCAA Division I football players during games. J Strength Cond Res 33(5): 1185–1191, 2019—Global positioning system (GPS) tracking of athletes in selected sports is a new innovation into obtaining comprehensive data regarding physical output with respect to distance travelled (DT), acceleration, and change of direction. The purpose of this study was to determine selected physical demands of American football players during the course of games and to compare such data by player position. Offensive lineman (OL) (n = 14) and defensive lineman (DL) (n = 9) and offensive wide receivers (WRs) (n = 10) and defensive backs (DBs) (n = 10) were fitted with GPS monitors during games. Collected data included DT, maximum velocity (MV), and acceleration (AC), deceleration (DC) distance at 2 intensities. Results indicated that DBs travelled significantly (p &lt; 0.05) greater distances than OL and WR, but not DL. For MV, DBs and WRs were not significantly different but were significantly different from OL and DL. Also, DL was significantly different than OL. For the most intense acceleration (3–10 m·s−2), WR accelerated significantly further than all other positions and DBs accelerated further than DL and OL. There was not significant difference between DL and OL. For deceleration at the high-intensity measure, significant differences existed among all positions. Underestimation of workload during games could be a factor for the overuse and soft-tissue injuries and more serious injuries. Furthermore, using GPS tracking of similar variables as found in this study may benefit coaches and trainers in many other high-intensity sports.","container-title":"The Journal of Strength &amp; Conditioning Research","DOI":"10.1519/JSC.0000000000003137","ISSN":"1064-8011","issue":"5","language":"en-US","page":"1185–1191","source":"journals-lww-com.ezproxy.lib.ou.edu","title":"Global Positioning System Monitoring of Selected Physical Demands of NCAA Division I Football Players During Games","volume":"33","author":[{"family":"Bayliff","given":"Garrett E."},{"family":"Jacobson","given":"Bert H."},{"family":"Moghaddam","given":"Masoud"},{"family":"Estrada","given":"Carlos"}],"issued":{"date-parts":[["2019",5]]}}}],"schema":"https://github.com/citation-style-language/schema/raw/master/csl-citation.json"}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(Bayliff et al., 2019)</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Significant differences were found between positions in each measure, which suggests that an individualized training approach may be necessary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{"citationID":"lrv5xHGy","properties":{"formattedCitation":"(Bayliff et al., 2019)","plainCitation":"(Bayliff et al., 2019)","noteIndex":0},"citationItems":[{"id":219,"uris":["http://zotero.org/users/6375206/items/EG37H3A5"],"uri":["http://zotero.org/users/6375206/items/EG37H3A5"],"itemData":{"id":219,"type":"article-journal","abstract":"Bayliff, GE, Jacobson, BH, Moghaddam, M, and Estrada, C. Global positioning system monitoring of selected physical demands of NCAA Division I football players during games. J Strength Cond Res 33(5): 1185–1191, 2019—Global positioning system (GPS) tracking of athletes in selected sports is a new innovation into obtaining comprehensive data regarding physical output with respect to distance travelled (DT), acceleration, and change of direction. The purpose of this study was to determine selected physical demands of American football players during the course of games and to compare such data by player position. Offensive lineman (OL) (n = 14) and defensive lineman (DL) (n = 9) and offensive wide receivers (WRs) (n = 10) and defensive backs (DBs) (n = 10) were fitted with GPS monitors during games. Collected data included DT, maximum velocity (MV), and acceleration (AC), deceleration (DC) distance at 2 intensities. Results indicated that DBs travelled significantly (p &lt; 0.05) greater distances than OL and WR, but not DL. For MV, DBs and WRs were not significantly different but were significantly different from OL and DL. Also, DL was significantly different than OL. For the most intense acceleration (3–10 m·s−2), WR accelerated significantly further than all other positions and DBs accelerated further than DL and OL. There was not significant difference between DL and OL. For deceleration at the high-intensity measure, significant differences existed among all positions. Underestimation of workload during games could be a factor for the overuse and soft-tissue injuries and more serious injuries. Furthermore, using GPS tracking of similar variables as found in this study may benefit coaches and trainers in many other high-intensity sports.","container-title":"The Journal of Strength &amp; Conditioning Research","DOI":"10.1519/JSC.0000000000003137","ISSN":"1064-8011","issue":"5","language":"en-US","page":"1185–1191","source":"journals-lww-com.ezproxy.lib.ou.edu","title":"Global Positioning System Monitoring of Selected Physical Demands of NCAA Division I Football Players During Games","volume":"33","author":[{"family":"Bayliff","given":"Garrett E."},{"family":"Jacobson","given":"Bert H."},{"family":"Moghaddam","given":"Masoud"},{"family":"Estrada","given":"Carlos"}],"issued":{"date-parts":[["2019",5]]}}}],"schema":"https://github.com/citation-style-language/schema/raw/master/csl-citation.json"}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(Bayliff et al., 2019)</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Similarly, gymnasts participate in unique events, resulting in the need for assessment of individualized demands placed on the body. Much of the forces seen in gymnastics are in a vertical direction, with torques primarily occurring around the superoinferior and mediolateral axes.</w:t>
      </w:r>
    </w:p>
    <w:p w14:paraId="3CA48463" w14:textId="19DEC59A" w:rsidR="00D313EA" w:rsidRPr="00890E95" w:rsidRDefault="00D313EA" w:rsidP="00D313EA">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Training load in athletes is the relative physical and psychological stressors placed on an individual athlete throughout a session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{"citationID":"WcYreUAg","properties":{"formattedCitation":"(Bourdon et al., 2017)","plainCitation":"(Bourdon et al., 2017)","noteIndex":0},"citationItems":[{"id":207,"uris":["http://zotero.org/users/6375206/items/9SW5FQBV"],"uri":["http://zotero.org/users/6375206/items/9SW5FQBV"],"itemData":{"id":207,"type":"article-journal","abstract":"Monitoring the load placed on athletes in both training and competition has become a very hot topic in sport science. Both scientists and coaches routinely monitor training loads using multidisciplinary approaches, and the pursuit of the best methodologies to capture and interpret data has produced an exponential increase in empirical and applied research. Indeed, the field has developed with such speed in recent years that it has given rise to industries aimed at developing new and novel paradigms to allow us to precisely quantify the internal and external loads placed on athletes and to help protect them from injury and ill health. In February 2016, a conference on \"Monitoring Athlete Training Loads--The Hows and the Whys\" was convened in Doha, Qatar, which brought together experts from around the world to share their applied research and contemporary practices in this rapidly growing field and also to investigate where it may branch to in the future. This consensus statement brings together the key findings and recommendations from this conference in a shared conceptual framework for use by coaches, sport-science and -medicine staff, and other related professionals who have an interest in monitoring athlete training loads and serves to provide an outline on what athlete-load monitoring is and how it is being applied in research and practice, why load monitoring is important and what the underlying rationale and prospective goals of monitoring are, and where athlete-load monitoring is heading in the future. ABSTRACT FROM AUTHOR","container-title":"International Journal of Sports Physiology &amp; Performance","ISSN":"15550265","journalAbbreviation":"International Journal of Sports Physiology &amp; Performance","note":"number-of-pages: S2-170","page":"S2-161","source":"EBSCOhost","title":"Monitoring Athlete Training Loads: Consensus Statement","title-short":"Monitoring Athlete Training Loads","volume":"12","author":[{"family":"Bourdon","given":"Pitre C."},{"family":"Cardinale","given":"Marco"},{"family":"Murray","given":"Andrew"},{"family":"Gastin","given":"Paul"},{"family":"Kellmann","given":"Michael"},{"family":"Varley","given":"Matthew C."},{"family":"Gabbett","given":"Tim J."},{"family":"Coutts","given":"Aaron J."},{"family":"Burgess","given":"Darren J."},{"family":"Gregson","given":"Warren"},{"family":"Cable","given":"N. Timothy"}],"issued":{"date-parts":[["2017",4,3]]}}}],"schema":"https://github.com/citation-style-language/schema/raw/master/csl-citation.json"}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(Bourdon et al., 2017)</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Monitoring training load in athletes can identify changes in performance, aid in periodization for coaches, evaluate readiness </w:t>
      </w:r>
      <w:r w:rsidRPr="00890E95">
        <w:rPr>
          <w:rFonts w:ascii="Times New Roman" w:eastAsia="Times New Roman" w:hAnsi="Times New Roman" w:cs="Times New Roman"/>
        </w:rPr>
        <w:lastRenderedPageBreak/>
        <w:t xml:space="preserve">to play, and assess fatigue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{"citationID":"FLwULz0w","properties":{"formattedCitation":"(Bourdon et al., 2017; Halson, 2014)","plainCitation":"(Bourdon et al., 2017; Halson, 2014)","noteIndex":0},"citationItems":[{"id":207,"uris":["http://zotero.org/users/6375206/items/9SW5FQBV"],"uri":["http://zotero.org/users/6375206/items/9SW5FQBV"],"itemData":{"id":207,"type":"article-journal","abstract":"Monitoring the load placed on athletes in both training and competition has become a very hot topic in sport science. Both scientists and coaches routinely monitor training loads using multidisciplinary approaches, and the pursuit of the best methodologies to capture and interpret data has produced an exponential increase in empirical and applied research. Indeed, the field has developed with such speed in recent years that it has given rise to industries aimed at developing new and novel paradigms to allow us to precisely quantify the internal and external loads placed on athletes and to help protect them from injury and ill health. In February 2016, a conference on \"Monitoring Athlete Training Loads--The Hows and the Whys\" was convened in Doha, Qatar, which brought together experts from around the world to share their applied research and contemporary practices in this rapidly growing field and also to investigate where it may branch to in the future. This consensus statement brings together the key findings and recommendations from this conference in a shared conceptual framework for use by coaches, sport-science and -medicine staff, and other related professionals who have an interest in monitoring athlete training loads and serves to provide an outline on what athlete-load monitoring is and how it is being applied in research and practice, why load monitoring is important and what the underlying rationale and prospective goals of monitoring are, and where athlete-load monitoring is heading in the future. ABSTRACT FROM AUTHOR","container-title":"International Journal of Sports Physiology &amp; Performance","ISSN":"15550265","journalAbbreviation":"International Journal of Sports Physiology &amp; Performance","note":"number-of-pages: S2-170","page":"S2-161","source":"EBSCOhost","title":"Monitoring Athlete Training Loads: Consensus Statement","title-short":"Monitoring Athlete Training Loads","volume":"12","author":[{"family":"Bourdon","given":"Pitre C."},{"family":"Cardinale","given":"Marco"},{"family":"Murray","given":"Andrew"},{"family":"Gastin","given":"Paul"},{"family":"Kellmann","given":"Michael"},{"family":"Varley","given":"Matthew C."},{"family":"Gabbett","given":"Tim J."},{"family":"Coutts","given":"Aaron J."},{"family":"Burgess","given":"Darren J."},{"family":"Gregson","given":"Warren"},{"family":"Cable","given":"N. Timothy"}],"issued":{"date-parts":[["2017",4,3]]}}},{"id":132,"uris":["http://zotero.org/users/6375206/items/3XQ5H35U"],"uri":["http://zotero.org/users/6375206/items/3XQ5H35U"],"itemData":{"id":132,"type":"article-journal","abstract":"Many athletes, coaches, and support staff are taking an increasingly scientific approach to both designing and monitoring training programs. Appropriate load monitoring can aid in determining whether an athlete is adapting to a training program and in minimizing the risk of developing non-functional overreaching, illness, and/or injury. In order to gain an understanding of the training load and its effect on the athlete, a number of potential markers are available for use. However, very few of these markers have strong scientific evidence supporting their use, and there is yet to be a single, definitive marker described in the literature. Research has investigated a number of external load quantifying and monitoring tools, such as power output measuring devices, time-motion analysis, as well as internal load unit measures, including perception of effort, heart rate, blood lactate, and training impulse. Dissociation between external and internal load units may reveal the state of fatigue of an athlete. Other monitoring tools used by high-performance programs include heart rate recovery, neuromuscular function, biochemical/hormonal/immunological assessments, questionnaires and diaries, psychomotor speed, and sleep quality and quantity. The monitoring approach taken with athletes may depend on whether the athlete is engaging in individual or team sport activity; however, the importance of individualization of load monitoring cannot be over emphasized. Detecting meaningful changes with scientific and statistical approaches can provide confidence and certainty when implementing change. Appropriate monitoring of training load can provide important information to athletes and coaches; however, monitoring systems should be intuitive, provide efficient data analysis and interpretation, and enable efficient reporting of simple, yet scientifically valid, feedback.","container-title":"Sports Medicine","DOI":"10.1007/s40279-014-0253-z","ISSN":"1179-2035","issue":"2","journalAbbreviation":"Sports Med","language":"en","page":"139-147","source":"Springer Link","title":"Monitoring Training Load to Understand Fatigue in Athletes","volume":"44","author":[{"family":"Halson","given":"Shona L."}],"issued":{"date-parts":[["2014",11,1]]}}}],"schema":"https://github.com/citation-style-language/schema/raw/master/csl-citation.json"}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(Bourdon et al., 2017; Halson, 2014)</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Individually monitoring training load can help determine differences in position or event</w:t>
      </w:r>
      <w:r w:rsidR="006E4CB9">
        <w:rPr>
          <w:rFonts w:ascii="Times New Roman" w:eastAsia="Times New Roman" w:hAnsi="Times New Roman" w:cs="Times New Roman"/>
        </w:rPr>
        <w:t xml:space="preserve"> </w:t>
      </w:r>
      <w:r w:rsidR="006E4CB9">
        <w:rPr>
          <w:rFonts w:ascii="Times New Roman" w:eastAsia="Times New Roman" w:hAnsi="Times New Roman" w:cs="Times New Roman"/>
        </w:rPr>
        <w:fldChar w:fldCharType="begin"/>
      </w:r>
      <w:r w:rsidR="006E4CB9">
        <w:rPr>
          <w:rFonts w:ascii="Times New Roman" w:eastAsia="Times New Roman" w:hAnsi="Times New Roman" w:cs="Times New Roman"/>
        </w:rPr>
        <w:instrText xml:space="preserve"> ADDIN ZOTERO_ITEM CSL_CITATION {"citationID":"5LPgXVVN","properties":{"formattedCitation":"(Bayliff et al., 2019)","plainCitation":"(Bayliff et al., 2019)","noteIndex":0},"citationItems":[{"id":219,"uris":["http://zotero.org/users/6375206/items/EG37H3A5"],"uri":["http://zotero.org/users/6375206/items/EG37H3A5"],"itemData":{"id":219,"type":"article-journal","abstract":"Bayliff, GE, Jacobson, BH, Moghaddam, M, and Estrada, C. Global positioning system monitoring of selected physical demands of NCAA Division I football players during games. J Strength Cond Res 33(5): 1185–1191, 2019—Global positioning system (GPS) tracking of athletes in selected sports is a new innovation into obtaining comprehensive data regarding physical output with respect to distance travelled (DT), acceleration, and change of direction. The purpose of this study was to determine selected physical demands of American football players during the course of games and to compare such data by player position. Offensive lineman (OL) (n = 14) and defensive lineman (DL) (n = 9) and offensive wide receivers (WRs) (n = 10) and defensive backs (DBs) (n = 10) were fitted with GPS monitors during games. Collected data included DT, maximum velocity (MV), and acceleration (AC), deceleration (DC) distance at 2 intensities. Results indicated that DBs travelled significantly (p &lt; 0.05) greater distances than OL and WR, but not DL. For MV, DBs and WRs were not significantly different but were significantly different from OL and DL. Also, DL was significantly different than OL. For the most intense acceleration (3–10 m·s−2), WR accelerated significantly further than all other positions and DBs accelerated further than DL and OL. There was not significant difference between DL and OL. For deceleration at the high-intensity measure, significant differences existed among all positions. Underestimation of workload during games could be a factor for the overuse and soft-tissue injuries and more serious injuries. Furthermore, using GPS tracking of similar variables as found in this study may benefit coaches and trainers in many other high-intensity sports.","container-title":"The Journal of Strength &amp; Conditioning Research","DOI":"10.1519/JSC.0000000000003137","ISSN":"1064-8011","issue":"5","language":"en-US","page":"1185–1191","source":"journals-lww-com.ezproxy.lib.ou.edu","title":"Global Positioning System Monitoring of Selected Physical Demands of NCAA Division I Football Players During Games","volume":"33","author":[{"family":"Bayliff","given":"Garrett E."},{"family":"Jacobson","given":"Bert H."},{"family":"Moghaddam","given":"Masoud"},{"family":"Estrada","given":"Carlos"}],"issued":{"date-parts":[["2019",5]]}}}],"schema":"https://github.com/citation-style-language/schema/raw/master/csl-citation.json"} </w:instrText>
      </w:r>
      <w:r w:rsidR="006E4CB9">
        <w:rPr>
          <w:rFonts w:ascii="Times New Roman" w:eastAsia="Times New Roman" w:hAnsi="Times New Roman" w:cs="Times New Roman"/>
        </w:rPr>
        <w:fldChar w:fldCharType="separate"/>
      </w:r>
      <w:r w:rsidR="006E4CB9">
        <w:rPr>
          <w:rFonts w:ascii="Times New Roman" w:eastAsia="Times New Roman" w:hAnsi="Times New Roman" w:cs="Times New Roman"/>
          <w:noProof/>
        </w:rPr>
        <w:t>(Bayliff et al., 2019)</w:t>
      </w:r>
      <w:r w:rsidR="006E4CB9">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Player load (PL) (proprietary to Catapult Sports Innovations) is a measure of external load taken by accelerometers contained in their GPS-enabled tracking device, which also contains a triaxial gyroscope, and magnetometers to detect geographical orientation. As mentioned previously, external load is the demand placed on athletes throughout training, practice, and competition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{"citationID":"uaN50hxf","properties":{"formattedCitation":"(Bredt et al., 2020)","plainCitation":"(Bredt et al., 2020)","noteIndex":0},"citationItems":[{"id":38,"uris":["http://zotero.org/users/6375206/items/XLILA6EJ"],"uri":["http://zotero.org/users/6375206/items/XLILA6EJ"],"itemData":{"id":38,"type":"article-journal","abstract":"We present a critical reflection on the mechanical variable Player Load, which is based on acceleration data and commonly used in sports. Our motivation to write this paper came from the difficulties that we encountered in the calculation and interpretation of Player Load using our own data, since we did not use the Catapult Sports equipment, which is a merchandise of the company that proposed this variable. We reviewed existing literature in order to understand Player Load better; we found many inconsistencies in PL calculation methods and in the meanings attached to it. Accordingly, this paper presents a brief discussion on the meanings that have been assigned to Player Load, its limitations, and the lack of clear and complete information about Player Load calculation methods. Moreover, the use of arbitrary units and different practical meanings in the literature has associated Player Load with many physical quantities, thereby resulting in difficulties in determining what Player Load measures within the context of sports. It seems that Player Load is related to the magnitude of changes in acceleration, but not the magnitude of acceleration itself. Therefore, coaches and sports scientists should take this information into account when they use Player Load to prescribe and monitor external loads. We concluded that a deeper discussion of Player Load as a descriptor of external load is warranted in the sports sciences literature. ABSTRACT FROM AUTHOR","container-title":"Journal of Human Kinetics","ISSN":"16405544","issue":"1","journalAbbreviation":"Journal of Human Kinetics","page":"5-9","source":"EBSCOhost","title":"Understanding Player Load: Meanings and Limitations","title-short":"Understanding Player Load","volume":"71","author":[{"family":"Bredt","given":"Sarah da Glória Teles"},{"family":"Chagas","given":"Mauro Heleno"},{"family":"Peixoto","given":"Gustavo Henrique"},{"family":"Menzel","given":"Hans Joachim"},{"family":"Andrade","given":"André Gustavo Pereira","dropping-particle":"de"}],"issued":{"date-parts":[["2020",1]]}}}],"schema":"https://github.com/citation-style-language/schema/raw/master/csl-citation.json"}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(Bredt et al., 2020)</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Player load is calculated with a formula taking changes in acceleration in all three planes into account:</w:t>
      </w:r>
    </w:p>
    <w:p w14:paraId="0E77AC80" w14:textId="77777777" w:rsidR="00D313EA" w:rsidRPr="00890E95" w:rsidRDefault="00D313EA" w:rsidP="00D313EA">
      <w:pPr>
        <w:spacing w:line="480" w:lineRule="auto"/>
        <w:rPr>
          <w:rFonts w:ascii="Times New Roman" w:eastAsia="Times New Roman" w:hAnsi="Times New Roman" w:cs="Times New Roman"/>
        </w:rPr>
      </w:pPr>
      <w:r w:rsidRPr="00890E95">
        <w:rPr>
          <w:rFonts w:ascii="Times New Roman" w:eastAsia="Times New Roman" w:hAnsi="Times New Roman" w:cs="Times New Roman"/>
        </w:rPr>
        <w:t xml:space="preserve">Player load = </w:t>
      </w:r>
      <m:oMath>
        <m:rad>
          <m:radPr>
            <m:degHide m:val="1"/>
            <m:ctrlPr>
              <w:rPr>
                <w:rFonts w:ascii="Cambria Math" w:eastAsia="Times New Roman" w:hAnsi="Cambria Math" w:cs="Times New Roman"/>
                <w:i/>
              </w:rPr>
            </m:ctrlPr>
          </m:radPr>
          <m:deg/>
          <m:e>
            <m:f>
              <m:fPr>
                <m:ctrlPr>
                  <w:rPr>
                    <w:rFonts w:ascii="Cambria Math" w:eastAsia="Times New Roman" w:hAnsi="Cambria Math" w:cs="Times New Roman"/>
                    <w:i/>
                  </w:rPr>
                </m:ctrlPr>
              </m:fPr>
              <m:num>
                <m:sSup>
                  <m:sSupPr>
                    <m:ctrlPr>
                      <w:rPr>
                        <w:rFonts w:ascii="Cambria Math" w:eastAsia="Times New Roman" w:hAnsi="Cambria Math" w:cs="Times New Roman"/>
                        <w:i/>
                      </w:rPr>
                    </m:ctrlPr>
                  </m:sSupPr>
                  <m:e>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x1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x-1</m:t>
                        </m:r>
                      </m:sub>
                    </m:sSub>
                    <m:r>
                      <w:rPr>
                        <w:rFonts w:ascii="Cambria Math" w:eastAsia="Times New Roman" w:hAnsi="Cambria Math" w:cs="Times New Roman"/>
                      </w:rPr>
                      <m:t>)</m:t>
                    </m:r>
                  </m:e>
                  <m:sup>
                    <m:r>
                      <w:rPr>
                        <w:rFonts w:ascii="Cambria Math" w:eastAsia="Times New Roman" w:hAnsi="Cambria Math" w:cs="Times New Roman"/>
                      </w:rPr>
                      <m:t>2</m:t>
                    </m:r>
                  </m:sup>
                </m:sSup>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y1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y-1</m:t>
                        </m:r>
                      </m:sub>
                    </m:sSub>
                    <m:r>
                      <w:rPr>
                        <w:rFonts w:ascii="Cambria Math" w:eastAsia="Times New Roman" w:hAnsi="Cambria Math" w:cs="Times New Roman"/>
                      </w:rPr>
                      <m:t>)</m:t>
                    </m:r>
                  </m:e>
                  <m:sup>
                    <m:r>
                      <w:rPr>
                        <w:rFonts w:ascii="Cambria Math" w:eastAsia="Times New Roman" w:hAnsi="Cambria Math" w:cs="Times New Roman"/>
                      </w:rPr>
                      <m:t>2</m:t>
                    </m:r>
                  </m:sup>
                </m:sSup>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z1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z-1</m:t>
                        </m:r>
                      </m:sub>
                    </m:sSub>
                    <m:r>
                      <w:rPr>
                        <w:rFonts w:ascii="Cambria Math" w:eastAsia="Times New Roman" w:hAnsi="Cambria Math" w:cs="Times New Roman"/>
                      </w:rPr>
                      <m:t>)</m:t>
                    </m:r>
                  </m:e>
                  <m:sup>
                    <m:r>
                      <w:rPr>
                        <w:rFonts w:ascii="Cambria Math" w:eastAsia="Times New Roman" w:hAnsi="Cambria Math" w:cs="Times New Roman"/>
                      </w:rPr>
                      <m:t>2</m:t>
                    </m:r>
                  </m:sup>
                </m:sSup>
              </m:num>
              <m:den>
                <m:r>
                  <w:rPr>
                    <w:rFonts w:ascii="Cambria Math" w:eastAsia="Times New Roman" w:hAnsi="Cambria Math" w:cs="Times New Roman"/>
                  </w:rPr>
                  <m:t>100</m:t>
                </m:r>
              </m:den>
            </m:f>
          </m:e>
        </m:rad>
      </m:oMath>
    </w:p>
    <w:p w14:paraId="20215882" w14:textId="77777777" w:rsidR="00D313EA" w:rsidRPr="00890E95" w:rsidRDefault="00D313EA" w:rsidP="00D313EA">
      <w:pPr>
        <w:spacing w:line="480" w:lineRule="auto"/>
        <w:rPr>
          <w:rFonts w:ascii="Times New Roman" w:eastAsia="Times New Roman" w:hAnsi="Times New Roman" w:cs="Times New Roman"/>
        </w:rPr>
      </w:pPr>
      <w:r w:rsidRPr="00890E95">
        <w:rPr>
          <w:rFonts w:ascii="Times New Roman" w:eastAsia="Times New Roman" w:hAnsi="Times New Roman" w:cs="Times New Roman"/>
        </w:rPr>
        <w:t xml:space="preserve">with </w:t>
      </w:r>
      <w:r w:rsidRPr="00890E95">
        <w:rPr>
          <w:rFonts w:ascii="Times New Roman" w:eastAsia="Times New Roman" w:hAnsi="Times New Roman" w:cs="Times New Roman"/>
          <w:i/>
        </w:rPr>
        <w:t>x</w:t>
      </w:r>
      <w:r w:rsidRPr="00890E95">
        <w:rPr>
          <w:rFonts w:ascii="Times New Roman" w:eastAsia="Times New Roman" w:hAnsi="Times New Roman" w:cs="Times New Roman"/>
        </w:rPr>
        <w:t xml:space="preserve">, </w:t>
      </w:r>
      <w:r w:rsidRPr="00890E95">
        <w:rPr>
          <w:rFonts w:ascii="Times New Roman" w:eastAsia="Times New Roman" w:hAnsi="Times New Roman" w:cs="Times New Roman"/>
          <w:i/>
        </w:rPr>
        <w:t>y</w:t>
      </w:r>
      <w:r w:rsidRPr="00890E95">
        <w:rPr>
          <w:rFonts w:ascii="Times New Roman" w:eastAsia="Times New Roman" w:hAnsi="Times New Roman" w:cs="Times New Roman"/>
        </w:rPr>
        <w:t xml:space="preserve">, and </w:t>
      </w:r>
      <w:r w:rsidRPr="00890E95">
        <w:rPr>
          <w:rFonts w:ascii="Times New Roman" w:eastAsia="Times New Roman" w:hAnsi="Times New Roman" w:cs="Times New Roman"/>
          <w:i/>
        </w:rPr>
        <w:t xml:space="preserve">z </w:t>
      </w:r>
      <w:r w:rsidRPr="00890E95">
        <w:rPr>
          <w:rFonts w:ascii="Times New Roman" w:eastAsia="Times New Roman" w:hAnsi="Times New Roman" w:cs="Times New Roman"/>
        </w:rPr>
        <w:t xml:space="preserve">variables representing their respective plane and </w:t>
      </w:r>
      <w:r w:rsidRPr="00890E95">
        <w:rPr>
          <w:rFonts w:ascii="Times New Roman" w:eastAsia="Times New Roman" w:hAnsi="Times New Roman" w:cs="Times New Roman"/>
          <w:i/>
        </w:rPr>
        <w:t>a</w:t>
      </w:r>
      <w:r w:rsidRPr="00890E95">
        <w:rPr>
          <w:rFonts w:ascii="Times New Roman" w:eastAsia="Times New Roman" w:hAnsi="Times New Roman" w:cs="Times New Roman"/>
        </w:rPr>
        <w:t xml:space="preserve"> representing acceleration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{"citationID":"MNWEfiOn","properties":{"formattedCitation":"(Boyd et al., 2011)","plainCitation":"(Boyd et al., 2011)","noteIndex":0},"citationItems":[{"id":55,"uris":["http://zotero.org/users/6375206/items/C9VMZXXD"],"uri":["http://zotero.org/users/6375206/items/C9VMZXXD"],"itemData":{"id":55,"type":"article-journal","abstract":"Purpose: To assess the reliability of triaxial accelerometers as a measure of physical activity in team sports. Methods: Eight accelerometers (MinimaxX 2.0, Catapult, Australia) were attached to a hydraulic universal testing machine (Instron 8501) and oscillated over two protocols (0.5 g and 3.0 g) to assess within- and between-device reliability. A static assessment was also conducted. Secondly. 10 players were instrumented with two accelerometers during Australian football matches. The vector magnitude was calculated, expressed as Player load and assessed for reliability using typical error (TE) ± 90% confidence intervals (CI), and expressed as a coefficient of variation (CV%). The smallest worthwhile difference (SWD) in Player load was calculated to determine if the device was capable of detecting differences in physical activity. Results: Laboratory: Within- (Dynamic: CV 0.91 to 1.05%; Static: CV 1.01%) and between-device (Dynamic: CV 1.02 to 1.04%; Static: CV 1.10%) reliability was acceptable across each test. Field: The between-device reliability of accelerometers during Australian football matches was also acceptable (CV 1.9%). The SWD was 5.88%. Conclusions: The reliability of the MinimaxX accelerometer is acceptable both within and between devices under controlled laboratory conditions, and between devices during field testing. MinimaxX accelerometers can be confidently utilized as a reliable tool to measure physical activity in team sports across multiple players and repeated bouts of activity. The noise (CV%) of Player load was lower than the signal (SWD), suggesting that accelerometers can detect changes or differences in physical activity during Australian football. ABSTRACT FROM AUTHOR","container-title":"International Journal of Sports Physiology &amp; Performance","ISSN":"15550265","issue":"3","journalAbbreviation":"International Journal of Sports Physiology &amp; Performance","page":"311-321","source":"EBSCOhost","title":"The Reliability of MinimaxX Accelerometers for Measuring Physical Activity in Australian Football","volume":"6","author":[{"family":"Boyd","given":"Luke J."},{"family":"Ball","given":"Kevin"},{"family":"Aughey","given":"Robert J."}],"issued":{"date-parts":[["2011",9]]}}}],"schema":"https://github.com/citation-style-language/schema/raw/master/csl-citation.json"}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(Boyd et al., 2011)</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w:t>
      </w:r>
    </w:p>
    <w:p w14:paraId="3A4D3AEF" w14:textId="77777777" w:rsidR="00D313EA" w:rsidRPr="00890E95" w:rsidRDefault="00D313EA" w:rsidP="00D313EA">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Player load monitoring in elite footballers has been previously used in conjunction with tracking hamstring injury incidence and has shown a connection between the amount of time spent at certain running speeds and injury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{"citationID":"CFpTraLu","properties":{"formattedCitation":"(Ruddy et al., 2018)","plainCitation":"(Ruddy et al., 2018)","noteIndex":0},"citationItems":[{"id":59,"uris":["http://zotero.org/users/6375206/items/2H5P8VWE"],"uri":["http://zotero.org/users/6375206/items/2H5P8VWE"],"itemData":{"id":59,"type":"article-journal","abstract":"Background To investigate the association between running exposure and the risk of hamstring strain injury (HSI) in elite Australian footballers.\nMethods Elite Australian footballers (n=220) from 5 different teams participated. Global positioning system (GPS) data were provided for every athlete for each training session and match for the entire 2015 season. The occurrences of HSIs throughout the study period were reported. Receiver operator characteristic curve analyses were performed and the relative risk (RR) of subsequent HSI was calculated for absolute and relative running exposure variables related to distance covered above 10 and 24 km/hour in the preceding week/s.\nResults 30 prospective HSIs occurred. For the absolute running exposure variables, weekly distance covered above 24 km/hour (&gt;653 m, RR=3.4, 95% CI 1.6 to 7.2, sensitivity=0.52, specificity=0.76, area under the curve (AUC)=0.63) had the largest influence on the risk of HSI in the following week. For the relative running exposure variables, distance covered above 24 km/hour as a percentage of distance covered above 10 km/hour (&gt;2.5%, RR=6.3, 95% CI 1.5 to 26.7, sensitivity=0.93, specificity=0.34, AUC=0.63) had the largest influence on the risk of HSI in the following week. Despite significant increases in the RR of HSI, the predictive capacity of these variables was limited.\nConclusions An association exists between absolute and relative running exposure variables and elite Australian footballers' risk of subsequent HSI, with the association strongest when examining data within 7–14 days. Despite this, the use of running exposure variables displayed limited clinical utility to predict HSI at the individual level.","container-title":"British Journal of Sports Medicine","DOI":"10.1136/bjsports-2016-096777","ISSN":"0306-3674, 1473-0480","issue":"14","journalAbbreviation":"Br J Sports Med","language":"en","note":"publisher: BMJ Publishing Group Ltd and British Association of Sport and Exercise Medicine\nsection: Original article\nPMID: 27884865","page":"919-928","source":"bjsm.bmj.com","title":"Running exposure is associated with the risk of hamstring strain injury in elite Australian footballers","volume":"52","author":[{"family":"Ruddy","given":"Joshua D."},{"family":"Pollard","given":"Christopher W."},{"family":"Timmins","given":"Ryan G."},{"family":"Williams","given":"Morgan D."},{"family":"Shield","given":"Anthony J."},{"family":"Opar","given":"David A."}],"issued":{"date-parts":[["2018",7,1]]}}}],"schema":"https://github.com/citation-style-language/schema/raw/master/csl-citation.json"}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(Ruddy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Players who spent more time running at a high speed (≥24 km/hour) per week were at a higher risk of hamstring injury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{"citationID":"4harECK1","properties":{"formattedCitation":"(Ruddy et al., 2018)","plainCitation":"(Ruddy et al., 2018)","noteIndex":0},"citationItems":[{"id":59,"uris":["http://zotero.org/users/6375206/items/2H5P8VWE"],"uri":["http://zotero.org/users/6375206/items/2H5P8VWE"],"itemData":{"id":59,"type":"article-journal","abstract":"Background To investigate the association between running exposure and the risk of hamstring strain injury (HSI) in elite Australian footballers.\nMethods Elite Australian footballers (n=220) from 5 different teams participated. Global positioning system (GPS) data were provided for every athlete for each training session and match for the entire 2015 season. The occurrences of HSIs throughout the study period were reported. Receiver operator characteristic curve analyses were performed and the relative risk (RR) of subsequent HSI was calculated for absolute and relative running exposure variables related to distance covered above 10 and 24 km/hour in the preceding week/s.\nResults 30 prospective HSIs occurred. For the absolute running exposure variables, weekly distance covered above 24 km/hour (&gt;653 m, RR=3.4, 95% CI 1.6 to 7.2, sensitivity=0.52, specificity=0.76, area under the curve (AUC)=0.63) had the largest influence on the risk of HSI in the following week. For the relative running exposure variables, distance covered above 24 km/hour as a percentage of distance covered above 10 km/hour (&gt;2.5%, RR=6.3, 95% CI 1.5 to 26.7, sensitivity=0.93, specificity=0.34, AUC=0.63) had the largest influence on the risk of HSI in the following week. Despite significant increases in the RR of HSI, the predictive capacity of these variables was limited.\nConclusions An association exists between absolute and relative running exposure variables and elite Australian footballers' risk of subsequent HSI, with the association strongest when examining data within 7–14 days. Despite this, the use of running exposure variables displayed limited clinical utility to predict HSI at the individual level.","container-title":"British Journal of Sports Medicine","DOI":"10.1136/bjsports-2016-096777","ISSN":"0306-3674, 1473-0480","issue":"14","journalAbbreviation":"Br J Sports Med","language":"en","note":"publisher: BMJ Publishing Group Ltd and British Association of Sport and Exercise Medicine\nsection: Original article\nPMID: 27884865","page":"919-928","source":"bjsm.bmj.com","title":"Running exposure is associated with the risk of hamstring strain injury in elite Australian footballers","volume":"52","author":[{"family":"Ruddy","given":"Joshua D."},{"family":"Pollard","given":"Christopher W."},{"family":"Timmins","given":"Ryan G."},{"family":"Williams","given":"Morgan D."},{"family":"Shield","given":"Anthony J."},{"family":"Opar","given":"David A."}],"issued":{"date-parts":[["2018",7,1]]}}}],"schema":"https://github.com/citation-style-language/schema/raw/master/csl-citation.json"}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(Ruddy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Monitoring player load in these athletes and maintaining minimal time running ≥24 km/hour per week during practices could minimize hamstring injury incidence. Another study in collegiate basketball players found that changes in PL were inversely related to countermovement jump performance; as PL values increased, athletes ability to perform in countermovement jump measures decreased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{"citationID":"WAR72wgw","properties":{"formattedCitation":"(Heishman et al., 2018)","plainCitation":"(Heishman et al., 2018)","noteIndex":0},"citationItems":[{"id":6,"uris":["http://zotero.org/users/6375206/items/ESK264I8"],"uri":["http://zotero.org/users/6375206/items/ESK264I8"],"itemData":{"id":6,"type":"article-journal","language":"en","page":"8","source":"Zotero","title":"Noninvasive Assessment of Internal and External Player Load: Implications for Optimizing Athletic Performance","author":[{"family":"Heishman","given":"Aaron D"},{"family":"Curtis","given":"Michael A"},{"family":"Saliba","given":"Ethan"},{"family":"Hornett","given":"Robert J"},{"family":"Malin","given":"Steven K"},{"family":"Weltman","given":"Arthur L"}],"issued":{"date-parts":[["2018"]]}}}],"schema":"https://github.com/citation-style-language/schema/raw/master/csl-citation.json"}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(Heishman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Additionally, previous PL measures had direct effects on subsequent PL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{"citationID":"dk36jxfE","properties":{"formattedCitation":"(Heishman et al., 2018)","plainCitation":"(Heishman et al., 2018)","noteIndex":0},"citationItems":[{"id":6,"uris":["http://zotero.org/users/6375206/items/ESK264I8"],"uri":["http://zotero.org/users/6375206/items/ESK264I8"],"itemData":{"id":6,"type":"article-journal","language":"en","page":"8","source":"Zotero","title":"Noninvasive Assessment of Internal and External Player Load: Implications for Optimizing Athletic Performance","author":[{"family":"Heishman","given":"Aaron D"},{"family":"Curtis","given":"Michael A"},{"family":"Saliba","given":"Ethan"},{"family":"Hornett","given":"Robert J"},{"family":"Malin","given":"Steven K"},{"family":"Weltman","given":"Arthur L"}],"issued":{"date-parts":[["2018"]]}}}],"schema":"https://github.com/citation-style-language/schema/raw/master/csl-citation.json"}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(Heishman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w:t>
      </w:r>
    </w:p>
    <w:p w14:paraId="3FDAB625" w14:textId="77777777" w:rsidR="00D313EA" w:rsidRPr="00890E95" w:rsidRDefault="00D313EA" w:rsidP="00D313EA">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With further research, this specific finding could be generalized for other sports and types of injuries to minimize injury for all athletes. Player load is a concept that spans across all sports </w:t>
      </w:r>
      <w:r w:rsidRPr="00890E95">
        <w:rPr>
          <w:rFonts w:ascii="Times New Roman" w:eastAsia="Times New Roman" w:hAnsi="Times New Roman" w:cs="Times New Roman"/>
        </w:rPr>
        <w:lastRenderedPageBreak/>
        <w:t xml:space="preserve">even though each is unique in its training and movement patterns. Player load monitoring using accelerometers has not been studied in gymnastics, despite monotonous training and competitions and high injury rates associated with the sport.  </w:t>
      </w:r>
    </w:p>
    <w:p w14:paraId="448A82AE" w14:textId="5080E003" w:rsidR="00D313EA" w:rsidRPr="00890E95" w:rsidRDefault="00D313EA" w:rsidP="00263AD5">
      <w:pPr>
        <w:pStyle w:val="Heading3"/>
        <w:rPr>
          <w:rFonts w:cs="Times New Roman"/>
        </w:rPr>
      </w:pPr>
      <w:bookmarkStart w:id="14" w:name="_Toc85791400"/>
      <w:r w:rsidRPr="00890E95">
        <w:rPr>
          <w:rFonts w:cs="Times New Roman"/>
        </w:rPr>
        <w:t>Short Recovery Stress Scale</w:t>
      </w:r>
      <w:bookmarkEnd w:id="14"/>
    </w:p>
    <w:p w14:paraId="10C433DE" w14:textId="124F55BA" w:rsidR="00D313EA" w:rsidRPr="00890E95" w:rsidRDefault="00D313EA" w:rsidP="00D313EA">
      <w:pPr>
        <w:spacing w:line="480" w:lineRule="auto"/>
        <w:rPr>
          <w:rFonts w:ascii="Times New Roman" w:eastAsia="Times New Roman" w:hAnsi="Times New Roman" w:cs="Times New Roman"/>
        </w:rPr>
      </w:pPr>
      <w:r w:rsidRPr="00890E95">
        <w:rPr>
          <w:rFonts w:ascii="Times New Roman" w:eastAsia="Times New Roman" w:hAnsi="Times New Roman" w:cs="Times New Roman"/>
          <w:b/>
          <w:bCs/>
        </w:rPr>
        <w:tab/>
      </w:r>
      <w:r w:rsidRPr="00890E95">
        <w:rPr>
          <w:rFonts w:ascii="Times New Roman" w:eastAsia="Times New Roman" w:hAnsi="Times New Roman" w:cs="Times New Roman"/>
        </w:rPr>
        <w:t xml:space="preserve">One of the more prominent methods of measuring internal load is through questionnaires. The RESTQ has been the </w:t>
      </w:r>
      <w:proofErr w:type="gramStart"/>
      <w:r w:rsidRPr="00890E95">
        <w:rPr>
          <w:rFonts w:ascii="Times New Roman" w:eastAsia="Times New Roman" w:hAnsi="Times New Roman" w:cs="Times New Roman"/>
        </w:rPr>
        <w:t>most commonly accepted</w:t>
      </w:r>
      <w:proofErr w:type="gramEnd"/>
      <w:r w:rsidRPr="00890E95">
        <w:rPr>
          <w:rFonts w:ascii="Times New Roman" w:eastAsia="Times New Roman" w:hAnsi="Times New Roman" w:cs="Times New Roman"/>
        </w:rPr>
        <w:t xml:space="preserve"> and widely used internal load questionnaire. The RESTQ is a 76 item questionnaire that assesses overall stress, including social-emotional stress and performance stress, and overall recovery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{"citationID":"r3zD0TNU","properties":{"formattedCitation":"(Kallus &amp; Kellmann, 2016)","plainCitation":"(Kallus &amp; Kellmann, 2016)","noteIndex":0},"citationItems":[{"id":77,"uris":["http://zotero.org/users/6375206/items/3KMEBHZF"],"uri":["http://zotero.org/users/6375206/items/3KMEBHZF"],"itemData":{"id":77,"type":"book","title":"The Recovery-Stress Questionnaires: User Manual","author":[{"family":"Kallus","given":"K. Wolfgang"},{"family":"Kellmann","given":"Michael"}],"issued":{"date-parts":[["2016",6]]}}}],"schema":"https://github.com/citation-style-language/schema/raw/master/csl-citation.json"}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(Kallus &amp; Kellmann,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Various versions of the RESTQ exist with the most common being the RESTQ-Basic, RESTQ-Sport, RESTQ-Coach, and RESTQ-Work, each available in shortened and modified versions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{"citationID":"GZMTtzvn","properties":{"formattedCitation":"(Kallus &amp; Kellmann, 2016)","plainCitation":"(Kallus &amp; Kellmann, 2016)","noteIndex":0},"citationItems":[{"id":77,"uris":["http://zotero.org/users/6375206/items/3KMEBHZF"],"uri":["http://zotero.org/users/6375206/items/3KMEBHZF"],"itemData":{"id":77,"type":"book","title":"The Recovery-Stress Questionnaires: User Manual","author":[{"family":"Kallus","given":"K. Wolfgang"},{"family":"Kellmann","given":"Michael"}],"issued":{"date-parts":[["2016",6]]}}}],"schema":"https://github.com/citation-style-language/schema/raw/master/csl-citation.json"}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(Kallus &amp; Kellmann,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More recently, the Acute Recovery and Stress Scale (ARSS) and the Short Recovery Stress Scale (SRSS) have become increasingly popularized. The ARSS is a 32 item questionnaire designed for athletes that assesses recovery aspects including physical and mental performance capability, emotional balance, and overall recovery and stress aspects including muscular stress, lack of activation, negative emotional state, and overall stress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{"citationID":"PgFfIfUA","properties":{"formattedCitation":"(Kellmann &amp; Kolling, 2019)","plainCitation":"(Kellmann &amp; Kolling, 2019)","noteIndex":0},"citationItems":[{"id":163,"uris":["http://zotero.org/users/6375206/items/3YR9XEE6"],"uri":["http://zotero.org/users/6375206/items/3YR9XEE6"],"itemData":{"id":163,"type":"book","publisher":"Routledge","title":"Recovery and Stress in Sport","author":[{"family":"Kellmann","given":"Michael"},{"family":"Kolling","given":"Sarah"}],"issued":{"date-parts":[["2019"]]}}}],"schema":"https://github.com/citation-style-language/schema/raw/master/csl-citation.json"}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(Kellmann &amp; Kolling, 2019)</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The SRSS is an 8 item questionnaire that assess stress and recovery using a </w:t>
      </w:r>
      <w:r w:rsidR="00D16E07">
        <w:rPr>
          <w:rFonts w:ascii="Times New Roman" w:eastAsia="Times New Roman" w:hAnsi="Times New Roman" w:cs="Times New Roman"/>
        </w:rPr>
        <w:t>visual analog</w:t>
      </w:r>
      <w:r w:rsidR="00D16E07" w:rsidRPr="00890E95">
        <w:rPr>
          <w:rFonts w:ascii="Times New Roman" w:eastAsia="Times New Roman" w:hAnsi="Times New Roman" w:cs="Times New Roman"/>
        </w:rPr>
        <w:t xml:space="preserve"> </w:t>
      </w:r>
      <w:r w:rsidRPr="00890E95">
        <w:rPr>
          <w:rFonts w:ascii="Times New Roman" w:eastAsia="Times New Roman" w:hAnsi="Times New Roman" w:cs="Times New Roman"/>
        </w:rPr>
        <w:t xml:space="preserve">scale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{"citationID":"1jwSAqkU","properties":{"formattedCitation":"(Kellmann &amp; Kolling, 2019)","plainCitation":"(Kellmann &amp; Kolling, 2019)","noteIndex":0},"citationItems":[{"id":163,"uris":["http://zotero.org/users/6375206/items/3YR9XEE6"],"uri":["http://zotero.org/users/6375206/items/3YR9XEE6"],"itemData":{"id":163,"type":"book","publisher":"Routledge","title":"Recovery and Stress in Sport","author":[{"family":"Kellmann","given":"Michael"},{"family":"Kolling","given":"Sarah"}],"issued":{"date-parts":[["2019"]]}}}],"schema":"https://github.com/citation-style-language/schema/raw/master/csl-citation.json"}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hAnsi="Times New Roman" w:cs="Times New Roman"/>
        </w:rPr>
        <w:t>(Kellmann &amp; Kolling, 2019)</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The SRSS measures four physical recovery markers including physical performance capability, mental performance capability, emotional balance, and overall recovery and four stress markers including muscular stress, lack of activation, negative emotional state, and overall stress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{"citationID":"33uO1Uhz","properties":{"formattedCitation":"(Kellmann &amp; Kolling, 2019)","plainCitation":"(Kellmann &amp; Kolling, 2019)","noteIndex":0},"citationItems":[{"id":163,"uris":["http://zotero.org/users/6375206/items/3YR9XEE6"],"uri":["http://zotero.org/users/6375206/items/3YR9XEE6"],"itemData":{"id":163,"type":"book","publisher":"Routledge","title":"Recovery and Stress in Sport","author":[{"family":"Kellmann","given":"Michael"},{"family":"Kolling","given":"Sarah"}],"issued":{"date-parts":[["2019"]]}}}],"schema":"https://github.com/citation-style-language/schema/raw/master/csl-citation.json"}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(Kellmann &amp; Kolling, 2019)</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The ARSS usually takes 5 minutes to complete while the SRSS takes about 50 seconds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{"citationID":"KIasOMBh","properties":{"formattedCitation":"(Kellmann &amp; Kolling, 2019)","plainCitation":"(Kellmann &amp; Kolling, 2019)","noteIndex":0},"citationItems":[{"id":163,"uris":["http://zotero.org/users/6375206/items/3YR9XEE6"],"uri":["http://zotero.org/users/6375206/items/3YR9XEE6"],"itemData":{"id":163,"type":"book","publisher":"Routledge","title":"Recovery and Stress in Sport","author":[{"family":"Kellmann","given":"Michael"},{"family":"Kolling","given":"Sarah"}],"issued":{"date-parts":[["2019"]]}}}],"schema":"https://github.com/citation-style-language/schema/raw/master/csl-citation.json"}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hAnsi="Times New Roman" w:cs="Times New Roman"/>
        </w:rPr>
        <w:t>(Kellmann &amp; Kolling, 2019)</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The ARSS strongly correlates with the RESTQ-Sport-76 with values between 0.52 and 0.71 for physical performance capability, being in shape, and muscular stress scores </w:t>
      </w:r>
      <w:r w:rsidRPr="00890E95">
        <w:rPr>
          <w:rFonts w:ascii="Times New Roman" w:eastAsia="Times New Roman" w:hAnsi="Times New Roman" w:cs="Times New Roman"/>
        </w:rPr>
        <w:lastRenderedPageBreak/>
        <w:fldChar w:fldCharType="begin"/>
      </w:r>
      <w:r w:rsidRPr="00890E95">
        <w:rPr>
          <w:rFonts w:ascii="Times New Roman" w:eastAsia="Times New Roman" w:hAnsi="Times New Roman" w:cs="Times New Roman"/>
        </w:rPr>
        <w:instrText xml:space="preserve"> ADDIN ZOTERO_ITEM CSL_CITATION {"citationID":"vIhocwsp","properties":{"formattedCitation":"(N\\uc0\\u228{}ssi et al., 2017)","plainCitation":"(Nässi et al., 2017)","noteIndex":0},"citationItems":[{"id":200,"uris":["http://zotero.org/users/6375206/items/4EXWN6SR"],"uri":["http://zotero.org/users/6375206/items/4EXWN6SR"],"itemData":{"id":200,"type":"article-journal","abstract":"The Acute Recovery and Stress Scale (ARSS) and the Short Recovery and Stress Scale were first established in German for the purposes of monitoring athletes' current recovery-stress states in an economical and multidimensional manner. The aim of this paper is to document the development and initial validation of the English versions of these two psychometric monitoring tools. A total of 267 English-speaking athletes from a variety of team and individual sports participated in the study. The English versions demonstrated satisfactory internal consistency for both instruments (Cronbach α of .74-.89). Furthermore, good model fit was found for the eight scales of the ARSS, matching the structure and results of the German counterparts. Correlations among and between the scales reciprocate the theoretical constructs of stress and recovery, supporting the construct validity of the scales. Correlation coefficients within stress and recovery ranged between rs = .29 and .68. The correlations between stress and recovery varied between rs = -.29 and -.64. These constructs were further supported by correlations with the scores of the Recovery-Stress Questionnaire for Athletes, thereby showing convergent validity. The findings demonstrate initial validity and reliability of the two measures and reflect the results of the German versions. However, further research is needed before applying these scales in practical settings. ABSTRACT FROM AUTHOR","container-title":"European Journal of Sport Science","ISSN":"17461391","issue":"7","journalAbbreviation":"European Journal of Sport Science","page":"894-903","source":"EBSCOhost","title":"Development of two short measures for recovery and stress in sport","volume":"17","author":[{"family":"Nässi","given":"Anu"},{"family":"Ferrauti","given":"Alexander"},{"family":"Meyer","given":"Tim"},{"family":"Pfeiffer","given":"Mark"},{"family":"Kellmann","given":"Michael"}],"issued":{"date-parts":[["2017",8]]}}}],"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hAnsi="Times New Roman" w:cs="Times New Roman"/>
        </w:rPr>
        <w:t>(Nässi et al., 2017)</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The SRSS was not as strong with correlation values between 0.38 and 0.60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{"citationID":"A1ve1nWp","properties":{"formattedCitation":"(N\\uc0\\u228{}ssi et al., 2017)","plainCitation":"(Nässi et al., 2017)","noteIndex":0},"citationItems":[{"id":200,"uris":["http://zotero.org/users/6375206/items/4EXWN6SR"],"uri":["http://zotero.org/users/6375206/items/4EXWN6SR"],"itemData":{"id":200,"type":"article-journal","abstract":"The Acute Recovery and Stress Scale (ARSS) and the Short Recovery and Stress Scale were first established in German for the purposes of monitoring athletes' current recovery-stress states in an economical and multidimensional manner. The aim of this paper is to document the development and initial validation of the English versions of these two psychometric monitoring tools. A total of 267 English-speaking athletes from a variety of team and individual sports participated in the study. The English versions demonstrated satisfactory internal consistency for both instruments (Cronbach α of .74-.89). Furthermore, good model fit was found for the eight scales of the ARSS, matching the structure and results of the German counterparts. Correlations among and between the scales reciprocate the theoretical constructs of stress and recovery, supporting the construct validity of the scales. Correlation coefficients within stress and recovery ranged between rs = .29 and .68. The correlations between stress and recovery varied between rs = -.29 and -.64. These constructs were further supported by correlations with the scores of the Recovery-Stress Questionnaire for Athletes, thereby showing convergent validity. The findings demonstrate initial validity and reliability of the two measures and reflect the results of the German versions. However, further research is needed before applying these scales in practical settings. ABSTRACT FROM AUTHOR","container-title":"European Journal of Sport Science","ISSN":"17461391","issue":"7","journalAbbreviation":"European Journal of Sport Science","page":"894-903","source":"EBSCOhost","title":"Development of two short measures for recovery and stress in sport","volume":"17","author":[{"family":"Nässi","given":"Anu"},{"family":"Ferrauti","given":"Alexander"},{"family":"Meyer","given":"Tim"},{"family":"Pfeiffer","given":"Mark"},{"family":"Kellmann","given":"Michael"}],"issued":{"date-parts":[["2017",8]]}}}],"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hAnsi="Times New Roman" w:cs="Times New Roman"/>
        </w:rPr>
        <w:t>(Nässi et al., 2017)</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w:t>
      </w:r>
      <w:proofErr w:type="spellStart"/>
      <w:r w:rsidRPr="00890E95">
        <w:rPr>
          <w:rFonts w:ascii="Times New Roman" w:eastAsia="Times New Roman" w:hAnsi="Times New Roman" w:cs="Times New Roman"/>
        </w:rPr>
        <w:t>Kellmann</w:t>
      </w:r>
      <w:proofErr w:type="spellEnd"/>
      <w:r w:rsidRPr="00890E95">
        <w:rPr>
          <w:rFonts w:ascii="Times New Roman" w:eastAsia="Times New Roman" w:hAnsi="Times New Roman" w:cs="Times New Roman"/>
        </w:rPr>
        <w:t xml:space="preserve"> and </w:t>
      </w:r>
      <w:proofErr w:type="spellStart"/>
      <w:r w:rsidRPr="00890E95">
        <w:rPr>
          <w:rFonts w:ascii="Times New Roman" w:eastAsia="Times New Roman" w:hAnsi="Times New Roman" w:cs="Times New Roman"/>
        </w:rPr>
        <w:t>Kolling</w:t>
      </w:r>
      <w:proofErr w:type="spellEnd"/>
      <w:r w:rsidRPr="00890E95">
        <w:rPr>
          <w:rFonts w:ascii="Times New Roman" w:eastAsia="Times New Roman" w:hAnsi="Times New Roman" w:cs="Times New Roman"/>
        </w:rPr>
        <w:t xml:space="preserve"> found stronger correlations between 0.42-0.74 (2019). Most questionnaires can be used frequently, especially shortened versions, </w:t>
      </w:r>
      <w:proofErr w:type="gramStart"/>
      <w:r w:rsidRPr="00890E95">
        <w:rPr>
          <w:rFonts w:ascii="Times New Roman" w:eastAsia="Times New Roman" w:hAnsi="Times New Roman" w:cs="Times New Roman"/>
        </w:rPr>
        <w:t>in order to</w:t>
      </w:r>
      <w:proofErr w:type="gramEnd"/>
      <w:r w:rsidRPr="00890E95">
        <w:rPr>
          <w:rFonts w:ascii="Times New Roman" w:eastAsia="Times New Roman" w:hAnsi="Times New Roman" w:cs="Times New Roman"/>
        </w:rPr>
        <w:t xml:space="preserve"> routinely monitor athletes and adapt training schedules, which is what is appealing and unique about the SRSS. </w:t>
      </w:r>
    </w:p>
    <w:p w14:paraId="52067947" w14:textId="08987D91" w:rsidR="00D313EA" w:rsidRPr="00890E95" w:rsidRDefault="00D313EA" w:rsidP="00D313EA">
      <w:pPr>
        <w:spacing w:line="480" w:lineRule="auto"/>
        <w:rPr>
          <w:rFonts w:ascii="Times New Roman" w:eastAsia="Times New Roman" w:hAnsi="Times New Roman" w:cs="Times New Roman"/>
        </w:rPr>
      </w:pPr>
      <w:r w:rsidRPr="00890E95">
        <w:rPr>
          <w:rFonts w:ascii="Times New Roman" w:eastAsia="Times New Roman" w:hAnsi="Times New Roman" w:cs="Times New Roman"/>
        </w:rPr>
        <w:tab/>
        <w:t xml:space="preserve">The ARSS and SRSS have been shown to be effective in several studies across various populations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{"citationID":"mPBzv4Kc","properties":{"formattedCitation":"(Collette et al., 2018; Flynn et al., 2017; Raeder et al., 2016)","plainCitation":"(Collette et al., 2018; Flynn et al., 2017; Raeder et al., 2016)","noteIndex":0},"citationItems":[{"id":227,"uris":["http://zotero.org/users/6375206/items/GNMF2D7G"],"uri":["http://zotero.org/users/6375206/items/GNMF2D7G"],"itemData":{"id":227,"type":"article-journal","abstract":"The aim of this study was to analyze the individual time-delayed linear effect relationship between training load and recovery-stress state with single case time series methods. Session-RPE (sRPE) and Acute:Chronic-Workload-Ratio (ACWR) were used to compare different methods for quantifying the internal training load with regard to their interrelationship with the recovery-stress state. Internal load and recovery-stress state of five highly-trained female swimmers (training frequency 13.6 ± 0.8 sessions per week) were daily documented over 17 weeks. Two different types of sRPE were applied: RPE*duration (sRPEh) and RPE*volume (sRPEkm). Subsequently, we calculated the ratios ACWRh and ACWRkm (sRPE last-week: 4-week exponentially-weighted-moving-average). The recovery-stress state was measured by using the Acute Recovery and Stress Scale (ARSS), consisting of eight scales, [recovery: Physical-Performance-Capability (PPC), Mental-Performance-Capability (MPC), Emotional-Balance (EB), Overall-Recovery (OR), stress: Muscular-Stress (MS), Lack-of-Activation (LA), Negative-Emotional-State (NES), Overall-Stress (OS)]. To examine the relation between training load and recovery-stress state a cross correlation (Rcc) was conducted. A large variation of training load can be observed in the individual week-to-week fluctuations. Rcc individually reaches values above 0.3, especially with sRPEkm as lead variable. Overall, there is a large range with significant differences between the recovery and stress dimensions of the ARSS and between the training load methods, with sRPEkm having the largest span of R = 1.16. High inter-individual differences between the athletes lie in strength and direction of the correlation |0.66| ≤ Rcc ≥ |-0.50|. The time delayed effects (lags 0-7) are highly individual, however, clear patterns can be observed. The ARSS, especially PPC, OR, MS and OS, is a suitable tool for monitoring the acute recovery-stress state in swimmers. MPC, EB, LA and NES are less affected by training induced changes. Comparably high Rcc and Ranges result from the internal load methods, whereby sRPE, especially sRPEkm, shows a stronger relation to recovery-stress state than ACWR. Based on these results and the individual differences in terms of time delay in training response, we recommend for swimming to use session RPE to monitor the internal training load and to use the ARSS, with a focus at the physical and overall-scales, to monitor the recovery-stress state.","container-title":"Frontiers in Physiology","DOI":"10.3389/fphys.2018.00845","ISSN":"1664-042X","journalAbbreviation":"Front. Physiol.","language":"English","note":"publisher: Frontiers","source":"Frontiers","title":"Relation Between Training Load and Recovery-Stress State in High-Performance Swimming","URL":"https://www.frontiersin.org/articles/10.3389/fphys.2018.00845/full","volume":"9","author":[{"family":"Collette","given":"Robert"},{"family":"Kellmann","given":"Michael"},{"family":"Ferrauti","given":"Alexander"},{"family":"Meyer","given":"Tim"},{"family":"Pfeiffer","given":"Mark"}],"accessed":{"date-parts":[["2021",2,9]]},"issued":{"date-parts":[["2018"]]}}},{"id":226,"uris":["http://zotero.org/users/6375206/items/8CYTJKFQ"],"uri":["http://zotero.org/users/6375206/items/8CYTJKFQ"],"itemData":{"id":226,"type":"article-journal","language":"en","page":"6","source":"Zotero","title":"Validation of The Short Recovery Stress Scale Questionnaire During Women’s Volleyball In-Season Training","author":[{"family":"Flynn","given":"Asher"},{"family":"Walters","given":"Joseph"},{"family":"Lang","given":"Henry"},{"family":"Perkins","given":"Alec"},{"family":"Goodin","given":"Jacob"}],"issued":{"date-parts":[["2017"]]}}},{"id":4,"uris":["http://zotero.org/users/6375206/items/KKZVJ58M"],"uri":["http://zotero.org/users/6375206/items/KKZVJ58M"],"itemData":{"id":4,"type":"article-journal","container-title":"Journal of Strength and Conditioning Research","DOI":"10.1519/JSC.0000000000001427","ISSN":"1064-8011","issue":"12","journalAbbreviation":"Journal of Strength and Conditioning Research","language":"en","page":"3412-3427","source":"DOI.org (Crossref)","title":"Assessment of Fatigue and Recovery in Male and Female Athletes After 6 Days of Intensified Strength Training:","title-short":"Assessment of Fatigue and Recovery in Male and Female Athletes After 6 Days of Intensified Strength Training","volume":"30","author":[{"family":"Raeder","given":"Christian"},{"family":"Wiewelhove","given":"Thimo"},{"family":"Simola","given":"Rauno Álvaro De Paula"},{"family":"Kellmann","given":"Michael"},{"family":"Meyer","given":"Tim"},{"family":"Pfeiffer","given":"Mark"},{"family":"Ferrauti","given":"Alexander"}],"issued":{"date-parts":[["2016",12]]}}}],"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(Collette et al., 2018; Flynn et al., 2017; Raeder et al.,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Flynn et al. (2017) successfully used the SRSS in female collegiate volleyball players to determine individual response to training. The SRSS has shown high response rates, 97%, in female collegiate athletes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{"citationID":"Gq7Hgeum","properties":{"formattedCitation":"(Flynn et al., 2017)","plainCitation":"(Flynn et al., 2017)","noteIndex":0},"citationItems":[{"id":226,"uris":["http://zotero.org/users/6375206/items/8CYTJKFQ"],"uri":["http://zotero.org/users/6375206/items/8CYTJKFQ"],"itemData":{"id":226,"type":"article-journal","language":"en","page":"6","source":"Zotero","title":"Validation of The Short Recovery Stress Scale Questionnaire During Women’s Volleyball In-Season Training","author":[{"family":"Flynn","given":"Asher"},{"family":"Walters","given":"Joseph"},{"family":"Lang","given":"Henry"},{"family":"Perkins","given":"Alec"},{"family":"Goodin","given":"Jacob"}],"issued":{"date-parts":[["2017"]]}}}],"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(Flynn et al., 2017)</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The SRSS has been shown to be sensitive to changes in strength training load compared to session intensity (RPE) and muscle damage (blood creatine kinase) in trained, competitive male and female athletes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{"citationID":"SsESA0DM","properties":{"formattedCitation":"(Raeder et al., 2016)","plainCitation":"(Raeder et al., 2016)","noteIndex":0},"citationItems":[{"id":4,"uris":["http://zotero.org/users/6375206/items/KKZVJ58M"],"uri":["http://zotero.org/users/6375206/items/KKZVJ58M"],"itemData":{"id":4,"type":"article-journal","container-title":"Journal of Strength and Conditioning Research","DOI":"10.1519/JSC.0000000000001427","ISSN":"1064-8011","issue":"12","journalAbbreviation":"Journal of Strength and Conditioning Research","language":"en","page":"3412-3427","source":"DOI.org (Crossref)","title":"Assessment of Fatigue and Recovery in Male and Female Athletes After 6 Days of Intensified Strength Training:","title-short":"Assessment of Fatigue and Recovery in Male and Female Athletes After 6 Days of Intensified Strength Training","volume":"30","author":[{"family":"Raeder","given":"Christian"},{"family":"Wiewelhove","given":"Thimo"},{"family":"Simola","given":"Rauno Álvaro De Paula"},{"family":"Kellmann","given":"Michael"},{"family":"Meyer","given":"Tim"},{"family":"Pfeiffer","given":"Mark"},{"family":"Ferrauti","given":"Alexander"}],"issued":{"date-parts":[["2016",12]]}}}],"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(Raeder et al.,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Finally, the ARSS has also been shown to respond to training loads effectively in elite swimmers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{"citationID":"xWK4zyMT","properties":{"formattedCitation":"(Collette et al., 2018)","plainCitation":"(Collette et al., 2018)","noteIndex":0},"citationItems":[{"id":227,"uris":["http://zotero.org/users/6375206/items/GNMF2D7G"],"uri":["http://zotero.org/users/6375206/items/GNMF2D7G"],"itemData":{"id":227,"type":"article-journal","abstract":"The aim of this study was to analyze the individual time-delayed linear effect relationship between training load and recovery-stress state with single case time series methods. Session-RPE (sRPE) and Acute:Chronic-Workload-Ratio (ACWR) were used to compare different methods for quantifying the internal training load with regard to their interrelationship with the recovery-stress state. Internal load and recovery-stress state of five highly-trained female swimmers (training frequency 13.6 ± 0.8 sessions per week) were daily documented over 17 weeks. Two different types of sRPE were applied: RPE*duration (sRPEh) and RPE*volume (sRPEkm). Subsequently, we calculated the ratios ACWRh and ACWRkm (sRPE last-week: 4-week exponentially-weighted-moving-average). The recovery-stress state was measured by using the Acute Recovery and Stress Scale (ARSS), consisting of eight scales, [recovery: Physical-Performance-Capability (PPC), Mental-Performance-Capability (MPC), Emotional-Balance (EB), Overall-Recovery (OR), stress: Muscular-Stress (MS), Lack-of-Activation (LA), Negative-Emotional-State (NES), Overall-Stress (OS)]. To examine the relation between training load and recovery-stress state a cross correlation (Rcc) was conducted. A large variation of training load can be observed in the individual week-to-week fluctuations. Rcc individually reaches values above 0.3, especially with sRPEkm as lead variable. Overall, there is a large range with significant differences between the recovery and stress dimensions of the ARSS and between the training load methods, with sRPEkm having the largest span of R = 1.16. High inter-individual differences between the athletes lie in strength and direction of the correlation |0.66| ≤ Rcc ≥ |-0.50|. The time delayed effects (lags 0-7) are highly individual, however, clear patterns can be observed. The ARSS, especially PPC, OR, MS and OS, is a suitable tool for monitoring the acute recovery-stress state in swimmers. MPC, EB, LA and NES are less affected by training induced changes. Comparably high Rcc and Ranges result from the internal load methods, whereby sRPE, especially sRPEkm, shows a stronger relation to recovery-stress state than ACWR. Based on these results and the individual differences in terms of time delay in training response, we recommend for swimming to use session RPE to monitor the internal training load and to use the ARSS, with a focus at the physical and overall-scales, to monitor the recovery-stress state.","container-title":"Frontiers in Physiology","DOI":"10.3389/fphys.2018.00845","ISSN":"1664-042X","journalAbbreviation":"Front. Physiol.","language":"English","note":"publisher: Frontiers","source":"Frontiers","title":"Relation Between Training Load and Recovery-Stress State in High-Performance Swimming","URL":"https://www.frontiersin.org/articles/10.3389/fphys.2018.00845/full","volume":"9","author":[{"family":"Collette","given":"Robert"},{"family":"Kellmann","given":"Michael"},{"family":"Ferrauti","given":"Alexander"},{"family":"Meyer","given":"Tim"},{"family":"Pfeiffer","given":"Mark"}],"accessed":{"date-parts":[["2021",2,9]]},"issued":{"date-parts":[["2018"]]}}}],"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(Collette et al., 2018)</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Despite the recent development of the SRSS, the scale has been successfully used in various populations of </w:t>
      </w:r>
      <w:r w:rsidR="003644C6" w:rsidRPr="00890E95">
        <w:rPr>
          <w:rFonts w:ascii="Times New Roman" w:eastAsia="Times New Roman" w:hAnsi="Times New Roman" w:cs="Times New Roman"/>
        </w:rPr>
        <w:t>well-trained</w:t>
      </w:r>
      <w:r w:rsidRPr="00890E95">
        <w:rPr>
          <w:rFonts w:ascii="Times New Roman" w:eastAsia="Times New Roman" w:hAnsi="Times New Roman" w:cs="Times New Roman"/>
        </w:rPr>
        <w:t xml:space="preserve"> athletes. </w:t>
      </w:r>
    </w:p>
    <w:p w14:paraId="5D678A62" w14:textId="1741DC73" w:rsidR="00D313EA" w:rsidRPr="00890E95" w:rsidRDefault="00D313EA" w:rsidP="00263AD5">
      <w:pPr>
        <w:pStyle w:val="Heading3"/>
        <w:rPr>
          <w:rFonts w:eastAsia="Times New Roman" w:cs="Times New Roman"/>
        </w:rPr>
      </w:pPr>
      <w:bookmarkStart w:id="15" w:name="_Toc85791401"/>
      <w:r w:rsidRPr="00890E95">
        <w:rPr>
          <w:rFonts w:eastAsia="Times New Roman" w:cs="Times New Roman"/>
        </w:rPr>
        <w:t>Collegiate and Gymnastics Specific Stress</w:t>
      </w:r>
      <w:bookmarkEnd w:id="15"/>
    </w:p>
    <w:p w14:paraId="6834B986" w14:textId="77777777" w:rsidR="00D313EA" w:rsidRPr="00890E95" w:rsidRDefault="00D313EA" w:rsidP="00D313EA">
      <w:pPr>
        <w:spacing w:line="480" w:lineRule="auto"/>
        <w:rPr>
          <w:rFonts w:ascii="Times New Roman" w:eastAsia="Times New Roman" w:hAnsi="Times New Roman" w:cs="Times New Roman"/>
        </w:rPr>
      </w:pPr>
      <w:r w:rsidRPr="00890E95">
        <w:rPr>
          <w:rFonts w:ascii="Times New Roman" w:eastAsia="Times New Roman" w:hAnsi="Times New Roman" w:cs="Times New Roman"/>
          <w:b/>
          <w:bCs/>
        </w:rPr>
        <w:tab/>
      </w:r>
      <w:r w:rsidRPr="00890E95">
        <w:rPr>
          <w:rFonts w:ascii="Times New Roman" w:eastAsia="Times New Roman" w:hAnsi="Times New Roman" w:cs="Times New Roman"/>
        </w:rPr>
        <w:t xml:space="preserve">Collegiate athletes must find the balance between academics and athletics. Academics can impose an additional stressor above what other elite athletes face. In one study, academic anxiety was the biggest influencer on collegiate athletes’ perceived stress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{"citationID":"jsKbmLfp","properties":{"formattedCitation":"(Hwang &amp; Choi, 2016)","plainCitation":"(Hwang &amp; Choi, 2016)","noteIndex":0},"citationItems":[{"id":139,"uris":["http://zotero.org/users/6375206/items/EM95GFPP"],"uri":["http://zotero.org/users/6375206/items/EM95GFPP"],"itemData":{"id":139,"type":"article-journal","abstract":"Collegiate student athletes face psychological stressors in adjusting to campus life. This study used preexisting, nationally representative data administered by the National Collegiate Athletic Association for student athletes in 2010 to explore the conjunctive relationships among demographics, personal characteristics, social contexts, and physical condition in predicting perceived stress. The number of valid samples was 19,967 from 609 member institutions. A data mining methodology (i.e., SEARCH) was applied to model the distribution of the perceived stress. Results showed that significant stressors included the variables related to academics, physical well-being, and social contexts. Academic anxiety was the most important predictor, and its interactions with abusive coaching behavior and an inclusive team environment were shown to reduce perceived stress. Sufficient sleep was also found as a moderator in the positive relationship between perceived stress and academic anxiety.","container-title":"Psychological Reports","DOI":"10.1177/0033294116674776","ISSN":"0033-2941","issue":"3","journalAbbreviation":"Psychol Rep","language":"en","note":"publisher: SAGE Publications Inc","page":"787-803","source":"SAGE Journals","title":"Data Mining in the Exploration of Stressors Among NCAA Student Athletes","volume":"119","author":[{"family":"Hwang","given":"Seunghyun"},{"family":"Choi","given":"Youngjun"}],"issued":{"date-parts":[["2016",12,1]]}}}],"schema":"https://github.com/citation-style-language/schema/raw/master/csl-citation.json"}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(Hwang &amp; Choi,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In addition to academic anxiety, psychological responses to stress were compounded by personal and social factors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{"citationID":"gH35nPDz","properties":{"formattedCitation":"(Hwang &amp; Choi, 2016)","plainCitation":"(Hwang &amp; Choi, 2016)","noteIndex":0},"citationItems":[{"id":139,"uris":["http://zotero.org/users/6375206/items/EM95GFPP"],"uri":["http://zotero.org/users/6375206/items/EM95GFPP"],"itemData":{"id":139,"type":"article-journal","abstract":"Collegiate student athletes face psychological stressors in adjusting to campus life. This study used preexisting, nationally representative data administered by the National Collegiate Athletic Association for student athletes in 2010 to explore the conjunctive relationships among demographics, personal characteristics, social contexts, and physical condition in predicting perceived stress. The number of valid samples was 19,967 from 609 member institutions. A data mining methodology (i.e., SEARCH) was applied to model the distribution of the perceived stress. Results showed that significant stressors included the variables related to academics, physical well-being, and social contexts. Academic anxiety was the most important predictor, and its interactions with abusive coaching behavior and an inclusive team environment were shown to reduce perceived stress. Sufficient sleep was also found as a moderator in the positive relationship between perceived stress and academic anxiety.","container-title":"Psychological Reports","DOI":"10.1177/0033294116674776","ISSN":"0033-2941","issue":"3","journalAbbreviation":"Psychol Rep","language":"en","note":"publisher: SAGE Publications Inc","page":"787-803","source":"SAGE Journals","title":"Data Mining in the Exploration of Stressors Among NCAA Student Athletes","volume":"119","author":[{"family":"Hwang","given":"Seunghyun"},{"family":"Choi","given":"Youngjun"}],"issued":{"date-parts":[["2016",12,1]]}}}],"schema":"https://github.com/citation-style-language/schema/raw/master/csl-citation.json"}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(Hwang &amp; Choi,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A negative relationship between grade point average and stress has been identified, showing the importance of attention to academics for collegiate athletes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{"citationID":"3mt1gZja","properties":{"formattedCitation":"(Hwang &amp; Choi, 2016)","plainCitation":"(Hwang &amp; Choi, 2016)","noteIndex":0},"citationItems":[{"id":139,"uris":["http://zotero.org/users/6375206/items/EM95GFPP"],"uri":["http://zotero.org/users/6375206/items/EM95GFPP"],"itemData":{"id":139,"type":"article-journal","abstract":"Collegiate student athletes face psychological stressors in adjusting to campus life. This study used preexisting, nationally representative data administered by the National Collegiate Athletic Association for student athletes in 2010 to explore the conjunctive relationships among demographics, personal characteristics, social contexts, and physical condition in predicting perceived stress. The number of valid samples was 19,967 from 609 member institutions. A data mining methodology (i.e., SEARCH) was applied to model the distribution of the perceived stress. Results showed that significant stressors included the variables related to academics, physical well-being, and social contexts. Academic anxiety was the most important predictor, and its interactions with abusive coaching behavior and an inclusive team environment were shown to reduce perceived stress. Sufficient sleep was also found as a moderator in the positive relationship between perceived stress and academic anxiety.","container-title":"Psychological Reports","DOI":"10.1177/0033294116674776","ISSN":"0033-2941","issue":"3","journalAbbreviation":"Psychol Rep","language":"en","note":"publisher: SAGE Publications Inc","page":"787-803","source":"SAGE Journals","title":"Data Mining in the Exploration of Stressors Among NCAA Student Athletes","volume":"119","author":[{"family":"Hwang","given":"Seunghyun"},{"family":"Choi","given":"Youngjun"}],"issued":{"date-parts":[["2016",12,1]]}}}],"schema":"https://github.com/citation-style-language/schema/raw/master/csl-citation.json"}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(Hwang &amp; Choi,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w:t>
      </w:r>
      <w:r w:rsidRPr="00890E95">
        <w:rPr>
          <w:rFonts w:ascii="Times New Roman" w:eastAsia="Times New Roman" w:hAnsi="Times New Roman" w:cs="Times New Roman"/>
          <w:bCs/>
        </w:rPr>
        <w:t xml:space="preserve">Correlations have also been identified in collegiate </w:t>
      </w:r>
      <w:r w:rsidRPr="00890E95">
        <w:rPr>
          <w:rFonts w:ascii="Times New Roman" w:eastAsia="Times New Roman" w:hAnsi="Times New Roman" w:cs="Times New Roman"/>
          <w:bCs/>
        </w:rPr>
        <w:lastRenderedPageBreak/>
        <w:t xml:space="preserve">athletes between perceived academic distress and depressed mood, negative sleep quality, fatigue, and performance demands </w:t>
      </w:r>
      <w:r w:rsidRPr="00890E95">
        <w:rPr>
          <w:rFonts w:ascii="Times New Roman" w:eastAsia="Times New Roman" w:hAnsi="Times New Roman" w:cs="Times New Roman"/>
          <w:bCs/>
        </w:rPr>
        <w:fldChar w:fldCharType="begin"/>
      </w:r>
      <w:r w:rsidRPr="00890E95">
        <w:rPr>
          <w:rFonts w:ascii="Times New Roman" w:eastAsia="Times New Roman" w:hAnsi="Times New Roman" w:cs="Times New Roman"/>
          <w:bCs/>
        </w:rPr>
        <w:instrText xml:space="preserve"> ADDIN ZOTERO_ITEM CSL_CITATION {"citationID":"kl5RIwB1","properties":{"formattedCitation":"(Lopes Dos Santos et al., 2020)","plainCitation":"(Lopes Dos Santos et al., 2020)","noteIndex":0},"citationItems":[{"id":196,"uris":["http://zotero.org/users/6375206/items/JK7BB4CU"],"uri":["http://zotero.org/users/6375206/items/JK7BB4CU"],"itemData":{"id":196,"type":"article-journal","abstract":"College students are required to manage a variety of stressors related to academic, social and financial commitments. In addition to the burdens facing most college students, collegiate-athletes must devote a substantial amount of time to improving their sporting abilities. The strength and conditioning professional sees the athlete on nearly a daily basis and is able to recognize the changes in performance and behavior an athlete may exhibit as a result of these stressors. As such, the strength and conditioning professional may serve an integral role in the monitoring of these stressors and may be able to alter training programs to improve both performance and wellness. The purpose of this paper is to discuss stressors experienced by collegiate-athletes, developing an early detection system through monitoring techniques that identify the detrimental effects of stress, and discuss appropriate stress management strategies for this population.","container-title":"Frontiers in Sports and Active Living","DOI":"10.3389/fspor.2020.00042","ISSN":"2624-9367","journalAbbreviation":"Front. Sports Act. Living","language":"English","note":"publisher: Frontiers","source":"Frontiers","title":"Stress in Academic and Athletic Performance in Collegiate Athletes: A Narrative Review of Sources and Monitoring Strategies","title-short":"Stress in Academic and Athletic Performance in Collegiate Athletes","URL":"https://www.frontiersin.org/articles/10.3389/fspor.2020.00042/full","volume":"2","author":[{"family":"Lopes Dos Santos","given":"Marcel"},{"family":"Uftring","given":"Melissa"},{"family":"Stahl","given":"Cody A."},{"family":"Lockie","given":"Robert G."},{"family":"Alvar","given":"Brent"},{"family":"Mann","given":"J. Bryan"},{"family":"Dawes","given":"J. Jay"}],"accessed":{"date-parts":[["2021",1,25]]},"issued":{"date-parts":[["2020"]]}}}],"schema":"https://github.com/citation-style-language/schema/raw/master/csl-citation.json"} </w:instrText>
      </w:r>
      <w:r w:rsidRPr="00890E95">
        <w:rPr>
          <w:rFonts w:ascii="Times New Roman" w:eastAsia="Times New Roman" w:hAnsi="Times New Roman" w:cs="Times New Roman"/>
          <w:bCs/>
        </w:rPr>
        <w:fldChar w:fldCharType="separate"/>
      </w:r>
      <w:r w:rsidRPr="00890E95">
        <w:rPr>
          <w:rFonts w:ascii="Times New Roman" w:eastAsia="Times New Roman" w:hAnsi="Times New Roman" w:cs="Times New Roman"/>
          <w:bCs/>
          <w:noProof/>
        </w:rPr>
        <w:t>(Lopes Dos Santos et al., 2020)</w:t>
      </w:r>
      <w:r w:rsidRPr="00890E95">
        <w:rPr>
          <w:rFonts w:ascii="Times New Roman" w:eastAsia="Times New Roman" w:hAnsi="Times New Roman" w:cs="Times New Roman"/>
          <w:bCs/>
        </w:rPr>
        <w:fldChar w:fldCharType="end"/>
      </w:r>
      <w:r w:rsidRPr="00890E95">
        <w:rPr>
          <w:rFonts w:ascii="Times New Roman" w:eastAsia="Times New Roman" w:hAnsi="Times New Roman" w:cs="Times New Roman"/>
          <w:bCs/>
        </w:rPr>
        <w:t xml:space="preserve">. </w:t>
      </w:r>
      <w:r w:rsidRPr="00890E95">
        <w:rPr>
          <w:rFonts w:ascii="Times New Roman" w:eastAsia="Times New Roman" w:hAnsi="Times New Roman" w:cs="Times New Roman"/>
        </w:rPr>
        <w:t xml:space="preserve">Collegiate athletes have several things vying for their time and attention such as practice, team responsibilities, competition, academics, and social relationships that can become mental </w:t>
      </w:r>
      <w:proofErr w:type="spellStart"/>
      <w:r w:rsidRPr="00890E95">
        <w:rPr>
          <w:rFonts w:ascii="Times New Roman" w:eastAsia="Times New Roman" w:hAnsi="Times New Roman" w:cs="Times New Roman"/>
        </w:rPr>
        <w:t>distressors</w:t>
      </w:r>
      <w:proofErr w:type="spellEnd"/>
      <w:r w:rsidRPr="00890E95">
        <w:rPr>
          <w:rFonts w:ascii="Times New Roman" w:eastAsia="Times New Roman" w:hAnsi="Times New Roman" w:cs="Times New Roman"/>
        </w:rPr>
        <w:t xml:space="preserve"> if not handled properly. As shown in previous studies, mental fatigue can limit physical performance, showing the toll that improperly handled academic stress could take on collegiate athletes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{"citationID":"LHRIaZ61","properties":{"formattedCitation":"(Smith et al., 2016)","plainCitation":"(Smith et al., 2016)","noteIndex":0},"citationItems":[{"id":10,"uris":["http://zotero.org/users/6375206/items/T8PDHS8W"],"uri":["http://zotero.org/users/6375206/items/T8PDHS8W"],"itemData":{"id":10,"type":"article-journal","container-title":"Medicine &amp; Science in Sports &amp; Exercise","DOI":"10.1249/MSS.0000000000000762","ISSN":"0195-9131","issue":"2","journalAbbreviation":"Medicine &amp; Science in Sports &amp; Exercise","language":"en","page":"267-276","source":"DOI.org (Crossref)","title":"Mental Fatigue Impairs Soccer-Specific Physical and Technical Performance:","title-short":"Mental Fatigue Impairs Soccer-Specific Physical and Technical Performance","volume":"48","author":[{"family":"Smith","given":"Mitchell R."},{"family":"Coutts","given":"Aaron J."},{"family":"Merlini","given":"Michele"},{"family":"Deprez","given":"Dieter"},{"family":"Lenoir","given":"Matthieu"},{"family":"Marcora","given":"Samuele M."}],"issued":{"date-parts":[["2016",2]]}}}],"schema":"https://github.com/citation-style-language/schema/raw/master/csl-citation.json"}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hAnsi="Times New Roman" w:cs="Times New Roman"/>
        </w:rPr>
        <w:t>(Smith et al.,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Additionally, psychological stress has been shown to increase injury rates in collegiate athletes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{"citationID":"3BkxV1rQ","properties":{"formattedCitation":"(Mann et al., 2016)","plainCitation":"(Mann et al., 2016)","noteIndex":0},"citationItems":[{"id":198,"uris":["http://zotero.org/users/6375206/items/9APALN87"],"uri":["http://zotero.org/users/6375206/items/9APALN87"],"itemData":{"id":198,"type":"article-journal","abstract":"Mann, JB, Bryant, KR, Johnstone, B, Ivey, PA, and Sayers, SP. Effect of physical and academic stress on illness and injury in division 1 college football players. J Strength Cond Res 30(1): 20–25, 2016—Stress-injury models of health suggest that athletes experience more physical injuries during times of high stress. The purpose of this study was to evaluate the effect of increased physical and academic stress on injury restrictions for athletes (n = 101) on a division I college football team. Weeks of the season were categorized into 3 levels: high physical stress (HPS) (i.e., preseason), high academic stress (HAS) (i.e., weeks with regularly scheduled examinations such as midterms, finals, and week before Thanksgiving break), and low academic stress (LAS) (i.e., regular season without regularly scheduled academic examinations). During each week, we recorded whether a player had an injury restriction, thereby creating a longitudinal binary outcome. The data were analyzed using a hierarchical logistic regression model to properly account for the dependency induced by the repeated observations over time within each subject. Significance for regression models was accepted at p ≤ 0.05. We found that the odds of an injury restriction during training camp (HPS) were the greatest compared with weeks of HAS (odds ratio [OR] = 2.05, p = 0.0003) and LAS (OR = 3.65, p &lt; 0.001). However, the odds of an injury restriction during weeks of HAS were nearly twice as high as during weeks of LAS (OR = 1.78, p = 0.0088). Moreover, the difference in injury rates reported in all athletes during weeks of HPS and weeks of HAS disappeared when considering only athletes that regularly played in games (OR = 1.13, p = 0.75) suggesting that HAS may affect athletes that play to an even greater extent than HPS. Coaches should be aware of both types of stressors and consider carefully the types of training methods imposed during times of HAS when injuries are most likely.","container-title":"The Journal of Strength &amp; Conditioning Research","DOI":"10.1519/JSC.0000000000001055","ISSN":"1064-8011","issue":"1","language":"en-US","page":"20–25","source":"journals-lww-com.ezproxy.lib.ou.edu","title":"Effect of Physical and Academic Stress on Illness and Injury in Division 1 College Football Players","volume":"30","author":[{"family":"Mann","given":"J. Bryan"},{"family":"Bryant","given":"Kirk R."},{"family":"Johnstone","given":"Brick"},{"family":"Ivey","given":"Patrick A."},{"family":"Sayers","given":"Stephen P."}],"issued":{"date-parts":[["2016",1]]}}}],"schema":"https://github.com/citation-style-language/schema/raw/master/csl-citation.json"}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(Mann et al., 2016)</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For gymnasts, psychological stress could be academic, social, or competition (e.g., mental and/or emotional strain associated with events judged against subjective yet stringent criteria) and training expectations and demands. As mental fatigue and stress can impair performance and each athlete has a unique set of academic stressors, it may be important to monitor these variables in collegiate gymnasts </w:t>
      </w:r>
      <w:proofErr w:type="gramStart"/>
      <w:r w:rsidRPr="00890E95">
        <w:rPr>
          <w:rFonts w:ascii="Times New Roman" w:eastAsia="Times New Roman" w:hAnsi="Times New Roman" w:cs="Times New Roman"/>
        </w:rPr>
        <w:t>in an effort to</w:t>
      </w:r>
      <w:proofErr w:type="gramEnd"/>
      <w:r w:rsidRPr="00890E95">
        <w:rPr>
          <w:rFonts w:ascii="Times New Roman" w:eastAsia="Times New Roman" w:hAnsi="Times New Roman" w:cs="Times New Roman"/>
        </w:rPr>
        <w:t xml:space="preserve"> avoid improper recovery. </w:t>
      </w:r>
    </w:p>
    <w:p w14:paraId="49BE4769" w14:textId="5D15D19B" w:rsidR="00D313EA" w:rsidRPr="00890E95" w:rsidRDefault="00D313EA" w:rsidP="00D313EA">
      <w:pPr>
        <w:spacing w:line="480" w:lineRule="auto"/>
        <w:ind w:firstLine="720"/>
        <w:rPr>
          <w:rFonts w:ascii="Times New Roman" w:eastAsia="Times New Roman" w:hAnsi="Times New Roman" w:cs="Times New Roman"/>
        </w:rPr>
      </w:pPr>
      <w:r w:rsidRPr="00890E95">
        <w:rPr>
          <w:rFonts w:ascii="Times New Roman" w:eastAsia="Times New Roman" w:hAnsi="Times New Roman" w:cs="Times New Roman"/>
        </w:rPr>
        <w:t xml:space="preserve">A typical gymnastics training protocol consists of four phases, conditioning and skill preparation, skill combinations preparation, competitive routines preparation, and competition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{"citationID":"CfIa7sRP","properties":{"formattedCitation":"(Sands et al., 1993)","plainCitation":"(Sands et al., 1993)","noteIndex":0},"citationItems":[{"id":130,"uris":["http://zotero.org/users/6375206/items/RRJBWZGQ"],"uri":["http://zotero.org/users/6375206/items/RRJBWZGQ"],"itemData":{"id":130,"type":"article-journal","container-title":"The American Journal of Sports Medicine","issue":"2","page":"271-276","title":"Women's gymnastics injuries: A 5-year study","volume":"21","author":[{"family":"Sands","given":"William A."},{"family":"Shultz","given":"Barry B."},{"family":"Newman","given":"Alan P."}],"issued":{"date-parts":[["1993"]]}}}],"schema":"https://github.com/citation-style-language/schema/raw/master/csl-citation.json"}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(Sands et al., 1993)</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In collegiate gymnastics, events vary by sex. For women, more lower body musculature is used in events including floor, uneven bars, beam, and vault. For men, more upper body musculature is used in events including floor, rings, pommel horse, parallel bars, high bar, and beam. The unique events and muscles used elicit unique injury patterns. Men are more likely to suffer upper body injuries, whereas women are more likely to suffer lower extremity injuries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{"citationID":"NBHiGtT5","properties":{"formattedCitation":"(Westermann et al., 2015)","plainCitation":"(Westermann et al., 2015)","noteIndex":0},"citationItems":[{"id":140,"uris":["http://zotero.org/users/6375206/items/H83YIMJC"],"uri":["http://zotero.org/users/6375206/items/H83YIMJC"],"itemData":{"id":140,"type":"article-journal","abstract":"Injuries are common in collegiate gymnasts. Most descriptive studies of injury patterns in collegiate gymnasts are limited in duration or are only inclusive of women.Injury patterns in men and women differ significantly; women sustain a higher rate of ...","container-title":"Sports Health","DOI":"10.1177/1941738114559705","issue":"2","language":"en","note":"publisher: SAGE Publications\nPMID: 25984262","page":"161","source":"www.ncbi.nlm.nih.gov","title":"Evaluation of Men’s and Women’s Gymnastics Injuries: A 10-Year Observational Study","title-short":"Evaluation of Men’s and Women’s Gymnastics Injuries","volume":"7","author":[{"family":"Westermann","given":"Robert W."},{"family":"Giblin","given":"Molly"},{"family":"Vaske","given":"Ashley"},{"family":"Grosso","given":"Kylie"},{"family":"Wolf","given":"Brian R."}],"issued":{"date-parts":[["2015",3]]}}}],"schema":"https://github.com/citation-style-language/schema/raw/master/csl-citation.json"}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(Westermann et al., 2015)</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Additionally, a higher injury rate has been found among freshman athletes, which could indicate an additive effect of changes in training associated with joining a collegiate program mixed with growth/development of the younger </w:t>
      </w:r>
      <w:r w:rsidRPr="00890E95">
        <w:rPr>
          <w:rFonts w:ascii="Times New Roman" w:eastAsia="Times New Roman" w:hAnsi="Times New Roman" w:cs="Times New Roman"/>
        </w:rPr>
        <w:lastRenderedPageBreak/>
        <w:t xml:space="preserve">athlete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{"citationID":"WmGtcBfy","properties":{"formattedCitation":"(Westermann et al., 2015)","plainCitation":"(Westermann et al., 2015)","noteIndex":0},"citationItems":[{"id":140,"uris":["http://zotero.org/users/6375206/items/H83YIMJC"],"uri":["http://zotero.org/users/6375206/items/H83YIMJC"],"itemData":{"id":140,"type":"article-journal","abstract":"Injuries are common in collegiate gymnasts. Most descriptive studies of injury patterns in collegiate gymnasts are limited in duration or are only inclusive of women.Injury patterns in men and women differ significantly; women sustain a higher rate of ...","container-title":"Sports Health","DOI":"10.1177/1941738114559705","issue":"2","language":"en","note":"publisher: SAGE Publications\nPMID: 25984262","page":"161","source":"www.ncbi.nlm.nih.gov","title":"Evaluation of Men’s and Women’s Gymnastics Injuries: A 10-Year Observational Study","title-short":"Evaluation of Men’s and Women’s Gymnastics Injuries","volume":"7","author":[{"family":"Westermann","given":"Robert W."},{"family":"Giblin","given":"Molly"},{"family":"Vaske","given":"Ashley"},{"family":"Grosso","given":"Kylie"},{"family":"Wolf","given":"Brian R."}],"issued":{"date-parts":[["2015",3]]}}}],"schema":"https://github.com/citation-style-language/schema/raw/master/csl-citation.json"}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(Westermann et al., 2015)</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With the specific competitive routines performed at gymnastics meets, </w:t>
      </w:r>
      <w:proofErr w:type="gramStart"/>
      <w:r w:rsidRPr="00890E95">
        <w:rPr>
          <w:rFonts w:ascii="Times New Roman" w:eastAsia="Times New Roman" w:hAnsi="Times New Roman" w:cs="Times New Roman"/>
        </w:rPr>
        <w:t>the majority of</w:t>
      </w:r>
      <w:proofErr w:type="gramEnd"/>
      <w:r w:rsidRPr="00890E95">
        <w:rPr>
          <w:rFonts w:ascii="Times New Roman" w:eastAsia="Times New Roman" w:hAnsi="Times New Roman" w:cs="Times New Roman"/>
        </w:rPr>
        <w:t xml:space="preserve"> gymnast’s training involves either performing complete routines or first and second halves of the entire routine. This may lead higher levels of monotony (lack of training variability) during practice sessions, resulting in increased strain on the </w:t>
      </w:r>
      <w:r w:rsidR="003644C6" w:rsidRPr="00890E95">
        <w:rPr>
          <w:rFonts w:ascii="Times New Roman" w:eastAsia="Times New Roman" w:hAnsi="Times New Roman" w:cs="Times New Roman"/>
        </w:rPr>
        <w:t>same specific</w:t>
      </w:r>
      <w:r w:rsidRPr="00890E95">
        <w:rPr>
          <w:rFonts w:ascii="Times New Roman" w:eastAsia="Times New Roman" w:hAnsi="Times New Roman" w:cs="Times New Roman"/>
        </w:rPr>
        <w:t xml:space="preserve"> musculoskeletal structures, increasing local fatigue and the likelihood of injury. </w:t>
      </w:r>
    </w:p>
    <w:p w14:paraId="23C6590B" w14:textId="77777777" w:rsidR="00D313EA" w:rsidRPr="00890E95" w:rsidRDefault="00D313EA" w:rsidP="00D313EA">
      <w:pPr>
        <w:spacing w:line="480" w:lineRule="auto"/>
        <w:rPr>
          <w:rFonts w:ascii="Times New Roman" w:eastAsia="Times New Roman" w:hAnsi="Times New Roman" w:cs="Times New Roman"/>
        </w:rPr>
      </w:pPr>
      <w:r w:rsidRPr="00890E95">
        <w:rPr>
          <w:rFonts w:ascii="Times New Roman" w:eastAsia="Times New Roman" w:hAnsi="Times New Roman" w:cs="Times New Roman"/>
        </w:rPr>
        <w:tab/>
        <w:t xml:space="preserve">When compared to other collegiate sports, both men’s and women’s gymnastics had higher rates of injury than any other of the seven sports studied with all but one gymnast reporting an injury during the study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{"citationID":"aeuCzjjj","properties":{"formattedCitation":"(Lanese et al., 1990)","plainCitation":"(Lanese et al., 1990)","noteIndex":0},"citationItems":[{"id":143,"uris":["http://zotero.org/users/6375206/items/8YCL958E"],"uri":["http://zotero.org/users/6375206/items/8YCL958E"],"itemData":{"id":143,"type":"article-journal","abstract":"Eight matched men's and women's intercollegiate varsity teams were studied prospectively for one academic year to determine the incidence of athletic injury and resulting disability. Sports in which both men and women participated in a comparable manner were chosen: basketball, fencing, gymnastics, swimming, tennis, indoor track, outdoor track, and volleyball. Men (232) and women (150) were injured at comparable rates, 42 percent versus 39 percent. When adjusted for exposure time, seven of the eight sports continued to show similar injury rates. Women gymnasts, however, experienced .82 injuries per 100 person-hours or exposure as compared to .21 injuries for the men (p = .0001). Disability was greater in women gymnasts, 7.44 days per 100 person-hours versus 1.15 days for men (p = .0004). Percent of season lost to injury was also greater for women gymnasts. Types and sites of injury were similar for men and women, with sprains and strains accounting for over half of all injuries. We found no evidence for gender differences in matched sports except for gymnastics, in which technically diverse events may have accounted for the differences observed. ABSTRACT FROM AUTHOR","container-title":"American Journal of Public Health","ISSN":"00900036","issue":"12","journalAbbreviation":"American Journal of Public Health","page":"1459-1462","source":"EBSCOhost","title":"Injury and Disability in Matched Men's and Women's Intercollegiate Sports","volume":"80","author":[{"family":"Lanese","given":"Richard R."},{"family":"Strauss","given":"Richard H."},{"family":"Leizman","given":"Daniel J."},{"family":"Rotondi","given":"Marie"}],"issued":{"date-parts":[["1990",12]]}}}],"schema":"https://github.com/citation-style-language/schema/raw/master/csl-citation.json"}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(Lanese et al., 1990)</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Overall, male and female gymnasts made up only 9% of the subjects in </w:t>
      </w:r>
      <w:proofErr w:type="spellStart"/>
      <w:r w:rsidRPr="00890E95">
        <w:rPr>
          <w:rFonts w:ascii="Times New Roman" w:eastAsia="Times New Roman" w:hAnsi="Times New Roman" w:cs="Times New Roman"/>
        </w:rPr>
        <w:t>Lanese</w:t>
      </w:r>
      <w:proofErr w:type="spellEnd"/>
      <w:r w:rsidRPr="00890E95">
        <w:rPr>
          <w:rFonts w:ascii="Times New Roman" w:eastAsia="Times New Roman" w:hAnsi="Times New Roman" w:cs="Times New Roman"/>
        </w:rPr>
        <w:t xml:space="preserve"> et al., but accounted for 34% of all injuries that occurred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{"citationID":"C1kytvtD","properties":{"formattedCitation":"(Lanese et al., 1990)","plainCitation":"(Lanese et al., 1990)","dontUpdate":true,"noteIndex":0},"citationItems":[{"id":143,"uris":["http://zotero.org/users/6375206/items/8YCL958E"],"uri":["http://zotero.org/users/6375206/items/8YCL958E"],"itemData":{"id":143,"type":"article-journal","abstract":"Eight matched men's and women's intercollegiate varsity teams were studied prospectively for one academic year to determine the incidence of athletic injury and resulting disability. Sports in which both men and women participated in a comparable manner were chosen: basketball, fencing, gymnastics, swimming, tennis, indoor track, outdoor track, and volleyball. Men (232) and women (150) were injured at comparable rates, 42 percent versus 39 percent. When adjusted for exposure time, seven of the eight sports continued to show similar injury rates. Women gymnasts, however, experienced .82 injuries per 100 person-hours or exposure as compared to .21 injuries for the men (p = .0001). Disability was greater in women gymnasts, 7.44 days per 100 person-hours versus 1.15 days for men (p = .0004). Percent of season lost to injury was also greater for women gymnasts. Types and sites of injury were similar for men and women, with sprains and strains accounting for over half of all injuries. We found no evidence for gender differences in matched sports except for gymnastics, in which technically diverse events may have accounted for the differences observed. ABSTRACT FROM AUTHOR","container-title":"American Journal of Public Health","ISSN":"00900036","issue":"12","journalAbbreviation":"American Journal of Public Health","page":"1459-1462","source":"EBSCOhost","title":"Injury and Disability in Matched Men's and Women's Intercollegiate Sports","volume":"80","author":[{"family":"Lanese","given":"Richard R."},{"family":"Strauss","given":"Richard H."},{"family":"Leizman","given":"Daniel J."},{"family":"Rotondi","given":"Marie"}],"issued":{"date-parts":[["1990",12]]}}}],"schema":"https://github.com/citation-style-language/schema/raw/master/csl-citation.json"}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(1990)</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Data from a 5-year study shows that female gymnasts practice with injury approximately 71% of the time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{"citationID":"9LffUnvT","properties":{"formattedCitation":"(Sands et al., 1993)","plainCitation":"(Sands et al., 1993)","noteIndex":0},"citationItems":[{"id":130,"uris":["http://zotero.org/users/6375206/items/RRJBWZGQ"],"uri":["http://zotero.org/users/6375206/items/RRJBWZGQ"],"itemData":{"id":130,"type":"article-journal","container-title":"The American Journal of Sports Medicine","issue":"2","page":"271-276","title":"Women's gymnastics injuries: A 5-year study","volume":"21","author":[{"family":"Sands","given":"William A."},{"family":"Shultz","given":"Barry B."},{"family":"Newman","given":"Alan P."}],"issued":{"date-parts":[["1993"]]}}}],"schema":"https://github.com/citation-style-language/schema/raw/master/csl-citation.json"}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(Sands et al., 1993)</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Overuse injuries make up about 22% of all injuries in gymnastics, which may be a result of the monotony applied to the body throughout training and competition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{"citationID":"eFk2Cn9T","properties":{"formattedCitation":"(Caine et al., 1989)","plainCitation":"(Caine et al., 1989)","noteIndex":0},"citationItems":[{"id":185,"uris":["http://zotero.org/users/6375206/items/AMZ4X35U"],"uri":["http://zotero.org/users/6375206/items/AMZ4X35U"],"itemData":{"id":185,"type":"article-journal","abstract":"A prospective study of injuries affecting 50 highly com petitive young female gymnasts was conducted over a period of 1 year. Many of the findings of this investi gation were consistent with previous studies and sug gest particular injury trends in women's gymnastics. These results included injury location, injury severity, nature of onset, event, and activity at the time of injury. Some of the descriptive results, however, provided information that was heretofore unreported or incon sistent with previous investigations. These findings in volved injury rate, reinjury rate, time loss, injury type, hours of practice, and incidence of physician-seen in juries. Some of these findings were disturbing and echo concerns registered in the professional literature. In particular, the reinjury rate is alarming and points to the need for complete rehabilitation before return to full participation. The results of the analytic component of the study alluded to the potential role of competitive level and maturation rate in the profile of the injury- prone gymnast. Specifically, rapid periods of growth and advanced levels of training and competition ap peared to be related to injury proneness. Pursuant to the descriptive and analytic results of the investigation, recommendations for injury prevention and continued research are made.","container-title":"The American Journal of Sports Medicine","DOI":"10.1177/036354658901700616","ISSN":"0363-5465","issue":"6","journalAbbreviation":"Am J Sports Med","note":"publisher: SAGE Publications Inc STM","page":"811-820","source":"SAGE Journals","title":"An epidemiologic investigation of injuries affecting young competitive female gymnasts","volume":"17","author":[{"family":"Caine","given":"Dennis"},{"family":"Cochrane","given":"Barbara"},{"family":"Caine","given":"Caroline"},{"family":"Zemper","given":"Eric"}],"issued":{"date-parts":[["1989",11,1]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(Caine et al., 1989)</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In addition to the high risks of injuries due to monotony, female gymnasts also face a high reinjury rate at 33%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{"citationID":"7CTp454y","properties":{"formattedCitation":"(Daly et al., 2001)","plainCitation":"(Daly et al., 2001)","noteIndex":0},"citationItems":[{"id":121,"uris":["http://zotero.org/users/6375206/items/AZU9LERE"],"uri":["http://zotero.org/users/6375206/items/AZU9LERE"],"itemData":{"id":121,"type":"article-journal","abstract":"Background—To minimise injury risk and maximise gymnastics performance, coaches, parents, and health professionals working with young gymnasts need to understand and practise safe gymnastics. , Aims—To (a) identify the various injury counter measures specific to gymnastics, (b) critically review the literature describing each injury prevention measure, and (c) assess, using available risk factor and injury data, the weight of evidence to support each of these counter measures. Specific recommendations for further research and implementation strategies to prevent injury and improve safety are also given. , Methods—The relevant literature was identified through the use of Medline (1966 to May 1998) and SPORT Discus (1975 to May 1998) searches, hand searching of journals and reference lists, and discussions with key Australian gymnastics organisations. , Results—The key gymnastics injury counter measures identified in this review include coaching (physical preparation, education, spotting, and performance technique), equipment, and the health support system (medical screening, treatment, and rehabilitation). Categorisation of the type of evidence for the effectiveness of each of these counter measures in preventing injury showed that most of it is based on informal opinion/anecdotal evidence, uncontrolled data based studies, and several prospective epidemiological studies. There is no evidence from formally controlled trials or specific evaluation studies of counter measures for gymnastics. , Conclusions—Although gymnastics is a sport associated with young participants and frequent high volume, high impact training, there is a paucity of information on injury risk factors and the effectiveness of injury practices. Further controlled trials are needed to examine the extent to which injury prevention counter measures can prevent or reduce the occurrence of injury and re-injury. Particular attention should be devoted to improving training facilities, the design and testing of apparatus and personal equipment used by gymnasts, and coaching and the role of spotting in preventing injury. , Key Words: gymnastics; injury prevention; counter measures; effectiveness; coaching; equipment","container-title":"British Journal of Sports Medicine","DOI":"10.1136/bjsm.35.1.8","ISSN":"0306-3674","issue":"1","journalAbbreviation":"Br J Sports Med","note":"PMID: 11157456\nPMCID: PMC1724280","page":"8-19","source":"PubMed Central","title":"Balancing the risk of injury to gymnasts: how effective are the counter measures?","title-short":"Balancing the risk of injury to gymnasts","volume":"35","author":[{"family":"Daly","given":"R"},{"family":"Bass","given":"S"},{"family":"Finch","given":"C"}],"issued":{"date-parts":[["2001",2]]}}}],"schema":"https://github.com/citation-style-language/schema/raw/master/csl-citation.json"}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(Daly et al., 2001)</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Injury rates are clearly skewed in gymnastics as compared to other sports, thus the need for an athlete monitoring-based approach to training and recovery seems warranted. </w:t>
      </w:r>
    </w:p>
    <w:p w14:paraId="0B52C2EE" w14:textId="29170E69" w:rsidR="00D313EA" w:rsidRPr="00890E95" w:rsidRDefault="00D313EA" w:rsidP="00D313EA">
      <w:pPr>
        <w:spacing w:line="480" w:lineRule="auto"/>
        <w:rPr>
          <w:rFonts w:ascii="Times New Roman" w:eastAsia="Times New Roman" w:hAnsi="Times New Roman" w:cs="Times New Roman"/>
        </w:rPr>
      </w:pPr>
      <w:r w:rsidRPr="00890E95">
        <w:rPr>
          <w:rFonts w:ascii="Times New Roman" w:eastAsia="Times New Roman" w:hAnsi="Times New Roman" w:cs="Times New Roman"/>
        </w:rPr>
        <w:tab/>
        <w:t xml:space="preserve">Teams may adopt various approaches to injury prevention such as adaptive coaching techniques, spotting, warm-ups, and physical conditioning; however, most have not been proven effective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{"citationID":"AJ5G6RYP","properties":{"formattedCitation":"(Daly et al., 2001)","plainCitation":"(Daly et al., 2001)","noteIndex":0},"citationItems":[{"id":121,"uris":["http://zotero.org/users/6375206/items/AZU9LERE"],"uri":["http://zotero.org/users/6375206/items/AZU9LERE"],"itemData":{"id":121,"type":"article-journal","abstract":"Background—To minimise injury risk and maximise gymnastics performance, coaches, parents, and health professionals working with young gymnasts need to understand and practise safe gymnastics. , Aims—To (a) identify the various injury counter measures specific to gymnastics, (b) critically review the literature describing each injury prevention measure, and (c) assess, using available risk factor and injury data, the weight of evidence to support each of these counter measures. Specific recommendations for further research and implementation strategies to prevent injury and improve safety are also given. , Methods—The relevant literature was identified through the use of Medline (1966 to May 1998) and SPORT Discus (1975 to May 1998) searches, hand searching of journals and reference lists, and discussions with key Australian gymnastics organisations. , Results—The key gymnastics injury counter measures identified in this review include coaching (physical preparation, education, spotting, and performance technique), equipment, and the health support system (medical screening, treatment, and rehabilitation). Categorisation of the type of evidence for the effectiveness of each of these counter measures in preventing injury showed that most of it is based on informal opinion/anecdotal evidence, uncontrolled data based studies, and several prospective epidemiological studies. There is no evidence from formally controlled trials or specific evaluation studies of counter measures for gymnastics. , Conclusions—Although gymnastics is a sport associated with young participants and frequent high volume, high impact training, there is a paucity of information on injury risk factors and the effectiveness of injury practices. Further controlled trials are needed to examine the extent to which injury prevention counter measures can prevent or reduce the occurrence of injury and re-injury. Particular attention should be devoted to improving training facilities, the design and testing of apparatus and personal equipment used by gymnasts, and coaching and the role of spotting in preventing injury. , Key Words: gymnastics; injury prevention; counter measures; effectiveness; coaching; equipment","container-title":"British Journal of Sports Medicine","DOI":"10.1136/bjsm.35.1.8","ISSN":"0306-3674","issue":"1","journalAbbreviation":"Br J Sports Med","note":"PMID: 11157456\nPMCID: PMC1724280","page":"8-19","source":"PubMed Central","title":"Balancing the risk of injury to gymnasts: how effective are the counter measures?","title-short":"Balancing the risk of injury to gymnasts","volume":"35","author":[{"family":"Daly","given":"R"},{"family":"Bass","given":"S"},{"family":"Finch","given":"C"}],"issued":{"date-parts":[["2001",2]]}}}],"schema":"https://github.com/citation-style-language/schema/raw/master/csl-citation.json"}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(Daly et al., 2001)</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These outdated methods of injury prevention need to be improved upon. </w:t>
      </w:r>
      <w:proofErr w:type="spellStart"/>
      <w:r w:rsidRPr="00890E95">
        <w:rPr>
          <w:rFonts w:ascii="Times New Roman" w:eastAsia="Times New Roman" w:hAnsi="Times New Roman" w:cs="Times New Roman"/>
        </w:rPr>
        <w:t>Lanese</w:t>
      </w:r>
      <w:proofErr w:type="spellEnd"/>
      <w:r w:rsidRPr="00890E95">
        <w:rPr>
          <w:rFonts w:ascii="Times New Roman" w:eastAsia="Times New Roman" w:hAnsi="Times New Roman" w:cs="Times New Roman"/>
        </w:rPr>
        <w:t xml:space="preserve"> et al. (1990) found that although men and women across 8 sports had similar injury rates, female gymnasts have been reported to be injured at higher rates than male gymnasts. Additionally, women’s gymnastics had the highest number of days of the season missed as a </w:t>
      </w:r>
      <w:r w:rsidRPr="00890E95">
        <w:rPr>
          <w:rFonts w:ascii="Times New Roman" w:eastAsia="Times New Roman" w:hAnsi="Times New Roman" w:cs="Times New Roman"/>
        </w:rPr>
        <w:lastRenderedPageBreak/>
        <w:t xml:space="preserve">result of injury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{"citationID":"3KOg2C2u","properties":{"formattedCitation":"(Lanese et al., 1990)","plainCitation":"(Lanese et al., 1990)","noteIndex":0},"citationItems":[{"id":143,"uris":["http://zotero.org/users/6375206/items/8YCL958E"],"uri":["http://zotero.org/users/6375206/items/8YCL958E"],"itemData":{"id":143,"type":"article-journal","abstract":"Eight matched men's and women's intercollegiate varsity teams were studied prospectively for one academic year to determine the incidence of athletic injury and resulting disability. Sports in which both men and women participated in a comparable manner were chosen: basketball, fencing, gymnastics, swimming, tennis, indoor track, outdoor track, and volleyball. Men (232) and women (150) were injured at comparable rates, 42 percent versus 39 percent. When adjusted for exposure time, seven of the eight sports continued to show similar injury rates. Women gymnasts, however, experienced .82 injuries per 100 person-hours or exposure as compared to .21 injuries for the men (p = .0001). Disability was greater in women gymnasts, 7.44 days per 100 person-hours versus 1.15 days for men (p = .0004). Percent of season lost to injury was also greater for women gymnasts. Types and sites of injury were similar for men and women, with sprains and strains accounting for over half of all injuries. We found no evidence for gender differences in matched sports except for gymnastics, in which technically diverse events may have accounted for the differences observed. ABSTRACT FROM AUTHOR","container-title":"American Journal of Public Health","ISSN":"00900036","issue":"12","journalAbbreviation":"American Journal of Public Health","page":"1459-1462","source":"EBSCOhost","title":"Injury and Disability in Matched Men's and Women's Intercollegiate Sports","volume":"80","author":[{"family":"Lanese","given":"Richard R."},{"family":"Strauss","given":"Richard H."},{"family":"Leizman","given":"Daniel J."},{"family":"Rotondi","given":"Marie"}],"issued":{"date-parts":[["1990",12]]}}}],"schema":"https://github.com/citation-style-language/schema/raw/master/csl-citation.json"}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(Lanese et al., 1990)</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A clear mismatch exists between female gymnasts and other athletes, </w:t>
      </w:r>
      <w:proofErr w:type="gramStart"/>
      <w:r w:rsidRPr="00890E95">
        <w:rPr>
          <w:rFonts w:ascii="Times New Roman" w:eastAsia="Times New Roman" w:hAnsi="Times New Roman" w:cs="Times New Roman"/>
        </w:rPr>
        <w:t>male</w:t>
      </w:r>
      <w:proofErr w:type="gramEnd"/>
      <w:r w:rsidRPr="00890E95">
        <w:rPr>
          <w:rFonts w:ascii="Times New Roman" w:eastAsia="Times New Roman" w:hAnsi="Times New Roman" w:cs="Times New Roman"/>
        </w:rPr>
        <w:t xml:space="preserve"> and female alike. </w:t>
      </w:r>
    </w:p>
    <w:p w14:paraId="010CE654" w14:textId="3BB6AD83" w:rsidR="00D313EA" w:rsidRPr="00890E95" w:rsidRDefault="00D313EA" w:rsidP="00D313EA">
      <w:pPr>
        <w:spacing w:line="480" w:lineRule="auto"/>
        <w:rPr>
          <w:rFonts w:ascii="Times New Roman" w:eastAsia="Times New Roman" w:hAnsi="Times New Roman" w:cs="Times New Roman"/>
        </w:rPr>
      </w:pPr>
      <w:r w:rsidRPr="00890E95">
        <w:rPr>
          <w:rFonts w:ascii="Times New Roman" w:eastAsia="Times New Roman" w:hAnsi="Times New Roman" w:cs="Times New Roman"/>
        </w:rPr>
        <w:tab/>
        <w:t xml:space="preserve">In addition to their training load, female gymnasts </w:t>
      </w:r>
      <w:r w:rsidR="00A06DA1">
        <w:rPr>
          <w:rFonts w:ascii="Times New Roman" w:eastAsia="Times New Roman" w:hAnsi="Times New Roman" w:cs="Times New Roman"/>
        </w:rPr>
        <w:t>experience a complex set of</w:t>
      </w:r>
      <w:r w:rsidRPr="00890E95">
        <w:rPr>
          <w:rFonts w:ascii="Times New Roman" w:eastAsia="Times New Roman" w:hAnsi="Times New Roman" w:cs="Times New Roman"/>
        </w:rPr>
        <w:t xml:space="preserve"> emotions </w:t>
      </w:r>
      <w:proofErr w:type="gramStart"/>
      <w:r w:rsidRPr="00890E95">
        <w:rPr>
          <w:rFonts w:ascii="Times New Roman" w:eastAsia="Times New Roman" w:hAnsi="Times New Roman" w:cs="Times New Roman"/>
        </w:rPr>
        <w:t>as a result of</w:t>
      </w:r>
      <w:proofErr w:type="gramEnd"/>
      <w:r w:rsidRPr="00890E95">
        <w:rPr>
          <w:rFonts w:ascii="Times New Roman" w:eastAsia="Times New Roman" w:hAnsi="Times New Roman" w:cs="Times New Roman"/>
        </w:rPr>
        <w:t xml:space="preserve"> the subjective nature of scoring in gymnastics. In one case study evaluating the emotions experienced by ten female collegiate gymnasts during a meet, each reported nervousness and many reported fear of injury, frustration and disappointment, and happiness and joy </w:t>
      </w:r>
      <w:r w:rsidRPr="00890E95">
        <w:rPr>
          <w:rFonts w:ascii="Times New Roman" w:eastAsia="Times New Roman" w:hAnsi="Times New Roman" w:cs="Times New Roman"/>
        </w:rPr>
        <w:fldChar w:fldCharType="begin"/>
      </w:r>
      <w:r w:rsidRPr="00890E95">
        <w:rPr>
          <w:rFonts w:ascii="Times New Roman" w:eastAsia="Times New Roman" w:hAnsi="Times New Roman" w:cs="Times New Roman"/>
        </w:rPr>
        <w:instrText xml:space="preserve"> ADDIN ZOTERO_ITEM CSL_CITATION {"citationID":"GdUMwJaS","properties":{"formattedCitation":"(Snyder, 1990)","plainCitation":"(Snyder, 1990)","noteIndex":0},"citationItems":[{"id":137,"uris":["http://zotero.org/users/6375206/items/X9NGW9HD"],"uri":["http://zotero.org/users/6375206/items/X9NGW9HD"],"itemData":{"id":137,"type":"article-journal","abstract":"&lt;section class=\"abstract\"&gt;&lt;p&gt;Previous studies of emotion in sport have examined team sports. The present research focuses on an individual sport—women’s collegiate gymnastics. Data were gathered during the gymnastics season of 1988-89 from 10 members of the team and its coach and trainer. The methodology included the use of photo-elicitation interviews and observations of women’s gymnastics. The emotion-work and categories of emotions described were displayed when the gymnasts were off stage, when preparing to compete, between events, and after competition. Discussion focuses on the control and management of emotions according to the “feeling rules” (i.e., the socially constructed subcultural norms of the sport). The gymnasts did display individual variations in their adherence to the feeling rules. Categories of emotion included nervousness, fear of pain and injury, frustration, and disappointment. Emotional social experiences included social psyching up and the happiness and joy associated with a successful performance. Consideration is given to some advantages and qualifications of the photo-elicitation technique.&lt;/p&gt;&lt;/section&gt;","container-title":"Sociology of Sport Journal","DOI":"10.1123/ssj.7.3.254","ISSN":"0741-1235, 1543-2785","issue":"3","language":"en_US","note":"publisher: Human Kinetics, Inc.\nsection: Sociology of Sport Journal","page":"254-270","source":"journals-humankinetics-com.ezproxy.lib.ou.edu","title":"Emotion and Sport: A Case Study of Collegiate Women Gymnasts","title-short":"Emotion and Sport","volume":"7","author":[{"family":"Snyder","given":"Eldon E."}],"issued":{"date-parts":[["1990",9,1]]}}}],"schema":"https://github.com/citation-style-language/schema/raw/master/csl-citation.json"} </w:instrText>
      </w:r>
      <w:r w:rsidRPr="00890E95">
        <w:rPr>
          <w:rFonts w:ascii="Times New Roman" w:eastAsia="Times New Roman" w:hAnsi="Times New Roman" w:cs="Times New Roman"/>
        </w:rPr>
        <w:fldChar w:fldCharType="separate"/>
      </w:r>
      <w:r w:rsidRPr="00890E95">
        <w:rPr>
          <w:rFonts w:ascii="Times New Roman" w:eastAsia="Times New Roman" w:hAnsi="Times New Roman" w:cs="Times New Roman"/>
          <w:noProof/>
        </w:rPr>
        <w:t>(Snyder, 1990)</w:t>
      </w:r>
      <w:r w:rsidRPr="00890E95">
        <w:rPr>
          <w:rFonts w:ascii="Times New Roman" w:eastAsia="Times New Roman" w:hAnsi="Times New Roman" w:cs="Times New Roman"/>
        </w:rPr>
        <w:fldChar w:fldCharType="end"/>
      </w:r>
      <w:r w:rsidRPr="00890E95">
        <w:rPr>
          <w:rFonts w:ascii="Times New Roman" w:eastAsia="Times New Roman" w:hAnsi="Times New Roman" w:cs="Times New Roman"/>
        </w:rPr>
        <w:t xml:space="preserve">. Many of these emotions are common across all sports, but the aspect of being judged against specific yet subjective </w:t>
      </w:r>
      <w:r w:rsidR="00A06DA1">
        <w:rPr>
          <w:rFonts w:ascii="Times New Roman" w:eastAsia="Times New Roman" w:hAnsi="Times New Roman" w:cs="Times New Roman"/>
        </w:rPr>
        <w:t xml:space="preserve">physical/aesthetic </w:t>
      </w:r>
      <w:r w:rsidRPr="00890E95">
        <w:rPr>
          <w:rFonts w:ascii="Times New Roman" w:eastAsia="Times New Roman" w:hAnsi="Times New Roman" w:cs="Times New Roman"/>
        </w:rPr>
        <w:t>standard</w:t>
      </w:r>
      <w:r w:rsidR="00E972C2">
        <w:rPr>
          <w:rFonts w:ascii="Times New Roman" w:eastAsia="Times New Roman" w:hAnsi="Times New Roman" w:cs="Times New Roman"/>
        </w:rPr>
        <w:t>s</w:t>
      </w:r>
      <w:r w:rsidRPr="00890E95">
        <w:rPr>
          <w:rFonts w:ascii="Times New Roman" w:eastAsia="Times New Roman" w:hAnsi="Times New Roman" w:cs="Times New Roman"/>
        </w:rPr>
        <w:t xml:space="preserve"> add an aspect </w:t>
      </w:r>
      <w:proofErr w:type="gramStart"/>
      <w:r w:rsidRPr="00890E95">
        <w:rPr>
          <w:rFonts w:ascii="Times New Roman" w:eastAsia="Times New Roman" w:hAnsi="Times New Roman" w:cs="Times New Roman"/>
        </w:rPr>
        <w:t>not present</w:t>
      </w:r>
      <w:proofErr w:type="gramEnd"/>
      <w:r w:rsidRPr="00890E95">
        <w:rPr>
          <w:rFonts w:ascii="Times New Roman" w:eastAsia="Times New Roman" w:hAnsi="Times New Roman" w:cs="Times New Roman"/>
        </w:rPr>
        <w:t xml:space="preserve"> in most collegiate athletics. These unique emotional experiences in female gymnasts may </w:t>
      </w:r>
      <w:proofErr w:type="gramStart"/>
      <w:r w:rsidRPr="00890E95">
        <w:rPr>
          <w:rFonts w:ascii="Times New Roman" w:eastAsia="Times New Roman" w:hAnsi="Times New Roman" w:cs="Times New Roman"/>
        </w:rPr>
        <w:t>have an effect on</w:t>
      </w:r>
      <w:proofErr w:type="gramEnd"/>
      <w:r w:rsidRPr="00890E95">
        <w:rPr>
          <w:rFonts w:ascii="Times New Roman" w:eastAsia="Times New Roman" w:hAnsi="Times New Roman" w:cs="Times New Roman"/>
        </w:rPr>
        <w:t xml:space="preserve"> internal load, possibly increasing their accumulated stress and delaying full mental/emotional recovery when compared to normal training and academic demands present for most collegiate athletes. </w:t>
      </w:r>
    </w:p>
    <w:p w14:paraId="66ECCB07" w14:textId="2B20DC61" w:rsidR="00D313EA" w:rsidRPr="00890E95" w:rsidRDefault="00D313EA" w:rsidP="00D313EA">
      <w:pPr>
        <w:spacing w:line="480" w:lineRule="auto"/>
        <w:rPr>
          <w:rFonts w:ascii="Times New Roman" w:eastAsia="Times New Roman" w:hAnsi="Times New Roman" w:cs="Times New Roman"/>
        </w:rPr>
      </w:pPr>
      <w:r w:rsidRPr="00890E95">
        <w:rPr>
          <w:rFonts w:ascii="Times New Roman" w:eastAsia="Times New Roman" w:hAnsi="Times New Roman" w:cs="Times New Roman"/>
        </w:rPr>
        <w:tab/>
        <w:t xml:space="preserve">In summary, many factors influence internal and external load that should be monitored, especially in </w:t>
      </w:r>
      <w:r w:rsidR="00E972C2">
        <w:rPr>
          <w:rFonts w:ascii="Times New Roman" w:eastAsia="Times New Roman" w:hAnsi="Times New Roman" w:cs="Times New Roman"/>
        </w:rPr>
        <w:t xml:space="preserve">female </w:t>
      </w:r>
      <w:r w:rsidRPr="00890E95">
        <w:rPr>
          <w:rFonts w:ascii="Times New Roman" w:eastAsia="Times New Roman" w:hAnsi="Times New Roman" w:cs="Times New Roman"/>
        </w:rPr>
        <w:t xml:space="preserve">collegiate gymnasts. With elevated mental stress due to academics and the subjective nature of gymnastics scoring, increased risk of injury above other sports, and the monotony of practice and competition, female collegiate gymnasts seem to need monitoring methods </w:t>
      </w:r>
      <w:proofErr w:type="gramStart"/>
      <w:r w:rsidRPr="00890E95">
        <w:rPr>
          <w:rFonts w:ascii="Times New Roman" w:eastAsia="Times New Roman" w:hAnsi="Times New Roman" w:cs="Times New Roman"/>
        </w:rPr>
        <w:t>in order to</w:t>
      </w:r>
      <w:proofErr w:type="gramEnd"/>
      <w:r w:rsidRPr="00890E95">
        <w:rPr>
          <w:rFonts w:ascii="Times New Roman" w:eastAsia="Times New Roman" w:hAnsi="Times New Roman" w:cs="Times New Roman"/>
        </w:rPr>
        <w:t xml:space="preserve"> prevent overtraining, reduce injury incidence, and to improve performance. Gymnastics coaches are still rooted in the antiquated monitoring methods outlined by Daly et al. (2001). Even though the need seems evident, there is a striking lack of research in the NCAA Women’s Gymnastics realm, which makes this study a crucial step in the process of establishing the efficacy and practicality of athlete monitoring in gymnastics.</w:t>
      </w:r>
    </w:p>
    <w:p w14:paraId="1038FD9A" w14:textId="2535B352" w:rsidR="00801163" w:rsidRPr="00890E95" w:rsidRDefault="00801163" w:rsidP="00D313EA">
      <w:pPr>
        <w:spacing w:line="480" w:lineRule="auto"/>
        <w:rPr>
          <w:rFonts w:ascii="Times New Roman" w:hAnsi="Times New Roman" w:cs="Times New Roman"/>
        </w:rPr>
      </w:pPr>
    </w:p>
    <w:p w14:paraId="00423520" w14:textId="06FCAA60" w:rsidR="00801163" w:rsidRPr="00890E95" w:rsidRDefault="00801163" w:rsidP="00801163">
      <w:pPr>
        <w:rPr>
          <w:rFonts w:ascii="Times New Roman" w:hAnsi="Times New Roman" w:cs="Times New Roman"/>
        </w:rPr>
      </w:pPr>
    </w:p>
    <w:p w14:paraId="2620DCA0" w14:textId="77777777" w:rsidR="00801163" w:rsidRPr="00890E95" w:rsidRDefault="00801163" w:rsidP="00801163">
      <w:pPr>
        <w:rPr>
          <w:rFonts w:ascii="Times New Roman" w:hAnsi="Times New Roman" w:cs="Times New Roman"/>
        </w:rPr>
      </w:pPr>
    </w:p>
    <w:p w14:paraId="028D70A1" w14:textId="43632E15" w:rsidR="003D3295" w:rsidRPr="00890E95" w:rsidRDefault="003D3295" w:rsidP="00563EE3">
      <w:pPr>
        <w:pStyle w:val="Heading1"/>
        <w:rPr>
          <w:rFonts w:cs="Times New Roman"/>
          <w:szCs w:val="24"/>
        </w:rPr>
      </w:pPr>
      <w:bookmarkStart w:id="16" w:name="_Toc85791402"/>
      <w:r w:rsidRPr="00890E95">
        <w:rPr>
          <w:rFonts w:cs="Times New Roman"/>
          <w:szCs w:val="24"/>
        </w:rPr>
        <w:lastRenderedPageBreak/>
        <w:t xml:space="preserve">Chapter </w:t>
      </w:r>
      <w:r w:rsidR="00801163" w:rsidRPr="00890E95">
        <w:rPr>
          <w:rFonts w:cs="Times New Roman"/>
          <w:szCs w:val="24"/>
        </w:rPr>
        <w:t>III</w:t>
      </w:r>
      <w:r w:rsidR="001A54BA" w:rsidRPr="00890E95">
        <w:rPr>
          <w:rFonts w:cs="Times New Roman"/>
          <w:szCs w:val="24"/>
        </w:rPr>
        <w:t xml:space="preserve"> - Methodology</w:t>
      </w:r>
      <w:bookmarkEnd w:id="16"/>
    </w:p>
    <w:p w14:paraId="00940B15" w14:textId="4206782A" w:rsidR="003D3295" w:rsidRPr="00890E95" w:rsidRDefault="003D3295" w:rsidP="00263AD5">
      <w:pPr>
        <w:pStyle w:val="Heading3"/>
        <w:rPr>
          <w:rFonts w:cs="Times New Roman"/>
        </w:rPr>
      </w:pPr>
      <w:bookmarkStart w:id="17" w:name="_Toc85791403"/>
      <w:r w:rsidRPr="00890E95">
        <w:rPr>
          <w:rFonts w:cs="Times New Roman"/>
        </w:rPr>
        <w:t>Introduction</w:t>
      </w:r>
      <w:bookmarkEnd w:id="17"/>
      <w:r w:rsidRPr="00890E95">
        <w:rPr>
          <w:rFonts w:cs="Times New Roman"/>
        </w:rPr>
        <w:t xml:space="preserve"> </w:t>
      </w:r>
    </w:p>
    <w:p w14:paraId="13D592B7" w14:textId="4A8D30D9" w:rsidR="0052271F" w:rsidRPr="00890E95" w:rsidRDefault="003D3295" w:rsidP="0052271F">
      <w:pPr>
        <w:spacing w:line="480" w:lineRule="auto"/>
        <w:rPr>
          <w:rFonts w:ascii="Times New Roman" w:hAnsi="Times New Roman" w:cs="Times New Roman"/>
        </w:rPr>
      </w:pPr>
      <w:r w:rsidRPr="00890E95">
        <w:rPr>
          <w:rFonts w:ascii="Times New Roman" w:hAnsi="Times New Roman" w:cs="Times New Roman"/>
        </w:rPr>
        <w:tab/>
      </w:r>
      <w:r w:rsidR="0052271F" w:rsidRPr="00890E95">
        <w:rPr>
          <w:rFonts w:ascii="Times New Roman" w:hAnsi="Times New Roman" w:cs="Times New Roman"/>
        </w:rPr>
        <w:t xml:space="preserve">Monitoring performance has become increasingly widespread in sport, but especially in field sports like soccer and football. Using internal and external load measures may help the practitioner better assess recovery which could help prevent non-functional overreaching in their athletes. These measures have not been previously utilized in gymnasts. The current investigation seeks to expand on athlete monitoring research </w:t>
      </w:r>
      <w:r w:rsidR="00E972C2">
        <w:rPr>
          <w:rFonts w:ascii="Times New Roman" w:hAnsi="Times New Roman" w:cs="Times New Roman"/>
        </w:rPr>
        <w:t xml:space="preserve">used </w:t>
      </w:r>
      <w:r w:rsidR="0052271F" w:rsidRPr="00890E95">
        <w:rPr>
          <w:rFonts w:ascii="Times New Roman" w:hAnsi="Times New Roman" w:cs="Times New Roman"/>
        </w:rPr>
        <w:t xml:space="preserve">in other sports to gain a basis for the following outline of procedures. Although similar data has never been collected in the collegiate female gymnast population, the success in other sports provides evidence that monitoring could be beneficial in this cohort as well. </w:t>
      </w:r>
    </w:p>
    <w:p w14:paraId="036A3AD2" w14:textId="396257D6" w:rsidR="0052271F" w:rsidRPr="00890E95" w:rsidRDefault="0052271F" w:rsidP="00263AD5">
      <w:pPr>
        <w:pStyle w:val="Heading3"/>
        <w:rPr>
          <w:rFonts w:cs="Times New Roman"/>
        </w:rPr>
      </w:pPr>
      <w:bookmarkStart w:id="18" w:name="_Toc85791404"/>
      <w:r w:rsidRPr="00890E95">
        <w:rPr>
          <w:rFonts w:cs="Times New Roman"/>
        </w:rPr>
        <w:t>Research Design</w:t>
      </w:r>
      <w:bookmarkEnd w:id="18"/>
    </w:p>
    <w:p w14:paraId="67D770A2" w14:textId="275F195B" w:rsidR="0052271F" w:rsidRPr="00890E95" w:rsidRDefault="0052271F" w:rsidP="0052271F">
      <w:pPr>
        <w:spacing w:line="480" w:lineRule="auto"/>
        <w:rPr>
          <w:rFonts w:ascii="Times New Roman" w:hAnsi="Times New Roman" w:cs="Times New Roman"/>
        </w:rPr>
      </w:pPr>
      <w:r w:rsidRPr="00890E95">
        <w:rPr>
          <w:rFonts w:ascii="Times New Roman" w:hAnsi="Times New Roman" w:cs="Times New Roman"/>
        </w:rPr>
        <w:tab/>
        <w:t>In a retrospective study spanning across a preseason (September 2019 thru January 2020), subjective and objective load and recovery measures were tracked in one NCAA Division I women’s gymnastics team from the Southeastern Conference (SEC). The SRSS was used for subjective internal load measures and Catapult trackers were used to measure objective external load. Each participant completed the SRSS each morning and select participants wore Catapult trackers throughout each training session. Accelerometry-based metrics include Player Load, Player Load per Minute, Average Player Load, Total Inertial Movement Analysis (IMA), and IMA jump counts. Additionally, assessments of individual body part and total body soreness, along with sleep quality were tracked daily via a 100mm visual analog scale (VAS). By tracking internal and external measures together, the two can be compared with each other to help determine the dose-response nature of preseason training and the efficacy of these various monitoring techniques in collegiate women’s gymnastics.</w:t>
      </w:r>
    </w:p>
    <w:p w14:paraId="4F08F302" w14:textId="123D1189" w:rsidR="0052271F" w:rsidRPr="00890E95" w:rsidRDefault="0052271F" w:rsidP="00263AD5">
      <w:pPr>
        <w:pStyle w:val="Heading3"/>
        <w:rPr>
          <w:rFonts w:cs="Times New Roman"/>
        </w:rPr>
      </w:pPr>
      <w:bookmarkStart w:id="19" w:name="_Toc85791405"/>
      <w:r w:rsidRPr="00890E95">
        <w:rPr>
          <w:rFonts w:cs="Times New Roman"/>
        </w:rPr>
        <w:lastRenderedPageBreak/>
        <w:t>Subjects</w:t>
      </w:r>
      <w:bookmarkEnd w:id="19"/>
    </w:p>
    <w:p w14:paraId="255F6CBE" w14:textId="77777777" w:rsidR="0052271F" w:rsidRPr="00890E95" w:rsidRDefault="0052271F" w:rsidP="0052271F">
      <w:pPr>
        <w:spacing w:line="480" w:lineRule="auto"/>
        <w:rPr>
          <w:rFonts w:ascii="Times New Roman" w:hAnsi="Times New Roman" w:cs="Times New Roman"/>
        </w:rPr>
      </w:pPr>
      <w:r w:rsidRPr="00890E95">
        <w:rPr>
          <w:rFonts w:ascii="Times New Roman" w:hAnsi="Times New Roman" w:cs="Times New Roman"/>
          <w:b/>
        </w:rPr>
        <w:tab/>
      </w:r>
      <w:r w:rsidRPr="00890E95">
        <w:rPr>
          <w:rFonts w:ascii="Times New Roman" w:hAnsi="Times New Roman" w:cs="Times New Roman"/>
        </w:rPr>
        <w:t xml:space="preserve">Eighteen female NCAA Division I gymnasts participated in this study. All participants were from a single team with each team member participating, all were competing at an elite level. All participants were female between the ages of 18-25 years old and free from orthopedic injury. Freshman through seniors were included in the study. </w:t>
      </w:r>
    </w:p>
    <w:p w14:paraId="58DB86C5" w14:textId="396AB99E" w:rsidR="0052271F" w:rsidRPr="00890E95" w:rsidRDefault="0052271F" w:rsidP="00263AD5">
      <w:pPr>
        <w:pStyle w:val="Heading3"/>
        <w:rPr>
          <w:rFonts w:cs="Times New Roman"/>
        </w:rPr>
      </w:pPr>
      <w:bookmarkStart w:id="20" w:name="_Toc85791406"/>
      <w:r w:rsidRPr="00890E95">
        <w:rPr>
          <w:rFonts w:cs="Times New Roman"/>
        </w:rPr>
        <w:t>Procedures</w:t>
      </w:r>
      <w:bookmarkEnd w:id="20"/>
    </w:p>
    <w:p w14:paraId="78CE13EC" w14:textId="77777777" w:rsidR="0052271F" w:rsidRPr="00890E95" w:rsidRDefault="0052271F" w:rsidP="00263AD5">
      <w:pPr>
        <w:pStyle w:val="Heading4"/>
        <w:rPr>
          <w:rFonts w:cs="Times New Roman"/>
        </w:rPr>
      </w:pPr>
      <w:r w:rsidRPr="00890E95">
        <w:rPr>
          <w:rFonts w:cs="Times New Roman"/>
        </w:rPr>
        <w:t xml:space="preserve">Short Recovery-Stress Scale </w:t>
      </w:r>
    </w:p>
    <w:p w14:paraId="14DF3534" w14:textId="14F01300" w:rsidR="0052271F" w:rsidRPr="00890E95" w:rsidRDefault="0052271F" w:rsidP="0052271F">
      <w:pPr>
        <w:spacing w:line="480" w:lineRule="auto"/>
        <w:rPr>
          <w:rFonts w:ascii="Times New Roman" w:hAnsi="Times New Roman" w:cs="Times New Roman"/>
        </w:rPr>
      </w:pPr>
      <w:r w:rsidRPr="00890E95">
        <w:rPr>
          <w:rFonts w:ascii="Times New Roman" w:hAnsi="Times New Roman" w:cs="Times New Roman"/>
          <w:b/>
        </w:rPr>
        <w:tab/>
      </w:r>
      <w:r w:rsidRPr="00890E95">
        <w:rPr>
          <w:rFonts w:ascii="Times New Roman" w:hAnsi="Times New Roman" w:cs="Times New Roman"/>
        </w:rPr>
        <w:t>Participants were familiarized to the Short Recovery-Stress Scale (SRSS) prior to beginning data collection. Once preseason training began, each participant received a text message each morning at 5:45am CST with a link to the SRSS for completion upon waking.</w:t>
      </w:r>
      <w:r w:rsidR="00E972C2">
        <w:rPr>
          <w:rFonts w:ascii="Times New Roman" w:hAnsi="Times New Roman" w:cs="Times New Roman"/>
        </w:rPr>
        <w:t xml:space="preserve"> </w:t>
      </w:r>
      <w:r w:rsidRPr="00890E95">
        <w:rPr>
          <w:rFonts w:ascii="Times New Roman" w:hAnsi="Times New Roman" w:cs="Times New Roman"/>
        </w:rPr>
        <w:t xml:space="preserve">The SRSS remained consistent throughout </w:t>
      </w:r>
      <w:r w:rsidR="00565900">
        <w:rPr>
          <w:rFonts w:ascii="Times New Roman" w:hAnsi="Times New Roman" w:cs="Times New Roman"/>
        </w:rPr>
        <w:t xml:space="preserve">the investigation </w:t>
      </w:r>
      <w:r w:rsidRPr="00890E95">
        <w:rPr>
          <w:rFonts w:ascii="Times New Roman" w:hAnsi="Times New Roman" w:cs="Times New Roman"/>
        </w:rPr>
        <w:t>with the same eight questions</w:t>
      </w:r>
      <w:r w:rsidR="00565900">
        <w:rPr>
          <w:rFonts w:ascii="Times New Roman" w:hAnsi="Times New Roman" w:cs="Times New Roman"/>
        </w:rPr>
        <w:t>,</w:t>
      </w:r>
      <w:r w:rsidRPr="00890E95">
        <w:rPr>
          <w:rFonts w:ascii="Times New Roman" w:hAnsi="Times New Roman" w:cs="Times New Roman"/>
        </w:rPr>
        <w:t xml:space="preserve"> in the same order to avoid any errors. Each question asked about a unique recovery-stress aspect including physical performance capability, mental performance capability, emotional balance, overall recovery, muscular stress, lack of activation, negative emotional state, and overall stress, each with 4 distinct adjectives used to clarify the rating scale. They are as follows:</w:t>
      </w:r>
    </w:p>
    <w:p w14:paraId="5208D818" w14:textId="77777777" w:rsidR="0052271F" w:rsidRPr="00890E95" w:rsidRDefault="0052271F" w:rsidP="0052271F">
      <w:pPr>
        <w:pStyle w:val="ListParagraph"/>
        <w:numPr>
          <w:ilvl w:val="0"/>
          <w:numId w:val="19"/>
        </w:numPr>
        <w:spacing w:line="480" w:lineRule="auto"/>
        <w:rPr>
          <w:rFonts w:ascii="Times New Roman" w:hAnsi="Times New Roman" w:cs="Times New Roman"/>
        </w:rPr>
      </w:pPr>
      <w:r w:rsidRPr="00890E95">
        <w:rPr>
          <w:rFonts w:ascii="Times New Roman" w:hAnsi="Times New Roman" w:cs="Times New Roman"/>
        </w:rPr>
        <w:t>Physical performance capability – strong, physically capable, energetic, full of power</w:t>
      </w:r>
    </w:p>
    <w:p w14:paraId="3856E025" w14:textId="77777777" w:rsidR="0052271F" w:rsidRPr="00890E95" w:rsidRDefault="0052271F" w:rsidP="0052271F">
      <w:pPr>
        <w:pStyle w:val="ListParagraph"/>
        <w:numPr>
          <w:ilvl w:val="0"/>
          <w:numId w:val="19"/>
        </w:numPr>
        <w:spacing w:line="480" w:lineRule="auto"/>
        <w:rPr>
          <w:rFonts w:ascii="Times New Roman" w:hAnsi="Times New Roman" w:cs="Times New Roman"/>
        </w:rPr>
      </w:pPr>
      <w:r w:rsidRPr="00890E95">
        <w:rPr>
          <w:rFonts w:ascii="Times New Roman" w:hAnsi="Times New Roman" w:cs="Times New Roman"/>
        </w:rPr>
        <w:t>Mental performance capability – attentive, receptive, mentally alert, concentrated</w:t>
      </w:r>
    </w:p>
    <w:p w14:paraId="77E1B398" w14:textId="77777777" w:rsidR="0052271F" w:rsidRPr="00890E95" w:rsidRDefault="0052271F" w:rsidP="0052271F">
      <w:pPr>
        <w:pStyle w:val="ListParagraph"/>
        <w:numPr>
          <w:ilvl w:val="0"/>
          <w:numId w:val="19"/>
        </w:numPr>
        <w:spacing w:line="480" w:lineRule="auto"/>
        <w:rPr>
          <w:rFonts w:ascii="Times New Roman" w:hAnsi="Times New Roman" w:cs="Times New Roman"/>
        </w:rPr>
      </w:pPr>
      <w:r w:rsidRPr="00890E95">
        <w:rPr>
          <w:rFonts w:ascii="Times New Roman" w:hAnsi="Times New Roman" w:cs="Times New Roman"/>
        </w:rPr>
        <w:t>Emotional balance – pleased, stable, in a good mood, having everything under control</w:t>
      </w:r>
    </w:p>
    <w:p w14:paraId="28B3CB5A" w14:textId="77777777" w:rsidR="0052271F" w:rsidRPr="00890E95" w:rsidRDefault="0052271F" w:rsidP="0052271F">
      <w:pPr>
        <w:pStyle w:val="ListParagraph"/>
        <w:numPr>
          <w:ilvl w:val="0"/>
          <w:numId w:val="19"/>
        </w:numPr>
        <w:spacing w:line="480" w:lineRule="auto"/>
        <w:rPr>
          <w:rFonts w:ascii="Times New Roman" w:hAnsi="Times New Roman" w:cs="Times New Roman"/>
        </w:rPr>
      </w:pPr>
      <w:r w:rsidRPr="00890E95">
        <w:rPr>
          <w:rFonts w:ascii="Times New Roman" w:hAnsi="Times New Roman" w:cs="Times New Roman"/>
        </w:rPr>
        <w:t>Overall recovery – recovered, rested, muscle relaxation, physically relaxed</w:t>
      </w:r>
    </w:p>
    <w:p w14:paraId="148CFC5D" w14:textId="77777777" w:rsidR="0052271F" w:rsidRPr="00890E95" w:rsidRDefault="0052271F" w:rsidP="0052271F">
      <w:pPr>
        <w:pStyle w:val="ListParagraph"/>
        <w:numPr>
          <w:ilvl w:val="0"/>
          <w:numId w:val="19"/>
        </w:numPr>
        <w:spacing w:line="480" w:lineRule="auto"/>
        <w:rPr>
          <w:rFonts w:ascii="Times New Roman" w:hAnsi="Times New Roman" w:cs="Times New Roman"/>
        </w:rPr>
      </w:pPr>
      <w:r w:rsidRPr="00890E95">
        <w:rPr>
          <w:rFonts w:ascii="Times New Roman" w:hAnsi="Times New Roman" w:cs="Times New Roman"/>
        </w:rPr>
        <w:t xml:space="preserve">Muscular stress – muscle exhaustion, muscle fatigue, muscle soreness, muscle stiffness </w:t>
      </w:r>
    </w:p>
    <w:p w14:paraId="7FBA25E4" w14:textId="77777777" w:rsidR="0052271F" w:rsidRPr="00890E95" w:rsidRDefault="0052271F" w:rsidP="0052271F">
      <w:pPr>
        <w:pStyle w:val="ListParagraph"/>
        <w:numPr>
          <w:ilvl w:val="0"/>
          <w:numId w:val="19"/>
        </w:numPr>
        <w:spacing w:line="480" w:lineRule="auto"/>
        <w:rPr>
          <w:rFonts w:ascii="Times New Roman" w:hAnsi="Times New Roman" w:cs="Times New Roman"/>
        </w:rPr>
      </w:pPr>
      <w:r w:rsidRPr="00890E95">
        <w:rPr>
          <w:rFonts w:ascii="Times New Roman" w:hAnsi="Times New Roman" w:cs="Times New Roman"/>
        </w:rPr>
        <w:t>Lack of activation – unmotivated, sluggish, unenthusiastic, lacking energy</w:t>
      </w:r>
    </w:p>
    <w:p w14:paraId="234C9F2E" w14:textId="77777777" w:rsidR="0052271F" w:rsidRPr="00890E95" w:rsidRDefault="0052271F" w:rsidP="0052271F">
      <w:pPr>
        <w:pStyle w:val="ListParagraph"/>
        <w:numPr>
          <w:ilvl w:val="0"/>
          <w:numId w:val="19"/>
        </w:numPr>
        <w:spacing w:line="480" w:lineRule="auto"/>
        <w:rPr>
          <w:rFonts w:ascii="Times New Roman" w:hAnsi="Times New Roman" w:cs="Times New Roman"/>
        </w:rPr>
      </w:pPr>
      <w:r w:rsidRPr="00890E95">
        <w:rPr>
          <w:rFonts w:ascii="Times New Roman" w:hAnsi="Times New Roman" w:cs="Times New Roman"/>
        </w:rPr>
        <w:t>Negative emotional state – feeling down, stressed, annoyed, short-tempered</w:t>
      </w:r>
    </w:p>
    <w:p w14:paraId="4D836B39" w14:textId="77777777" w:rsidR="0052271F" w:rsidRPr="00890E95" w:rsidRDefault="0052271F" w:rsidP="0052271F">
      <w:pPr>
        <w:pStyle w:val="ListParagraph"/>
        <w:numPr>
          <w:ilvl w:val="0"/>
          <w:numId w:val="19"/>
        </w:numPr>
        <w:spacing w:line="480" w:lineRule="auto"/>
        <w:rPr>
          <w:rFonts w:ascii="Times New Roman" w:hAnsi="Times New Roman" w:cs="Times New Roman"/>
        </w:rPr>
      </w:pPr>
      <w:r w:rsidRPr="00890E95">
        <w:rPr>
          <w:rFonts w:ascii="Times New Roman" w:hAnsi="Times New Roman" w:cs="Times New Roman"/>
        </w:rPr>
        <w:t>Overall stress – tired, worn-out, overloaded, physically exhausted.</w:t>
      </w:r>
    </w:p>
    <w:p w14:paraId="45B5366F" w14:textId="11715962" w:rsidR="0052271F" w:rsidRPr="00890E95" w:rsidRDefault="0052271F" w:rsidP="0052271F">
      <w:pPr>
        <w:spacing w:line="480" w:lineRule="auto"/>
        <w:rPr>
          <w:rFonts w:ascii="Times New Roman" w:hAnsi="Times New Roman" w:cs="Times New Roman"/>
        </w:rPr>
      </w:pPr>
      <w:r w:rsidRPr="00890E95">
        <w:rPr>
          <w:rFonts w:ascii="Times New Roman" w:hAnsi="Times New Roman" w:cs="Times New Roman"/>
        </w:rPr>
        <w:lastRenderedPageBreak/>
        <w:t>Each aspect was measured on a Likert scale ranging from 0 to 6 with the anchors “Does not apply at all” at 0 and “Fully applies” at 6. Participants were asked to rate all recovery measures in comparison to their “</w:t>
      </w:r>
      <w:proofErr w:type="gramStart"/>
      <w:r w:rsidRPr="00890E95">
        <w:rPr>
          <w:rFonts w:ascii="Times New Roman" w:hAnsi="Times New Roman" w:cs="Times New Roman"/>
        </w:rPr>
        <w:t>best ever</w:t>
      </w:r>
      <w:proofErr w:type="gramEnd"/>
      <w:r w:rsidRPr="00890E95">
        <w:rPr>
          <w:rFonts w:ascii="Times New Roman" w:hAnsi="Times New Roman" w:cs="Times New Roman"/>
        </w:rPr>
        <w:t xml:space="preserve"> recovery state” and all stress measures in comparison to their “highest ever stress state”. In addition to being familiarized to the questionnaire, instructions and specific questions were included each day related to subjective sleep and soreness. Responses were collected automatically, then transferred into Excel for initial analysis. In Excel, stress composite and recovery composite scores were generated for each individual participant. </w:t>
      </w:r>
    </w:p>
    <w:p w14:paraId="53F61A2A" w14:textId="77777777" w:rsidR="0052271F" w:rsidRPr="00890E95" w:rsidRDefault="0052271F" w:rsidP="00263AD5">
      <w:pPr>
        <w:pStyle w:val="Heading4"/>
        <w:rPr>
          <w:rFonts w:cs="Times New Roman"/>
          <w:bdr w:val="none" w:sz="0" w:space="0" w:color="auto" w:frame="1"/>
        </w:rPr>
      </w:pPr>
      <w:r w:rsidRPr="00890E95">
        <w:rPr>
          <w:rFonts w:cs="Times New Roman"/>
          <w:bdr w:val="none" w:sz="0" w:space="0" w:color="auto" w:frame="1"/>
        </w:rPr>
        <w:t>Sleep and Soreness</w:t>
      </w:r>
    </w:p>
    <w:p w14:paraId="23568EEF" w14:textId="77777777" w:rsidR="0052271F" w:rsidRPr="00890E95" w:rsidRDefault="0052271F" w:rsidP="0052271F">
      <w:pPr>
        <w:spacing w:line="480" w:lineRule="auto"/>
        <w:rPr>
          <w:rFonts w:ascii="Times New Roman" w:hAnsi="Times New Roman" w:cs="Times New Roman"/>
          <w:bCs/>
          <w:color w:val="000000"/>
          <w:bdr w:val="none" w:sz="0" w:space="0" w:color="auto" w:frame="1"/>
        </w:rPr>
      </w:pPr>
      <w:r w:rsidRPr="00890E95">
        <w:rPr>
          <w:rFonts w:ascii="Times New Roman" w:hAnsi="Times New Roman" w:cs="Times New Roman"/>
          <w:bCs/>
          <w:color w:val="000000"/>
          <w:bdr w:val="none" w:sz="0" w:space="0" w:color="auto" w:frame="1"/>
        </w:rPr>
        <w:tab/>
        <w:t xml:space="preserve">Sleep quality and soreness were measured within the same survey as the SRSS. Participants were asked to rate their soreness on a scale from 0 (“no pain”) to 100 of (“worst pain imaginable”) in their shins, quads, hamstrings/glutes, shoulders, and low back, respectively. For sleep quality, participants rated their previous night’s sleep on a scale from 0 representing “I don’t feel rested at all; I slept poorly” to 100 representing “I feel completely rested; I slept well”. Participants were familiarized to the questions and the survey was administered as stated before, at the same time of day for all participants. Responses were collected automatically then transferred into Excel for analysis. </w:t>
      </w:r>
    </w:p>
    <w:p w14:paraId="4AB619DA" w14:textId="77777777" w:rsidR="0052271F" w:rsidRPr="00890E95" w:rsidRDefault="0052271F" w:rsidP="00263AD5">
      <w:pPr>
        <w:pStyle w:val="Heading4"/>
        <w:rPr>
          <w:rFonts w:cs="Times New Roman"/>
        </w:rPr>
      </w:pPr>
      <w:r w:rsidRPr="00890E95">
        <w:rPr>
          <w:rFonts w:cs="Times New Roman"/>
          <w:bdr w:val="none" w:sz="0" w:space="0" w:color="auto" w:frame="1"/>
        </w:rPr>
        <w:t>Player Load </w:t>
      </w:r>
    </w:p>
    <w:p w14:paraId="470A8E6C" w14:textId="40B9F7FF" w:rsidR="0052271F" w:rsidRPr="00890E95" w:rsidRDefault="0052271F" w:rsidP="0052271F">
      <w:pPr>
        <w:spacing w:line="480" w:lineRule="auto"/>
        <w:rPr>
          <w:rFonts w:ascii="Times New Roman" w:hAnsi="Times New Roman" w:cs="Times New Roman"/>
          <w:color w:val="000000"/>
          <w:bdr w:val="none" w:sz="0" w:space="0" w:color="auto" w:frame="1"/>
        </w:rPr>
      </w:pPr>
      <w:r w:rsidRPr="00890E95">
        <w:rPr>
          <w:rFonts w:ascii="Times New Roman" w:hAnsi="Times New Roman" w:cs="Times New Roman"/>
          <w:b/>
          <w:bCs/>
          <w:color w:val="000000"/>
          <w:bdr w:val="none" w:sz="0" w:space="0" w:color="auto" w:frame="1"/>
        </w:rPr>
        <w:t>           </w:t>
      </w:r>
      <w:r w:rsidRPr="00890E95">
        <w:rPr>
          <w:rStyle w:val="xapple-converted-space"/>
          <w:rFonts w:ascii="Times New Roman" w:hAnsi="Times New Roman" w:cs="Times New Roman"/>
          <w:b/>
          <w:bCs/>
          <w:color w:val="000000"/>
          <w:bdr w:val="none" w:sz="0" w:space="0" w:color="auto" w:frame="1"/>
        </w:rPr>
        <w:t> </w:t>
      </w:r>
      <w:r w:rsidR="00AD692D" w:rsidRPr="000B6D93">
        <w:rPr>
          <w:rStyle w:val="xapple-converted-space"/>
          <w:rFonts w:ascii="Times New Roman" w:hAnsi="Times New Roman" w:cs="Times New Roman"/>
          <w:color w:val="000000"/>
          <w:bdr w:val="none" w:sz="0" w:space="0" w:color="auto" w:frame="1"/>
        </w:rPr>
        <w:t>Total</w:t>
      </w:r>
      <w:r w:rsidR="00AD692D">
        <w:rPr>
          <w:rStyle w:val="xapple-converted-space"/>
          <w:rFonts w:ascii="Times New Roman" w:hAnsi="Times New Roman" w:cs="Times New Roman"/>
          <w:b/>
          <w:bCs/>
          <w:color w:val="000000"/>
          <w:bdr w:val="none" w:sz="0" w:space="0" w:color="auto" w:frame="1"/>
        </w:rPr>
        <w:t xml:space="preserve"> </w:t>
      </w:r>
      <w:r w:rsidRPr="00890E95">
        <w:rPr>
          <w:rFonts w:ascii="Times New Roman" w:hAnsi="Times New Roman" w:cs="Times New Roman"/>
          <w:color w:val="000000"/>
          <w:bdr w:val="none" w:sz="0" w:space="0" w:color="auto" w:frame="1"/>
        </w:rPr>
        <w:t>Player Load</w:t>
      </w:r>
      <w:r w:rsidR="00AD692D">
        <w:rPr>
          <w:rFonts w:ascii="Times New Roman" w:hAnsi="Times New Roman" w:cs="Times New Roman"/>
          <w:color w:val="000000"/>
          <w:bdr w:val="none" w:sz="0" w:space="0" w:color="auto" w:frame="1"/>
        </w:rPr>
        <w:t xml:space="preserve"> (</w:t>
      </w:r>
      <w:proofErr w:type="spellStart"/>
      <w:r w:rsidR="00AD692D">
        <w:rPr>
          <w:rFonts w:ascii="Times New Roman" w:hAnsi="Times New Roman" w:cs="Times New Roman"/>
          <w:color w:val="000000"/>
          <w:bdr w:val="none" w:sz="0" w:space="0" w:color="auto" w:frame="1"/>
        </w:rPr>
        <w:t>PL</w:t>
      </w:r>
      <w:r w:rsidR="00AD692D" w:rsidRPr="000B6D93">
        <w:rPr>
          <w:rFonts w:ascii="Times New Roman" w:hAnsi="Times New Roman" w:cs="Times New Roman"/>
          <w:color w:val="000000"/>
          <w:bdr w:val="none" w:sz="0" w:space="0" w:color="auto" w:frame="1"/>
          <w:vertAlign w:val="superscript"/>
        </w:rPr>
        <w:t>Total</w:t>
      </w:r>
      <w:proofErr w:type="spellEnd"/>
      <w:r w:rsidR="00AD692D">
        <w:rPr>
          <w:rFonts w:ascii="Times New Roman" w:hAnsi="Times New Roman" w:cs="Times New Roman"/>
          <w:color w:val="000000"/>
          <w:bdr w:val="none" w:sz="0" w:space="0" w:color="auto" w:frame="1"/>
        </w:rPr>
        <w:t xml:space="preserve">), </w:t>
      </w:r>
      <w:r w:rsidRPr="00890E95">
        <w:rPr>
          <w:rFonts w:ascii="Times New Roman" w:hAnsi="Times New Roman" w:cs="Times New Roman"/>
          <w:color w:val="000000"/>
          <w:bdr w:val="none" w:sz="0" w:space="0" w:color="auto" w:frame="1"/>
        </w:rPr>
        <w:t>Player Load per min</w:t>
      </w:r>
      <w:r w:rsidR="00AD692D">
        <w:rPr>
          <w:rFonts w:ascii="Times New Roman" w:hAnsi="Times New Roman" w:cs="Times New Roman"/>
          <w:color w:val="000000"/>
          <w:bdr w:val="none" w:sz="0" w:space="0" w:color="auto" w:frame="1"/>
        </w:rPr>
        <w:t xml:space="preserve"> (PL</w:t>
      </w:r>
      <w:r w:rsidR="00AD692D" w:rsidRPr="000B6D93">
        <w:rPr>
          <w:rFonts w:ascii="Times New Roman" w:hAnsi="Times New Roman" w:cs="Times New Roman"/>
          <w:color w:val="000000"/>
          <w:bdr w:val="none" w:sz="0" w:space="0" w:color="auto" w:frame="1"/>
          <w:vertAlign w:val="superscript"/>
        </w:rPr>
        <w:t>min</w:t>
      </w:r>
      <w:r w:rsidR="003644C6">
        <w:rPr>
          <w:rFonts w:ascii="Times New Roman" w:hAnsi="Times New Roman" w:cs="Times New Roman"/>
          <w:color w:val="000000"/>
          <w:bdr w:val="none" w:sz="0" w:space="0" w:color="auto" w:frame="1"/>
          <w:vertAlign w:val="superscript"/>
        </w:rPr>
        <w:t>-1</w:t>
      </w:r>
      <w:r w:rsidR="00AD692D">
        <w:rPr>
          <w:rFonts w:ascii="Times New Roman" w:hAnsi="Times New Roman" w:cs="Times New Roman"/>
          <w:color w:val="000000"/>
          <w:bdr w:val="none" w:sz="0" w:space="0" w:color="auto" w:frame="1"/>
        </w:rPr>
        <w:t>), Player Load 1D-Up (PL</w:t>
      </w:r>
      <w:r w:rsidR="00AD692D" w:rsidRPr="000B6D93">
        <w:rPr>
          <w:rFonts w:ascii="Times New Roman" w:hAnsi="Times New Roman" w:cs="Times New Roman"/>
          <w:color w:val="000000"/>
          <w:bdr w:val="none" w:sz="0" w:space="0" w:color="auto" w:frame="1"/>
          <w:vertAlign w:val="superscript"/>
        </w:rPr>
        <w:t>Z</w:t>
      </w:r>
      <w:r w:rsidR="00AD692D">
        <w:rPr>
          <w:rFonts w:ascii="Times New Roman" w:hAnsi="Times New Roman" w:cs="Times New Roman"/>
          <w:color w:val="000000"/>
          <w:bdr w:val="none" w:sz="0" w:space="0" w:color="auto" w:frame="1"/>
        </w:rPr>
        <w:t xml:space="preserve">), and IMA jump count (IMA) </w:t>
      </w:r>
      <w:r w:rsidRPr="00890E95">
        <w:rPr>
          <w:rFonts w:ascii="Times New Roman" w:hAnsi="Times New Roman" w:cs="Times New Roman"/>
          <w:color w:val="000000"/>
          <w:bdr w:val="none" w:sz="0" w:space="0" w:color="auto" w:frame="1"/>
        </w:rPr>
        <w:t xml:space="preserve">were measured and tracked using the Catapult </w:t>
      </w:r>
      <w:proofErr w:type="spellStart"/>
      <w:r w:rsidRPr="00890E95">
        <w:rPr>
          <w:rFonts w:ascii="Times New Roman" w:hAnsi="Times New Roman" w:cs="Times New Roman"/>
          <w:color w:val="000000"/>
          <w:bdr w:val="none" w:sz="0" w:space="0" w:color="auto" w:frame="1"/>
        </w:rPr>
        <w:t>OptimEye</w:t>
      </w:r>
      <w:proofErr w:type="spellEnd"/>
      <w:r w:rsidRPr="00890E95">
        <w:rPr>
          <w:rFonts w:ascii="Times New Roman" w:hAnsi="Times New Roman" w:cs="Times New Roman"/>
          <w:color w:val="000000"/>
          <w:bdr w:val="none" w:sz="0" w:space="0" w:color="auto" w:frame="1"/>
        </w:rPr>
        <w:t xml:space="preserve"> S5 GPS-enabled accelerometers (Catapult Innovations, Melbourne, VIC, Australia). Accelerometry data was collected at </w:t>
      </w:r>
      <w:proofErr w:type="gramStart"/>
      <w:r w:rsidRPr="00890E95">
        <w:rPr>
          <w:rFonts w:ascii="Times New Roman" w:hAnsi="Times New Roman" w:cs="Times New Roman"/>
          <w:color w:val="000000"/>
          <w:bdr w:val="none" w:sz="0" w:space="0" w:color="auto" w:frame="1"/>
        </w:rPr>
        <w:t>100Hz</w:t>
      </w:r>
      <w:proofErr w:type="gramEnd"/>
      <w:r w:rsidRPr="00890E95">
        <w:rPr>
          <w:rFonts w:ascii="Times New Roman" w:hAnsi="Times New Roman" w:cs="Times New Roman"/>
          <w:color w:val="000000"/>
          <w:bdr w:val="none" w:sz="0" w:space="0" w:color="auto" w:frame="1"/>
        </w:rPr>
        <w:t xml:space="preserve"> and GPS was collected with a 10Hz GPS engine with accuracy up to 50cm. The internal tri-axial gyroscope senses rotational accelerations which include roll (related to the frontal plane and anteroposterior axis), pitch (related to the sagittal plane and mediolateral </w:t>
      </w:r>
      <w:r w:rsidRPr="00890E95">
        <w:rPr>
          <w:rFonts w:ascii="Times New Roman" w:hAnsi="Times New Roman" w:cs="Times New Roman"/>
          <w:color w:val="000000"/>
          <w:bdr w:val="none" w:sz="0" w:space="0" w:color="auto" w:frame="1"/>
        </w:rPr>
        <w:lastRenderedPageBreak/>
        <w:t xml:space="preserve">axis), and yaw (transverse plane; superoinferior axis). All data was transmitted from the accelerometers within 250 meters from the receiver. Catapult systems have been found to be valid and reliable in high speed sports among several populations </w:t>
      </w:r>
      <w:r w:rsidRPr="00890E95">
        <w:rPr>
          <w:rFonts w:ascii="Times New Roman" w:hAnsi="Times New Roman" w:cs="Times New Roman"/>
          <w:color w:val="000000"/>
          <w:bdr w:val="none" w:sz="0" w:space="0" w:color="auto" w:frame="1"/>
        </w:rPr>
        <w:fldChar w:fldCharType="begin"/>
      </w:r>
      <w:r w:rsidRPr="00890E95">
        <w:rPr>
          <w:rFonts w:ascii="Times New Roman" w:hAnsi="Times New Roman" w:cs="Times New Roman"/>
          <w:color w:val="000000"/>
          <w:bdr w:val="none" w:sz="0" w:space="0" w:color="auto" w:frame="1"/>
        </w:rPr>
        <w:instrText xml:space="preserve"> ADDIN ZOTERO_ITEM CSL_CITATION {"citationID":"EaipxnKz","properties":{"formattedCitation":"(Barrett et al., 2014; Boyd et al., 2011, 2013; Chambers et al., 2019)","plainCitation":"(Barrett et al., 2014; Boyd et al., 2011, 2013; Chambers et al., 2019)","noteIndex":0},"citationItems":[{"id":87,"uris":["http://zotero.org/users/6375206/items/JG6CDF5R"],"uri":["http://zotero.org/users/6375206/items/JG6CDF5R"],"itemData":{"id":87,"type":"article-journal","abstract":"PURPOSE: The study aimed to establish the test-retest reliability and convergent validity of PlayerLoad™ (triaxial-accelerometer data) during a standardized bout of treadmill running. METHODS: Forty-four team-sport players performed 2 standardized incremental treadmill running tests (7-16 km/h) 7 d apart. Players' oxygen uptake (VO2; n = 20), heart rate (n = 44), and triaxialaccelerometer data (PlayerLoad; n = 44) measured at both the scapulae and at the center of mass (COM), were recorded. Accelerometer data from the individual component planes of PlayerLoad (anteroposterior [PLAP], mediolateral [PLML], and vertical [PLV]) were also examined. RESULTS: Moderate to high test-retest reliability was observed for PlayerLoad and its individual planes (ICC .80-.97, CV 4.2-14.8%) at both unit locations. PlayerLoad was significantly higher at COM vs scapulae (223.4 ± 42.6 vs 185.5 ± 26.3 arbitrary units; P = .001). The percentage contributions of individual planes to PlayerLoad were higher for PLML at the COM (scapulae 20.4% ± 3.8%, COM 26.5% ± 4.9%; P = .001) but lower for PLV (scapulae 55.7% ± 5.3%, COM 49.5% ± 6.9%; P = .001). Between-subjects correlations between PlayerLoad and VO2, and between PlayerLoad and heart rate were trivial to moderate (r = -.43 to .33), whereas within-subject correlations were nearly perfect (r = .92-.98). CONCLUSIONS: PlayerLoad had a moderate to high degree of test-retest reliability and demonstrated convergent validity with measures of exercise intensity on an individual basis. However, caution should be applied in making between-athletes contrasts in loading and when using recordings from the scapulae to identify lower-limb movement patterns. ABSTRACT FROM AUTHOR","container-title":"International Journal of Sports Physiology &amp; Performance","ISSN":"15550265","issue":"6","journalAbbreviation":"International Journal of Sports Physiology &amp; Performance","page":"945-952","source":"EBSCOhost","title":"PlayerLoad™: Reliability, Convergent Validity, and Influence of Unit Position During Treadmill Running","title-short":"PlayerLoad™","volume":"9","author":[{"family":"Barrett","given":"Steve"},{"family":"Midgley","given":"Adrian"},{"family":"Lovell","given":"Ric"}],"issued":{"date-parts":[["2014",11]]}}},{"id":55,"uris":["http://zotero.org/users/6375206/items/C9VMZXXD"],"uri":["http://zotero.org/users/6375206/items/C9VMZXXD"],"itemData":{"id":55,"type":"article-journal","abstract":"Purpose: To assess the reliability of triaxial accelerometers as a measure of physical activity in team sports. Methods: Eight accelerometers (MinimaxX 2.0, Catapult, Australia) were attached to a hydraulic universal testing machine (Instron 8501) and oscillated over two protocols (0.5 g and 3.0 g) to assess within- and between-device reliability. A static assessment was also conducted. Secondly. 10 players were instrumented with two accelerometers during Australian football matches. The vector magnitude was calculated, expressed as Player load and assessed for reliability using typical error (TE) ± 90% confidence intervals (CI), and expressed as a coefficient of variation (CV%). The smallest worthwhile difference (SWD) in Player load was calculated to determine if the device was capable of detecting differences in physical activity. Results: Laboratory: Within- (Dynamic: CV 0.91 to 1.05%; Static: CV 1.01%) and between-device (Dynamic: CV 1.02 to 1.04%; Static: CV 1.10%) reliability was acceptable across each test. Field: The between-device reliability of accelerometers during Australian football matches was also acceptable (CV 1.9%). The SWD was 5.88%. Conclusions: The reliability of the MinimaxX accelerometer is acceptable both within and between devices under controlled laboratory conditions, and between devices during field testing. MinimaxX accelerometers can be confidently utilized as a reliable tool to measure physical activity in team sports across multiple players and repeated bouts of activity. The noise (CV%) of Player load was lower than the signal (SWD), suggesting that accelerometers can detect changes or differences in physical activity during Australian football. ABSTRACT FROM AUTHOR","container-title":"International Journal of Sports Physiology &amp; Performance","ISSN":"15550265","issue":"3","journalAbbreviation":"International Journal of Sports Physiology &amp; Performance","page":"311-321","source":"EBSCOhost","title":"The Reliability of MinimaxX Accelerometers for Measuring Physical Activity in Australian Football","volume":"6","author":[{"family":"Boyd","given":"Luke J."},{"family":"Ball","given":"Kevin"},{"family":"Aughey","given":"Robert J."}],"issued":{"date-parts":[["2011",9]]}}},{"id":216,"uris":["http://zotero.org/users/6375206/items/K5IBA4YM"],"uri":["http://zotero.org/users/6375206/items/K5IBA4YM"],"itemData":{"id":216,"type":"article-journal","abstract":"Purpose: To describe the external load of Australian football matches and training using accelerometers. Methods: Nineteen elite and 21 subelite Australian footballers wore accelerometers during matches and training. Accelerometer data were expressed in 2 ways: from all 3 axes (player load; PL) and from all axes when velocity was below 2 m/s (PLslow)- Differences were determined between 4 playing positions (midfielders, nomadics, deeps, and ruckmen), 2 playing levels (elite and subelite), and matches and training using percentage change and effect size with 90% confidence intervals. Results: In the elite group, midfielders recorded higher PL than nomadics and deeps did (8.8%, 0.59 ± 0.24; 34.2%, 1.83 ± 0.39 respectively), and ruckmen were higher than deeps (37.2%, 1.27 ± 0.51). Elite midfielders, nomadics, and ruckmen recorded higher PLslow than deeps (13.5%, 0.65 ± 0.37; 11.7%, 0.55 ± 0.36; and 19.5%, 0.83 ± 0.50, respectively). Subelite midfielders were higher than nomadics, deeps, and ruckmen (14.0%, 1.08 ± 0.30; 31.7%, 2.61 ± 0.42; and 19.9%, 0.81 ± 0.55, respectively), and nomadics and ruckmen were higher than deeps for PL (20.6%, 1.45 ± 0.38; and 17.4%, 0.57 ± 0.55, respectively). Elite midfielders, nomadics, and ruckmen recorded higher PL (7.8%, 0.59 ± 0.29; 12.9%, 0.89 ± 0.25; and 18.0%, 0.67 ± 0.59, respectively) and PLSLOW (9.4%, 0.52 ± 0.30; 11.3%, 0.68 ± 0.25; and 14.1%, 0.84 ± 0.61, respectively) than subelite players. Small-sided games recorded the highest PL and PLslow and were the only training drill to equal or exceed the load from matches across positions and playing levels. Conclusion: PL differed between positions, with midfielders the highest, and between playing levels, with elite higher. Differences between matches and training were also evident, with PL from small-sided games equivalent to or higher than matches. ABSTRACT FROM AUTHOR","container-title":"International Journal of Sports Physiology &amp; Performance","ISSN":"15550265","issue":"1","journalAbbreviation":"International Journal of Sports Physiology &amp; Performance","page":"44-51","source":"EBSCOhost","title":"Quantifying External Load in Australian Football Matches and Training Using Accelerometers","volume":"8","author":[{"family":"Boyd","given":"Luke J."},{"family":"Ball","given":"Kevin"},{"family":"Aughey","given":"Robert J."}],"issued":{"date-parts":[["2013",1]]}}},{"id":218,"uris":["http://zotero.org/users/6375206/items/NYBYXYCN"],"uri":["http://zotero.org/users/6375206/items/NYBYXYCN"],"itemData":{"id":218,"type":"article-journal","abstract":"Purpose: Commercially available microtechnology devices containing accelerometers, gyroscopes, magnetometers, and global positioning technology have been widely used to quantify the demands of rugby union. This study investigated whether data derived from wearable microsensors can be used to develop an algorithm that automatically detects scrum events in rugby union training and match play. Methods: Data were collected from 30 elite rugby players wearing a Catapult OptimEye S5 (Catapult Sports, Melbourne, Australia) microtechnology device during a series of competitive matches (n = 46) and training sessions (n = 51). A total of 97 files were required to \"train\" an algorithm to automatically detect scrum events using random forest machine learning. A further 310 files from training (n = 167) and match-play (n = 143) sessions were used to validate the algorithm's performance. Results: Across all positions (front row, second row, and back row), the algorithm demonstrated good sensitivity (91%) and specificity (91%) for training and match-play events when the confidence level of the random forest was set to 50%. Generally, the algorithm had better accuracy for match-play events (93.6%) than for training events (87.6%). Conclusions: The scrum algorithm was able to accurately detect scrum events for front-row, second-row, and back-row positions. However, for optimal results, practitioners are advised to use the recommended confidence level for each position to limit false positives. Scrum algorithm detection was better with scrums involving ≥5 players and is therefore unlikely to be suitable for scrums involving 3 players (eg, rugby sevens). Additional contact- and collision-detection algorithms are required to fully quantify rugby union demands. ABSTRACT FROM AUTHOR","container-title":"International Journal of Sports Physiology &amp; Performance","ISSN":"15550265","issue":"2","journalAbbreviation":"International Journal of Sports Physiology &amp; Performance","page":"176-182","source":"EBSCOhost","title":"Validity of a Microsensor-Based Algorithm for Detecting Scrum Events in Rugby Union","volume":"14","author":[{"family":"Chambers","given":"Ryan M."},{"family":"Gabbett","given":"Tim J."},{"family":"Cole","given":"Michael H."}],"issued":{"date-parts":[["2019",2]]}}}],"schema":"https://github.com/citation-style-language/schema/raw/master/csl-citation.json"} </w:instrText>
      </w:r>
      <w:r w:rsidRPr="00890E95">
        <w:rPr>
          <w:rFonts w:ascii="Times New Roman" w:hAnsi="Times New Roman" w:cs="Times New Roman"/>
          <w:color w:val="000000"/>
          <w:bdr w:val="none" w:sz="0" w:space="0" w:color="auto" w:frame="1"/>
        </w:rPr>
        <w:fldChar w:fldCharType="separate"/>
      </w:r>
      <w:r w:rsidRPr="00890E95">
        <w:rPr>
          <w:rFonts w:ascii="Times New Roman" w:hAnsi="Times New Roman" w:cs="Times New Roman"/>
          <w:noProof/>
          <w:color w:val="000000"/>
          <w:bdr w:val="none" w:sz="0" w:space="0" w:color="auto" w:frame="1"/>
        </w:rPr>
        <w:t>(Barrett et al., 2014; Boyd et al., 2011, 2013; Chambers et al., 2019)</w:t>
      </w:r>
      <w:r w:rsidRPr="00890E95">
        <w:rPr>
          <w:rFonts w:ascii="Times New Roman" w:hAnsi="Times New Roman" w:cs="Times New Roman"/>
          <w:color w:val="000000"/>
          <w:bdr w:val="none" w:sz="0" w:space="0" w:color="auto" w:frame="1"/>
        </w:rPr>
        <w:fldChar w:fldCharType="end"/>
      </w:r>
      <w:r w:rsidRPr="00890E95">
        <w:rPr>
          <w:rFonts w:ascii="Times New Roman" w:hAnsi="Times New Roman" w:cs="Times New Roman"/>
          <w:color w:val="000000"/>
          <w:bdr w:val="none" w:sz="0" w:space="0" w:color="auto" w:frame="1"/>
        </w:rPr>
        <w:t xml:space="preserve">. In practice and competition, a 90% CI, 0.84-0.98 specificity, and 0.83-0.96 specificity has been found in elite Australian rugby and elite Australian football players </w:t>
      </w:r>
      <w:r w:rsidRPr="00890E95">
        <w:rPr>
          <w:rFonts w:ascii="Times New Roman" w:hAnsi="Times New Roman" w:cs="Times New Roman"/>
          <w:color w:val="000000"/>
          <w:bdr w:val="none" w:sz="0" w:space="0" w:color="auto" w:frame="1"/>
        </w:rPr>
        <w:fldChar w:fldCharType="begin"/>
      </w:r>
      <w:r w:rsidRPr="00890E95">
        <w:rPr>
          <w:rFonts w:ascii="Times New Roman" w:hAnsi="Times New Roman" w:cs="Times New Roman"/>
          <w:color w:val="000000"/>
          <w:bdr w:val="none" w:sz="0" w:space="0" w:color="auto" w:frame="1"/>
        </w:rPr>
        <w:instrText xml:space="preserve"> ADDIN ZOTERO_ITEM CSL_CITATION {"citationID":"35n7DEHQ","properties":{"formattedCitation":"(Boyd et al., 2013; Chambers et al., 2019)","plainCitation":"(Boyd et al., 2013; Chambers et al., 2019)","noteIndex":0},"citationItems":[{"id":216,"uris":["http://zotero.org/users/6375206/items/K5IBA4YM"],"uri":["http://zotero.org/users/6375206/items/K5IBA4YM"],"itemData":{"id":216,"type":"article-journal","abstract":"Purpose: To describe the external load of Australian football matches and training using accelerometers. Methods: Nineteen elite and 21 subelite Australian footballers wore accelerometers during matches and training. Accelerometer data were expressed in 2 ways: from all 3 axes (player load; PL) and from all axes when velocity was below 2 m/s (PLslow)- Differences were determined between 4 playing positions (midfielders, nomadics, deeps, and ruckmen), 2 playing levels (elite and subelite), and matches and training using percentage change and effect size with 90% confidence intervals. Results: In the elite group, midfielders recorded higher PL than nomadics and deeps did (8.8%, 0.59 ± 0.24; 34.2%, 1.83 ± 0.39 respectively), and ruckmen were higher than deeps (37.2%, 1.27 ± 0.51). Elite midfielders, nomadics, and ruckmen recorded higher PLslow than deeps (13.5%, 0.65 ± 0.37; 11.7%, 0.55 ± 0.36; and 19.5%, 0.83 ± 0.50, respectively). Subelite midfielders were higher than nomadics, deeps, and ruckmen (14.0%, 1.08 ± 0.30; 31.7%, 2.61 ± 0.42; and 19.9%, 0.81 ± 0.55, respectively), and nomadics and ruckmen were higher than deeps for PL (20.6%, 1.45 ± 0.38; and 17.4%, 0.57 ± 0.55, respectively). Elite midfielders, nomadics, and ruckmen recorded higher PL (7.8%, 0.59 ± 0.29; 12.9%, 0.89 ± 0.25; and 18.0%, 0.67 ± 0.59, respectively) and PLSLOW (9.4%, 0.52 ± 0.30; 11.3%, 0.68 ± 0.25; and 14.1%, 0.84 ± 0.61, respectively) than subelite players. Small-sided games recorded the highest PL and PLslow and were the only training drill to equal or exceed the load from matches across positions and playing levels. Conclusion: PL differed between positions, with midfielders the highest, and between playing levels, with elite higher. Differences between matches and training were also evident, with PL from small-sided games equivalent to or higher than matches. ABSTRACT FROM AUTHOR","container-title":"International Journal of Sports Physiology &amp; Performance","ISSN":"15550265","issue":"1","journalAbbreviation":"International Journal of Sports Physiology &amp; Performance","page":"44-51","source":"EBSCOhost","title":"Quantifying External Load in Australian Football Matches and Training Using Accelerometers","volume":"8","author":[{"family":"Boyd","given":"Luke J."},{"family":"Ball","given":"Kevin"},{"family":"Aughey","given":"Robert J."}],"issued":{"date-parts":[["2013",1]]}}},{"id":218,"uris":["http://zotero.org/users/6375206/items/NYBYXYCN"],"uri":["http://zotero.org/users/6375206/items/NYBYXYCN"],"itemData":{"id":218,"type":"article-journal","abstract":"Purpose: Commercially available microtechnology devices containing accelerometers, gyroscopes, magnetometers, and global positioning technology have been widely used to quantify the demands of rugby union. This study investigated whether data derived from wearable microsensors can be used to develop an algorithm that automatically detects scrum events in rugby union training and match play. Methods: Data were collected from 30 elite rugby players wearing a Catapult OptimEye S5 (Catapult Sports, Melbourne, Australia) microtechnology device during a series of competitive matches (n = 46) and training sessions (n = 51). A total of 97 files were required to \"train\" an algorithm to automatically detect scrum events using random forest machine learning. A further 310 files from training (n = 167) and match-play (n = 143) sessions were used to validate the algorithm's performance. Results: Across all positions (front row, second row, and back row), the algorithm demonstrated good sensitivity (91%) and specificity (91%) for training and match-play events when the confidence level of the random forest was set to 50%. Generally, the algorithm had better accuracy for match-play events (93.6%) than for training events (87.6%). Conclusions: The scrum algorithm was able to accurately detect scrum events for front-row, second-row, and back-row positions. However, for optimal results, practitioners are advised to use the recommended confidence level for each position to limit false positives. Scrum algorithm detection was better with scrums involving ≥5 players and is therefore unlikely to be suitable for scrums involving 3 players (eg, rugby sevens). Additional contact- and collision-detection algorithms are required to fully quantify rugby union demands. ABSTRACT FROM AUTHOR","container-title":"International Journal of Sports Physiology &amp; Performance","ISSN":"15550265","issue":"2","journalAbbreviation":"International Journal of Sports Physiology &amp; Performance","page":"176-182","source":"EBSCOhost","title":"Validity of a Microsensor-Based Algorithm for Detecting Scrum Events in Rugby Union","volume":"14","author":[{"family":"Chambers","given":"Ryan M."},{"family":"Gabbett","given":"Tim J."},{"family":"Cole","given":"Michael H."}],"issued":{"date-parts":[["2019",2]]}}}],"schema":"https://github.com/citation-style-language/schema/raw/master/csl-citation.json"} </w:instrText>
      </w:r>
      <w:r w:rsidRPr="00890E95">
        <w:rPr>
          <w:rFonts w:ascii="Times New Roman" w:hAnsi="Times New Roman" w:cs="Times New Roman"/>
          <w:color w:val="000000"/>
          <w:bdr w:val="none" w:sz="0" w:space="0" w:color="auto" w:frame="1"/>
        </w:rPr>
        <w:fldChar w:fldCharType="separate"/>
      </w:r>
      <w:r w:rsidRPr="00890E95">
        <w:rPr>
          <w:rFonts w:ascii="Times New Roman" w:hAnsi="Times New Roman" w:cs="Times New Roman"/>
          <w:noProof/>
          <w:color w:val="000000"/>
          <w:bdr w:val="none" w:sz="0" w:space="0" w:color="auto" w:frame="1"/>
        </w:rPr>
        <w:t>(Boyd et al., 2013; Chambers et al., 2019)</w:t>
      </w:r>
      <w:r w:rsidRPr="00890E95">
        <w:rPr>
          <w:rFonts w:ascii="Times New Roman" w:hAnsi="Times New Roman" w:cs="Times New Roman"/>
          <w:color w:val="000000"/>
          <w:bdr w:val="none" w:sz="0" w:space="0" w:color="auto" w:frame="1"/>
        </w:rPr>
        <w:fldChar w:fldCharType="end"/>
      </w:r>
      <w:r w:rsidRPr="00890E95">
        <w:rPr>
          <w:rFonts w:ascii="Times New Roman" w:hAnsi="Times New Roman" w:cs="Times New Roman"/>
          <w:color w:val="000000"/>
          <w:bdr w:val="none" w:sz="0" w:space="0" w:color="auto" w:frame="1"/>
        </w:rPr>
        <w:t xml:space="preserve">. Using treadmills, a 0.8-0.97 ICC and 4.2-14.8% CV has been found </w:t>
      </w:r>
      <w:r w:rsidRPr="00890E95">
        <w:rPr>
          <w:rFonts w:ascii="Times New Roman" w:hAnsi="Times New Roman" w:cs="Times New Roman"/>
          <w:color w:val="000000"/>
          <w:bdr w:val="none" w:sz="0" w:space="0" w:color="auto" w:frame="1"/>
        </w:rPr>
        <w:fldChar w:fldCharType="begin"/>
      </w:r>
      <w:r w:rsidRPr="00890E95">
        <w:rPr>
          <w:rFonts w:ascii="Times New Roman" w:hAnsi="Times New Roman" w:cs="Times New Roman"/>
          <w:color w:val="000000"/>
          <w:bdr w:val="none" w:sz="0" w:space="0" w:color="auto" w:frame="1"/>
        </w:rPr>
        <w:instrText xml:space="preserve"> ADDIN ZOTERO_ITEM CSL_CITATION {"citationID":"Z8Aw8wEQ","properties":{"formattedCitation":"(Barrett et al., 2014)","plainCitation":"(Barrett et al., 2014)","noteIndex":0},"citationItems":[{"id":87,"uris":["http://zotero.org/users/6375206/items/JG6CDF5R"],"uri":["http://zotero.org/users/6375206/items/JG6CDF5R"],"itemData":{"id":87,"type":"article-journal","abstract":"PURPOSE: The study aimed to establish the test-retest reliability and convergent validity of PlayerLoad™ (triaxial-accelerometer data) during a standardized bout of treadmill running. METHODS: Forty-four team-sport players performed 2 standardized incremental treadmill running tests (7-16 km/h) 7 d apart. Players' oxygen uptake (VO2; n = 20), heart rate (n = 44), and triaxialaccelerometer data (PlayerLoad; n = 44) measured at both the scapulae and at the center of mass (COM), were recorded. Accelerometer data from the individual component planes of PlayerLoad (anteroposterior [PLAP], mediolateral [PLML], and vertical [PLV]) were also examined. RESULTS: Moderate to high test-retest reliability was observed for PlayerLoad and its individual planes (ICC .80-.97, CV 4.2-14.8%) at both unit locations. PlayerLoad was significantly higher at COM vs scapulae (223.4 ± 42.6 vs 185.5 ± 26.3 arbitrary units; P = .001). The percentage contributions of individual planes to PlayerLoad were higher for PLML at the COM (scapulae 20.4% ± 3.8%, COM 26.5% ± 4.9%; P = .001) but lower for PLV (scapulae 55.7% ± 5.3%, COM 49.5% ± 6.9%; P = .001). Between-subjects correlations between PlayerLoad and VO2, and between PlayerLoad and heart rate were trivial to moderate (r = -.43 to .33), whereas within-subject correlations were nearly perfect (r = .92-.98). CONCLUSIONS: PlayerLoad had a moderate to high degree of test-retest reliability and demonstrated convergent validity with measures of exercise intensity on an individual basis. However, caution should be applied in making between-athletes contrasts in loading and when using recordings from the scapulae to identify lower-limb movement patterns. ABSTRACT FROM AUTHOR","container-title":"International Journal of Sports Physiology &amp; Performance","ISSN":"15550265","issue":"6","journalAbbreviation":"International Journal of Sports Physiology &amp; Performance","page":"945-952","source":"EBSCOhost","title":"PlayerLoad™: Reliability, Convergent Validity, and Influence of Unit Position During Treadmill Running","title-short":"PlayerLoad™","volume":"9","author":[{"family":"Barrett","given":"Steve"},{"family":"Midgley","given":"Adrian"},{"family":"Lovell","given":"Ric"}],"issued":{"date-parts":[["2014",11]]}}}],"schema":"https://github.com/citation-style-language/schema/raw/master/csl-citation.json"} </w:instrText>
      </w:r>
      <w:r w:rsidRPr="00890E95">
        <w:rPr>
          <w:rFonts w:ascii="Times New Roman" w:hAnsi="Times New Roman" w:cs="Times New Roman"/>
          <w:color w:val="000000"/>
          <w:bdr w:val="none" w:sz="0" w:space="0" w:color="auto" w:frame="1"/>
        </w:rPr>
        <w:fldChar w:fldCharType="separate"/>
      </w:r>
      <w:r w:rsidRPr="00890E95">
        <w:rPr>
          <w:rFonts w:ascii="Times New Roman" w:hAnsi="Times New Roman" w:cs="Times New Roman"/>
          <w:noProof/>
          <w:color w:val="000000"/>
          <w:bdr w:val="none" w:sz="0" w:space="0" w:color="auto" w:frame="1"/>
        </w:rPr>
        <w:t>(Barrett et al., 2014)</w:t>
      </w:r>
      <w:r w:rsidRPr="00890E95">
        <w:rPr>
          <w:rFonts w:ascii="Times New Roman" w:hAnsi="Times New Roman" w:cs="Times New Roman"/>
          <w:color w:val="000000"/>
          <w:bdr w:val="none" w:sz="0" w:space="0" w:color="auto" w:frame="1"/>
        </w:rPr>
        <w:fldChar w:fldCharType="end"/>
      </w:r>
      <w:r w:rsidRPr="00890E95">
        <w:rPr>
          <w:rFonts w:ascii="Times New Roman" w:hAnsi="Times New Roman" w:cs="Times New Roman"/>
          <w:color w:val="000000"/>
          <w:bdr w:val="none" w:sz="0" w:space="0" w:color="auto" w:frame="1"/>
        </w:rPr>
        <w:t>. Player load was calculated with the following equation:</w:t>
      </w:r>
    </w:p>
    <w:p w14:paraId="7B0690FC" w14:textId="77777777" w:rsidR="0052271F" w:rsidRPr="00890E95" w:rsidRDefault="0052271F" w:rsidP="0052271F">
      <w:pPr>
        <w:spacing w:line="480" w:lineRule="auto"/>
        <w:rPr>
          <w:rFonts w:ascii="Times New Roman" w:eastAsia="Times New Roman" w:hAnsi="Times New Roman" w:cs="Times New Roman"/>
        </w:rPr>
      </w:pPr>
      <w:r w:rsidRPr="00890E95">
        <w:rPr>
          <w:rFonts w:ascii="Times New Roman" w:eastAsia="Times New Roman" w:hAnsi="Times New Roman" w:cs="Times New Roman"/>
        </w:rPr>
        <w:t xml:space="preserve">Player load = </w:t>
      </w:r>
      <m:oMath>
        <m:rad>
          <m:radPr>
            <m:degHide m:val="1"/>
            <m:ctrlPr>
              <w:rPr>
                <w:rFonts w:ascii="Cambria Math" w:eastAsia="Times New Roman" w:hAnsi="Cambria Math" w:cs="Times New Roman"/>
                <w:i/>
              </w:rPr>
            </m:ctrlPr>
          </m:radPr>
          <m:deg/>
          <m:e>
            <m:f>
              <m:fPr>
                <m:ctrlPr>
                  <w:rPr>
                    <w:rFonts w:ascii="Cambria Math" w:eastAsia="Times New Roman" w:hAnsi="Cambria Math" w:cs="Times New Roman"/>
                    <w:i/>
                  </w:rPr>
                </m:ctrlPr>
              </m:fPr>
              <m:num>
                <m:sSup>
                  <m:sSupPr>
                    <m:ctrlPr>
                      <w:rPr>
                        <w:rFonts w:ascii="Cambria Math" w:eastAsia="Times New Roman" w:hAnsi="Cambria Math" w:cs="Times New Roman"/>
                        <w:i/>
                      </w:rPr>
                    </m:ctrlPr>
                  </m:sSupPr>
                  <m:e>
                    <m:sSup>
                      <m:sSupPr>
                        <m:ctrlPr>
                          <w:rPr>
                            <w:rFonts w:ascii="Cambria Math" w:eastAsia="Times New Roman" w:hAnsi="Cambria Math" w:cs="Times New Roman"/>
                            <w:i/>
                          </w:rPr>
                        </m:ctrlPr>
                      </m:sSupPr>
                      <m:e>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x1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x-1</m:t>
                            </m:r>
                          </m:sub>
                        </m:sSub>
                        <m:r>
                          <w:rPr>
                            <w:rFonts w:ascii="Cambria Math" w:eastAsia="Times New Roman" w:hAnsi="Cambria Math" w:cs="Times New Roman"/>
                          </w:rPr>
                          <m:t>)</m:t>
                        </m:r>
                      </m:e>
                      <m:sup>
                        <m:r>
                          <w:rPr>
                            <w:rFonts w:ascii="Cambria Math" w:eastAsia="Times New Roman" w:hAnsi="Cambria Math" w:cs="Times New Roman"/>
                          </w:rPr>
                          <m:t>2</m:t>
                        </m:r>
                      </m:sup>
                    </m:sSup>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y1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y-1</m:t>
                        </m:r>
                      </m:sub>
                    </m:sSub>
                    <m:r>
                      <w:rPr>
                        <w:rFonts w:ascii="Cambria Math" w:eastAsia="Times New Roman" w:hAnsi="Cambria Math" w:cs="Times New Roman"/>
                      </w:rPr>
                      <m:t>)</m:t>
                    </m:r>
                  </m:e>
                  <m:sup>
                    <m:r>
                      <w:rPr>
                        <w:rFonts w:ascii="Cambria Math" w:eastAsia="Times New Roman" w:hAnsi="Cambria Math" w:cs="Times New Roman"/>
                      </w:rPr>
                      <m:t>2</m:t>
                    </m:r>
                  </m:sup>
                </m:sSup>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z1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z-1</m:t>
                        </m:r>
                      </m:sub>
                    </m:sSub>
                    <m:r>
                      <w:rPr>
                        <w:rFonts w:ascii="Cambria Math" w:eastAsia="Times New Roman" w:hAnsi="Cambria Math" w:cs="Times New Roman"/>
                      </w:rPr>
                      <m:t>)</m:t>
                    </m:r>
                  </m:e>
                  <m:sup>
                    <m:r>
                      <w:rPr>
                        <w:rFonts w:ascii="Cambria Math" w:eastAsia="Times New Roman" w:hAnsi="Cambria Math" w:cs="Times New Roman"/>
                      </w:rPr>
                      <m:t>2</m:t>
                    </m:r>
                  </m:sup>
                </m:sSup>
              </m:num>
              <m:den>
                <m:r>
                  <w:rPr>
                    <w:rFonts w:ascii="Cambria Math" w:eastAsia="Times New Roman" w:hAnsi="Cambria Math" w:cs="Times New Roman"/>
                  </w:rPr>
                  <m:t>100</m:t>
                </m:r>
              </m:den>
            </m:f>
          </m:e>
        </m:rad>
      </m:oMath>
      <w:r w:rsidRPr="00890E95">
        <w:rPr>
          <w:rFonts w:ascii="Times New Roman" w:eastAsia="Times New Roman" w:hAnsi="Times New Roman" w:cs="Times New Roman"/>
        </w:rPr>
        <w:t>.</w:t>
      </w:r>
    </w:p>
    <w:p w14:paraId="45F505E3" w14:textId="0502C9A5" w:rsidR="0052271F" w:rsidRDefault="0052271F" w:rsidP="0052271F">
      <w:pPr>
        <w:spacing w:line="480" w:lineRule="auto"/>
        <w:ind w:firstLine="720"/>
        <w:rPr>
          <w:rFonts w:ascii="Times New Roman" w:hAnsi="Times New Roman" w:cs="Times New Roman"/>
          <w:color w:val="000000"/>
          <w:bdr w:val="none" w:sz="0" w:space="0" w:color="auto" w:frame="1"/>
        </w:rPr>
      </w:pPr>
      <w:r w:rsidRPr="00890E95">
        <w:rPr>
          <w:rFonts w:ascii="Times New Roman" w:hAnsi="Times New Roman" w:cs="Times New Roman"/>
        </w:rPr>
        <w:t>Nine participants selected by the coaching staff wore the GPS-enabled accelerometers.</w:t>
      </w:r>
      <w:r w:rsidRPr="00890E95">
        <w:rPr>
          <w:rFonts w:ascii="Times New Roman" w:hAnsi="Times New Roman" w:cs="Times New Roman"/>
          <w:color w:val="000000"/>
          <w:bdr w:val="none" w:sz="0" w:space="0" w:color="auto" w:frame="1"/>
        </w:rPr>
        <w:t xml:space="preserve"> These participants were selected based on their participation in at least 3 of the 4 competitive events and across the four classes (3 Freshmen</w:t>
      </w:r>
      <w:r w:rsidR="00E972C2">
        <w:rPr>
          <w:rFonts w:ascii="Times New Roman" w:hAnsi="Times New Roman" w:cs="Times New Roman"/>
          <w:color w:val="000000"/>
          <w:bdr w:val="none" w:sz="0" w:space="0" w:color="auto" w:frame="1"/>
        </w:rPr>
        <w:t>,</w:t>
      </w:r>
      <w:r w:rsidRPr="00890E95">
        <w:rPr>
          <w:rFonts w:ascii="Times New Roman" w:hAnsi="Times New Roman" w:cs="Times New Roman"/>
          <w:color w:val="000000"/>
          <w:bdr w:val="none" w:sz="0" w:space="0" w:color="auto" w:frame="1"/>
        </w:rPr>
        <w:t xml:space="preserve"> 2 Sophomores</w:t>
      </w:r>
      <w:r w:rsidR="00E972C2">
        <w:rPr>
          <w:rFonts w:ascii="Times New Roman" w:hAnsi="Times New Roman" w:cs="Times New Roman"/>
          <w:color w:val="000000"/>
          <w:bdr w:val="none" w:sz="0" w:space="0" w:color="auto" w:frame="1"/>
        </w:rPr>
        <w:t>,</w:t>
      </w:r>
      <w:r w:rsidRPr="00890E95">
        <w:rPr>
          <w:rFonts w:ascii="Times New Roman" w:hAnsi="Times New Roman" w:cs="Times New Roman"/>
          <w:color w:val="000000"/>
          <w:bdr w:val="none" w:sz="0" w:space="0" w:color="auto" w:frame="1"/>
        </w:rPr>
        <w:t xml:space="preserve"> 2 Juniors</w:t>
      </w:r>
      <w:r w:rsidR="00E972C2">
        <w:rPr>
          <w:rFonts w:ascii="Times New Roman" w:hAnsi="Times New Roman" w:cs="Times New Roman"/>
          <w:color w:val="000000"/>
          <w:bdr w:val="none" w:sz="0" w:space="0" w:color="auto" w:frame="1"/>
        </w:rPr>
        <w:t>, and</w:t>
      </w:r>
      <w:r w:rsidRPr="00890E95">
        <w:rPr>
          <w:rFonts w:ascii="Times New Roman" w:hAnsi="Times New Roman" w:cs="Times New Roman"/>
          <w:color w:val="000000"/>
          <w:bdr w:val="none" w:sz="0" w:space="0" w:color="auto" w:frame="1"/>
        </w:rPr>
        <w:t xml:space="preserve"> 2 Seniors). For each practice session, nine participants wore the same Catapult unit throughout,</w:t>
      </w:r>
      <w:r w:rsidRPr="00890E95">
        <w:rPr>
          <w:rStyle w:val="xapple-converted-space"/>
          <w:rFonts w:ascii="Times New Roman" w:hAnsi="Times New Roman" w:cs="Times New Roman"/>
          <w:color w:val="000000"/>
          <w:bdr w:val="none" w:sz="0" w:space="0" w:color="auto" w:frame="1"/>
        </w:rPr>
        <w:t> </w:t>
      </w:r>
      <w:r w:rsidRPr="00890E95">
        <w:rPr>
          <w:rFonts w:ascii="Times New Roman" w:hAnsi="Times New Roman" w:cs="Times New Roman"/>
          <w:color w:val="000000"/>
          <w:bdr w:val="none" w:sz="0" w:space="0" w:color="auto" w:frame="1"/>
        </w:rPr>
        <w:t>and training staff ensured proper placement for each participant’s unit according to the manufacturer’s guidelines, on the participant’s back in a supportive harness, in between the scapulae. Devices were donned in the team dressing room and turned on once the gymnast entered the training area by the team’s athletic trainer, who verified they were “powered on” and recording/transmitting a signal to linked laptop. Load accumulation data were collected during all gymnastic-related training sessions in inertial measurement units (IMU) and began when athletes took the floor for the pre-practice warm-up and ended when they left the floor at the conclusion of practice. All metrics were initially recorded using the proprietary Catapult software (</w:t>
      </w:r>
      <w:proofErr w:type="spellStart"/>
      <w:r w:rsidRPr="00890E95">
        <w:rPr>
          <w:rFonts w:ascii="Times New Roman" w:hAnsi="Times New Roman" w:cs="Times New Roman"/>
          <w:color w:val="000000"/>
          <w:bdr w:val="none" w:sz="0" w:space="0" w:color="auto" w:frame="1"/>
        </w:rPr>
        <w:t>Openfield</w:t>
      </w:r>
      <w:proofErr w:type="spellEnd"/>
      <w:r w:rsidRPr="00890E95">
        <w:rPr>
          <w:rFonts w:ascii="Times New Roman" w:hAnsi="Times New Roman" w:cs="Times New Roman"/>
          <w:color w:val="000000"/>
          <w:bdr w:val="none" w:sz="0" w:space="0" w:color="auto" w:frame="1"/>
        </w:rPr>
        <w:t xml:space="preserve">, Catapult Innovations, Melbourne, VIC, Australia) then transferred into Excel and SPSS for further analysis. The </w:t>
      </w:r>
      <w:proofErr w:type="spellStart"/>
      <w:r w:rsidRPr="00890E95">
        <w:rPr>
          <w:rFonts w:ascii="Times New Roman" w:hAnsi="Times New Roman" w:cs="Times New Roman"/>
          <w:color w:val="000000"/>
          <w:bdr w:val="none" w:sz="0" w:space="0" w:color="auto" w:frame="1"/>
        </w:rPr>
        <w:t>OptimEye</w:t>
      </w:r>
      <w:proofErr w:type="spellEnd"/>
      <w:r w:rsidRPr="00890E95">
        <w:rPr>
          <w:rFonts w:ascii="Times New Roman" w:hAnsi="Times New Roman" w:cs="Times New Roman"/>
          <w:color w:val="000000"/>
          <w:bdr w:val="none" w:sz="0" w:space="0" w:color="auto" w:frame="1"/>
        </w:rPr>
        <w:t xml:space="preserve"> S5 has been found to be valid used indoors in team sports </w:t>
      </w:r>
      <w:r w:rsidRPr="00890E95">
        <w:rPr>
          <w:rFonts w:ascii="Times New Roman" w:hAnsi="Times New Roman" w:cs="Times New Roman"/>
          <w:color w:val="000000"/>
          <w:bdr w:val="none" w:sz="0" w:space="0" w:color="auto" w:frame="1"/>
        </w:rPr>
        <w:fldChar w:fldCharType="begin"/>
      </w:r>
      <w:r w:rsidRPr="00890E95">
        <w:rPr>
          <w:rFonts w:ascii="Times New Roman" w:hAnsi="Times New Roman" w:cs="Times New Roman"/>
          <w:color w:val="000000"/>
          <w:bdr w:val="none" w:sz="0" w:space="0" w:color="auto" w:frame="1"/>
        </w:rPr>
        <w:instrText xml:space="preserve"> ADDIN ZOTERO_ITEM CSL_CITATION {"citationID":"LIaAJj2I","properties":{"formattedCitation":"(Roell et al., 2019)","plainCitation":"(Roell et al., 2019)","noteIndex":0},"citationItems":[{"id":79,"uris":["http://zotero.org/users/6375206/items/2QUTK8D5"],"uri":["http://zotero.org/users/6375206/items/2QUTK8D5"],"itemData":{"id":79,"type":"article-journal","abstract":"The aim of this study was to determine possible influences, including data processing and sport-specific demands, on the validity of acceleration measures by an inertial measurement unit (IMU) in indoor environments. IMU outputs were compared to a three-dimensional (3D) motion analysis (MA) system and processed with two sensor fusion algorithms (Kalman filter, KF; Complementary filter, CF) at temporal resolutions of 100, 10, and 5 Hz. Athletes performed six team sport-specific movements whilst wearing a single IMU. Mean and peak acceleration magnitudes were analyzed. Over all trials (n = 1093), KF data overestimated MA resultant acceleration by 0.42 &amp;plusmn; 0.31 m∙s&amp;minus;2 for mean and 4.18 &amp;plusmn; 3.68 m∙s&amp;minus;2 for peak values, while CF processing showed errors of up to 0.57 &amp;plusmn; 0.41 m∙s&amp;minus;2 and &amp;minus;2.31 &amp;plusmn; 2.25 m∙s&amp;minus;2, respectively. Resampling to 5 Hz decreased the absolute error by about 14% for mean and 56% for peak values. Still, higher acceleration magnitudes led to a large increase in error. These results indicate that IMUs can be used for assessing accelerations in indoor team sports with acceptable means. Application of a CF and resampling to 5 Hz is recommended. High-acceleration magnitudes impair validity to a large degree and should be interpreted with caution.","container-title":"Sensors","DOI":"10.3390/s19163458","issue":"16","language":"en","note":"number: 16\npublisher: Multidisciplinary Digital Publishing Institute","page":"3458","source":"www-mdpi-com.ezproxy.lib.ou.edu","title":"Validation of Wearable Sensors during Team Sport-Specific Movements in Indoor Environments","volume":"19","author":[{"family":"Roell","given":"Mareike"},{"family":"Mahler","given":"Hubert"},{"family":"Lienhard","given":"Johannes"},{"family":"Gehring","given":"Dominic"},{"family":"Gollhofer","given":"Albert"},{"family":"Roecker","given":"Kai"}],"issued":{"date-parts":[["2019",1]]}}}],"schema":"https://github.com/citation-style-language/schema/raw/master/csl-citation.json"} </w:instrText>
      </w:r>
      <w:r w:rsidRPr="00890E95">
        <w:rPr>
          <w:rFonts w:ascii="Times New Roman" w:hAnsi="Times New Roman" w:cs="Times New Roman"/>
          <w:color w:val="000000"/>
          <w:bdr w:val="none" w:sz="0" w:space="0" w:color="auto" w:frame="1"/>
        </w:rPr>
        <w:fldChar w:fldCharType="separate"/>
      </w:r>
      <w:r w:rsidRPr="00890E95">
        <w:rPr>
          <w:rFonts w:ascii="Times New Roman" w:hAnsi="Times New Roman" w:cs="Times New Roman"/>
          <w:noProof/>
          <w:color w:val="000000"/>
          <w:bdr w:val="none" w:sz="0" w:space="0" w:color="auto" w:frame="1"/>
        </w:rPr>
        <w:t>(Roell et al., 2019)</w:t>
      </w:r>
      <w:r w:rsidRPr="00890E95">
        <w:rPr>
          <w:rFonts w:ascii="Times New Roman" w:hAnsi="Times New Roman" w:cs="Times New Roman"/>
          <w:color w:val="000000"/>
          <w:bdr w:val="none" w:sz="0" w:space="0" w:color="auto" w:frame="1"/>
        </w:rPr>
        <w:fldChar w:fldCharType="end"/>
      </w:r>
      <w:r w:rsidRPr="00890E95">
        <w:rPr>
          <w:rFonts w:ascii="Times New Roman" w:hAnsi="Times New Roman" w:cs="Times New Roman"/>
          <w:color w:val="000000"/>
          <w:bdr w:val="none" w:sz="0" w:space="0" w:color="auto" w:frame="1"/>
        </w:rPr>
        <w:t xml:space="preserve">. Inertial </w:t>
      </w:r>
      <w:r w:rsidRPr="00890E95">
        <w:rPr>
          <w:rFonts w:ascii="Times New Roman" w:hAnsi="Times New Roman" w:cs="Times New Roman"/>
          <w:color w:val="000000"/>
          <w:bdr w:val="none" w:sz="0" w:space="0" w:color="auto" w:frame="1"/>
        </w:rPr>
        <w:lastRenderedPageBreak/>
        <w:t xml:space="preserve">Movement Analysis was also measured by the Catapult </w:t>
      </w:r>
      <w:proofErr w:type="spellStart"/>
      <w:r w:rsidRPr="00890E95">
        <w:rPr>
          <w:rFonts w:ascii="Times New Roman" w:hAnsi="Times New Roman" w:cs="Times New Roman"/>
          <w:color w:val="000000"/>
          <w:bdr w:val="none" w:sz="0" w:space="0" w:color="auto" w:frame="1"/>
        </w:rPr>
        <w:t>OptimEye</w:t>
      </w:r>
      <w:proofErr w:type="spellEnd"/>
      <w:r w:rsidRPr="00890E95">
        <w:rPr>
          <w:rFonts w:ascii="Times New Roman" w:hAnsi="Times New Roman" w:cs="Times New Roman"/>
          <w:color w:val="000000"/>
          <w:bdr w:val="none" w:sz="0" w:space="0" w:color="auto" w:frame="1"/>
        </w:rPr>
        <w:t xml:space="preserve"> S5 trackers. IMA was recorded by the Catapult software and jump counts were grouped into high band, medium band, and low band. Bands depend on the sport and can be programmed into the software. For this data, the bands were set as low (0–2.5 m/s), medium (2.5-5 m/s), and high (&gt;5 m/s). Catapult </w:t>
      </w:r>
      <w:proofErr w:type="spellStart"/>
      <w:r w:rsidRPr="00890E95">
        <w:rPr>
          <w:rFonts w:ascii="Times New Roman" w:hAnsi="Times New Roman" w:cs="Times New Roman"/>
          <w:color w:val="000000"/>
          <w:bdr w:val="none" w:sz="0" w:space="0" w:color="auto" w:frame="1"/>
        </w:rPr>
        <w:t>OptimEye</w:t>
      </w:r>
      <w:proofErr w:type="spellEnd"/>
      <w:r w:rsidRPr="00890E95">
        <w:rPr>
          <w:rFonts w:ascii="Times New Roman" w:hAnsi="Times New Roman" w:cs="Times New Roman"/>
          <w:color w:val="000000"/>
          <w:bdr w:val="none" w:sz="0" w:space="0" w:color="auto" w:frame="1"/>
        </w:rPr>
        <w:t xml:space="preserve"> S5 accelerometers have been shown to be valid and reliable with inter-device effect sizes as 0.54-1.20, and ICCs as 0.77-1.0 </w:t>
      </w:r>
      <w:r w:rsidRPr="00890E95">
        <w:rPr>
          <w:rFonts w:ascii="Times New Roman" w:hAnsi="Times New Roman" w:cs="Times New Roman"/>
          <w:color w:val="000000"/>
          <w:bdr w:val="none" w:sz="0" w:space="0" w:color="auto" w:frame="1"/>
        </w:rPr>
        <w:fldChar w:fldCharType="begin"/>
      </w:r>
      <w:r w:rsidRPr="00890E95">
        <w:rPr>
          <w:rFonts w:ascii="Times New Roman" w:hAnsi="Times New Roman" w:cs="Times New Roman"/>
          <w:color w:val="000000"/>
          <w:bdr w:val="none" w:sz="0" w:space="0" w:color="auto" w:frame="1"/>
        </w:rPr>
        <w:instrText xml:space="preserve"> ADDIN ZOTERO_ITEM CSL_CITATION {"citationID":"QfHLd2H1","properties":{"formattedCitation":"(Nicolella et al., 2018)","plainCitation":"(Nicolella et al., 2018)","noteIndex":0},"citationItems":[{"id":186,"uris":["http://zotero.org/users/6375206/items/TKN7B4P8"],"uri":["http://zotero.org/users/6375206/items/TKN7B4P8"],"itemData":{"id":186,"type":"article-journal","abstract":"This study aimed to determine the intra- and inter-device accuracy and reliability of wearable athletic tracking devices, under controlled laboratory conditions. A total of nineteen portable accelerometers (Catapult OptimEye S5) were mounted to an aluminum bracket, bolted directly to an Unholtz Dickie 20K electrodynamic shaker table, and subjected to a series of oscillations in each of three orthogonal directions (front-back, side to side, and up-down), at four levels of peak acceleration (0.1g, 0.5g, 1.0g, and 3.0g), each repeated five times resulting in a total of 60 tests per unit, for a total of 1140 records. Data from each accelerometer was recorded at a sampling frequency of 100Hz. Peak accelerations recorded by the devices, Catapult PlayerLoad™, and calculated player load (using Catapult's Cartesian formula) were used for the analysis. The devices demonstrated excellent intradevice reliability and mixed interdevice reliability. Differences were found between devices for mean peak accelerations and PlayerLoad™ for each direction and level of acceleration. Interdevice effect sizes ranged from a mean of 0.54 (95% CI: 0.34-0.74) (small) to 1.20 (95% CI: 1.08-1.30) (large) and ICCs ranged from 0.77 (95% CI: 0.62-0.89) (very large) to 1.0 (95% CI: 0.99-1.0) (nearly perfect) depending upon the magnitude and direction of the applied motion. When compared to the player load determined using the Cartesian formula, the Catapult reported PlayerLoad™ was consistently lower by approximately 15%. These results emphasize the need for industry wide standards in reporting validity, reliability and the magnitude of measurement errors. It is recommended that device reliability and accuracy are periodically quantified.","container-title":"PloS One","DOI":"10.1371/journal.pone.0191823","ISSN":"1932-6203","issue":"2","journalAbbreviation":"PLoS One","language":"eng","note":"PMID: 29420555\nPMCID: PMC5805236","page":"e0191823","source":"PubMed","title":"Validity and reliability of an accelerometer-based player tracking device","volume":"13","author":[{"family":"Nicolella","given":"Daniel P."},{"family":"Torres-Ronda","given":"Lorena"},{"family":"Saylor","given":"Kase J."},{"family":"Schelling","given":"Xavi"}],"issued":{"date-parts":[["2018"]]}}}],"schema":"https://github.com/citation-style-language/schema/raw/master/csl-citation.json"} </w:instrText>
      </w:r>
      <w:r w:rsidRPr="00890E95">
        <w:rPr>
          <w:rFonts w:ascii="Times New Roman" w:hAnsi="Times New Roman" w:cs="Times New Roman"/>
          <w:color w:val="000000"/>
          <w:bdr w:val="none" w:sz="0" w:space="0" w:color="auto" w:frame="1"/>
        </w:rPr>
        <w:fldChar w:fldCharType="separate"/>
      </w:r>
      <w:r w:rsidRPr="00890E95">
        <w:rPr>
          <w:rFonts w:ascii="Times New Roman" w:hAnsi="Times New Roman" w:cs="Times New Roman"/>
          <w:noProof/>
          <w:color w:val="000000"/>
          <w:bdr w:val="none" w:sz="0" w:space="0" w:color="auto" w:frame="1"/>
        </w:rPr>
        <w:t>(Nicolella et al., 2018)</w:t>
      </w:r>
      <w:r w:rsidRPr="00890E95">
        <w:rPr>
          <w:rFonts w:ascii="Times New Roman" w:hAnsi="Times New Roman" w:cs="Times New Roman"/>
          <w:color w:val="000000"/>
          <w:bdr w:val="none" w:sz="0" w:space="0" w:color="auto" w:frame="1"/>
        </w:rPr>
        <w:fldChar w:fldCharType="end"/>
      </w:r>
      <w:r w:rsidRPr="00890E95">
        <w:rPr>
          <w:rFonts w:ascii="Times New Roman" w:hAnsi="Times New Roman" w:cs="Times New Roman"/>
          <w:color w:val="000000"/>
          <w:bdr w:val="none" w:sz="0" w:space="0" w:color="auto" w:frame="1"/>
        </w:rPr>
        <w:t xml:space="preserve">. </w:t>
      </w:r>
    </w:p>
    <w:p w14:paraId="78D1B78D" w14:textId="77777777" w:rsidR="0031556E" w:rsidRPr="001A21C2" w:rsidRDefault="0031556E" w:rsidP="0031556E">
      <w:pPr>
        <w:pStyle w:val="Heading4"/>
      </w:pPr>
      <w:r>
        <w:t>Preseason Training Phases</w:t>
      </w:r>
    </w:p>
    <w:p w14:paraId="3FE80209" w14:textId="412948ED" w:rsidR="0031556E" w:rsidRDefault="0031556E" w:rsidP="0031556E">
      <w:pPr>
        <w:spacing w:line="480" w:lineRule="auto"/>
        <w:rPr>
          <w:rFonts w:ascii="Times New Roman" w:hAnsi="Times New Roman" w:cs="Times New Roman"/>
        </w:rPr>
      </w:pPr>
      <w:r>
        <w:rPr>
          <w:rFonts w:ascii="Times New Roman" w:hAnsi="Times New Roman" w:cs="Times New Roman"/>
        </w:rPr>
        <w:t>A typical collegiate gymnastics preseason is divided into roughly four, 3-week preparation phases: General Preparation 1 (GP1), General Preparation (GP2), Specific Preparation 1 (SP1), and Special Preparation 2 (SP2).  Briefly, these phases can be distinguished as follows:</w:t>
      </w:r>
    </w:p>
    <w:p w14:paraId="42A2D98D" w14:textId="77777777" w:rsidR="0031556E" w:rsidRDefault="0031556E" w:rsidP="0031556E">
      <w:pPr>
        <w:pStyle w:val="ListParagraph"/>
        <w:numPr>
          <w:ilvl w:val="0"/>
          <w:numId w:val="22"/>
        </w:numPr>
        <w:spacing w:line="480" w:lineRule="auto"/>
        <w:rPr>
          <w:rFonts w:ascii="Times New Roman" w:hAnsi="Times New Roman" w:cs="Times New Roman"/>
        </w:rPr>
      </w:pPr>
      <w:r w:rsidRPr="00EA4E58">
        <w:rPr>
          <w:rFonts w:ascii="Times New Roman" w:hAnsi="Times New Roman" w:cs="Times New Roman"/>
          <w:b/>
          <w:bCs/>
          <w:i/>
          <w:iCs/>
        </w:rPr>
        <w:t>GP 1</w:t>
      </w:r>
      <w:r w:rsidRPr="001A21C2">
        <w:rPr>
          <w:rFonts w:ascii="Times New Roman" w:hAnsi="Times New Roman" w:cs="Times New Roman"/>
        </w:rPr>
        <w:t xml:space="preserve"> – Mostly individual skills </w:t>
      </w:r>
      <w:r>
        <w:rPr>
          <w:rFonts w:ascii="Times New Roman" w:hAnsi="Times New Roman" w:cs="Times New Roman"/>
        </w:rPr>
        <w:t xml:space="preserve">are performed </w:t>
      </w:r>
      <w:r w:rsidRPr="001A21C2">
        <w:rPr>
          <w:rFonts w:ascii="Times New Roman" w:hAnsi="Times New Roman" w:cs="Times New Roman"/>
        </w:rPr>
        <w:t xml:space="preserve">on each event.  Some combinations of 2-3 skills </w:t>
      </w:r>
      <w:r>
        <w:rPr>
          <w:rFonts w:ascii="Times New Roman" w:hAnsi="Times New Roman" w:cs="Times New Roman"/>
        </w:rPr>
        <w:t xml:space="preserve">may be </w:t>
      </w:r>
      <w:r w:rsidRPr="001A21C2">
        <w:rPr>
          <w:rFonts w:ascii="Times New Roman" w:hAnsi="Times New Roman" w:cs="Times New Roman"/>
        </w:rPr>
        <w:t xml:space="preserve">connected.  </w:t>
      </w:r>
      <w:r>
        <w:rPr>
          <w:rFonts w:ascii="Times New Roman" w:hAnsi="Times New Roman" w:cs="Times New Roman"/>
        </w:rPr>
        <w:t>This phase typically represents the highest repetition volumes of the preseason</w:t>
      </w:r>
      <w:r w:rsidRPr="001A21C2">
        <w:rPr>
          <w:rFonts w:ascii="Times New Roman" w:hAnsi="Times New Roman" w:cs="Times New Roman"/>
        </w:rPr>
        <w:t xml:space="preserve">. </w:t>
      </w:r>
      <w:r>
        <w:rPr>
          <w:rFonts w:ascii="Times New Roman" w:hAnsi="Times New Roman" w:cs="Times New Roman"/>
        </w:rPr>
        <w:t>Gymnasts perform t</w:t>
      </w:r>
      <w:r w:rsidRPr="001A21C2">
        <w:rPr>
          <w:rFonts w:ascii="Times New Roman" w:hAnsi="Times New Roman" w:cs="Times New Roman"/>
        </w:rPr>
        <w:t>hree weight room training days, and three specific conditioning days within the gymnastics facility</w:t>
      </w:r>
      <w:r>
        <w:rPr>
          <w:rFonts w:ascii="Times New Roman" w:hAnsi="Times New Roman" w:cs="Times New Roman"/>
        </w:rPr>
        <w:t xml:space="preserve"> </w:t>
      </w:r>
    </w:p>
    <w:p w14:paraId="7C80DE98" w14:textId="77777777" w:rsidR="0031556E" w:rsidRDefault="0031556E" w:rsidP="0031556E">
      <w:pPr>
        <w:pStyle w:val="ListParagraph"/>
        <w:numPr>
          <w:ilvl w:val="1"/>
          <w:numId w:val="22"/>
        </w:numPr>
        <w:spacing w:line="480" w:lineRule="auto"/>
        <w:rPr>
          <w:rFonts w:ascii="Times New Roman" w:hAnsi="Times New Roman" w:cs="Times New Roman"/>
        </w:rPr>
      </w:pPr>
      <w:r>
        <w:rPr>
          <w:rFonts w:ascii="Times New Roman" w:hAnsi="Times New Roman" w:cs="Times New Roman"/>
        </w:rPr>
        <w:t>Low to moderate intensity workout with highest volume</w:t>
      </w:r>
    </w:p>
    <w:p w14:paraId="76E86E64" w14:textId="77777777" w:rsidR="0031556E" w:rsidRDefault="0031556E" w:rsidP="0031556E">
      <w:pPr>
        <w:pStyle w:val="ListParagraph"/>
        <w:numPr>
          <w:ilvl w:val="0"/>
          <w:numId w:val="22"/>
        </w:numPr>
        <w:spacing w:line="480" w:lineRule="auto"/>
        <w:rPr>
          <w:rFonts w:ascii="Times New Roman" w:hAnsi="Times New Roman" w:cs="Times New Roman"/>
        </w:rPr>
      </w:pPr>
      <w:r w:rsidRPr="00EA4E58">
        <w:rPr>
          <w:rFonts w:ascii="Times New Roman" w:hAnsi="Times New Roman" w:cs="Times New Roman"/>
          <w:b/>
          <w:bCs/>
          <w:i/>
          <w:iCs/>
        </w:rPr>
        <w:t>GP 2</w:t>
      </w:r>
      <w:r w:rsidRPr="001A21C2">
        <w:rPr>
          <w:rFonts w:ascii="Times New Roman" w:hAnsi="Times New Roman" w:cs="Times New Roman"/>
        </w:rPr>
        <w:t xml:space="preserve"> – Combinations of skills</w:t>
      </w:r>
      <w:r>
        <w:rPr>
          <w:rFonts w:ascii="Times New Roman" w:hAnsi="Times New Roman" w:cs="Times New Roman"/>
        </w:rPr>
        <w:t xml:space="preserve"> are utilized, and vaults move from low, soft landings and drills to higher, firmer landings</w:t>
      </w:r>
      <w:r w:rsidRPr="001A21C2">
        <w:rPr>
          <w:rFonts w:ascii="Times New Roman" w:hAnsi="Times New Roman" w:cs="Times New Roman"/>
        </w:rPr>
        <w:t xml:space="preserve">.  </w:t>
      </w:r>
      <w:r>
        <w:rPr>
          <w:rFonts w:ascii="Times New Roman" w:hAnsi="Times New Roman" w:cs="Times New Roman"/>
        </w:rPr>
        <w:t>Routine events progress</w:t>
      </w:r>
      <w:r w:rsidRPr="001A21C2">
        <w:rPr>
          <w:rFonts w:ascii="Times New Roman" w:hAnsi="Times New Roman" w:cs="Times New Roman"/>
        </w:rPr>
        <w:t xml:space="preserve"> toward “half sets” where the routine is split evenly between “first half” and “second half”</w:t>
      </w:r>
      <w:r>
        <w:rPr>
          <w:rFonts w:ascii="Times New Roman" w:hAnsi="Times New Roman" w:cs="Times New Roman"/>
        </w:rPr>
        <w:t xml:space="preserve"> combinations of skills</w:t>
      </w:r>
      <w:r w:rsidRPr="001A21C2">
        <w:rPr>
          <w:rFonts w:ascii="Times New Roman" w:hAnsi="Times New Roman" w:cs="Times New Roman"/>
        </w:rPr>
        <w:t xml:space="preserve">.  Typically, these half sets are done with follow ups on skill combinations used </w:t>
      </w:r>
      <w:r>
        <w:rPr>
          <w:rFonts w:ascii="Times New Roman" w:hAnsi="Times New Roman" w:cs="Times New Roman"/>
        </w:rPr>
        <w:t xml:space="preserve">to </w:t>
      </w:r>
      <w:r w:rsidRPr="001A21C2">
        <w:rPr>
          <w:rFonts w:ascii="Times New Roman" w:hAnsi="Times New Roman" w:cs="Times New Roman"/>
        </w:rPr>
        <w:t>improve overall technique and routine specific conditioning.  Three weight room training days, and three specific conditioning day within the gymnastics facility</w:t>
      </w:r>
    </w:p>
    <w:p w14:paraId="4DDFF839" w14:textId="77777777" w:rsidR="0031556E" w:rsidRDefault="0031556E" w:rsidP="0031556E">
      <w:pPr>
        <w:pStyle w:val="ListParagraph"/>
        <w:numPr>
          <w:ilvl w:val="1"/>
          <w:numId w:val="22"/>
        </w:numPr>
        <w:spacing w:line="480" w:lineRule="auto"/>
        <w:rPr>
          <w:rFonts w:ascii="Times New Roman" w:hAnsi="Times New Roman" w:cs="Times New Roman"/>
        </w:rPr>
      </w:pPr>
      <w:r>
        <w:rPr>
          <w:rFonts w:ascii="Times New Roman" w:hAnsi="Times New Roman" w:cs="Times New Roman"/>
        </w:rPr>
        <w:t>Moderate intensity workout with moderately high volume</w:t>
      </w:r>
    </w:p>
    <w:p w14:paraId="24429354" w14:textId="77777777" w:rsidR="0031556E" w:rsidRDefault="0031556E" w:rsidP="0031556E">
      <w:pPr>
        <w:pStyle w:val="ListParagraph"/>
        <w:numPr>
          <w:ilvl w:val="0"/>
          <w:numId w:val="22"/>
        </w:numPr>
        <w:spacing w:line="480" w:lineRule="auto"/>
        <w:rPr>
          <w:rFonts w:ascii="Times New Roman" w:hAnsi="Times New Roman" w:cs="Times New Roman"/>
        </w:rPr>
      </w:pPr>
      <w:r w:rsidRPr="00EA4E58">
        <w:rPr>
          <w:rFonts w:ascii="Times New Roman" w:hAnsi="Times New Roman" w:cs="Times New Roman"/>
          <w:b/>
          <w:bCs/>
          <w:i/>
          <w:iCs/>
        </w:rPr>
        <w:lastRenderedPageBreak/>
        <w:t>SP 1</w:t>
      </w:r>
      <w:r w:rsidRPr="001A21C2">
        <w:rPr>
          <w:rFonts w:ascii="Times New Roman" w:hAnsi="Times New Roman" w:cs="Times New Roman"/>
        </w:rPr>
        <w:t xml:space="preserve"> – </w:t>
      </w:r>
      <w:r>
        <w:rPr>
          <w:rFonts w:ascii="Times New Roman" w:hAnsi="Times New Roman" w:cs="Times New Roman"/>
        </w:rPr>
        <w:t>Main focus becomes h</w:t>
      </w:r>
      <w:r w:rsidRPr="001A21C2">
        <w:rPr>
          <w:rFonts w:ascii="Times New Roman" w:hAnsi="Times New Roman" w:cs="Times New Roman"/>
        </w:rPr>
        <w:t xml:space="preserve">alf routines and full routines without </w:t>
      </w:r>
      <w:r>
        <w:rPr>
          <w:rFonts w:ascii="Times New Roman" w:hAnsi="Times New Roman" w:cs="Times New Roman"/>
        </w:rPr>
        <w:t xml:space="preserve">a full </w:t>
      </w:r>
      <w:r w:rsidRPr="001A21C2">
        <w:rPr>
          <w:rFonts w:ascii="Times New Roman" w:hAnsi="Times New Roman" w:cs="Times New Roman"/>
        </w:rPr>
        <w:t xml:space="preserve">competition landing (either a softened landing or lowered landing for dismount).  Competition vaults </w:t>
      </w:r>
      <w:r>
        <w:rPr>
          <w:rFonts w:ascii="Times New Roman" w:hAnsi="Times New Roman" w:cs="Times New Roman"/>
        </w:rPr>
        <w:t>are performed with</w:t>
      </w:r>
      <w:r w:rsidRPr="001A21C2">
        <w:rPr>
          <w:rFonts w:ascii="Times New Roman" w:hAnsi="Times New Roman" w:cs="Times New Roman"/>
        </w:rPr>
        <w:t xml:space="preserve"> </w:t>
      </w:r>
      <w:r>
        <w:rPr>
          <w:rFonts w:ascii="Times New Roman" w:hAnsi="Times New Roman" w:cs="Times New Roman"/>
        </w:rPr>
        <w:t>landing mats at heights greater than regulation</w:t>
      </w:r>
      <w:r w:rsidRPr="001A21C2">
        <w:rPr>
          <w:rFonts w:ascii="Times New Roman" w:hAnsi="Times New Roman" w:cs="Times New Roman"/>
        </w:rPr>
        <w:t>. Mini-</w:t>
      </w:r>
      <w:proofErr w:type="spellStart"/>
      <w:r w:rsidRPr="001A21C2">
        <w:rPr>
          <w:rFonts w:ascii="Times New Roman" w:hAnsi="Times New Roman" w:cs="Times New Roman"/>
        </w:rPr>
        <w:t>intrasquads</w:t>
      </w:r>
      <w:proofErr w:type="spellEnd"/>
      <w:r w:rsidRPr="001A21C2">
        <w:rPr>
          <w:rFonts w:ascii="Times New Roman" w:hAnsi="Times New Roman" w:cs="Times New Roman"/>
        </w:rPr>
        <w:t xml:space="preserve"> (one or two events) judged for gymnasts/coaches to determine scoring potential.</w:t>
      </w:r>
    </w:p>
    <w:p w14:paraId="291AB138" w14:textId="77777777" w:rsidR="0031556E" w:rsidRDefault="0031556E" w:rsidP="0031556E">
      <w:pPr>
        <w:pStyle w:val="ListParagraph"/>
        <w:numPr>
          <w:ilvl w:val="1"/>
          <w:numId w:val="22"/>
        </w:numPr>
        <w:spacing w:line="480" w:lineRule="auto"/>
        <w:rPr>
          <w:rFonts w:ascii="Times New Roman" w:hAnsi="Times New Roman" w:cs="Times New Roman"/>
        </w:rPr>
      </w:pPr>
      <w:r>
        <w:rPr>
          <w:rFonts w:ascii="Times New Roman" w:hAnsi="Times New Roman" w:cs="Times New Roman"/>
        </w:rPr>
        <w:t>Moderately high intensity workout with moderate to low volume</w:t>
      </w:r>
    </w:p>
    <w:p w14:paraId="000D7190" w14:textId="77777777" w:rsidR="0031556E" w:rsidRDefault="0031556E" w:rsidP="0031556E">
      <w:pPr>
        <w:pStyle w:val="ListParagraph"/>
        <w:numPr>
          <w:ilvl w:val="0"/>
          <w:numId w:val="22"/>
        </w:numPr>
        <w:spacing w:line="480" w:lineRule="auto"/>
        <w:rPr>
          <w:rFonts w:ascii="Times New Roman" w:hAnsi="Times New Roman" w:cs="Times New Roman"/>
        </w:rPr>
      </w:pPr>
      <w:r w:rsidRPr="00EA4E58">
        <w:rPr>
          <w:rFonts w:ascii="Times New Roman" w:hAnsi="Times New Roman" w:cs="Times New Roman"/>
          <w:b/>
          <w:bCs/>
          <w:i/>
          <w:iCs/>
        </w:rPr>
        <w:t>SP 2</w:t>
      </w:r>
      <w:r w:rsidRPr="001A21C2">
        <w:rPr>
          <w:rFonts w:ascii="Times New Roman" w:hAnsi="Times New Roman" w:cs="Times New Roman"/>
        </w:rPr>
        <w:t xml:space="preserve"> – Full routines with competitive landings are performed on all </w:t>
      </w:r>
      <w:r>
        <w:rPr>
          <w:rFonts w:ascii="Times New Roman" w:hAnsi="Times New Roman" w:cs="Times New Roman"/>
        </w:rPr>
        <w:t xml:space="preserve">routine-based </w:t>
      </w:r>
      <w:r w:rsidRPr="001A21C2">
        <w:rPr>
          <w:rFonts w:ascii="Times New Roman" w:hAnsi="Times New Roman" w:cs="Times New Roman"/>
        </w:rPr>
        <w:t xml:space="preserve">events and vaults with full difficulty and firm landings at regulation height are utilized.  </w:t>
      </w:r>
      <w:proofErr w:type="spellStart"/>
      <w:r w:rsidRPr="001A21C2">
        <w:rPr>
          <w:rFonts w:ascii="Times New Roman" w:hAnsi="Times New Roman" w:cs="Times New Roman"/>
        </w:rPr>
        <w:t>Intrasquads</w:t>
      </w:r>
      <w:proofErr w:type="spellEnd"/>
      <w:r w:rsidRPr="001A21C2">
        <w:rPr>
          <w:rFonts w:ascii="Times New Roman" w:hAnsi="Times New Roman" w:cs="Times New Roman"/>
        </w:rPr>
        <w:t xml:space="preserve"> on all events </w:t>
      </w:r>
      <w:r>
        <w:rPr>
          <w:rFonts w:ascii="Times New Roman" w:hAnsi="Times New Roman" w:cs="Times New Roman"/>
        </w:rPr>
        <w:t>representing a “mock competition” are performed and include</w:t>
      </w:r>
      <w:r w:rsidRPr="001A21C2">
        <w:rPr>
          <w:rFonts w:ascii="Times New Roman" w:hAnsi="Times New Roman" w:cs="Times New Roman"/>
        </w:rPr>
        <w:t xml:space="preserve"> full competitive landings.</w:t>
      </w:r>
      <w:r>
        <w:rPr>
          <w:rFonts w:ascii="Times New Roman" w:hAnsi="Times New Roman" w:cs="Times New Roman"/>
        </w:rPr>
        <w:t xml:space="preserve"> </w:t>
      </w:r>
      <w:r w:rsidRPr="001A21C2">
        <w:rPr>
          <w:rFonts w:ascii="Times New Roman" w:hAnsi="Times New Roman" w:cs="Times New Roman"/>
        </w:rPr>
        <w:t xml:space="preserve">Combinations and/or half sets may be </w:t>
      </w:r>
      <w:r>
        <w:rPr>
          <w:rFonts w:ascii="Times New Roman" w:hAnsi="Times New Roman" w:cs="Times New Roman"/>
        </w:rPr>
        <w:t>repeated</w:t>
      </w:r>
      <w:r w:rsidRPr="001A21C2">
        <w:rPr>
          <w:rFonts w:ascii="Times New Roman" w:hAnsi="Times New Roman" w:cs="Times New Roman"/>
        </w:rPr>
        <w:t xml:space="preserve"> to focus on key areas of scoring improvement.  The final training sessions prior to competitive season.  Lowered volume and increased intensity.</w:t>
      </w:r>
      <w:r>
        <w:rPr>
          <w:rFonts w:ascii="Times New Roman" w:hAnsi="Times New Roman" w:cs="Times New Roman"/>
        </w:rPr>
        <w:t xml:space="preserve">  </w:t>
      </w:r>
      <w:r w:rsidRPr="00F867DF">
        <w:rPr>
          <w:rFonts w:ascii="Times New Roman" w:hAnsi="Times New Roman" w:cs="Times New Roman"/>
        </w:rPr>
        <w:t xml:space="preserve">Two weight training days and three specific conditioning days within the gymnastics facility. </w:t>
      </w:r>
    </w:p>
    <w:p w14:paraId="56FE6767" w14:textId="34627B84" w:rsidR="0031556E" w:rsidRPr="0031556E" w:rsidRDefault="0031556E" w:rsidP="0031556E">
      <w:pPr>
        <w:pStyle w:val="ListParagraph"/>
        <w:numPr>
          <w:ilvl w:val="1"/>
          <w:numId w:val="22"/>
        </w:numPr>
        <w:spacing w:line="480" w:lineRule="auto"/>
        <w:rPr>
          <w:rFonts w:ascii="Times New Roman" w:hAnsi="Times New Roman" w:cs="Times New Roman"/>
        </w:rPr>
      </w:pPr>
      <w:r>
        <w:rPr>
          <w:rFonts w:ascii="Times New Roman" w:hAnsi="Times New Roman" w:cs="Times New Roman"/>
        </w:rPr>
        <w:t>Highest intensity workout with low to moderate volume</w:t>
      </w:r>
      <w:r w:rsidRPr="00F867DF">
        <w:rPr>
          <w:rFonts w:ascii="Times New Roman" w:hAnsi="Times New Roman" w:cs="Times New Roman"/>
        </w:rPr>
        <w:t xml:space="preserve"> </w:t>
      </w:r>
    </w:p>
    <w:p w14:paraId="63EFB67F" w14:textId="36EE1CCC" w:rsidR="0052271F" w:rsidRPr="00890E95" w:rsidRDefault="0052271F" w:rsidP="00263AD5">
      <w:pPr>
        <w:pStyle w:val="Heading3"/>
        <w:rPr>
          <w:rFonts w:cs="Times New Roman"/>
          <w:bdr w:val="none" w:sz="0" w:space="0" w:color="auto" w:frame="1"/>
        </w:rPr>
      </w:pPr>
      <w:bookmarkStart w:id="21" w:name="_Toc85791407"/>
      <w:r w:rsidRPr="00890E95">
        <w:rPr>
          <w:rFonts w:cs="Times New Roman"/>
          <w:bdr w:val="none" w:sz="0" w:space="0" w:color="auto" w:frame="1"/>
        </w:rPr>
        <w:t>Statistical Analyses</w:t>
      </w:r>
      <w:bookmarkEnd w:id="21"/>
    </w:p>
    <w:p w14:paraId="25468A8C" w14:textId="2BB4BEFA" w:rsidR="0058571E" w:rsidRDefault="0052271F" w:rsidP="00890E95">
      <w:pPr>
        <w:spacing w:line="480" w:lineRule="auto"/>
        <w:rPr>
          <w:rFonts w:ascii="Times New Roman" w:hAnsi="Times New Roman" w:cs="Times New Roman"/>
          <w:color w:val="000000"/>
        </w:rPr>
      </w:pPr>
      <w:r w:rsidRPr="00890E95">
        <w:rPr>
          <w:rFonts w:ascii="Times New Roman" w:hAnsi="Times New Roman" w:cs="Times New Roman"/>
          <w:b/>
          <w:color w:val="000000"/>
          <w:bdr w:val="none" w:sz="0" w:space="0" w:color="auto" w:frame="1"/>
        </w:rPr>
        <w:tab/>
      </w:r>
      <w:r w:rsidRPr="00890E95">
        <w:rPr>
          <w:rFonts w:ascii="Times New Roman" w:hAnsi="Times New Roman" w:cs="Times New Roman"/>
          <w:color w:val="000000"/>
          <w:bdr w:val="none" w:sz="0" w:space="0" w:color="auto" w:frame="1"/>
        </w:rPr>
        <w:t xml:space="preserve">All statistical analyses </w:t>
      </w:r>
      <w:r w:rsidR="0018631F">
        <w:rPr>
          <w:rFonts w:ascii="Times New Roman" w:hAnsi="Times New Roman" w:cs="Times New Roman"/>
          <w:color w:val="000000"/>
          <w:bdr w:val="none" w:sz="0" w:space="0" w:color="auto" w:frame="1"/>
        </w:rPr>
        <w:t>were</w:t>
      </w:r>
      <w:r w:rsidRPr="00890E95">
        <w:rPr>
          <w:rFonts w:ascii="Times New Roman" w:hAnsi="Times New Roman" w:cs="Times New Roman"/>
          <w:color w:val="000000"/>
          <w:bdr w:val="none" w:sz="0" w:space="0" w:color="auto" w:frame="1"/>
        </w:rPr>
        <w:t xml:space="preserve"> performed in Excel 16.28 and SPSS Version 2</w:t>
      </w:r>
      <w:r w:rsidR="003644C6">
        <w:rPr>
          <w:rFonts w:ascii="Times New Roman" w:hAnsi="Times New Roman" w:cs="Times New Roman"/>
          <w:color w:val="000000"/>
          <w:bdr w:val="none" w:sz="0" w:space="0" w:color="auto" w:frame="1"/>
        </w:rPr>
        <w:t>6</w:t>
      </w:r>
      <w:r w:rsidRPr="00890E95">
        <w:rPr>
          <w:rFonts w:ascii="Times New Roman" w:hAnsi="Times New Roman" w:cs="Times New Roman"/>
          <w:color w:val="000000"/>
          <w:bdr w:val="none" w:sz="0" w:space="0" w:color="auto" w:frame="1"/>
        </w:rPr>
        <w:t>, 201</w:t>
      </w:r>
      <w:r w:rsidR="003644C6">
        <w:rPr>
          <w:rFonts w:ascii="Times New Roman" w:hAnsi="Times New Roman" w:cs="Times New Roman"/>
          <w:color w:val="000000"/>
          <w:bdr w:val="none" w:sz="0" w:space="0" w:color="auto" w:frame="1"/>
        </w:rPr>
        <w:t>8</w:t>
      </w:r>
      <w:r w:rsidRPr="00890E95">
        <w:rPr>
          <w:rFonts w:ascii="Times New Roman" w:hAnsi="Times New Roman" w:cs="Times New Roman"/>
          <w:color w:val="000000"/>
          <w:bdr w:val="none" w:sz="0" w:space="0" w:color="auto" w:frame="1"/>
        </w:rPr>
        <w:t xml:space="preserve">. For all SPSS analyses, the </w:t>
      </w:r>
      <w:r w:rsidR="00890E95" w:rsidRPr="00890E95">
        <w:rPr>
          <w:rFonts w:ascii="Times New Roman" w:hAnsi="Times New Roman" w:cs="Times New Roman"/>
          <w:color w:val="000000"/>
          <w:bdr w:val="none" w:sz="0" w:space="0" w:color="auto" w:frame="1"/>
        </w:rPr>
        <w:t xml:space="preserve">a </w:t>
      </w:r>
      <w:r w:rsidRPr="00890E95">
        <w:rPr>
          <w:rFonts w:ascii="Times New Roman" w:hAnsi="Times New Roman" w:cs="Times New Roman"/>
          <w:color w:val="000000"/>
          <w:bdr w:val="none" w:sz="0" w:space="0" w:color="auto" w:frame="1"/>
        </w:rPr>
        <w:t xml:space="preserve">priori significance level </w:t>
      </w:r>
      <w:r w:rsidR="0018631F">
        <w:rPr>
          <w:rFonts w:ascii="Times New Roman" w:hAnsi="Times New Roman" w:cs="Times New Roman"/>
          <w:color w:val="000000"/>
          <w:bdr w:val="none" w:sz="0" w:space="0" w:color="auto" w:frame="1"/>
        </w:rPr>
        <w:t>was</w:t>
      </w:r>
      <w:r w:rsidRPr="00890E95">
        <w:rPr>
          <w:rFonts w:ascii="Times New Roman" w:hAnsi="Times New Roman" w:cs="Times New Roman"/>
          <w:color w:val="000000"/>
          <w:bdr w:val="none" w:sz="0" w:space="0" w:color="auto" w:frame="1"/>
        </w:rPr>
        <w:t xml:space="preserve"> set at p</w:t>
      </w:r>
      <w:r w:rsidR="00890E95" w:rsidRPr="00890E95">
        <w:rPr>
          <w:rFonts w:ascii="Times New Roman" w:hAnsi="Times New Roman" w:cs="Times New Roman"/>
          <w:color w:val="000000"/>
          <w:bdr w:val="none" w:sz="0" w:space="0" w:color="auto" w:frame="1"/>
        </w:rPr>
        <w:t xml:space="preserve"> </w:t>
      </w:r>
      <w:r w:rsidRPr="00890E95">
        <w:rPr>
          <w:rFonts w:ascii="Times New Roman" w:hAnsi="Times New Roman" w:cs="Times New Roman"/>
          <w:color w:val="000000"/>
          <w:bdr w:val="none" w:sz="0" w:space="0" w:color="auto" w:frame="1"/>
        </w:rPr>
        <w:t>≤</w:t>
      </w:r>
      <w:r w:rsidR="00890E95" w:rsidRPr="00890E95">
        <w:rPr>
          <w:rFonts w:ascii="Times New Roman" w:hAnsi="Times New Roman" w:cs="Times New Roman"/>
          <w:color w:val="000000"/>
          <w:bdr w:val="none" w:sz="0" w:space="0" w:color="auto" w:frame="1"/>
        </w:rPr>
        <w:t xml:space="preserve"> </w:t>
      </w:r>
      <w:r w:rsidRPr="00890E95">
        <w:rPr>
          <w:rFonts w:ascii="Times New Roman" w:hAnsi="Times New Roman" w:cs="Times New Roman"/>
          <w:color w:val="000000"/>
          <w:bdr w:val="none" w:sz="0" w:space="0" w:color="auto" w:frame="1"/>
        </w:rPr>
        <w:t xml:space="preserve">0.05. </w:t>
      </w:r>
      <w:r w:rsidR="005F1F8E">
        <w:rPr>
          <w:rFonts w:ascii="Times New Roman" w:hAnsi="Times New Roman" w:cs="Times New Roman"/>
          <w:color w:val="000000"/>
          <w:bdr w:val="none" w:sz="0" w:space="0" w:color="auto" w:frame="1"/>
        </w:rPr>
        <w:t>If data passe</w:t>
      </w:r>
      <w:r w:rsidR="0018631F">
        <w:rPr>
          <w:rFonts w:ascii="Times New Roman" w:hAnsi="Times New Roman" w:cs="Times New Roman"/>
          <w:color w:val="000000"/>
          <w:bdr w:val="none" w:sz="0" w:space="0" w:color="auto" w:frame="1"/>
        </w:rPr>
        <w:t>d</w:t>
      </w:r>
      <w:r w:rsidR="005F1F8E">
        <w:rPr>
          <w:rFonts w:ascii="Times New Roman" w:hAnsi="Times New Roman" w:cs="Times New Roman"/>
          <w:color w:val="000000"/>
          <w:bdr w:val="none" w:sz="0" w:space="0" w:color="auto" w:frame="1"/>
        </w:rPr>
        <w:t xml:space="preserve"> the assumption of normality via the Kolmogorov-Smirnov test, a p</w:t>
      </w:r>
      <w:r w:rsidRPr="00890E95">
        <w:rPr>
          <w:rFonts w:ascii="Times New Roman" w:hAnsi="Times New Roman" w:cs="Times New Roman"/>
          <w:color w:val="000000"/>
          <w:bdr w:val="none" w:sz="0" w:space="0" w:color="auto" w:frame="1"/>
        </w:rPr>
        <w:t xml:space="preserve">aired sample t-tests </w:t>
      </w:r>
      <w:r w:rsidR="0018631F">
        <w:rPr>
          <w:rFonts w:ascii="Times New Roman" w:hAnsi="Times New Roman" w:cs="Times New Roman"/>
          <w:color w:val="000000"/>
          <w:bdr w:val="none" w:sz="0" w:space="0" w:color="auto" w:frame="1"/>
        </w:rPr>
        <w:t>was</w:t>
      </w:r>
      <w:r w:rsidRPr="00890E95">
        <w:rPr>
          <w:rFonts w:ascii="Times New Roman" w:hAnsi="Times New Roman" w:cs="Times New Roman"/>
          <w:color w:val="000000"/>
          <w:bdr w:val="none" w:sz="0" w:space="0" w:color="auto" w:frame="1"/>
        </w:rPr>
        <w:t xml:space="preserve"> used to examine the highest and lowest values for the recovery composite score (RS), the stress composite score (SS), </w:t>
      </w:r>
      <w:proofErr w:type="spellStart"/>
      <w:r w:rsidRPr="00890E95">
        <w:rPr>
          <w:rFonts w:ascii="Times New Roman" w:hAnsi="Times New Roman" w:cs="Times New Roman"/>
          <w:color w:val="000000"/>
          <w:bdr w:val="none" w:sz="0" w:space="0" w:color="auto" w:frame="1"/>
        </w:rPr>
        <w:t>PL</w:t>
      </w:r>
      <w:r w:rsidR="003644C6">
        <w:rPr>
          <w:rFonts w:ascii="Times New Roman" w:hAnsi="Times New Roman" w:cs="Times New Roman"/>
          <w:color w:val="000000"/>
          <w:bdr w:val="none" w:sz="0" w:space="0" w:color="auto" w:frame="1"/>
          <w:vertAlign w:val="superscript"/>
        </w:rPr>
        <w:t>Total</w:t>
      </w:r>
      <w:proofErr w:type="spellEnd"/>
      <w:r w:rsidRPr="00890E95">
        <w:rPr>
          <w:rFonts w:ascii="Times New Roman" w:hAnsi="Times New Roman" w:cs="Times New Roman"/>
          <w:color w:val="000000"/>
          <w:bdr w:val="none" w:sz="0" w:space="0" w:color="auto" w:frame="1"/>
        </w:rPr>
        <w:t>, PL</w:t>
      </w:r>
      <w:r w:rsidRPr="000B6D93">
        <w:rPr>
          <w:rFonts w:ascii="Times New Roman" w:hAnsi="Times New Roman" w:cs="Times New Roman"/>
          <w:color w:val="000000"/>
          <w:bdr w:val="none" w:sz="0" w:space="0" w:color="auto" w:frame="1"/>
          <w:vertAlign w:val="superscript"/>
        </w:rPr>
        <w:t>min</w:t>
      </w:r>
      <w:r w:rsidR="003644C6" w:rsidRPr="000B6D93">
        <w:rPr>
          <w:rFonts w:ascii="Times New Roman" w:hAnsi="Times New Roman" w:cs="Times New Roman"/>
          <w:color w:val="000000"/>
          <w:bdr w:val="none" w:sz="0" w:space="0" w:color="auto" w:frame="1"/>
          <w:vertAlign w:val="superscript"/>
        </w:rPr>
        <w:t>-1</w:t>
      </w:r>
      <w:r w:rsidRPr="00890E95">
        <w:rPr>
          <w:rFonts w:ascii="Times New Roman" w:hAnsi="Times New Roman" w:cs="Times New Roman"/>
          <w:color w:val="000000"/>
          <w:bdr w:val="none" w:sz="0" w:space="0" w:color="auto" w:frame="1"/>
        </w:rPr>
        <w:t>, PL</w:t>
      </w:r>
      <w:r w:rsidR="003644C6" w:rsidRPr="000B6D93">
        <w:rPr>
          <w:rFonts w:ascii="Times New Roman" w:hAnsi="Times New Roman" w:cs="Times New Roman"/>
          <w:color w:val="000000"/>
          <w:bdr w:val="none" w:sz="0" w:space="0" w:color="auto" w:frame="1"/>
          <w:vertAlign w:val="superscript"/>
        </w:rPr>
        <w:t>Z</w:t>
      </w:r>
      <w:r w:rsidRPr="00890E95">
        <w:rPr>
          <w:rFonts w:ascii="Times New Roman" w:hAnsi="Times New Roman" w:cs="Times New Roman"/>
          <w:color w:val="000000"/>
          <w:bdr w:val="none" w:sz="0" w:space="0" w:color="auto" w:frame="1"/>
        </w:rPr>
        <w:t xml:space="preserve">, IMA jump count (IMA), total body soreness (TS), and sleep quality (SQ). </w:t>
      </w:r>
      <w:r w:rsidR="005F1F8E">
        <w:rPr>
          <w:rFonts w:ascii="Times New Roman" w:hAnsi="Times New Roman" w:cs="Times New Roman"/>
          <w:color w:val="000000"/>
          <w:bdr w:val="none" w:sz="0" w:space="0" w:color="auto" w:frame="1"/>
        </w:rPr>
        <w:t xml:space="preserve">Any data not following a normal distribution </w:t>
      </w:r>
      <w:r w:rsidR="0018631F">
        <w:rPr>
          <w:rFonts w:ascii="Times New Roman" w:hAnsi="Times New Roman" w:cs="Times New Roman"/>
          <w:color w:val="000000"/>
          <w:bdr w:val="none" w:sz="0" w:space="0" w:color="auto" w:frame="1"/>
        </w:rPr>
        <w:t>was</w:t>
      </w:r>
      <w:r w:rsidR="005F1F8E">
        <w:rPr>
          <w:rFonts w:ascii="Times New Roman" w:hAnsi="Times New Roman" w:cs="Times New Roman"/>
          <w:color w:val="000000"/>
          <w:bdr w:val="none" w:sz="0" w:space="0" w:color="auto" w:frame="1"/>
        </w:rPr>
        <w:t xml:space="preserve"> analyzed using the Wilcoxon signed-rank test</w:t>
      </w:r>
      <w:r w:rsidR="00987DB3">
        <w:rPr>
          <w:rFonts w:ascii="Times New Roman" w:hAnsi="Times New Roman" w:cs="Times New Roman"/>
          <w:color w:val="000000"/>
          <w:bdr w:val="none" w:sz="0" w:space="0" w:color="auto" w:frame="1"/>
        </w:rPr>
        <w:t xml:space="preserve"> instead. </w:t>
      </w:r>
      <w:r w:rsidRPr="00890E95">
        <w:rPr>
          <w:rFonts w:ascii="Times New Roman" w:hAnsi="Times New Roman" w:cs="Times New Roman"/>
          <w:color w:val="000000"/>
          <w:bdr w:val="none" w:sz="0" w:space="0" w:color="auto" w:frame="1"/>
        </w:rPr>
        <w:t xml:space="preserve">Additionally, all metrics </w:t>
      </w:r>
      <w:r w:rsidR="0018631F">
        <w:rPr>
          <w:rFonts w:ascii="Times New Roman" w:hAnsi="Times New Roman" w:cs="Times New Roman"/>
          <w:color w:val="000000"/>
          <w:bdr w:val="none" w:sz="0" w:space="0" w:color="auto" w:frame="1"/>
        </w:rPr>
        <w:t>were</w:t>
      </w:r>
      <w:r w:rsidRPr="00890E95">
        <w:rPr>
          <w:rFonts w:ascii="Times New Roman" w:hAnsi="Times New Roman" w:cs="Times New Roman"/>
          <w:color w:val="000000"/>
          <w:bdr w:val="none" w:sz="0" w:space="0" w:color="auto" w:frame="1"/>
        </w:rPr>
        <w:t xml:space="preserve"> analyzed using a one-way ANOVA with repeated measures </w:t>
      </w:r>
      <w:r w:rsidR="00987DB3">
        <w:rPr>
          <w:rFonts w:ascii="Times New Roman" w:hAnsi="Times New Roman" w:cs="Times New Roman"/>
          <w:color w:val="000000"/>
          <w:bdr w:val="none" w:sz="0" w:space="0" w:color="auto" w:frame="1"/>
        </w:rPr>
        <w:t xml:space="preserve">(or Friedman’s test if normality is not assumed) </w:t>
      </w:r>
      <w:r w:rsidRPr="00890E95">
        <w:rPr>
          <w:rFonts w:ascii="Times New Roman" w:hAnsi="Times New Roman" w:cs="Times New Roman"/>
          <w:color w:val="000000"/>
          <w:bdr w:val="none" w:sz="0" w:space="0" w:color="auto" w:frame="1"/>
        </w:rPr>
        <w:t xml:space="preserve">to determine if significant differences exist across the four 3-week training blocks typical of a collegiate </w:t>
      </w:r>
      <w:r w:rsidRPr="00890E95">
        <w:rPr>
          <w:rFonts w:ascii="Times New Roman" w:hAnsi="Times New Roman" w:cs="Times New Roman"/>
          <w:color w:val="000000"/>
          <w:bdr w:val="none" w:sz="0" w:space="0" w:color="auto" w:frame="1"/>
        </w:rPr>
        <w:lastRenderedPageBreak/>
        <w:t>gymnastic preseason</w:t>
      </w:r>
      <w:r w:rsidR="003644C6">
        <w:rPr>
          <w:rFonts w:ascii="Times New Roman" w:hAnsi="Times New Roman" w:cs="Times New Roman"/>
          <w:color w:val="000000"/>
          <w:bdr w:val="none" w:sz="0" w:space="0" w:color="auto" w:frame="1"/>
        </w:rPr>
        <w:t xml:space="preserve"> (GP1, GP2, SP1, SP2)</w:t>
      </w:r>
      <w:r w:rsidRPr="00890E95">
        <w:rPr>
          <w:rFonts w:ascii="Times New Roman" w:hAnsi="Times New Roman" w:cs="Times New Roman"/>
          <w:color w:val="000000"/>
          <w:bdr w:val="none" w:sz="0" w:space="0" w:color="auto" w:frame="1"/>
        </w:rPr>
        <w:t xml:space="preserve">. If a significant ANOVA result </w:t>
      </w:r>
      <w:r w:rsidR="0018631F">
        <w:rPr>
          <w:rFonts w:ascii="Times New Roman" w:hAnsi="Times New Roman" w:cs="Times New Roman"/>
          <w:color w:val="000000"/>
          <w:bdr w:val="none" w:sz="0" w:space="0" w:color="auto" w:frame="1"/>
        </w:rPr>
        <w:t>was</w:t>
      </w:r>
      <w:r w:rsidRPr="00890E95">
        <w:rPr>
          <w:rFonts w:ascii="Times New Roman" w:hAnsi="Times New Roman" w:cs="Times New Roman"/>
          <w:color w:val="000000"/>
          <w:bdr w:val="none" w:sz="0" w:space="0" w:color="auto" w:frame="1"/>
        </w:rPr>
        <w:t xml:space="preserve"> observed, </w:t>
      </w:r>
      <w:r w:rsidR="00890E95" w:rsidRPr="00890E95">
        <w:rPr>
          <w:rFonts w:ascii="Times New Roman" w:hAnsi="Times New Roman" w:cs="Times New Roman"/>
          <w:color w:val="000000"/>
          <w:bdr w:val="none" w:sz="0" w:space="0" w:color="auto" w:frame="1"/>
        </w:rPr>
        <w:t xml:space="preserve">a </w:t>
      </w:r>
      <w:r w:rsidRPr="00890E95">
        <w:rPr>
          <w:rFonts w:ascii="Times New Roman" w:hAnsi="Times New Roman" w:cs="Times New Roman"/>
          <w:color w:val="000000"/>
          <w:bdr w:val="none" w:sz="0" w:space="0" w:color="auto" w:frame="1"/>
        </w:rPr>
        <w:t xml:space="preserve">Bonferroni post-hoc analysis </w:t>
      </w:r>
      <w:r w:rsidR="0018631F">
        <w:rPr>
          <w:rFonts w:ascii="Times New Roman" w:hAnsi="Times New Roman" w:cs="Times New Roman"/>
          <w:color w:val="000000"/>
          <w:bdr w:val="none" w:sz="0" w:space="0" w:color="auto" w:frame="1"/>
        </w:rPr>
        <w:t>was</w:t>
      </w:r>
      <w:r w:rsidRPr="00890E95">
        <w:rPr>
          <w:rFonts w:ascii="Times New Roman" w:hAnsi="Times New Roman" w:cs="Times New Roman"/>
          <w:color w:val="000000"/>
          <w:bdr w:val="none" w:sz="0" w:space="0" w:color="auto" w:frame="1"/>
        </w:rPr>
        <w:t xml:space="preserve"> performed to determine where specific differences exist. Lastly, </w:t>
      </w:r>
      <w:r w:rsidR="00890E95" w:rsidRPr="00890E95">
        <w:rPr>
          <w:rFonts w:ascii="Times New Roman" w:hAnsi="Times New Roman" w:cs="Times New Roman"/>
          <w:color w:val="000000"/>
          <w:bdr w:val="none" w:sz="0" w:space="0" w:color="auto" w:frame="1"/>
        </w:rPr>
        <w:t xml:space="preserve">the Pearson product moment correlation </w:t>
      </w:r>
      <w:r w:rsidR="00987DB3">
        <w:rPr>
          <w:rFonts w:ascii="Times New Roman" w:hAnsi="Times New Roman" w:cs="Times New Roman"/>
          <w:color w:val="000000"/>
          <w:bdr w:val="none" w:sz="0" w:space="0" w:color="auto" w:frame="1"/>
        </w:rPr>
        <w:t xml:space="preserve">(Spearman rank-order correlation if assumptions are not met) </w:t>
      </w:r>
      <w:r w:rsidR="0018631F">
        <w:rPr>
          <w:rFonts w:ascii="Times New Roman" w:hAnsi="Times New Roman" w:cs="Times New Roman"/>
          <w:color w:val="000000"/>
          <w:bdr w:val="none" w:sz="0" w:space="0" w:color="auto" w:frame="1"/>
        </w:rPr>
        <w:t>was</w:t>
      </w:r>
      <w:r w:rsidR="00890E95" w:rsidRPr="00890E95">
        <w:rPr>
          <w:rFonts w:ascii="Times New Roman" w:hAnsi="Times New Roman" w:cs="Times New Roman"/>
          <w:color w:val="000000"/>
        </w:rPr>
        <w:t xml:space="preserve"> used to examine the relationship between the differences in high to low, as well as the relationship between the high and low score of all variables</w:t>
      </w:r>
      <w:r w:rsidRPr="00890E95">
        <w:rPr>
          <w:rFonts w:ascii="Times New Roman" w:hAnsi="Times New Roman" w:cs="Times New Roman"/>
          <w:color w:val="000000"/>
          <w:bdr w:val="none" w:sz="0" w:space="0" w:color="auto" w:frame="1"/>
        </w:rPr>
        <w:t xml:space="preserve">. </w:t>
      </w:r>
      <w:r w:rsidR="00890E95" w:rsidRPr="00890E95">
        <w:rPr>
          <w:rFonts w:ascii="Times New Roman" w:hAnsi="Times New Roman" w:cs="Times New Roman"/>
          <w:color w:val="000000"/>
        </w:rPr>
        <w:t xml:space="preserve">Data </w:t>
      </w:r>
      <w:r w:rsidR="0018631F">
        <w:rPr>
          <w:rFonts w:ascii="Times New Roman" w:hAnsi="Times New Roman" w:cs="Times New Roman"/>
          <w:color w:val="000000"/>
        </w:rPr>
        <w:t>was</w:t>
      </w:r>
      <w:r w:rsidR="00890E95" w:rsidRPr="00890E95">
        <w:rPr>
          <w:rFonts w:ascii="Times New Roman" w:hAnsi="Times New Roman" w:cs="Times New Roman"/>
          <w:color w:val="000000"/>
        </w:rPr>
        <w:t xml:space="preserve"> reported as mean </w:t>
      </w:r>
      <w:r w:rsidR="00890E95" w:rsidRPr="00890E95">
        <w:rPr>
          <w:rFonts w:ascii="Times New Roman" w:hAnsi="Times New Roman" w:cs="Times New Roman"/>
          <w:color w:val="000000"/>
        </w:rPr>
        <w:sym w:font="Symbol" w:char="F0B1"/>
      </w:r>
      <w:r w:rsidR="00890E95" w:rsidRPr="00890E95">
        <w:rPr>
          <w:rFonts w:ascii="Times New Roman" w:hAnsi="Times New Roman" w:cs="Times New Roman"/>
          <w:color w:val="000000"/>
        </w:rPr>
        <w:t xml:space="preserve"> SEM.</w:t>
      </w:r>
      <w:r w:rsidR="00A12DA1">
        <w:rPr>
          <w:rFonts w:ascii="Times New Roman" w:hAnsi="Times New Roman" w:cs="Times New Roman"/>
          <w:color w:val="000000"/>
        </w:rPr>
        <w:t xml:space="preserve"> Monotony and strain calculations </w:t>
      </w:r>
      <w:r w:rsidR="0018631F">
        <w:rPr>
          <w:rFonts w:ascii="Times New Roman" w:hAnsi="Times New Roman" w:cs="Times New Roman"/>
          <w:color w:val="000000"/>
        </w:rPr>
        <w:t>were</w:t>
      </w:r>
      <w:r w:rsidR="00A12DA1">
        <w:rPr>
          <w:rFonts w:ascii="Times New Roman" w:hAnsi="Times New Roman" w:cs="Times New Roman"/>
          <w:color w:val="000000"/>
        </w:rPr>
        <w:t xml:space="preserve"> </w:t>
      </w:r>
      <w:r w:rsidR="0018631F">
        <w:rPr>
          <w:rFonts w:ascii="Times New Roman" w:hAnsi="Times New Roman" w:cs="Times New Roman"/>
          <w:color w:val="000000"/>
        </w:rPr>
        <w:t>done</w:t>
      </w:r>
      <w:r w:rsidR="00A12DA1">
        <w:rPr>
          <w:rFonts w:ascii="Times New Roman" w:hAnsi="Times New Roman" w:cs="Times New Roman"/>
          <w:color w:val="000000"/>
        </w:rPr>
        <w:t xml:space="preserve"> in Excel, using monotony = daily mean load </w:t>
      </w:r>
      <w:r w:rsidR="00A12DA1">
        <w:rPr>
          <w:rFonts w:ascii="Times New Roman" w:hAnsi="Times New Roman" w:cs="Times New Roman"/>
          <w:color w:val="000000"/>
        </w:rPr>
        <w:sym w:font="Symbol" w:char="F0B8"/>
      </w:r>
      <w:r w:rsidR="00A12DA1">
        <w:rPr>
          <w:rFonts w:ascii="Times New Roman" w:hAnsi="Times New Roman" w:cs="Times New Roman"/>
          <w:color w:val="000000"/>
        </w:rPr>
        <w:t xml:space="preserve"> standard deviation of weekly training load; strain = weekly training load x monotony. </w:t>
      </w:r>
    </w:p>
    <w:p w14:paraId="500F3E15" w14:textId="73CD8D7B" w:rsidR="00A61CDD" w:rsidRDefault="00A61CDD" w:rsidP="00890E95">
      <w:pPr>
        <w:spacing w:line="480" w:lineRule="auto"/>
        <w:rPr>
          <w:rFonts w:ascii="Times New Roman" w:hAnsi="Times New Roman" w:cs="Times New Roman"/>
          <w:color w:val="000000"/>
        </w:rPr>
      </w:pPr>
    </w:p>
    <w:p w14:paraId="2FB9B06E" w14:textId="3A51FC0B" w:rsidR="00A61CDD" w:rsidRDefault="00A61CDD" w:rsidP="00890E95">
      <w:pPr>
        <w:spacing w:line="480" w:lineRule="auto"/>
        <w:rPr>
          <w:rFonts w:ascii="Times New Roman" w:hAnsi="Times New Roman" w:cs="Times New Roman"/>
          <w:color w:val="000000"/>
        </w:rPr>
      </w:pPr>
    </w:p>
    <w:p w14:paraId="763F034A" w14:textId="380DEFAA" w:rsidR="00A61CDD" w:rsidRDefault="00A61CDD" w:rsidP="00890E95">
      <w:pPr>
        <w:spacing w:line="480" w:lineRule="auto"/>
        <w:rPr>
          <w:rFonts w:ascii="Times New Roman" w:hAnsi="Times New Roman" w:cs="Times New Roman"/>
          <w:color w:val="000000"/>
        </w:rPr>
      </w:pPr>
    </w:p>
    <w:p w14:paraId="09B02A59" w14:textId="45C82EBA" w:rsidR="00A61CDD" w:rsidRDefault="00A61CDD" w:rsidP="00890E95">
      <w:pPr>
        <w:spacing w:line="480" w:lineRule="auto"/>
        <w:rPr>
          <w:rFonts w:ascii="Times New Roman" w:hAnsi="Times New Roman" w:cs="Times New Roman"/>
          <w:color w:val="000000"/>
        </w:rPr>
      </w:pPr>
    </w:p>
    <w:p w14:paraId="2BB5710F" w14:textId="77DC551C" w:rsidR="00A61CDD" w:rsidRDefault="00A61CDD" w:rsidP="00890E95">
      <w:pPr>
        <w:spacing w:line="480" w:lineRule="auto"/>
        <w:rPr>
          <w:rFonts w:ascii="Times New Roman" w:hAnsi="Times New Roman" w:cs="Times New Roman"/>
          <w:color w:val="000000"/>
        </w:rPr>
      </w:pPr>
    </w:p>
    <w:p w14:paraId="5ABA0489" w14:textId="5452FE38" w:rsidR="00A61CDD" w:rsidRDefault="00A61CDD" w:rsidP="00890E95">
      <w:pPr>
        <w:spacing w:line="480" w:lineRule="auto"/>
        <w:rPr>
          <w:rFonts w:ascii="Times New Roman" w:hAnsi="Times New Roman" w:cs="Times New Roman"/>
          <w:color w:val="000000"/>
        </w:rPr>
      </w:pPr>
    </w:p>
    <w:p w14:paraId="0EEF7D4B" w14:textId="376FB5DD" w:rsidR="00A61CDD" w:rsidRDefault="00A61CDD" w:rsidP="00890E95">
      <w:pPr>
        <w:spacing w:line="480" w:lineRule="auto"/>
        <w:rPr>
          <w:rFonts w:ascii="Times New Roman" w:hAnsi="Times New Roman" w:cs="Times New Roman"/>
          <w:color w:val="000000"/>
        </w:rPr>
      </w:pPr>
    </w:p>
    <w:p w14:paraId="53A0BC1F" w14:textId="223E6157" w:rsidR="00A61CDD" w:rsidRDefault="00A61CDD" w:rsidP="00890E95">
      <w:pPr>
        <w:spacing w:line="480" w:lineRule="auto"/>
        <w:rPr>
          <w:rFonts w:ascii="Times New Roman" w:hAnsi="Times New Roman" w:cs="Times New Roman"/>
          <w:color w:val="000000"/>
        </w:rPr>
      </w:pPr>
    </w:p>
    <w:p w14:paraId="4E28F895" w14:textId="39B341F5" w:rsidR="00A61CDD" w:rsidRDefault="00A61CDD" w:rsidP="00890E95">
      <w:pPr>
        <w:spacing w:line="480" w:lineRule="auto"/>
        <w:rPr>
          <w:rFonts w:ascii="Times New Roman" w:hAnsi="Times New Roman" w:cs="Times New Roman"/>
          <w:color w:val="000000"/>
        </w:rPr>
      </w:pPr>
    </w:p>
    <w:p w14:paraId="2CF61977" w14:textId="72BFA9BD" w:rsidR="00A61CDD" w:rsidRDefault="00A61CDD" w:rsidP="00890E95">
      <w:pPr>
        <w:spacing w:line="480" w:lineRule="auto"/>
        <w:rPr>
          <w:rFonts w:ascii="Times New Roman" w:hAnsi="Times New Roman" w:cs="Times New Roman"/>
          <w:color w:val="000000"/>
        </w:rPr>
      </w:pPr>
    </w:p>
    <w:p w14:paraId="3DDFAF8C" w14:textId="4C40B469" w:rsidR="00A61CDD" w:rsidRDefault="00A61CDD" w:rsidP="00890E95">
      <w:pPr>
        <w:spacing w:line="480" w:lineRule="auto"/>
        <w:rPr>
          <w:rFonts w:ascii="Times New Roman" w:hAnsi="Times New Roman" w:cs="Times New Roman"/>
          <w:color w:val="000000"/>
        </w:rPr>
      </w:pPr>
    </w:p>
    <w:p w14:paraId="6955F32A" w14:textId="3EBB7B12" w:rsidR="00A61CDD" w:rsidRDefault="00A61CDD" w:rsidP="00890E95">
      <w:pPr>
        <w:spacing w:line="480" w:lineRule="auto"/>
        <w:rPr>
          <w:rFonts w:ascii="Times New Roman" w:hAnsi="Times New Roman" w:cs="Times New Roman"/>
          <w:color w:val="000000"/>
        </w:rPr>
      </w:pPr>
    </w:p>
    <w:p w14:paraId="396D3ADB" w14:textId="77777777" w:rsidR="00A61CDD" w:rsidRDefault="00A61CDD" w:rsidP="00890E95">
      <w:pPr>
        <w:spacing w:line="480" w:lineRule="auto"/>
        <w:rPr>
          <w:rFonts w:ascii="Times New Roman" w:hAnsi="Times New Roman" w:cs="Times New Roman"/>
          <w:color w:val="000000"/>
        </w:rPr>
      </w:pPr>
    </w:p>
    <w:p w14:paraId="75D9EE0C" w14:textId="04C03864" w:rsidR="0065584C" w:rsidRPr="0065584C" w:rsidRDefault="0065584C" w:rsidP="005B15BA">
      <w:pPr>
        <w:pStyle w:val="Heading1"/>
      </w:pPr>
      <w:bookmarkStart w:id="22" w:name="_Toc85791408"/>
      <w:r w:rsidRPr="0065584C">
        <w:lastRenderedPageBreak/>
        <w:t>Chapter IV</w:t>
      </w:r>
      <w:r>
        <w:t xml:space="preserve"> -</w:t>
      </w:r>
      <w:r w:rsidRPr="0065584C">
        <w:t xml:space="preserve"> Results &amp; Discussion</w:t>
      </w:r>
      <w:bookmarkEnd w:id="22"/>
    </w:p>
    <w:p w14:paraId="448E2DA8" w14:textId="383EAF32" w:rsidR="0065584C" w:rsidRDefault="0065584C" w:rsidP="0065584C">
      <w:pPr>
        <w:spacing w:line="480" w:lineRule="auto"/>
        <w:rPr>
          <w:rFonts w:ascii="Times New Roman" w:hAnsi="Times New Roman" w:cs="Times New Roman"/>
        </w:rPr>
      </w:pPr>
      <w:r>
        <w:rPr>
          <w:rFonts w:ascii="Times New Roman" w:hAnsi="Times New Roman" w:cs="Times New Roman"/>
        </w:rPr>
        <w:tab/>
      </w:r>
      <w:r w:rsidR="003A58B5">
        <w:rPr>
          <w:rFonts w:ascii="Times New Roman" w:hAnsi="Times New Roman" w:cs="Times New Roman"/>
        </w:rPr>
        <w:t xml:space="preserve">Descriptive statistics </w:t>
      </w:r>
      <w:r w:rsidR="00EC3EFD">
        <w:rPr>
          <w:rFonts w:ascii="Times New Roman" w:hAnsi="Times New Roman" w:cs="Times New Roman"/>
        </w:rPr>
        <w:t>are listed in</w:t>
      </w:r>
      <w:r w:rsidR="003A58B5">
        <w:rPr>
          <w:rFonts w:ascii="Times New Roman" w:hAnsi="Times New Roman" w:cs="Times New Roman"/>
        </w:rPr>
        <w:t xml:space="preserve"> Table 1 and Table 2 below</w:t>
      </w:r>
      <w:r w:rsidR="00EC3EFD">
        <w:rPr>
          <w:rFonts w:ascii="Times New Roman" w:hAnsi="Times New Roman" w:cs="Times New Roman"/>
        </w:rPr>
        <w:t>.  Each</w:t>
      </w:r>
      <w:r w:rsidR="002B2917">
        <w:rPr>
          <w:rFonts w:ascii="Times New Roman" w:hAnsi="Times New Roman" w:cs="Times New Roman"/>
        </w:rPr>
        <w:t xml:space="preserve"> internal and external load variable </w:t>
      </w:r>
      <w:r w:rsidR="00EC3EFD">
        <w:rPr>
          <w:rFonts w:ascii="Times New Roman" w:hAnsi="Times New Roman" w:cs="Times New Roman"/>
        </w:rPr>
        <w:t>is provided with</w:t>
      </w:r>
      <w:r w:rsidR="002B2917">
        <w:rPr>
          <w:rFonts w:ascii="Times New Roman" w:hAnsi="Times New Roman" w:cs="Times New Roman"/>
        </w:rPr>
        <w:t xml:space="preserve"> their corresponding team </w:t>
      </w:r>
      <w:r w:rsidR="003A58B5">
        <w:rPr>
          <w:rFonts w:ascii="Times New Roman" w:hAnsi="Times New Roman" w:cs="Times New Roman"/>
        </w:rPr>
        <w:t xml:space="preserve">mean </w:t>
      </w:r>
      <w:r w:rsidR="003A58B5">
        <w:rPr>
          <w:rFonts w:ascii="Times New Roman" w:hAnsi="Times New Roman" w:cs="Times New Roman"/>
        </w:rPr>
        <w:sym w:font="Symbol" w:char="F0B1"/>
      </w:r>
      <w:r w:rsidR="003A58B5">
        <w:rPr>
          <w:rFonts w:ascii="Times New Roman" w:hAnsi="Times New Roman" w:cs="Times New Roman"/>
        </w:rPr>
        <w:t xml:space="preserve"> standard deviation</w:t>
      </w:r>
      <w:r w:rsidR="00EC3EFD">
        <w:rPr>
          <w:rFonts w:ascii="Times New Roman" w:hAnsi="Times New Roman" w:cs="Times New Roman"/>
        </w:rPr>
        <w:t xml:space="preserve">, along with </w:t>
      </w:r>
      <w:r w:rsidR="006D0558">
        <w:rPr>
          <w:rFonts w:ascii="Times New Roman" w:hAnsi="Times New Roman" w:cs="Times New Roman"/>
        </w:rPr>
        <w:t>the minimum</w:t>
      </w:r>
      <w:r w:rsidR="003A58B5">
        <w:rPr>
          <w:rFonts w:ascii="Times New Roman" w:hAnsi="Times New Roman" w:cs="Times New Roman"/>
        </w:rPr>
        <w:t xml:space="preserve"> and maximum </w:t>
      </w:r>
      <w:r w:rsidR="002B2917">
        <w:rPr>
          <w:rFonts w:ascii="Times New Roman" w:hAnsi="Times New Roman" w:cs="Times New Roman"/>
        </w:rPr>
        <w:t xml:space="preserve">team </w:t>
      </w:r>
      <w:r w:rsidR="003A58B5">
        <w:rPr>
          <w:rFonts w:ascii="Times New Roman" w:hAnsi="Times New Roman" w:cs="Times New Roman"/>
        </w:rPr>
        <w:t>average</w:t>
      </w:r>
      <w:r w:rsidR="002B2917">
        <w:rPr>
          <w:rFonts w:ascii="Times New Roman" w:hAnsi="Times New Roman" w:cs="Times New Roman"/>
        </w:rPr>
        <w:t xml:space="preserve"> score, respectively</w:t>
      </w:r>
      <w:r w:rsidR="003A58B5">
        <w:rPr>
          <w:rFonts w:ascii="Times New Roman" w:hAnsi="Times New Roman" w:cs="Times New Roman"/>
        </w:rPr>
        <w:t>.</w:t>
      </w:r>
    </w:p>
    <w:p w14:paraId="139A455C" w14:textId="77777777" w:rsidR="006D0558" w:rsidRDefault="006D0558" w:rsidP="006D0558">
      <w:pPr>
        <w:spacing w:line="276" w:lineRule="auto"/>
        <w:rPr>
          <w:rFonts w:ascii="Times New Roman" w:hAnsi="Times New Roman" w:cs="Times New Roman"/>
        </w:rPr>
      </w:pPr>
      <w:r>
        <w:rPr>
          <w:rFonts w:ascii="Times New Roman" w:hAnsi="Times New Roman" w:cs="Times New Roman"/>
          <w:b/>
          <w:bCs/>
        </w:rPr>
        <w:t xml:space="preserve">Table 1: </w:t>
      </w:r>
      <w:r>
        <w:rPr>
          <w:rFonts w:ascii="Times New Roman" w:hAnsi="Times New Roman" w:cs="Times New Roman"/>
        </w:rPr>
        <w:t>Mean (</w:t>
      </w:r>
      <w:r>
        <w:rPr>
          <w:rFonts w:ascii="Times New Roman" w:hAnsi="Times New Roman" w:cs="Times New Roman"/>
        </w:rPr>
        <w:sym w:font="Symbol" w:char="F0B1"/>
      </w:r>
      <w:r>
        <w:rPr>
          <w:rFonts w:ascii="Times New Roman" w:hAnsi="Times New Roman" w:cs="Times New Roman"/>
        </w:rPr>
        <w:t xml:space="preserve">SD), minimum, and maximum values for all internal load variables, (n=18). </w:t>
      </w:r>
    </w:p>
    <w:tbl>
      <w:tblPr>
        <w:tblStyle w:val="PlainTable2"/>
        <w:tblW w:w="0" w:type="auto"/>
        <w:jc w:val="center"/>
        <w:tblLook w:val="06A0" w:firstRow="1" w:lastRow="0" w:firstColumn="1" w:lastColumn="0" w:noHBand="1" w:noVBand="1"/>
      </w:tblPr>
      <w:tblGrid>
        <w:gridCol w:w="2337"/>
        <w:gridCol w:w="2337"/>
        <w:gridCol w:w="2337"/>
        <w:gridCol w:w="2338"/>
      </w:tblGrid>
      <w:tr w:rsidR="0065584C" w14:paraId="3461494B" w14:textId="77777777" w:rsidTr="002B2917">
        <w:trPr>
          <w:cnfStyle w:val="100000000000" w:firstRow="1" w:lastRow="0" w:firstColumn="0" w:lastColumn="0" w:oddVBand="0" w:evenVBand="0" w:oddHBand="0" w:evenHBand="0" w:firstRowFirstColumn="0" w:firstRowLastColumn="0" w:lastRowFirstColumn="0" w:lastRowLastColumn="0"/>
          <w:trHeight w:hRule="exact" w:val="864"/>
          <w:jc w:val="center"/>
        </w:trPr>
        <w:tc>
          <w:tcPr>
            <w:cnfStyle w:val="001000000000" w:firstRow="0" w:lastRow="0" w:firstColumn="1" w:lastColumn="0" w:oddVBand="0" w:evenVBand="0" w:oddHBand="0" w:evenHBand="0" w:firstRowFirstColumn="0" w:firstRowLastColumn="0" w:lastRowFirstColumn="0" w:lastRowLastColumn="0"/>
            <w:tcW w:w="2337" w:type="dxa"/>
            <w:tcBorders>
              <w:top w:val="single" w:sz="18" w:space="0" w:color="auto"/>
              <w:bottom w:val="single" w:sz="18" w:space="0" w:color="auto"/>
            </w:tcBorders>
            <w:vAlign w:val="bottom"/>
          </w:tcPr>
          <w:p w14:paraId="1D7A6412" w14:textId="77777777" w:rsidR="0065584C" w:rsidRDefault="0065584C" w:rsidP="002B2917">
            <w:pPr>
              <w:spacing w:line="480" w:lineRule="auto"/>
              <w:rPr>
                <w:rFonts w:ascii="Times New Roman" w:hAnsi="Times New Roman" w:cs="Times New Roman"/>
              </w:rPr>
            </w:pPr>
            <w:r>
              <w:rPr>
                <w:rFonts w:ascii="Times New Roman" w:hAnsi="Times New Roman" w:cs="Times New Roman"/>
              </w:rPr>
              <w:t>Variable</w:t>
            </w:r>
          </w:p>
        </w:tc>
        <w:tc>
          <w:tcPr>
            <w:tcW w:w="2337" w:type="dxa"/>
            <w:tcBorders>
              <w:top w:val="single" w:sz="18" w:space="0" w:color="auto"/>
              <w:bottom w:val="single" w:sz="18" w:space="0" w:color="auto"/>
            </w:tcBorders>
            <w:vAlign w:val="bottom"/>
          </w:tcPr>
          <w:p w14:paraId="7B5DB870"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Mean </w:t>
            </w:r>
            <w:r>
              <w:rPr>
                <w:rFonts w:ascii="Times New Roman" w:hAnsi="Times New Roman" w:cs="Times New Roman"/>
              </w:rPr>
              <w:sym w:font="Symbol" w:char="F0B1"/>
            </w:r>
            <w:r>
              <w:rPr>
                <w:rFonts w:ascii="Times New Roman" w:hAnsi="Times New Roman" w:cs="Times New Roman"/>
              </w:rPr>
              <w:t xml:space="preserve"> SD</w:t>
            </w:r>
          </w:p>
        </w:tc>
        <w:tc>
          <w:tcPr>
            <w:tcW w:w="2337" w:type="dxa"/>
            <w:tcBorders>
              <w:top w:val="single" w:sz="18" w:space="0" w:color="auto"/>
              <w:bottom w:val="single" w:sz="18" w:space="0" w:color="auto"/>
            </w:tcBorders>
            <w:vAlign w:val="bottom"/>
          </w:tcPr>
          <w:p w14:paraId="55799FD7"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Minimum</w:t>
            </w:r>
          </w:p>
        </w:tc>
        <w:tc>
          <w:tcPr>
            <w:tcW w:w="2338" w:type="dxa"/>
            <w:tcBorders>
              <w:top w:val="single" w:sz="18" w:space="0" w:color="auto"/>
              <w:bottom w:val="single" w:sz="18" w:space="0" w:color="auto"/>
            </w:tcBorders>
            <w:vAlign w:val="bottom"/>
          </w:tcPr>
          <w:p w14:paraId="35F5DE63"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Maximum</w:t>
            </w:r>
          </w:p>
        </w:tc>
      </w:tr>
      <w:tr w:rsidR="0065584C" w14:paraId="3BCCE736"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Borders>
              <w:top w:val="single" w:sz="18" w:space="0" w:color="auto"/>
            </w:tcBorders>
            <w:noWrap/>
            <w:tcMar>
              <w:left w:w="115" w:type="dxa"/>
              <w:right w:w="115" w:type="dxa"/>
            </w:tcMar>
            <w:vAlign w:val="center"/>
          </w:tcPr>
          <w:p w14:paraId="1345871C" w14:textId="21843DD8" w:rsidR="0065584C" w:rsidRDefault="0065584C" w:rsidP="002B2917">
            <w:pPr>
              <w:spacing w:line="480" w:lineRule="auto"/>
              <w:rPr>
                <w:rFonts w:ascii="Times New Roman" w:hAnsi="Times New Roman" w:cs="Times New Roman"/>
              </w:rPr>
            </w:pPr>
            <w:r>
              <w:rPr>
                <w:rFonts w:ascii="Times New Roman" w:hAnsi="Times New Roman" w:cs="Times New Roman"/>
              </w:rPr>
              <w:t xml:space="preserve">Physical </w:t>
            </w:r>
            <w:r w:rsidR="00A2690A">
              <w:rPr>
                <w:rFonts w:ascii="Times New Roman" w:hAnsi="Times New Roman" w:cs="Times New Roman"/>
              </w:rPr>
              <w:t>r</w:t>
            </w:r>
            <w:r>
              <w:rPr>
                <w:rFonts w:ascii="Times New Roman" w:hAnsi="Times New Roman" w:cs="Times New Roman"/>
              </w:rPr>
              <w:t>ecovery</w:t>
            </w:r>
          </w:p>
        </w:tc>
        <w:tc>
          <w:tcPr>
            <w:tcW w:w="2337" w:type="dxa"/>
            <w:tcBorders>
              <w:top w:val="single" w:sz="18" w:space="0" w:color="auto"/>
            </w:tcBorders>
            <w:noWrap/>
            <w:tcMar>
              <w:left w:w="115" w:type="dxa"/>
              <w:right w:w="115" w:type="dxa"/>
            </w:tcMar>
            <w:vAlign w:val="center"/>
          </w:tcPr>
          <w:p w14:paraId="6D5CEDDF" w14:textId="43405504"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3.07 </w:t>
            </w:r>
            <w:r>
              <w:rPr>
                <w:rFonts w:ascii="Times New Roman" w:hAnsi="Times New Roman" w:cs="Times New Roman"/>
              </w:rPr>
              <w:sym w:font="Symbol" w:char="F0B1"/>
            </w:r>
            <w:r>
              <w:rPr>
                <w:rFonts w:ascii="Times New Roman" w:hAnsi="Times New Roman" w:cs="Times New Roman"/>
              </w:rPr>
              <w:t xml:space="preserve"> 0.0</w:t>
            </w:r>
            <w:r w:rsidR="006F61C9">
              <w:rPr>
                <w:rFonts w:ascii="Times New Roman" w:hAnsi="Times New Roman" w:cs="Times New Roman"/>
              </w:rPr>
              <w:t>4</w:t>
            </w:r>
          </w:p>
        </w:tc>
        <w:tc>
          <w:tcPr>
            <w:tcW w:w="2337" w:type="dxa"/>
            <w:tcBorders>
              <w:top w:val="single" w:sz="18" w:space="0" w:color="auto"/>
            </w:tcBorders>
            <w:noWrap/>
            <w:tcMar>
              <w:left w:w="115" w:type="dxa"/>
              <w:right w:w="115" w:type="dxa"/>
            </w:tcMar>
            <w:vAlign w:val="center"/>
          </w:tcPr>
          <w:p w14:paraId="211E86C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2.64</w:t>
            </w:r>
          </w:p>
        </w:tc>
        <w:tc>
          <w:tcPr>
            <w:tcW w:w="2338" w:type="dxa"/>
            <w:tcBorders>
              <w:top w:val="single" w:sz="18" w:space="0" w:color="auto"/>
            </w:tcBorders>
            <w:noWrap/>
            <w:tcMar>
              <w:left w:w="115" w:type="dxa"/>
              <w:right w:w="115" w:type="dxa"/>
            </w:tcMar>
            <w:vAlign w:val="center"/>
          </w:tcPr>
          <w:p w14:paraId="2B24BF55"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3.80</w:t>
            </w:r>
          </w:p>
        </w:tc>
      </w:tr>
      <w:tr w:rsidR="0065584C" w14:paraId="59E7B675"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3ECED976" w14:textId="1FA58B14" w:rsidR="0065584C" w:rsidRDefault="0065584C" w:rsidP="002B2917">
            <w:pPr>
              <w:spacing w:line="480" w:lineRule="auto"/>
              <w:rPr>
                <w:rFonts w:ascii="Times New Roman" w:hAnsi="Times New Roman" w:cs="Times New Roman"/>
              </w:rPr>
            </w:pPr>
            <w:r>
              <w:rPr>
                <w:rFonts w:ascii="Times New Roman" w:hAnsi="Times New Roman" w:cs="Times New Roman"/>
              </w:rPr>
              <w:t xml:space="preserve">Mental </w:t>
            </w:r>
            <w:r w:rsidR="00A2690A">
              <w:rPr>
                <w:rFonts w:ascii="Times New Roman" w:hAnsi="Times New Roman" w:cs="Times New Roman"/>
              </w:rPr>
              <w:t>r</w:t>
            </w:r>
            <w:r>
              <w:rPr>
                <w:rFonts w:ascii="Times New Roman" w:hAnsi="Times New Roman" w:cs="Times New Roman"/>
              </w:rPr>
              <w:t>ecovery</w:t>
            </w:r>
          </w:p>
        </w:tc>
        <w:tc>
          <w:tcPr>
            <w:tcW w:w="2337" w:type="dxa"/>
          </w:tcPr>
          <w:p w14:paraId="20794B5A" w14:textId="160A4502"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3.36 </w:t>
            </w:r>
            <w:r>
              <w:rPr>
                <w:rFonts w:ascii="Times New Roman" w:hAnsi="Times New Roman" w:cs="Times New Roman"/>
              </w:rPr>
              <w:sym w:font="Symbol" w:char="F0B1"/>
            </w:r>
            <w:r>
              <w:rPr>
                <w:rFonts w:ascii="Times New Roman" w:hAnsi="Times New Roman" w:cs="Times New Roman"/>
              </w:rPr>
              <w:t xml:space="preserve"> 0.0</w:t>
            </w:r>
            <w:r w:rsidR="006F61C9">
              <w:rPr>
                <w:rFonts w:ascii="Times New Roman" w:hAnsi="Times New Roman" w:cs="Times New Roman"/>
              </w:rPr>
              <w:t>4</w:t>
            </w:r>
          </w:p>
        </w:tc>
        <w:tc>
          <w:tcPr>
            <w:tcW w:w="2337" w:type="dxa"/>
          </w:tcPr>
          <w:p w14:paraId="684C7A1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2.83</w:t>
            </w:r>
          </w:p>
        </w:tc>
        <w:tc>
          <w:tcPr>
            <w:tcW w:w="2338" w:type="dxa"/>
          </w:tcPr>
          <w:p w14:paraId="58F569C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4.07</w:t>
            </w:r>
          </w:p>
        </w:tc>
      </w:tr>
      <w:tr w:rsidR="0065584C" w14:paraId="6F747EC9"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294F8511" w14:textId="0EFDFCDB" w:rsidR="0065584C" w:rsidRDefault="0065584C" w:rsidP="002B2917">
            <w:pPr>
              <w:spacing w:line="480" w:lineRule="auto"/>
              <w:rPr>
                <w:rFonts w:ascii="Times New Roman" w:hAnsi="Times New Roman" w:cs="Times New Roman"/>
              </w:rPr>
            </w:pPr>
            <w:r>
              <w:rPr>
                <w:rFonts w:ascii="Times New Roman" w:hAnsi="Times New Roman" w:cs="Times New Roman"/>
              </w:rPr>
              <w:t xml:space="preserve">Emotional </w:t>
            </w:r>
            <w:r w:rsidR="00A2690A">
              <w:rPr>
                <w:rFonts w:ascii="Times New Roman" w:hAnsi="Times New Roman" w:cs="Times New Roman"/>
              </w:rPr>
              <w:t>r</w:t>
            </w:r>
            <w:r>
              <w:rPr>
                <w:rFonts w:ascii="Times New Roman" w:hAnsi="Times New Roman" w:cs="Times New Roman"/>
              </w:rPr>
              <w:t>ecovery</w:t>
            </w:r>
          </w:p>
        </w:tc>
        <w:tc>
          <w:tcPr>
            <w:tcW w:w="2337" w:type="dxa"/>
          </w:tcPr>
          <w:p w14:paraId="6AB0997E" w14:textId="23062D4D"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3.26 </w:t>
            </w:r>
            <w:r>
              <w:rPr>
                <w:rFonts w:ascii="Times New Roman" w:hAnsi="Times New Roman" w:cs="Times New Roman"/>
              </w:rPr>
              <w:sym w:font="Symbol" w:char="F0B1"/>
            </w:r>
            <w:r>
              <w:rPr>
                <w:rFonts w:ascii="Times New Roman" w:hAnsi="Times New Roman" w:cs="Times New Roman"/>
              </w:rPr>
              <w:t xml:space="preserve"> 0.04</w:t>
            </w:r>
          </w:p>
        </w:tc>
        <w:tc>
          <w:tcPr>
            <w:tcW w:w="2337" w:type="dxa"/>
          </w:tcPr>
          <w:p w14:paraId="13FD5915"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2.50</w:t>
            </w:r>
          </w:p>
        </w:tc>
        <w:tc>
          <w:tcPr>
            <w:tcW w:w="2338" w:type="dxa"/>
          </w:tcPr>
          <w:p w14:paraId="794F3A1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4.08</w:t>
            </w:r>
          </w:p>
        </w:tc>
      </w:tr>
      <w:tr w:rsidR="0065584C" w14:paraId="4F919089"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6330DDBA" w14:textId="09703093" w:rsidR="0065584C" w:rsidRDefault="0065584C" w:rsidP="002B2917">
            <w:pPr>
              <w:spacing w:line="480" w:lineRule="auto"/>
              <w:rPr>
                <w:rFonts w:ascii="Times New Roman" w:hAnsi="Times New Roman" w:cs="Times New Roman"/>
              </w:rPr>
            </w:pPr>
            <w:r>
              <w:rPr>
                <w:rFonts w:ascii="Times New Roman" w:hAnsi="Times New Roman" w:cs="Times New Roman"/>
              </w:rPr>
              <w:t xml:space="preserve">Overall </w:t>
            </w:r>
            <w:r w:rsidR="00A2690A">
              <w:rPr>
                <w:rFonts w:ascii="Times New Roman" w:hAnsi="Times New Roman" w:cs="Times New Roman"/>
              </w:rPr>
              <w:t>r</w:t>
            </w:r>
            <w:r>
              <w:rPr>
                <w:rFonts w:ascii="Times New Roman" w:hAnsi="Times New Roman" w:cs="Times New Roman"/>
              </w:rPr>
              <w:t>ecovery</w:t>
            </w:r>
          </w:p>
        </w:tc>
        <w:tc>
          <w:tcPr>
            <w:tcW w:w="2337" w:type="dxa"/>
          </w:tcPr>
          <w:p w14:paraId="64B71A62" w14:textId="3F04B911"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2.91 </w:t>
            </w:r>
            <w:r>
              <w:rPr>
                <w:rFonts w:ascii="Times New Roman" w:hAnsi="Times New Roman" w:cs="Times New Roman"/>
              </w:rPr>
              <w:sym w:font="Symbol" w:char="F0B1"/>
            </w:r>
            <w:r>
              <w:rPr>
                <w:rFonts w:ascii="Times New Roman" w:hAnsi="Times New Roman" w:cs="Times New Roman"/>
              </w:rPr>
              <w:t xml:space="preserve"> 0.04</w:t>
            </w:r>
          </w:p>
        </w:tc>
        <w:tc>
          <w:tcPr>
            <w:tcW w:w="2337" w:type="dxa"/>
          </w:tcPr>
          <w:p w14:paraId="5F7C1E6E"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2.31</w:t>
            </w:r>
          </w:p>
        </w:tc>
        <w:tc>
          <w:tcPr>
            <w:tcW w:w="2338" w:type="dxa"/>
          </w:tcPr>
          <w:p w14:paraId="37A8535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3.80</w:t>
            </w:r>
          </w:p>
        </w:tc>
      </w:tr>
      <w:tr w:rsidR="0065584C" w14:paraId="30CC1FC4"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1E62BB80" w14:textId="2A277456" w:rsidR="0065584C" w:rsidRDefault="0065584C" w:rsidP="002B2917">
            <w:pPr>
              <w:spacing w:line="480" w:lineRule="auto"/>
              <w:rPr>
                <w:rFonts w:ascii="Times New Roman" w:hAnsi="Times New Roman" w:cs="Times New Roman"/>
              </w:rPr>
            </w:pPr>
            <w:r>
              <w:rPr>
                <w:rFonts w:ascii="Times New Roman" w:hAnsi="Times New Roman" w:cs="Times New Roman"/>
              </w:rPr>
              <w:t xml:space="preserve">Recovery </w:t>
            </w:r>
            <w:r w:rsidR="00A2690A">
              <w:rPr>
                <w:rFonts w:ascii="Times New Roman" w:hAnsi="Times New Roman" w:cs="Times New Roman"/>
              </w:rPr>
              <w:t>c</w:t>
            </w:r>
            <w:r>
              <w:rPr>
                <w:rFonts w:ascii="Times New Roman" w:hAnsi="Times New Roman" w:cs="Times New Roman"/>
              </w:rPr>
              <w:t>omposite</w:t>
            </w:r>
          </w:p>
        </w:tc>
        <w:tc>
          <w:tcPr>
            <w:tcW w:w="2337" w:type="dxa"/>
          </w:tcPr>
          <w:p w14:paraId="4CBFEE46" w14:textId="333C8FB4"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12.60 </w:t>
            </w:r>
            <w:r>
              <w:rPr>
                <w:rFonts w:ascii="Times New Roman" w:hAnsi="Times New Roman" w:cs="Times New Roman"/>
              </w:rPr>
              <w:sym w:font="Symbol" w:char="F0B1"/>
            </w:r>
            <w:r>
              <w:rPr>
                <w:rFonts w:ascii="Times New Roman" w:hAnsi="Times New Roman" w:cs="Times New Roman"/>
              </w:rPr>
              <w:t xml:space="preserve"> 0.1</w:t>
            </w:r>
            <w:r w:rsidR="006F61C9">
              <w:rPr>
                <w:rFonts w:ascii="Times New Roman" w:hAnsi="Times New Roman" w:cs="Times New Roman"/>
              </w:rPr>
              <w:t>3</w:t>
            </w:r>
          </w:p>
        </w:tc>
        <w:tc>
          <w:tcPr>
            <w:tcW w:w="2337" w:type="dxa"/>
          </w:tcPr>
          <w:p w14:paraId="7A24C5E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11.15</w:t>
            </w:r>
          </w:p>
        </w:tc>
        <w:tc>
          <w:tcPr>
            <w:tcW w:w="2338" w:type="dxa"/>
          </w:tcPr>
          <w:p w14:paraId="6FC9EE6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15.33</w:t>
            </w:r>
          </w:p>
        </w:tc>
      </w:tr>
      <w:tr w:rsidR="0065584C" w14:paraId="346DF3F9"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21EB7227" w14:textId="07A33C02" w:rsidR="0065584C" w:rsidRDefault="0065584C" w:rsidP="002B2917">
            <w:pPr>
              <w:spacing w:line="480" w:lineRule="auto"/>
              <w:rPr>
                <w:rFonts w:ascii="Times New Roman" w:hAnsi="Times New Roman" w:cs="Times New Roman"/>
              </w:rPr>
            </w:pPr>
            <w:r>
              <w:rPr>
                <w:rFonts w:ascii="Times New Roman" w:hAnsi="Times New Roman" w:cs="Times New Roman"/>
              </w:rPr>
              <w:t xml:space="preserve">Physical </w:t>
            </w:r>
            <w:r w:rsidR="00A2690A">
              <w:rPr>
                <w:rFonts w:ascii="Times New Roman" w:hAnsi="Times New Roman" w:cs="Times New Roman"/>
              </w:rPr>
              <w:t>s</w:t>
            </w:r>
            <w:r>
              <w:rPr>
                <w:rFonts w:ascii="Times New Roman" w:hAnsi="Times New Roman" w:cs="Times New Roman"/>
              </w:rPr>
              <w:t>tress</w:t>
            </w:r>
          </w:p>
        </w:tc>
        <w:tc>
          <w:tcPr>
            <w:tcW w:w="2337" w:type="dxa"/>
          </w:tcPr>
          <w:p w14:paraId="608714BD" w14:textId="3561ADA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2.87 </w:t>
            </w:r>
            <w:r>
              <w:rPr>
                <w:rFonts w:ascii="Times New Roman" w:hAnsi="Times New Roman" w:cs="Times New Roman"/>
              </w:rPr>
              <w:sym w:font="Symbol" w:char="F0B1"/>
            </w:r>
            <w:r>
              <w:rPr>
                <w:rFonts w:ascii="Times New Roman" w:hAnsi="Times New Roman" w:cs="Times New Roman"/>
              </w:rPr>
              <w:t xml:space="preserve"> 0.05</w:t>
            </w:r>
          </w:p>
        </w:tc>
        <w:tc>
          <w:tcPr>
            <w:tcW w:w="2337" w:type="dxa"/>
          </w:tcPr>
          <w:p w14:paraId="393376F2"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1.35</w:t>
            </w:r>
          </w:p>
        </w:tc>
        <w:tc>
          <w:tcPr>
            <w:tcW w:w="2338" w:type="dxa"/>
          </w:tcPr>
          <w:p w14:paraId="0666E50E"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4.13</w:t>
            </w:r>
          </w:p>
        </w:tc>
      </w:tr>
      <w:tr w:rsidR="0065584C" w14:paraId="506A692F"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79355F89" w14:textId="2312DAC3" w:rsidR="0065584C" w:rsidRDefault="0065584C" w:rsidP="002B2917">
            <w:pPr>
              <w:spacing w:line="480" w:lineRule="auto"/>
              <w:rPr>
                <w:rFonts w:ascii="Times New Roman" w:hAnsi="Times New Roman" w:cs="Times New Roman"/>
              </w:rPr>
            </w:pPr>
            <w:r>
              <w:rPr>
                <w:rFonts w:ascii="Times New Roman" w:hAnsi="Times New Roman" w:cs="Times New Roman"/>
              </w:rPr>
              <w:t xml:space="preserve">Mental </w:t>
            </w:r>
            <w:r w:rsidR="00A2690A">
              <w:rPr>
                <w:rFonts w:ascii="Times New Roman" w:hAnsi="Times New Roman" w:cs="Times New Roman"/>
              </w:rPr>
              <w:t>s</w:t>
            </w:r>
            <w:r>
              <w:rPr>
                <w:rFonts w:ascii="Times New Roman" w:hAnsi="Times New Roman" w:cs="Times New Roman"/>
              </w:rPr>
              <w:t>tress</w:t>
            </w:r>
          </w:p>
        </w:tc>
        <w:tc>
          <w:tcPr>
            <w:tcW w:w="2337" w:type="dxa"/>
          </w:tcPr>
          <w:p w14:paraId="0F9F00EF" w14:textId="7F4FC185"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2.47 </w:t>
            </w:r>
            <w:r>
              <w:rPr>
                <w:rFonts w:ascii="Times New Roman" w:hAnsi="Times New Roman" w:cs="Times New Roman"/>
              </w:rPr>
              <w:sym w:font="Symbol" w:char="F0B1"/>
            </w:r>
            <w:r>
              <w:rPr>
                <w:rFonts w:ascii="Times New Roman" w:hAnsi="Times New Roman" w:cs="Times New Roman"/>
              </w:rPr>
              <w:t xml:space="preserve"> 0.0</w:t>
            </w:r>
            <w:r w:rsidR="006F61C9">
              <w:rPr>
                <w:rFonts w:ascii="Times New Roman" w:hAnsi="Times New Roman" w:cs="Times New Roman"/>
              </w:rPr>
              <w:t>6</w:t>
            </w:r>
          </w:p>
        </w:tc>
        <w:tc>
          <w:tcPr>
            <w:tcW w:w="2337" w:type="dxa"/>
          </w:tcPr>
          <w:p w14:paraId="61F3958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1.47</w:t>
            </w:r>
          </w:p>
        </w:tc>
        <w:tc>
          <w:tcPr>
            <w:tcW w:w="2338" w:type="dxa"/>
          </w:tcPr>
          <w:p w14:paraId="58BC71E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3.08</w:t>
            </w:r>
          </w:p>
        </w:tc>
      </w:tr>
      <w:tr w:rsidR="0065584C" w14:paraId="74532708"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1D5207BE" w14:textId="51C9852B" w:rsidR="0065584C" w:rsidRDefault="0065584C" w:rsidP="002B2917">
            <w:pPr>
              <w:spacing w:line="480" w:lineRule="auto"/>
              <w:rPr>
                <w:rFonts w:ascii="Times New Roman" w:hAnsi="Times New Roman" w:cs="Times New Roman"/>
              </w:rPr>
            </w:pPr>
            <w:r>
              <w:rPr>
                <w:rFonts w:ascii="Times New Roman" w:hAnsi="Times New Roman" w:cs="Times New Roman"/>
              </w:rPr>
              <w:t xml:space="preserve">Emotional </w:t>
            </w:r>
            <w:r w:rsidR="00A2690A">
              <w:rPr>
                <w:rFonts w:ascii="Times New Roman" w:hAnsi="Times New Roman" w:cs="Times New Roman"/>
              </w:rPr>
              <w:t>s</w:t>
            </w:r>
            <w:r>
              <w:rPr>
                <w:rFonts w:ascii="Times New Roman" w:hAnsi="Times New Roman" w:cs="Times New Roman"/>
              </w:rPr>
              <w:t>tress</w:t>
            </w:r>
          </w:p>
        </w:tc>
        <w:tc>
          <w:tcPr>
            <w:tcW w:w="2337" w:type="dxa"/>
          </w:tcPr>
          <w:p w14:paraId="6EFFCB6D" w14:textId="31C01410"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2.14 </w:t>
            </w:r>
            <w:r>
              <w:rPr>
                <w:rFonts w:ascii="Times New Roman" w:hAnsi="Times New Roman" w:cs="Times New Roman"/>
              </w:rPr>
              <w:sym w:font="Symbol" w:char="F0B1"/>
            </w:r>
            <w:r>
              <w:rPr>
                <w:rFonts w:ascii="Times New Roman" w:hAnsi="Times New Roman" w:cs="Times New Roman"/>
              </w:rPr>
              <w:t xml:space="preserve"> 0.0</w:t>
            </w:r>
            <w:r w:rsidR="006F61C9">
              <w:rPr>
                <w:rFonts w:ascii="Times New Roman" w:hAnsi="Times New Roman" w:cs="Times New Roman"/>
              </w:rPr>
              <w:t>6</w:t>
            </w:r>
          </w:p>
        </w:tc>
        <w:tc>
          <w:tcPr>
            <w:tcW w:w="2337" w:type="dxa"/>
          </w:tcPr>
          <w:p w14:paraId="662C18C5"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1.20</w:t>
            </w:r>
          </w:p>
        </w:tc>
        <w:tc>
          <w:tcPr>
            <w:tcW w:w="2338" w:type="dxa"/>
          </w:tcPr>
          <w:p w14:paraId="44BF274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3.23</w:t>
            </w:r>
          </w:p>
        </w:tc>
      </w:tr>
      <w:tr w:rsidR="0065584C" w14:paraId="1F04425A"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350D665A" w14:textId="08C9BFBD" w:rsidR="0065584C" w:rsidRDefault="0065584C" w:rsidP="002B2917">
            <w:pPr>
              <w:spacing w:line="480" w:lineRule="auto"/>
              <w:rPr>
                <w:rFonts w:ascii="Times New Roman" w:hAnsi="Times New Roman" w:cs="Times New Roman"/>
              </w:rPr>
            </w:pPr>
            <w:r>
              <w:rPr>
                <w:rFonts w:ascii="Times New Roman" w:hAnsi="Times New Roman" w:cs="Times New Roman"/>
              </w:rPr>
              <w:t xml:space="preserve">Overall </w:t>
            </w:r>
            <w:r w:rsidR="00A2690A">
              <w:rPr>
                <w:rFonts w:ascii="Times New Roman" w:hAnsi="Times New Roman" w:cs="Times New Roman"/>
              </w:rPr>
              <w:t>s</w:t>
            </w:r>
            <w:r>
              <w:rPr>
                <w:rFonts w:ascii="Times New Roman" w:hAnsi="Times New Roman" w:cs="Times New Roman"/>
              </w:rPr>
              <w:t>tress</w:t>
            </w:r>
          </w:p>
        </w:tc>
        <w:tc>
          <w:tcPr>
            <w:tcW w:w="2337" w:type="dxa"/>
          </w:tcPr>
          <w:p w14:paraId="5E1C5BB1" w14:textId="30CE7052"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2.67 </w:t>
            </w:r>
            <w:r>
              <w:rPr>
                <w:rFonts w:ascii="Times New Roman" w:hAnsi="Times New Roman" w:cs="Times New Roman"/>
              </w:rPr>
              <w:sym w:font="Symbol" w:char="F0B1"/>
            </w:r>
            <w:r>
              <w:rPr>
                <w:rFonts w:ascii="Times New Roman" w:hAnsi="Times New Roman" w:cs="Times New Roman"/>
              </w:rPr>
              <w:t xml:space="preserve"> 0.0</w:t>
            </w:r>
            <w:r w:rsidR="006F61C9">
              <w:rPr>
                <w:rFonts w:ascii="Times New Roman" w:hAnsi="Times New Roman" w:cs="Times New Roman"/>
              </w:rPr>
              <w:t>6</w:t>
            </w:r>
          </w:p>
        </w:tc>
        <w:tc>
          <w:tcPr>
            <w:tcW w:w="2337" w:type="dxa"/>
          </w:tcPr>
          <w:p w14:paraId="00F67CB5"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1.50</w:t>
            </w:r>
          </w:p>
        </w:tc>
        <w:tc>
          <w:tcPr>
            <w:tcW w:w="2338" w:type="dxa"/>
          </w:tcPr>
          <w:p w14:paraId="0B1AD25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3.31</w:t>
            </w:r>
          </w:p>
        </w:tc>
      </w:tr>
      <w:tr w:rsidR="0065584C" w14:paraId="5DB309BA"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01724782" w14:textId="40602041" w:rsidR="0065584C" w:rsidRDefault="0065584C" w:rsidP="002B2917">
            <w:pPr>
              <w:spacing w:line="480" w:lineRule="auto"/>
              <w:rPr>
                <w:rFonts w:ascii="Times New Roman" w:hAnsi="Times New Roman" w:cs="Times New Roman"/>
              </w:rPr>
            </w:pPr>
            <w:r>
              <w:rPr>
                <w:rFonts w:ascii="Times New Roman" w:hAnsi="Times New Roman" w:cs="Times New Roman"/>
              </w:rPr>
              <w:t xml:space="preserve">Stress </w:t>
            </w:r>
            <w:r w:rsidR="00A2690A">
              <w:rPr>
                <w:rFonts w:ascii="Times New Roman" w:hAnsi="Times New Roman" w:cs="Times New Roman"/>
              </w:rPr>
              <w:t>c</w:t>
            </w:r>
            <w:r>
              <w:rPr>
                <w:rFonts w:ascii="Times New Roman" w:hAnsi="Times New Roman" w:cs="Times New Roman"/>
              </w:rPr>
              <w:t>omposite</w:t>
            </w:r>
          </w:p>
        </w:tc>
        <w:tc>
          <w:tcPr>
            <w:tcW w:w="2337" w:type="dxa"/>
          </w:tcPr>
          <w:p w14:paraId="182E0907" w14:textId="7AB7D0B4"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10.15 </w:t>
            </w:r>
            <w:r>
              <w:rPr>
                <w:rFonts w:ascii="Times New Roman" w:hAnsi="Times New Roman" w:cs="Times New Roman"/>
              </w:rPr>
              <w:sym w:font="Symbol" w:char="F0B1"/>
            </w:r>
            <w:r>
              <w:rPr>
                <w:rFonts w:ascii="Times New Roman" w:hAnsi="Times New Roman" w:cs="Times New Roman"/>
              </w:rPr>
              <w:t xml:space="preserve"> 0.1</w:t>
            </w:r>
            <w:r w:rsidR="006F61C9">
              <w:rPr>
                <w:rFonts w:ascii="Times New Roman" w:hAnsi="Times New Roman" w:cs="Times New Roman"/>
              </w:rPr>
              <w:t>8</w:t>
            </w:r>
          </w:p>
        </w:tc>
        <w:tc>
          <w:tcPr>
            <w:tcW w:w="2337" w:type="dxa"/>
          </w:tcPr>
          <w:p w14:paraId="391D159E"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6.80</w:t>
            </w:r>
          </w:p>
        </w:tc>
        <w:tc>
          <w:tcPr>
            <w:tcW w:w="2338" w:type="dxa"/>
          </w:tcPr>
          <w:p w14:paraId="2BD3215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12.69</w:t>
            </w:r>
          </w:p>
        </w:tc>
      </w:tr>
      <w:tr w:rsidR="0065584C" w14:paraId="4C6257DD"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38891FD4" w14:textId="2B215623" w:rsidR="0065584C" w:rsidRDefault="0065584C" w:rsidP="002B2917">
            <w:pPr>
              <w:spacing w:line="480" w:lineRule="auto"/>
              <w:rPr>
                <w:rFonts w:ascii="Times New Roman" w:hAnsi="Times New Roman" w:cs="Times New Roman"/>
              </w:rPr>
            </w:pPr>
            <w:proofErr w:type="gramStart"/>
            <w:r>
              <w:rPr>
                <w:rFonts w:ascii="Times New Roman" w:hAnsi="Times New Roman" w:cs="Times New Roman"/>
              </w:rPr>
              <w:t>Calves</w:t>
            </w:r>
            <w:proofErr w:type="gramEnd"/>
            <w:r>
              <w:rPr>
                <w:rFonts w:ascii="Times New Roman" w:hAnsi="Times New Roman" w:cs="Times New Roman"/>
              </w:rPr>
              <w:t xml:space="preserve"> </w:t>
            </w:r>
            <w:r w:rsidR="00A2690A">
              <w:rPr>
                <w:rFonts w:ascii="Times New Roman" w:hAnsi="Times New Roman" w:cs="Times New Roman"/>
              </w:rPr>
              <w:t>s</w:t>
            </w:r>
            <w:r>
              <w:rPr>
                <w:rFonts w:ascii="Times New Roman" w:hAnsi="Times New Roman" w:cs="Times New Roman"/>
              </w:rPr>
              <w:t>oreness</w:t>
            </w:r>
          </w:p>
        </w:tc>
        <w:tc>
          <w:tcPr>
            <w:tcW w:w="2337" w:type="dxa"/>
          </w:tcPr>
          <w:p w14:paraId="7F96DA22" w14:textId="78CE7E33"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24.94 </w:t>
            </w:r>
            <w:r>
              <w:rPr>
                <w:rFonts w:ascii="Times New Roman" w:hAnsi="Times New Roman" w:cs="Times New Roman"/>
              </w:rPr>
              <w:sym w:font="Symbol" w:char="F0B1"/>
            </w:r>
            <w:r>
              <w:rPr>
                <w:rFonts w:ascii="Times New Roman" w:hAnsi="Times New Roman" w:cs="Times New Roman"/>
              </w:rPr>
              <w:t xml:space="preserve"> 0.8</w:t>
            </w:r>
            <w:r w:rsidR="006F61C9">
              <w:rPr>
                <w:rFonts w:ascii="Times New Roman" w:hAnsi="Times New Roman" w:cs="Times New Roman"/>
              </w:rPr>
              <w:t>7</w:t>
            </w:r>
          </w:p>
        </w:tc>
        <w:tc>
          <w:tcPr>
            <w:tcW w:w="2337" w:type="dxa"/>
          </w:tcPr>
          <w:p w14:paraId="593B4D8D"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9.21</w:t>
            </w:r>
          </w:p>
        </w:tc>
        <w:tc>
          <w:tcPr>
            <w:tcW w:w="2338" w:type="dxa"/>
          </w:tcPr>
          <w:p w14:paraId="531AF62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36.63</w:t>
            </w:r>
          </w:p>
        </w:tc>
      </w:tr>
      <w:tr w:rsidR="0065584C" w14:paraId="3256E222"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73D1925F" w14:textId="30128C19" w:rsidR="0065584C" w:rsidRDefault="0065584C" w:rsidP="002B2917">
            <w:pPr>
              <w:spacing w:line="480" w:lineRule="auto"/>
              <w:rPr>
                <w:rFonts w:ascii="Times New Roman" w:hAnsi="Times New Roman" w:cs="Times New Roman"/>
              </w:rPr>
            </w:pPr>
            <w:proofErr w:type="gramStart"/>
            <w:r>
              <w:rPr>
                <w:rFonts w:ascii="Times New Roman" w:hAnsi="Times New Roman" w:cs="Times New Roman"/>
              </w:rPr>
              <w:t>Shins</w:t>
            </w:r>
            <w:proofErr w:type="gramEnd"/>
            <w:r>
              <w:rPr>
                <w:rFonts w:ascii="Times New Roman" w:hAnsi="Times New Roman" w:cs="Times New Roman"/>
              </w:rPr>
              <w:t xml:space="preserve"> </w:t>
            </w:r>
            <w:r w:rsidR="00A2690A">
              <w:rPr>
                <w:rFonts w:ascii="Times New Roman" w:hAnsi="Times New Roman" w:cs="Times New Roman"/>
              </w:rPr>
              <w:t>s</w:t>
            </w:r>
            <w:r>
              <w:rPr>
                <w:rFonts w:ascii="Times New Roman" w:hAnsi="Times New Roman" w:cs="Times New Roman"/>
              </w:rPr>
              <w:t>oreness</w:t>
            </w:r>
          </w:p>
        </w:tc>
        <w:tc>
          <w:tcPr>
            <w:tcW w:w="2337" w:type="dxa"/>
          </w:tcPr>
          <w:p w14:paraId="49E94597" w14:textId="522FCDC8"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18.32 </w:t>
            </w:r>
            <w:r>
              <w:rPr>
                <w:rFonts w:ascii="Times New Roman" w:hAnsi="Times New Roman" w:cs="Times New Roman"/>
              </w:rPr>
              <w:sym w:font="Symbol" w:char="F0B1"/>
            </w:r>
            <w:r>
              <w:rPr>
                <w:rFonts w:ascii="Times New Roman" w:hAnsi="Times New Roman" w:cs="Times New Roman"/>
              </w:rPr>
              <w:t xml:space="preserve"> 0.80</w:t>
            </w:r>
          </w:p>
        </w:tc>
        <w:tc>
          <w:tcPr>
            <w:tcW w:w="2337" w:type="dxa"/>
          </w:tcPr>
          <w:p w14:paraId="151F8E1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4.57</w:t>
            </w:r>
          </w:p>
        </w:tc>
        <w:tc>
          <w:tcPr>
            <w:tcW w:w="2338" w:type="dxa"/>
          </w:tcPr>
          <w:p w14:paraId="769AF932"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27.17</w:t>
            </w:r>
          </w:p>
        </w:tc>
      </w:tr>
      <w:tr w:rsidR="0065584C" w14:paraId="153905EB"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4A2E0CA4" w14:textId="49298520" w:rsidR="0065584C" w:rsidRDefault="0065584C" w:rsidP="002B2917">
            <w:pPr>
              <w:spacing w:line="480" w:lineRule="auto"/>
              <w:rPr>
                <w:rFonts w:ascii="Times New Roman" w:hAnsi="Times New Roman" w:cs="Times New Roman"/>
              </w:rPr>
            </w:pPr>
            <w:proofErr w:type="gramStart"/>
            <w:r>
              <w:rPr>
                <w:rFonts w:ascii="Times New Roman" w:hAnsi="Times New Roman" w:cs="Times New Roman"/>
              </w:rPr>
              <w:t>Quads</w:t>
            </w:r>
            <w:proofErr w:type="gramEnd"/>
            <w:r>
              <w:rPr>
                <w:rFonts w:ascii="Times New Roman" w:hAnsi="Times New Roman" w:cs="Times New Roman"/>
              </w:rPr>
              <w:t xml:space="preserve"> </w:t>
            </w:r>
            <w:r w:rsidR="00A2690A">
              <w:rPr>
                <w:rFonts w:ascii="Times New Roman" w:hAnsi="Times New Roman" w:cs="Times New Roman"/>
              </w:rPr>
              <w:t>s</w:t>
            </w:r>
            <w:r>
              <w:rPr>
                <w:rFonts w:ascii="Times New Roman" w:hAnsi="Times New Roman" w:cs="Times New Roman"/>
              </w:rPr>
              <w:t>oreness</w:t>
            </w:r>
          </w:p>
        </w:tc>
        <w:tc>
          <w:tcPr>
            <w:tcW w:w="2337" w:type="dxa"/>
          </w:tcPr>
          <w:p w14:paraId="63A7C4B2" w14:textId="24CC71A0"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29.15 </w:t>
            </w:r>
            <w:r>
              <w:rPr>
                <w:rFonts w:ascii="Times New Roman" w:hAnsi="Times New Roman" w:cs="Times New Roman"/>
              </w:rPr>
              <w:sym w:font="Symbol" w:char="F0B1"/>
            </w:r>
            <w:r>
              <w:rPr>
                <w:rFonts w:ascii="Times New Roman" w:hAnsi="Times New Roman" w:cs="Times New Roman"/>
              </w:rPr>
              <w:t xml:space="preserve"> 0.</w:t>
            </w:r>
            <w:r w:rsidR="005F4BDC">
              <w:rPr>
                <w:rFonts w:ascii="Times New Roman" w:hAnsi="Times New Roman" w:cs="Times New Roman"/>
              </w:rPr>
              <w:t>90</w:t>
            </w:r>
          </w:p>
        </w:tc>
        <w:tc>
          <w:tcPr>
            <w:tcW w:w="2337" w:type="dxa"/>
          </w:tcPr>
          <w:p w14:paraId="3631C7B1"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8.79</w:t>
            </w:r>
          </w:p>
        </w:tc>
        <w:tc>
          <w:tcPr>
            <w:tcW w:w="2338" w:type="dxa"/>
          </w:tcPr>
          <w:p w14:paraId="2EC6A1C6" w14:textId="77777777" w:rsidR="0065584C" w:rsidRDefault="0065584C" w:rsidP="002B2917">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37.92</w:t>
            </w:r>
          </w:p>
        </w:tc>
      </w:tr>
      <w:tr w:rsidR="0065584C" w14:paraId="28D92B75"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47A4CBCE" w14:textId="611DF86E" w:rsidR="0065584C" w:rsidRDefault="0065584C" w:rsidP="002B2917">
            <w:pPr>
              <w:spacing w:line="480" w:lineRule="auto"/>
              <w:rPr>
                <w:rFonts w:ascii="Times New Roman" w:hAnsi="Times New Roman" w:cs="Times New Roman"/>
              </w:rPr>
            </w:pPr>
            <w:r>
              <w:rPr>
                <w:rFonts w:ascii="Times New Roman" w:hAnsi="Times New Roman" w:cs="Times New Roman"/>
              </w:rPr>
              <w:t xml:space="preserve">Hamstring </w:t>
            </w:r>
            <w:r w:rsidR="00A2690A">
              <w:rPr>
                <w:rFonts w:ascii="Times New Roman" w:hAnsi="Times New Roman" w:cs="Times New Roman"/>
              </w:rPr>
              <w:t>s</w:t>
            </w:r>
            <w:r>
              <w:rPr>
                <w:rFonts w:ascii="Times New Roman" w:hAnsi="Times New Roman" w:cs="Times New Roman"/>
              </w:rPr>
              <w:t>oreness</w:t>
            </w:r>
          </w:p>
        </w:tc>
        <w:tc>
          <w:tcPr>
            <w:tcW w:w="2337" w:type="dxa"/>
          </w:tcPr>
          <w:p w14:paraId="182B89F6" w14:textId="0EF65683"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36.58 </w:t>
            </w:r>
            <w:r>
              <w:rPr>
                <w:rFonts w:ascii="Times New Roman" w:hAnsi="Times New Roman" w:cs="Times New Roman"/>
              </w:rPr>
              <w:sym w:font="Symbol" w:char="F0B1"/>
            </w:r>
            <w:r>
              <w:rPr>
                <w:rFonts w:ascii="Times New Roman" w:hAnsi="Times New Roman" w:cs="Times New Roman"/>
              </w:rPr>
              <w:t xml:space="preserve"> 0.91</w:t>
            </w:r>
          </w:p>
        </w:tc>
        <w:tc>
          <w:tcPr>
            <w:tcW w:w="2337" w:type="dxa"/>
          </w:tcPr>
          <w:p w14:paraId="595859F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11.71</w:t>
            </w:r>
          </w:p>
        </w:tc>
        <w:tc>
          <w:tcPr>
            <w:tcW w:w="2338" w:type="dxa"/>
          </w:tcPr>
          <w:p w14:paraId="2D802A0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47.56</w:t>
            </w:r>
          </w:p>
        </w:tc>
      </w:tr>
      <w:tr w:rsidR="0065584C" w14:paraId="150DE6C5"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2E64E3F9" w14:textId="3944B54F" w:rsidR="0065584C" w:rsidRDefault="0065584C" w:rsidP="002B2917">
            <w:pPr>
              <w:spacing w:line="480" w:lineRule="auto"/>
              <w:rPr>
                <w:rFonts w:ascii="Times New Roman" w:hAnsi="Times New Roman" w:cs="Times New Roman"/>
              </w:rPr>
            </w:pPr>
            <w:r>
              <w:rPr>
                <w:rFonts w:ascii="Times New Roman" w:hAnsi="Times New Roman" w:cs="Times New Roman"/>
              </w:rPr>
              <w:t xml:space="preserve">Shoulder </w:t>
            </w:r>
            <w:r w:rsidR="00A2690A">
              <w:rPr>
                <w:rFonts w:ascii="Times New Roman" w:hAnsi="Times New Roman" w:cs="Times New Roman"/>
              </w:rPr>
              <w:t>s</w:t>
            </w:r>
            <w:r>
              <w:rPr>
                <w:rFonts w:ascii="Times New Roman" w:hAnsi="Times New Roman" w:cs="Times New Roman"/>
              </w:rPr>
              <w:t>oreness</w:t>
            </w:r>
          </w:p>
        </w:tc>
        <w:tc>
          <w:tcPr>
            <w:tcW w:w="2337" w:type="dxa"/>
          </w:tcPr>
          <w:p w14:paraId="6F8A9155" w14:textId="1B61A5CD"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35.57 </w:t>
            </w:r>
            <w:r>
              <w:rPr>
                <w:rFonts w:ascii="Times New Roman" w:hAnsi="Times New Roman" w:cs="Times New Roman"/>
              </w:rPr>
              <w:sym w:font="Symbol" w:char="F0B1"/>
            </w:r>
            <w:r>
              <w:rPr>
                <w:rFonts w:ascii="Times New Roman" w:hAnsi="Times New Roman" w:cs="Times New Roman"/>
              </w:rPr>
              <w:t xml:space="preserve"> 0.9</w:t>
            </w:r>
            <w:r w:rsidR="005F4BDC">
              <w:rPr>
                <w:rFonts w:ascii="Times New Roman" w:hAnsi="Times New Roman" w:cs="Times New Roman"/>
              </w:rPr>
              <w:t>4</w:t>
            </w:r>
          </w:p>
        </w:tc>
        <w:tc>
          <w:tcPr>
            <w:tcW w:w="2337" w:type="dxa"/>
          </w:tcPr>
          <w:p w14:paraId="31F66DD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19.29</w:t>
            </w:r>
          </w:p>
        </w:tc>
        <w:tc>
          <w:tcPr>
            <w:tcW w:w="2338" w:type="dxa"/>
          </w:tcPr>
          <w:p w14:paraId="55E032E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52.25</w:t>
            </w:r>
          </w:p>
        </w:tc>
      </w:tr>
      <w:tr w:rsidR="0065584C" w14:paraId="0987E271"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515ACA0A" w14:textId="55E40E4D" w:rsidR="0065584C" w:rsidRDefault="0065584C" w:rsidP="002B2917">
            <w:pPr>
              <w:spacing w:line="480" w:lineRule="auto"/>
              <w:rPr>
                <w:rFonts w:ascii="Times New Roman" w:hAnsi="Times New Roman" w:cs="Times New Roman"/>
              </w:rPr>
            </w:pPr>
            <w:r>
              <w:rPr>
                <w:rFonts w:ascii="Times New Roman" w:hAnsi="Times New Roman" w:cs="Times New Roman"/>
              </w:rPr>
              <w:t xml:space="preserve">Low Back </w:t>
            </w:r>
            <w:r w:rsidR="00A2690A">
              <w:rPr>
                <w:rFonts w:ascii="Times New Roman" w:hAnsi="Times New Roman" w:cs="Times New Roman"/>
              </w:rPr>
              <w:t>s</w:t>
            </w:r>
            <w:r>
              <w:rPr>
                <w:rFonts w:ascii="Times New Roman" w:hAnsi="Times New Roman" w:cs="Times New Roman"/>
              </w:rPr>
              <w:t>oreness</w:t>
            </w:r>
          </w:p>
        </w:tc>
        <w:tc>
          <w:tcPr>
            <w:tcW w:w="2337" w:type="dxa"/>
          </w:tcPr>
          <w:p w14:paraId="2305BD7F" w14:textId="0C226485"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48.69 </w:t>
            </w:r>
            <w:r>
              <w:rPr>
                <w:rFonts w:ascii="Times New Roman" w:hAnsi="Times New Roman" w:cs="Times New Roman"/>
              </w:rPr>
              <w:sym w:font="Symbol" w:char="F0B1"/>
            </w:r>
            <w:r>
              <w:rPr>
                <w:rFonts w:ascii="Times New Roman" w:hAnsi="Times New Roman" w:cs="Times New Roman"/>
              </w:rPr>
              <w:t xml:space="preserve"> 0.9</w:t>
            </w:r>
            <w:r w:rsidR="005F4BDC">
              <w:rPr>
                <w:rFonts w:ascii="Times New Roman" w:hAnsi="Times New Roman" w:cs="Times New Roman"/>
              </w:rPr>
              <w:t>1</w:t>
            </w:r>
          </w:p>
        </w:tc>
        <w:tc>
          <w:tcPr>
            <w:tcW w:w="2337" w:type="dxa"/>
          </w:tcPr>
          <w:p w14:paraId="2E437F2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29.64</w:t>
            </w:r>
          </w:p>
        </w:tc>
        <w:tc>
          <w:tcPr>
            <w:tcW w:w="2338" w:type="dxa"/>
          </w:tcPr>
          <w:p w14:paraId="6E713EE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59.79</w:t>
            </w:r>
          </w:p>
        </w:tc>
      </w:tr>
      <w:tr w:rsidR="0065584C" w14:paraId="3751D76F"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Pr>
          <w:p w14:paraId="3D06C285" w14:textId="51081EC7" w:rsidR="0065584C" w:rsidRDefault="0065584C" w:rsidP="002B2917">
            <w:pPr>
              <w:spacing w:line="480" w:lineRule="auto"/>
              <w:rPr>
                <w:rFonts w:ascii="Times New Roman" w:hAnsi="Times New Roman" w:cs="Times New Roman"/>
              </w:rPr>
            </w:pPr>
            <w:r>
              <w:rPr>
                <w:rFonts w:ascii="Times New Roman" w:hAnsi="Times New Roman" w:cs="Times New Roman"/>
              </w:rPr>
              <w:t xml:space="preserve">Soreness </w:t>
            </w:r>
            <w:r w:rsidR="00A2690A">
              <w:rPr>
                <w:rFonts w:ascii="Times New Roman" w:hAnsi="Times New Roman" w:cs="Times New Roman"/>
              </w:rPr>
              <w:t>c</w:t>
            </w:r>
            <w:r>
              <w:rPr>
                <w:rFonts w:ascii="Times New Roman" w:hAnsi="Times New Roman" w:cs="Times New Roman"/>
              </w:rPr>
              <w:t>omposite</w:t>
            </w:r>
          </w:p>
        </w:tc>
        <w:tc>
          <w:tcPr>
            <w:tcW w:w="2337" w:type="dxa"/>
          </w:tcPr>
          <w:p w14:paraId="47614E5E" w14:textId="1E76FAE4"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193.27 </w:t>
            </w:r>
            <w:r>
              <w:rPr>
                <w:rFonts w:ascii="Times New Roman" w:hAnsi="Times New Roman" w:cs="Times New Roman"/>
              </w:rPr>
              <w:sym w:font="Symbol" w:char="F0B1"/>
            </w:r>
            <w:r>
              <w:rPr>
                <w:rFonts w:ascii="Times New Roman" w:hAnsi="Times New Roman" w:cs="Times New Roman"/>
              </w:rPr>
              <w:t xml:space="preserve"> 4.14</w:t>
            </w:r>
          </w:p>
        </w:tc>
        <w:tc>
          <w:tcPr>
            <w:tcW w:w="2337" w:type="dxa"/>
          </w:tcPr>
          <w:p w14:paraId="7B08551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86.21</w:t>
            </w:r>
          </w:p>
        </w:tc>
        <w:tc>
          <w:tcPr>
            <w:tcW w:w="2338" w:type="dxa"/>
          </w:tcPr>
          <w:p w14:paraId="09B6727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249.88</w:t>
            </w:r>
          </w:p>
        </w:tc>
      </w:tr>
      <w:tr w:rsidR="0065584C" w14:paraId="3D1570A1" w14:textId="77777777" w:rsidTr="002B2917">
        <w:trPr>
          <w:trHeight w:hRule="exact" w:val="504"/>
          <w:jc w:val="center"/>
        </w:trPr>
        <w:tc>
          <w:tcPr>
            <w:cnfStyle w:val="001000000000" w:firstRow="0" w:lastRow="0" w:firstColumn="1" w:lastColumn="0" w:oddVBand="0" w:evenVBand="0" w:oddHBand="0" w:evenHBand="0" w:firstRowFirstColumn="0" w:firstRowLastColumn="0" w:lastRowFirstColumn="0" w:lastRowLastColumn="0"/>
            <w:tcW w:w="2337" w:type="dxa"/>
            <w:tcBorders>
              <w:bottom w:val="single" w:sz="18" w:space="0" w:color="auto"/>
            </w:tcBorders>
          </w:tcPr>
          <w:p w14:paraId="59C28A80" w14:textId="77777777" w:rsidR="0065584C" w:rsidRDefault="0065584C" w:rsidP="002B2917">
            <w:pPr>
              <w:spacing w:line="480" w:lineRule="auto"/>
              <w:rPr>
                <w:rFonts w:ascii="Times New Roman" w:hAnsi="Times New Roman" w:cs="Times New Roman"/>
              </w:rPr>
            </w:pPr>
            <w:r>
              <w:rPr>
                <w:rFonts w:ascii="Times New Roman" w:hAnsi="Times New Roman" w:cs="Times New Roman"/>
              </w:rPr>
              <w:t>Sleep</w:t>
            </w:r>
          </w:p>
        </w:tc>
        <w:tc>
          <w:tcPr>
            <w:tcW w:w="2337" w:type="dxa"/>
            <w:tcBorders>
              <w:bottom w:val="single" w:sz="18" w:space="0" w:color="auto"/>
            </w:tcBorders>
          </w:tcPr>
          <w:p w14:paraId="17482DCA" w14:textId="5583B59F"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57.16 </w:t>
            </w:r>
            <w:r>
              <w:rPr>
                <w:rFonts w:ascii="Times New Roman" w:hAnsi="Times New Roman" w:cs="Times New Roman"/>
              </w:rPr>
              <w:sym w:font="Symbol" w:char="F0B1"/>
            </w:r>
            <w:r>
              <w:rPr>
                <w:rFonts w:ascii="Times New Roman" w:hAnsi="Times New Roman" w:cs="Times New Roman"/>
              </w:rPr>
              <w:t xml:space="preserve"> 0.6</w:t>
            </w:r>
            <w:r w:rsidR="005F4BDC">
              <w:rPr>
                <w:rFonts w:ascii="Times New Roman" w:hAnsi="Times New Roman" w:cs="Times New Roman"/>
              </w:rPr>
              <w:t>8</w:t>
            </w:r>
          </w:p>
        </w:tc>
        <w:tc>
          <w:tcPr>
            <w:tcW w:w="2337" w:type="dxa"/>
            <w:tcBorders>
              <w:bottom w:val="single" w:sz="18" w:space="0" w:color="auto"/>
            </w:tcBorders>
          </w:tcPr>
          <w:p w14:paraId="4711575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47.08</w:t>
            </w:r>
          </w:p>
        </w:tc>
        <w:tc>
          <w:tcPr>
            <w:tcW w:w="2338" w:type="dxa"/>
            <w:tcBorders>
              <w:bottom w:val="single" w:sz="18" w:space="0" w:color="auto"/>
            </w:tcBorders>
          </w:tcPr>
          <w:p w14:paraId="7F500D2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66.38</w:t>
            </w:r>
          </w:p>
        </w:tc>
      </w:tr>
    </w:tbl>
    <w:p w14:paraId="4ACAD0FC" w14:textId="5597EE47" w:rsidR="0065584C" w:rsidRDefault="0065584C" w:rsidP="0065584C">
      <w:pPr>
        <w:spacing w:line="276" w:lineRule="auto"/>
        <w:rPr>
          <w:rFonts w:ascii="Times New Roman" w:hAnsi="Times New Roman" w:cs="Times New Roman"/>
        </w:rPr>
      </w:pPr>
    </w:p>
    <w:p w14:paraId="409CF5A8" w14:textId="41A751A9" w:rsidR="006D0558" w:rsidRDefault="006D0558" w:rsidP="006D0558">
      <w:pPr>
        <w:rPr>
          <w:rFonts w:ascii="Times New Roman" w:hAnsi="Times New Roman" w:cs="Times New Roman"/>
        </w:rPr>
      </w:pPr>
      <w:r>
        <w:rPr>
          <w:rFonts w:ascii="Times New Roman" w:hAnsi="Times New Roman" w:cs="Times New Roman"/>
          <w:b/>
          <w:bCs/>
        </w:rPr>
        <w:lastRenderedPageBreak/>
        <w:t>Table 2:</w:t>
      </w:r>
      <w:r>
        <w:rPr>
          <w:rFonts w:ascii="Times New Roman" w:hAnsi="Times New Roman" w:cs="Times New Roman"/>
        </w:rPr>
        <w:t xml:space="preserve"> Mean (</w:t>
      </w:r>
      <w:r>
        <w:rPr>
          <w:rFonts w:ascii="Times New Roman" w:hAnsi="Times New Roman" w:cs="Times New Roman"/>
        </w:rPr>
        <w:sym w:font="Symbol" w:char="F0B1"/>
      </w:r>
      <w:r>
        <w:rPr>
          <w:rFonts w:ascii="Times New Roman" w:hAnsi="Times New Roman" w:cs="Times New Roman"/>
        </w:rPr>
        <w:t>SD), minimum, and maximum values for all external load variables, (n=8).</w:t>
      </w:r>
    </w:p>
    <w:tbl>
      <w:tblPr>
        <w:tblStyle w:val="PlainTable2"/>
        <w:tblW w:w="0" w:type="auto"/>
        <w:tblLook w:val="06A0" w:firstRow="1" w:lastRow="0" w:firstColumn="1" w:lastColumn="0" w:noHBand="1" w:noVBand="1"/>
      </w:tblPr>
      <w:tblGrid>
        <w:gridCol w:w="2337"/>
        <w:gridCol w:w="2337"/>
        <w:gridCol w:w="2337"/>
        <w:gridCol w:w="2338"/>
      </w:tblGrid>
      <w:tr w:rsidR="0065584C" w14:paraId="4CBA6ADA" w14:textId="77777777" w:rsidTr="002B29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18" w:space="0" w:color="auto"/>
              <w:bottom w:val="single" w:sz="18" w:space="0" w:color="auto"/>
            </w:tcBorders>
          </w:tcPr>
          <w:p w14:paraId="61C035C7" w14:textId="77777777" w:rsidR="0065584C" w:rsidRDefault="0065584C" w:rsidP="002B2917">
            <w:pPr>
              <w:spacing w:line="480" w:lineRule="auto"/>
              <w:rPr>
                <w:rFonts w:ascii="Times New Roman" w:hAnsi="Times New Roman" w:cs="Times New Roman"/>
              </w:rPr>
            </w:pPr>
            <w:r>
              <w:rPr>
                <w:rFonts w:ascii="Times New Roman" w:hAnsi="Times New Roman" w:cs="Times New Roman"/>
              </w:rPr>
              <w:t>Variable</w:t>
            </w:r>
          </w:p>
        </w:tc>
        <w:tc>
          <w:tcPr>
            <w:tcW w:w="2337" w:type="dxa"/>
            <w:tcBorders>
              <w:top w:val="single" w:sz="18" w:space="0" w:color="auto"/>
              <w:bottom w:val="single" w:sz="18" w:space="0" w:color="auto"/>
            </w:tcBorders>
          </w:tcPr>
          <w:p w14:paraId="25DBF227"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Mean </w:t>
            </w:r>
            <w:r>
              <w:rPr>
                <w:rFonts w:ascii="Times New Roman" w:hAnsi="Times New Roman" w:cs="Times New Roman"/>
              </w:rPr>
              <w:sym w:font="Symbol" w:char="F0B1"/>
            </w:r>
            <w:r>
              <w:rPr>
                <w:rFonts w:ascii="Times New Roman" w:hAnsi="Times New Roman" w:cs="Times New Roman"/>
              </w:rPr>
              <w:t xml:space="preserve"> SD</w:t>
            </w:r>
          </w:p>
        </w:tc>
        <w:tc>
          <w:tcPr>
            <w:tcW w:w="2337" w:type="dxa"/>
            <w:tcBorders>
              <w:top w:val="single" w:sz="18" w:space="0" w:color="auto"/>
              <w:bottom w:val="single" w:sz="18" w:space="0" w:color="auto"/>
            </w:tcBorders>
          </w:tcPr>
          <w:p w14:paraId="01E59A5D"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Minimum</w:t>
            </w:r>
          </w:p>
        </w:tc>
        <w:tc>
          <w:tcPr>
            <w:tcW w:w="2338" w:type="dxa"/>
            <w:tcBorders>
              <w:top w:val="single" w:sz="18" w:space="0" w:color="auto"/>
              <w:bottom w:val="single" w:sz="18" w:space="0" w:color="auto"/>
            </w:tcBorders>
          </w:tcPr>
          <w:p w14:paraId="605F8D3E"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Maximum</w:t>
            </w:r>
          </w:p>
        </w:tc>
      </w:tr>
      <w:tr w:rsidR="0065584C" w14:paraId="2F74018B" w14:textId="77777777" w:rsidTr="002B2917">
        <w:tc>
          <w:tcPr>
            <w:cnfStyle w:val="001000000000" w:firstRow="0" w:lastRow="0" w:firstColumn="1" w:lastColumn="0" w:oddVBand="0" w:evenVBand="0" w:oddHBand="0" w:evenHBand="0" w:firstRowFirstColumn="0" w:firstRowLastColumn="0" w:lastRowFirstColumn="0" w:lastRowLastColumn="0"/>
            <w:tcW w:w="2337" w:type="dxa"/>
            <w:tcBorders>
              <w:top w:val="single" w:sz="18" w:space="0" w:color="auto"/>
            </w:tcBorders>
          </w:tcPr>
          <w:p w14:paraId="26A20A2F" w14:textId="77777777" w:rsidR="0065584C" w:rsidRDefault="0065584C" w:rsidP="002B2917">
            <w:pPr>
              <w:spacing w:line="480" w:lineRule="auto"/>
              <w:rPr>
                <w:rFonts w:ascii="Times New Roman" w:hAnsi="Times New Roman" w:cs="Times New Roman"/>
              </w:rPr>
            </w:pPr>
            <w:r>
              <w:rPr>
                <w:rFonts w:ascii="Times New Roman" w:hAnsi="Times New Roman" w:cs="Times New Roman"/>
              </w:rPr>
              <w:t>PL (AU)</w:t>
            </w:r>
          </w:p>
        </w:tc>
        <w:tc>
          <w:tcPr>
            <w:tcW w:w="2337" w:type="dxa"/>
            <w:tcBorders>
              <w:top w:val="single" w:sz="18" w:space="0" w:color="auto"/>
            </w:tcBorders>
          </w:tcPr>
          <w:p w14:paraId="316D7083" w14:textId="71A2C0E2" w:rsidR="0065584C" w:rsidRDefault="005F4BD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 xml:space="preserve">565.29 </w:t>
            </w:r>
            <w:r w:rsidR="0065584C">
              <w:rPr>
                <w:rFonts w:ascii="Times New Roman" w:hAnsi="Times New Roman" w:cs="Times New Roman"/>
              </w:rPr>
              <w:sym w:font="Symbol" w:char="F0B1"/>
            </w:r>
            <w:r w:rsidR="0065584C">
              <w:rPr>
                <w:rFonts w:ascii="Times New Roman" w:hAnsi="Times New Roman" w:cs="Times New Roman"/>
              </w:rPr>
              <w:t xml:space="preserve"> 10.16</w:t>
            </w:r>
          </w:p>
        </w:tc>
        <w:tc>
          <w:tcPr>
            <w:tcW w:w="2337" w:type="dxa"/>
            <w:tcBorders>
              <w:top w:val="single" w:sz="18" w:space="0" w:color="auto"/>
            </w:tcBorders>
          </w:tcPr>
          <w:p w14:paraId="4E82175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345.96</w:t>
            </w:r>
          </w:p>
        </w:tc>
        <w:tc>
          <w:tcPr>
            <w:tcW w:w="2338" w:type="dxa"/>
            <w:tcBorders>
              <w:top w:val="single" w:sz="18" w:space="0" w:color="auto"/>
            </w:tcBorders>
          </w:tcPr>
          <w:p w14:paraId="6FC68F4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766.57</w:t>
            </w:r>
          </w:p>
        </w:tc>
      </w:tr>
      <w:tr w:rsidR="0065584C" w14:paraId="3D3C7F68" w14:textId="77777777" w:rsidTr="002B2917">
        <w:tc>
          <w:tcPr>
            <w:cnfStyle w:val="001000000000" w:firstRow="0" w:lastRow="0" w:firstColumn="1" w:lastColumn="0" w:oddVBand="0" w:evenVBand="0" w:oddHBand="0" w:evenHBand="0" w:firstRowFirstColumn="0" w:firstRowLastColumn="0" w:lastRowFirstColumn="0" w:lastRowLastColumn="0"/>
            <w:tcW w:w="2337" w:type="dxa"/>
          </w:tcPr>
          <w:p w14:paraId="106C0E7C" w14:textId="77777777" w:rsidR="0065584C" w:rsidRDefault="0065584C" w:rsidP="002B2917">
            <w:pPr>
              <w:spacing w:line="480" w:lineRule="auto"/>
              <w:rPr>
                <w:rFonts w:ascii="Times New Roman" w:hAnsi="Times New Roman" w:cs="Times New Roman"/>
              </w:rPr>
            </w:pPr>
            <w:r>
              <w:rPr>
                <w:rFonts w:ascii="Times New Roman" w:hAnsi="Times New Roman" w:cs="Times New Roman"/>
              </w:rPr>
              <w:t>PL/min (AU/min)</w:t>
            </w:r>
          </w:p>
        </w:tc>
        <w:tc>
          <w:tcPr>
            <w:tcW w:w="2337" w:type="dxa"/>
          </w:tcPr>
          <w:p w14:paraId="1C746E7C" w14:textId="73F20D33" w:rsidR="0065584C" w:rsidRDefault="005F4BD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 xml:space="preserve">3.06 </w:t>
            </w:r>
            <w:r w:rsidR="0065584C">
              <w:rPr>
                <w:rFonts w:ascii="Times New Roman" w:hAnsi="Times New Roman" w:cs="Times New Roman"/>
              </w:rPr>
              <w:sym w:font="Symbol" w:char="F0B1"/>
            </w:r>
            <w:r w:rsidR="0065584C">
              <w:rPr>
                <w:rFonts w:ascii="Times New Roman" w:hAnsi="Times New Roman" w:cs="Times New Roman"/>
              </w:rPr>
              <w:t xml:space="preserve"> 0.04</w:t>
            </w:r>
          </w:p>
        </w:tc>
        <w:tc>
          <w:tcPr>
            <w:tcW w:w="2337" w:type="dxa"/>
          </w:tcPr>
          <w:p w14:paraId="39BF50CE" w14:textId="75F59A24" w:rsidR="0065584C" w:rsidRDefault="005F4BD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2.35</w:t>
            </w:r>
          </w:p>
        </w:tc>
        <w:tc>
          <w:tcPr>
            <w:tcW w:w="2338" w:type="dxa"/>
          </w:tcPr>
          <w:p w14:paraId="7B8BCCC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3.83</w:t>
            </w:r>
          </w:p>
        </w:tc>
      </w:tr>
      <w:tr w:rsidR="0065584C" w14:paraId="657D5101" w14:textId="77777777" w:rsidTr="002B2917">
        <w:tc>
          <w:tcPr>
            <w:cnfStyle w:val="001000000000" w:firstRow="0" w:lastRow="0" w:firstColumn="1" w:lastColumn="0" w:oddVBand="0" w:evenVBand="0" w:oddHBand="0" w:evenHBand="0" w:firstRowFirstColumn="0" w:firstRowLastColumn="0" w:lastRowFirstColumn="0" w:lastRowLastColumn="0"/>
            <w:tcW w:w="2337" w:type="dxa"/>
          </w:tcPr>
          <w:p w14:paraId="54F095C4" w14:textId="77777777" w:rsidR="0065584C" w:rsidRDefault="0065584C" w:rsidP="002B2917">
            <w:pPr>
              <w:spacing w:line="480" w:lineRule="auto"/>
              <w:rPr>
                <w:rFonts w:ascii="Times New Roman" w:hAnsi="Times New Roman" w:cs="Times New Roman"/>
              </w:rPr>
            </w:pPr>
            <w:r>
              <w:rPr>
                <w:rFonts w:ascii="Times New Roman" w:hAnsi="Times New Roman" w:cs="Times New Roman"/>
              </w:rPr>
              <w:t>PL 1D Up (AU)</w:t>
            </w:r>
          </w:p>
        </w:tc>
        <w:tc>
          <w:tcPr>
            <w:tcW w:w="2337" w:type="dxa"/>
          </w:tcPr>
          <w:p w14:paraId="2CAE6A01" w14:textId="6EAA30D4" w:rsidR="0065584C" w:rsidRDefault="005F4BDC" w:rsidP="00A04CE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 xml:space="preserve">382.71 </w:t>
            </w:r>
            <w:r w:rsidR="0065584C">
              <w:rPr>
                <w:rFonts w:ascii="Times New Roman" w:hAnsi="Times New Roman" w:cs="Times New Roman"/>
              </w:rPr>
              <w:sym w:font="Symbol" w:char="F0B1"/>
            </w:r>
            <w:r w:rsidR="0065584C">
              <w:rPr>
                <w:rFonts w:ascii="Times New Roman" w:hAnsi="Times New Roman" w:cs="Times New Roman"/>
              </w:rPr>
              <w:t xml:space="preserve"> 7.39</w:t>
            </w:r>
          </w:p>
        </w:tc>
        <w:tc>
          <w:tcPr>
            <w:tcW w:w="2337" w:type="dxa"/>
          </w:tcPr>
          <w:p w14:paraId="3A256E1F" w14:textId="010485A6"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185.59</w:t>
            </w:r>
          </w:p>
        </w:tc>
        <w:tc>
          <w:tcPr>
            <w:tcW w:w="2338" w:type="dxa"/>
          </w:tcPr>
          <w:p w14:paraId="48FE793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499.82</w:t>
            </w:r>
          </w:p>
        </w:tc>
      </w:tr>
      <w:tr w:rsidR="0065584C" w14:paraId="0BC8EBC9" w14:textId="77777777" w:rsidTr="002B2917">
        <w:tc>
          <w:tcPr>
            <w:cnfStyle w:val="001000000000" w:firstRow="0" w:lastRow="0" w:firstColumn="1" w:lastColumn="0" w:oddVBand="0" w:evenVBand="0" w:oddHBand="0" w:evenHBand="0" w:firstRowFirstColumn="0" w:firstRowLastColumn="0" w:lastRowFirstColumn="0" w:lastRowLastColumn="0"/>
            <w:tcW w:w="2337" w:type="dxa"/>
          </w:tcPr>
          <w:p w14:paraId="13997047" w14:textId="77777777"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High </w:t>
            </w:r>
          </w:p>
        </w:tc>
        <w:tc>
          <w:tcPr>
            <w:tcW w:w="2337" w:type="dxa"/>
          </w:tcPr>
          <w:p w14:paraId="00751044" w14:textId="19489361" w:rsidR="0065584C" w:rsidRDefault="005F4BD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 xml:space="preserve">29.38 </w:t>
            </w:r>
            <w:r w:rsidR="0065584C">
              <w:rPr>
                <w:rFonts w:ascii="Times New Roman" w:hAnsi="Times New Roman" w:cs="Times New Roman"/>
              </w:rPr>
              <w:sym w:font="Symbol" w:char="F0B1"/>
            </w:r>
            <w:r w:rsidR="0065584C">
              <w:rPr>
                <w:rFonts w:ascii="Times New Roman" w:hAnsi="Times New Roman" w:cs="Times New Roman"/>
              </w:rPr>
              <w:t xml:space="preserve"> 1.12</w:t>
            </w:r>
          </w:p>
        </w:tc>
        <w:tc>
          <w:tcPr>
            <w:tcW w:w="2337" w:type="dxa"/>
          </w:tcPr>
          <w:p w14:paraId="25FDA439" w14:textId="7B3CFC1D" w:rsidR="0065584C" w:rsidRDefault="005F4BD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6.63</w:t>
            </w:r>
          </w:p>
        </w:tc>
        <w:tc>
          <w:tcPr>
            <w:tcW w:w="2338" w:type="dxa"/>
          </w:tcPr>
          <w:p w14:paraId="0E91D5E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54.57</w:t>
            </w:r>
          </w:p>
        </w:tc>
      </w:tr>
      <w:tr w:rsidR="0065584C" w14:paraId="757D2FD3" w14:textId="77777777" w:rsidTr="002B2917">
        <w:tc>
          <w:tcPr>
            <w:cnfStyle w:val="001000000000" w:firstRow="0" w:lastRow="0" w:firstColumn="1" w:lastColumn="0" w:oddVBand="0" w:evenVBand="0" w:oddHBand="0" w:evenHBand="0" w:firstRowFirstColumn="0" w:firstRowLastColumn="0" w:lastRowFirstColumn="0" w:lastRowLastColumn="0"/>
            <w:tcW w:w="2337" w:type="dxa"/>
          </w:tcPr>
          <w:p w14:paraId="360A3175" w14:textId="77777777" w:rsidR="0065584C" w:rsidRDefault="0065584C" w:rsidP="002B2917">
            <w:pPr>
              <w:spacing w:line="480" w:lineRule="auto"/>
              <w:rPr>
                <w:rFonts w:ascii="Times New Roman" w:hAnsi="Times New Roman" w:cs="Times New Roman"/>
              </w:rPr>
            </w:pPr>
            <w:r>
              <w:rPr>
                <w:rFonts w:ascii="Times New Roman" w:hAnsi="Times New Roman" w:cs="Times New Roman"/>
              </w:rPr>
              <w:t>IMA Medium</w:t>
            </w:r>
          </w:p>
        </w:tc>
        <w:tc>
          <w:tcPr>
            <w:tcW w:w="2337" w:type="dxa"/>
          </w:tcPr>
          <w:p w14:paraId="401836E0" w14:textId="235878DF" w:rsidR="0065584C" w:rsidRDefault="005F4BD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 xml:space="preserve">58.42 </w:t>
            </w:r>
            <w:r w:rsidR="0065584C">
              <w:rPr>
                <w:rFonts w:ascii="Times New Roman" w:hAnsi="Times New Roman" w:cs="Times New Roman"/>
              </w:rPr>
              <w:sym w:font="Symbol" w:char="F0B1"/>
            </w:r>
            <w:r w:rsidR="0065584C">
              <w:rPr>
                <w:rFonts w:ascii="Times New Roman" w:hAnsi="Times New Roman" w:cs="Times New Roman"/>
              </w:rPr>
              <w:t xml:space="preserve"> 2.47</w:t>
            </w:r>
          </w:p>
        </w:tc>
        <w:tc>
          <w:tcPr>
            <w:tcW w:w="2337" w:type="dxa"/>
          </w:tcPr>
          <w:p w14:paraId="7BFDF79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24.57</w:t>
            </w:r>
          </w:p>
        </w:tc>
        <w:tc>
          <w:tcPr>
            <w:tcW w:w="2338" w:type="dxa"/>
          </w:tcPr>
          <w:p w14:paraId="5910D30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114.33</w:t>
            </w:r>
          </w:p>
        </w:tc>
      </w:tr>
      <w:tr w:rsidR="0065584C" w14:paraId="3CBA0E60" w14:textId="77777777" w:rsidTr="002B2917">
        <w:tc>
          <w:tcPr>
            <w:cnfStyle w:val="001000000000" w:firstRow="0" w:lastRow="0" w:firstColumn="1" w:lastColumn="0" w:oddVBand="0" w:evenVBand="0" w:oddHBand="0" w:evenHBand="0" w:firstRowFirstColumn="0" w:firstRowLastColumn="0" w:lastRowFirstColumn="0" w:lastRowLastColumn="0"/>
            <w:tcW w:w="2337" w:type="dxa"/>
          </w:tcPr>
          <w:p w14:paraId="5EA0A1E5" w14:textId="77777777" w:rsidR="0065584C" w:rsidRDefault="0065584C" w:rsidP="002B2917">
            <w:pPr>
              <w:spacing w:line="480" w:lineRule="auto"/>
              <w:rPr>
                <w:rFonts w:ascii="Times New Roman" w:hAnsi="Times New Roman" w:cs="Times New Roman"/>
              </w:rPr>
            </w:pPr>
            <w:r>
              <w:rPr>
                <w:rFonts w:ascii="Times New Roman" w:hAnsi="Times New Roman" w:cs="Times New Roman"/>
              </w:rPr>
              <w:t>IMA Low</w:t>
            </w:r>
          </w:p>
        </w:tc>
        <w:tc>
          <w:tcPr>
            <w:tcW w:w="2337" w:type="dxa"/>
          </w:tcPr>
          <w:p w14:paraId="536FABED" w14:textId="1421C5B3" w:rsidR="0065584C" w:rsidRDefault="005F4BD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 xml:space="preserve">46.03 </w:t>
            </w:r>
            <w:r w:rsidR="0065584C">
              <w:rPr>
                <w:rFonts w:ascii="Times New Roman" w:hAnsi="Times New Roman" w:cs="Times New Roman"/>
              </w:rPr>
              <w:sym w:font="Symbol" w:char="F0B1"/>
            </w:r>
            <w:r w:rsidR="0065584C">
              <w:rPr>
                <w:rFonts w:ascii="Times New Roman" w:hAnsi="Times New Roman" w:cs="Times New Roman"/>
              </w:rPr>
              <w:t xml:space="preserve"> 3.05</w:t>
            </w:r>
          </w:p>
        </w:tc>
        <w:tc>
          <w:tcPr>
            <w:tcW w:w="2337" w:type="dxa"/>
          </w:tcPr>
          <w:p w14:paraId="7E2385DA" w14:textId="515FADCD" w:rsidR="0065584C" w:rsidRDefault="005F4BD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8.14</w:t>
            </w:r>
          </w:p>
        </w:tc>
        <w:tc>
          <w:tcPr>
            <w:tcW w:w="2338" w:type="dxa"/>
          </w:tcPr>
          <w:p w14:paraId="33D2E57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133.57</w:t>
            </w:r>
          </w:p>
        </w:tc>
      </w:tr>
      <w:tr w:rsidR="0065584C" w14:paraId="3B1CE197" w14:textId="77777777" w:rsidTr="002B2917">
        <w:tc>
          <w:tcPr>
            <w:cnfStyle w:val="001000000000" w:firstRow="0" w:lastRow="0" w:firstColumn="1" w:lastColumn="0" w:oddVBand="0" w:evenVBand="0" w:oddHBand="0" w:evenHBand="0" w:firstRowFirstColumn="0" w:firstRowLastColumn="0" w:lastRowFirstColumn="0" w:lastRowLastColumn="0"/>
            <w:tcW w:w="2337" w:type="dxa"/>
            <w:tcBorders>
              <w:bottom w:val="single" w:sz="18" w:space="0" w:color="auto"/>
            </w:tcBorders>
          </w:tcPr>
          <w:p w14:paraId="48C6544A" w14:textId="77777777" w:rsidR="0065584C" w:rsidRDefault="0065584C" w:rsidP="002B2917">
            <w:pPr>
              <w:spacing w:line="480" w:lineRule="auto"/>
              <w:rPr>
                <w:rFonts w:ascii="Times New Roman" w:hAnsi="Times New Roman" w:cs="Times New Roman"/>
              </w:rPr>
            </w:pPr>
            <w:r>
              <w:rPr>
                <w:rFonts w:ascii="Times New Roman" w:hAnsi="Times New Roman" w:cs="Times New Roman"/>
              </w:rPr>
              <w:t>Total IMA</w:t>
            </w:r>
          </w:p>
        </w:tc>
        <w:tc>
          <w:tcPr>
            <w:tcW w:w="2337" w:type="dxa"/>
            <w:tcBorders>
              <w:bottom w:val="single" w:sz="18" w:space="0" w:color="auto"/>
            </w:tcBorders>
          </w:tcPr>
          <w:p w14:paraId="7B9C656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117.79 </w:t>
            </w:r>
            <w:r>
              <w:rPr>
                <w:rFonts w:ascii="Times New Roman" w:hAnsi="Times New Roman" w:cs="Times New Roman"/>
              </w:rPr>
              <w:sym w:font="Symbol" w:char="F0B1"/>
            </w:r>
            <w:r>
              <w:rPr>
                <w:rFonts w:ascii="Times New Roman" w:hAnsi="Times New Roman" w:cs="Times New Roman"/>
              </w:rPr>
              <w:t xml:space="preserve"> 3.72</w:t>
            </w:r>
          </w:p>
        </w:tc>
        <w:tc>
          <w:tcPr>
            <w:tcW w:w="2337" w:type="dxa"/>
            <w:tcBorders>
              <w:bottom w:val="single" w:sz="18" w:space="0" w:color="auto"/>
            </w:tcBorders>
          </w:tcPr>
          <w:p w14:paraId="39EC494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41.63</w:t>
            </w:r>
          </w:p>
        </w:tc>
        <w:tc>
          <w:tcPr>
            <w:tcW w:w="2338" w:type="dxa"/>
            <w:tcBorders>
              <w:bottom w:val="single" w:sz="18" w:space="0" w:color="auto"/>
            </w:tcBorders>
          </w:tcPr>
          <w:p w14:paraId="38C36595"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206.71</w:t>
            </w:r>
          </w:p>
        </w:tc>
      </w:tr>
    </w:tbl>
    <w:p w14:paraId="65C64D8A" w14:textId="77777777" w:rsidR="0065584C" w:rsidRDefault="0065584C" w:rsidP="005B15BA">
      <w:pPr>
        <w:pStyle w:val="Heading3"/>
      </w:pPr>
      <w:bookmarkStart w:id="23" w:name="_Toc85791409"/>
      <w:r>
        <w:t>T-tests</w:t>
      </w:r>
      <w:bookmarkEnd w:id="23"/>
    </w:p>
    <w:p w14:paraId="03999116" w14:textId="19D3B12B" w:rsidR="0065584C" w:rsidRDefault="0065584C" w:rsidP="0065584C">
      <w:pPr>
        <w:spacing w:line="480" w:lineRule="auto"/>
        <w:rPr>
          <w:rFonts w:ascii="Times New Roman" w:hAnsi="Times New Roman" w:cs="Times New Roman"/>
        </w:rPr>
      </w:pPr>
      <w:r>
        <w:rPr>
          <w:rFonts w:ascii="Times New Roman" w:hAnsi="Times New Roman" w:cs="Times New Roman"/>
          <w:b/>
          <w:bCs/>
        </w:rPr>
        <w:tab/>
      </w:r>
      <w:r w:rsidR="003A58B5">
        <w:rPr>
          <w:rFonts w:ascii="Times New Roman" w:hAnsi="Times New Roman" w:cs="Times New Roman"/>
        </w:rPr>
        <w:t>Paired samples t-tests were performed comparing the data from the highest and lowest days for Recovery Composite, Stress Composite, Soreness Composite, Sleep Quality, PL, and Total IMA</w:t>
      </w:r>
      <w:r w:rsidR="006D0558">
        <w:rPr>
          <w:rFonts w:ascii="Times New Roman" w:hAnsi="Times New Roman" w:cs="Times New Roman"/>
        </w:rPr>
        <w:t xml:space="preserve"> and can be examined in Table 3.</w:t>
      </w:r>
      <w:r w:rsidR="003A58B5">
        <w:rPr>
          <w:rFonts w:ascii="Times New Roman" w:hAnsi="Times New Roman" w:cs="Times New Roman"/>
        </w:rPr>
        <w:t xml:space="preserve"> </w:t>
      </w:r>
      <w:r w:rsidR="006D0558">
        <w:rPr>
          <w:rFonts w:ascii="Times New Roman" w:hAnsi="Times New Roman" w:cs="Times New Roman"/>
        </w:rPr>
        <w:t>Briefly, w</w:t>
      </w:r>
      <w:r w:rsidR="003A58B5">
        <w:rPr>
          <w:rFonts w:ascii="Times New Roman" w:hAnsi="Times New Roman" w:cs="Times New Roman"/>
        </w:rPr>
        <w:t>hen considering the highest and lowest Recovery Composite days, the variables that demonstrated significant differences between the two days included Stress Composite (p = 0.020), IMA Medium (p = 0.008), and IMA Low (p = 0.011).</w:t>
      </w:r>
    </w:p>
    <w:p w14:paraId="355FA653" w14:textId="77777777" w:rsidR="0065584C" w:rsidRDefault="0065584C" w:rsidP="0065584C">
      <w:pPr>
        <w:spacing w:line="480" w:lineRule="auto"/>
        <w:rPr>
          <w:rFonts w:ascii="Times New Roman" w:hAnsi="Times New Roman" w:cs="Times New Roman"/>
        </w:rPr>
      </w:pPr>
    </w:p>
    <w:p w14:paraId="317C93DF" w14:textId="77777777" w:rsidR="0065584C" w:rsidRDefault="0065584C" w:rsidP="0065584C">
      <w:pPr>
        <w:spacing w:line="480" w:lineRule="auto"/>
        <w:rPr>
          <w:rFonts w:ascii="Times New Roman" w:hAnsi="Times New Roman" w:cs="Times New Roman"/>
        </w:rPr>
      </w:pPr>
    </w:p>
    <w:p w14:paraId="1341A410" w14:textId="1234E439" w:rsidR="0065584C" w:rsidRDefault="0065584C" w:rsidP="0065584C">
      <w:pPr>
        <w:spacing w:line="480" w:lineRule="auto"/>
        <w:rPr>
          <w:rFonts w:ascii="Times New Roman" w:hAnsi="Times New Roman" w:cs="Times New Roman"/>
        </w:rPr>
      </w:pPr>
    </w:p>
    <w:p w14:paraId="12241E66" w14:textId="04C05817" w:rsidR="006D0558" w:rsidRDefault="006D0558" w:rsidP="0065584C">
      <w:pPr>
        <w:spacing w:line="480" w:lineRule="auto"/>
        <w:rPr>
          <w:rFonts w:ascii="Times New Roman" w:hAnsi="Times New Roman" w:cs="Times New Roman"/>
        </w:rPr>
      </w:pPr>
    </w:p>
    <w:p w14:paraId="62002699" w14:textId="77777777" w:rsidR="006D0558" w:rsidRDefault="006D0558" w:rsidP="0065584C">
      <w:pPr>
        <w:spacing w:line="480" w:lineRule="auto"/>
        <w:rPr>
          <w:rFonts w:ascii="Times New Roman" w:hAnsi="Times New Roman" w:cs="Times New Roman"/>
        </w:rPr>
      </w:pPr>
    </w:p>
    <w:p w14:paraId="583FA951" w14:textId="77777777" w:rsidR="0065584C" w:rsidRDefault="0065584C" w:rsidP="0065584C">
      <w:pPr>
        <w:spacing w:line="480" w:lineRule="auto"/>
        <w:rPr>
          <w:rFonts w:ascii="Times New Roman" w:hAnsi="Times New Roman" w:cs="Times New Roman"/>
        </w:rPr>
      </w:pPr>
    </w:p>
    <w:p w14:paraId="4219EFE1" w14:textId="49F3B37C" w:rsidR="006D0558" w:rsidRDefault="006D0558" w:rsidP="006D0558">
      <w:pPr>
        <w:rPr>
          <w:rFonts w:ascii="Times New Roman" w:hAnsi="Times New Roman" w:cs="Times New Roman"/>
        </w:rPr>
      </w:pPr>
      <w:r>
        <w:rPr>
          <w:rFonts w:ascii="Times New Roman" w:hAnsi="Times New Roman" w:cs="Times New Roman"/>
          <w:b/>
          <w:bCs/>
        </w:rPr>
        <w:lastRenderedPageBreak/>
        <w:t xml:space="preserve">Table 3: </w:t>
      </w:r>
      <w:r>
        <w:rPr>
          <w:rFonts w:ascii="Times New Roman" w:hAnsi="Times New Roman" w:cs="Times New Roman"/>
        </w:rPr>
        <w:t>Recovery composite high day and low day with corresponding internal</w:t>
      </w:r>
      <w:r w:rsidRPr="00350632">
        <w:rPr>
          <w:rFonts w:ascii="Times New Roman" w:hAnsi="Times New Roman" w:cs="Times New Roman"/>
          <w:vertAlign w:val="superscript"/>
        </w:rPr>
        <w:t>a</w:t>
      </w:r>
      <w:r>
        <w:rPr>
          <w:rFonts w:ascii="Times New Roman" w:hAnsi="Times New Roman" w:cs="Times New Roman"/>
        </w:rPr>
        <w:t xml:space="preserve"> (n=18) and external</w:t>
      </w:r>
      <w:r w:rsidRPr="00350632">
        <w:rPr>
          <w:rFonts w:ascii="Times New Roman" w:hAnsi="Times New Roman" w:cs="Times New Roman"/>
          <w:vertAlign w:val="superscript"/>
        </w:rPr>
        <w:t>b</w:t>
      </w:r>
      <w:r>
        <w:rPr>
          <w:rFonts w:ascii="Times New Roman" w:hAnsi="Times New Roman" w:cs="Times New Roman"/>
        </w:rPr>
        <w:t xml:space="preserve"> (n=8) load values which occurred on that same day.</w:t>
      </w:r>
    </w:p>
    <w:tbl>
      <w:tblPr>
        <w:tblStyle w:val="PlainTable2"/>
        <w:tblW w:w="0" w:type="auto"/>
        <w:tblLook w:val="06A0" w:firstRow="1" w:lastRow="0" w:firstColumn="1" w:lastColumn="0" w:noHBand="1" w:noVBand="1"/>
      </w:tblPr>
      <w:tblGrid>
        <w:gridCol w:w="1994"/>
        <w:gridCol w:w="1847"/>
        <w:gridCol w:w="1848"/>
        <w:gridCol w:w="2042"/>
        <w:gridCol w:w="1629"/>
      </w:tblGrid>
      <w:tr w:rsidR="0065584C" w14:paraId="18883B5A" w14:textId="77777777" w:rsidTr="002B29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4" w:type="dxa"/>
            <w:tcBorders>
              <w:top w:val="single" w:sz="18" w:space="0" w:color="auto"/>
              <w:bottom w:val="single" w:sz="18" w:space="0" w:color="auto"/>
            </w:tcBorders>
          </w:tcPr>
          <w:p w14:paraId="29FCF78F" w14:textId="77777777" w:rsidR="0065584C" w:rsidRDefault="0065584C" w:rsidP="002B2917">
            <w:pPr>
              <w:spacing w:line="480" w:lineRule="auto"/>
              <w:rPr>
                <w:rFonts w:ascii="Times New Roman" w:hAnsi="Times New Roman" w:cs="Times New Roman"/>
              </w:rPr>
            </w:pPr>
          </w:p>
        </w:tc>
        <w:tc>
          <w:tcPr>
            <w:tcW w:w="1847" w:type="dxa"/>
            <w:tcBorders>
              <w:top w:val="single" w:sz="18" w:space="0" w:color="auto"/>
              <w:bottom w:val="single" w:sz="18" w:space="0" w:color="auto"/>
            </w:tcBorders>
          </w:tcPr>
          <w:p w14:paraId="68B1E09E"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High Value</w:t>
            </w:r>
          </w:p>
        </w:tc>
        <w:tc>
          <w:tcPr>
            <w:tcW w:w="1848" w:type="dxa"/>
            <w:tcBorders>
              <w:top w:val="single" w:sz="18" w:space="0" w:color="auto"/>
              <w:bottom w:val="single" w:sz="18" w:space="0" w:color="auto"/>
            </w:tcBorders>
          </w:tcPr>
          <w:p w14:paraId="0B030C08"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Low Value</w:t>
            </w:r>
          </w:p>
        </w:tc>
        <w:tc>
          <w:tcPr>
            <w:tcW w:w="2042" w:type="dxa"/>
            <w:tcBorders>
              <w:top w:val="single" w:sz="18" w:space="0" w:color="auto"/>
              <w:bottom w:val="single" w:sz="18" w:space="0" w:color="auto"/>
            </w:tcBorders>
          </w:tcPr>
          <w:p w14:paraId="0EF14156"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Significance</w:t>
            </w:r>
          </w:p>
        </w:tc>
        <w:tc>
          <w:tcPr>
            <w:tcW w:w="1629" w:type="dxa"/>
            <w:tcBorders>
              <w:top w:val="single" w:sz="18" w:space="0" w:color="auto"/>
              <w:bottom w:val="single" w:sz="18" w:space="0" w:color="auto"/>
            </w:tcBorders>
          </w:tcPr>
          <w:p w14:paraId="58643D15"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Effect Size</w:t>
            </w:r>
          </w:p>
        </w:tc>
      </w:tr>
      <w:tr w:rsidR="0065584C" w14:paraId="00C5A2E5" w14:textId="77777777" w:rsidTr="002B2917">
        <w:tc>
          <w:tcPr>
            <w:cnfStyle w:val="001000000000" w:firstRow="0" w:lastRow="0" w:firstColumn="1" w:lastColumn="0" w:oddVBand="0" w:evenVBand="0" w:oddHBand="0" w:evenHBand="0" w:firstRowFirstColumn="0" w:firstRowLastColumn="0" w:lastRowFirstColumn="0" w:lastRowLastColumn="0"/>
            <w:tcW w:w="1994" w:type="dxa"/>
            <w:tcBorders>
              <w:top w:val="single" w:sz="18" w:space="0" w:color="auto"/>
            </w:tcBorders>
          </w:tcPr>
          <w:p w14:paraId="3D59B4AD" w14:textId="4BCF366F" w:rsidR="0065584C" w:rsidRDefault="0065584C" w:rsidP="002B2917">
            <w:pPr>
              <w:spacing w:line="480" w:lineRule="auto"/>
              <w:rPr>
                <w:rFonts w:ascii="Times New Roman" w:hAnsi="Times New Roman" w:cs="Times New Roman"/>
              </w:rPr>
            </w:pPr>
            <w:r>
              <w:rPr>
                <w:rFonts w:ascii="Times New Roman" w:hAnsi="Times New Roman" w:cs="Times New Roman"/>
              </w:rPr>
              <w:t xml:space="preserve">Recovery </w:t>
            </w:r>
            <w:proofErr w:type="spellStart"/>
            <w:r w:rsidR="00A2690A">
              <w:rPr>
                <w:rFonts w:ascii="Times New Roman" w:hAnsi="Times New Roman" w:cs="Times New Roman"/>
              </w:rPr>
              <w:t>c</w:t>
            </w:r>
            <w:r>
              <w:rPr>
                <w:rFonts w:ascii="Times New Roman" w:hAnsi="Times New Roman" w:cs="Times New Roman"/>
              </w:rPr>
              <w:t>omp</w:t>
            </w:r>
            <w:r w:rsidR="00350632" w:rsidRPr="00350632">
              <w:rPr>
                <w:rFonts w:ascii="Times New Roman" w:hAnsi="Times New Roman" w:cs="Times New Roman"/>
                <w:b w:val="0"/>
                <w:bCs w:val="0"/>
                <w:vertAlign w:val="superscript"/>
              </w:rPr>
              <w:t>a</w:t>
            </w:r>
            <w:proofErr w:type="spellEnd"/>
          </w:p>
        </w:tc>
        <w:tc>
          <w:tcPr>
            <w:tcW w:w="1847" w:type="dxa"/>
            <w:tcBorders>
              <w:top w:val="single" w:sz="18" w:space="0" w:color="auto"/>
            </w:tcBorders>
          </w:tcPr>
          <w:p w14:paraId="3575278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13.00 </w:t>
            </w:r>
            <w:r>
              <w:rPr>
                <w:rFonts w:ascii="Times New Roman" w:hAnsi="Times New Roman" w:cs="Times New Roman"/>
              </w:rPr>
              <w:sym w:font="Symbol" w:char="F0B1"/>
            </w:r>
            <w:r>
              <w:rPr>
                <w:rFonts w:ascii="Times New Roman" w:hAnsi="Times New Roman" w:cs="Times New Roman"/>
              </w:rPr>
              <w:t xml:space="preserve"> 0.49</w:t>
            </w:r>
          </w:p>
        </w:tc>
        <w:tc>
          <w:tcPr>
            <w:tcW w:w="1848" w:type="dxa"/>
            <w:tcBorders>
              <w:top w:val="single" w:sz="18" w:space="0" w:color="auto"/>
            </w:tcBorders>
          </w:tcPr>
          <w:p w14:paraId="6A7AB90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12.29 </w:t>
            </w:r>
            <w:r>
              <w:rPr>
                <w:rFonts w:ascii="Times New Roman" w:hAnsi="Times New Roman" w:cs="Times New Roman"/>
              </w:rPr>
              <w:sym w:font="Symbol" w:char="F0B1"/>
            </w:r>
            <w:r>
              <w:rPr>
                <w:rFonts w:ascii="Times New Roman" w:hAnsi="Times New Roman" w:cs="Times New Roman"/>
              </w:rPr>
              <w:t xml:space="preserve"> 1.57</w:t>
            </w:r>
          </w:p>
        </w:tc>
        <w:tc>
          <w:tcPr>
            <w:tcW w:w="2042" w:type="dxa"/>
            <w:tcBorders>
              <w:top w:val="single" w:sz="18" w:space="0" w:color="auto"/>
            </w:tcBorders>
          </w:tcPr>
          <w:p w14:paraId="0119A1A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0.113</w:t>
            </w:r>
          </w:p>
        </w:tc>
        <w:tc>
          <w:tcPr>
            <w:tcW w:w="1629" w:type="dxa"/>
            <w:tcBorders>
              <w:top w:val="single" w:sz="18" w:space="0" w:color="auto"/>
            </w:tcBorders>
          </w:tcPr>
          <w:p w14:paraId="4F5B6885"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0.854</w:t>
            </w:r>
          </w:p>
        </w:tc>
      </w:tr>
      <w:tr w:rsidR="0065584C" w14:paraId="79042E79"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3906CB56" w14:textId="67682088" w:rsidR="0065584C" w:rsidRDefault="0065584C" w:rsidP="002B2917">
            <w:pPr>
              <w:spacing w:line="480" w:lineRule="auto"/>
              <w:rPr>
                <w:rFonts w:ascii="Times New Roman" w:hAnsi="Times New Roman" w:cs="Times New Roman"/>
              </w:rPr>
            </w:pPr>
            <w:r>
              <w:rPr>
                <w:rFonts w:ascii="Times New Roman" w:hAnsi="Times New Roman" w:cs="Times New Roman"/>
              </w:rPr>
              <w:t xml:space="preserve">Stress </w:t>
            </w:r>
            <w:proofErr w:type="spellStart"/>
            <w:r w:rsidR="00A2690A">
              <w:rPr>
                <w:rFonts w:ascii="Times New Roman" w:hAnsi="Times New Roman" w:cs="Times New Roman"/>
              </w:rPr>
              <w:t>c</w:t>
            </w:r>
            <w:r>
              <w:rPr>
                <w:rFonts w:ascii="Times New Roman" w:hAnsi="Times New Roman" w:cs="Times New Roman"/>
              </w:rPr>
              <w:t>omp</w:t>
            </w:r>
            <w:r w:rsidR="00350632" w:rsidRPr="00350632">
              <w:rPr>
                <w:rFonts w:ascii="Times New Roman" w:hAnsi="Times New Roman" w:cs="Times New Roman"/>
                <w:b w:val="0"/>
                <w:bCs w:val="0"/>
                <w:vertAlign w:val="superscript"/>
              </w:rPr>
              <w:t>a</w:t>
            </w:r>
            <w:proofErr w:type="spellEnd"/>
          </w:p>
        </w:tc>
        <w:tc>
          <w:tcPr>
            <w:tcW w:w="1847" w:type="dxa"/>
          </w:tcPr>
          <w:p w14:paraId="54B3792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8.57 </w:t>
            </w:r>
            <w:r>
              <w:rPr>
                <w:rFonts w:ascii="Times New Roman" w:hAnsi="Times New Roman" w:cs="Times New Roman"/>
              </w:rPr>
              <w:sym w:font="Symbol" w:char="F0B1"/>
            </w:r>
            <w:r>
              <w:rPr>
                <w:rFonts w:ascii="Times New Roman" w:hAnsi="Times New Roman" w:cs="Times New Roman"/>
              </w:rPr>
              <w:t xml:space="preserve"> 1.84</w:t>
            </w:r>
          </w:p>
        </w:tc>
        <w:tc>
          <w:tcPr>
            <w:tcW w:w="1848" w:type="dxa"/>
          </w:tcPr>
          <w:p w14:paraId="043BF3D0"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11.71 </w:t>
            </w:r>
            <w:r>
              <w:rPr>
                <w:rFonts w:ascii="Times New Roman" w:hAnsi="Times New Roman" w:cs="Times New Roman"/>
              </w:rPr>
              <w:sym w:font="Symbol" w:char="F0B1"/>
            </w:r>
            <w:r>
              <w:rPr>
                <w:rFonts w:ascii="Times New Roman" w:hAnsi="Times New Roman" w:cs="Times New Roman"/>
              </w:rPr>
              <w:t xml:space="preserve"> 1.97</w:t>
            </w:r>
          </w:p>
        </w:tc>
        <w:tc>
          <w:tcPr>
            <w:tcW w:w="2042" w:type="dxa"/>
          </w:tcPr>
          <w:p w14:paraId="0B0524D8" w14:textId="32D40281" w:rsidR="0065584C" w:rsidRDefault="00314A10"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 0.020</w:t>
            </w:r>
            <w:r w:rsidR="003A58B5">
              <w:rPr>
                <w:rFonts w:ascii="Times New Roman" w:hAnsi="Times New Roman" w:cs="Times New Roman"/>
              </w:rPr>
              <w:t>*</w:t>
            </w:r>
          </w:p>
        </w:tc>
        <w:tc>
          <w:tcPr>
            <w:tcW w:w="1629" w:type="dxa"/>
          </w:tcPr>
          <w:p w14:paraId="5F63215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1.100</w:t>
            </w:r>
          </w:p>
        </w:tc>
      </w:tr>
      <w:tr w:rsidR="0065584C" w14:paraId="7A9897E0"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3077C68D" w14:textId="20B4E3F0" w:rsidR="0065584C" w:rsidRDefault="0065584C" w:rsidP="002B2917">
            <w:pPr>
              <w:spacing w:line="480" w:lineRule="auto"/>
              <w:rPr>
                <w:rFonts w:ascii="Times New Roman" w:hAnsi="Times New Roman" w:cs="Times New Roman"/>
              </w:rPr>
            </w:pPr>
            <w:r>
              <w:rPr>
                <w:rFonts w:ascii="Times New Roman" w:hAnsi="Times New Roman" w:cs="Times New Roman"/>
              </w:rPr>
              <w:t xml:space="preserve">Soreness </w:t>
            </w:r>
            <w:proofErr w:type="spellStart"/>
            <w:r w:rsidR="00A2690A">
              <w:rPr>
                <w:rFonts w:ascii="Times New Roman" w:hAnsi="Times New Roman" w:cs="Times New Roman"/>
              </w:rPr>
              <w:t>c</w:t>
            </w:r>
            <w:r>
              <w:rPr>
                <w:rFonts w:ascii="Times New Roman" w:hAnsi="Times New Roman" w:cs="Times New Roman"/>
              </w:rPr>
              <w:t>omp</w:t>
            </w:r>
            <w:r w:rsidR="00350632" w:rsidRPr="00350632">
              <w:rPr>
                <w:rFonts w:ascii="Times New Roman" w:hAnsi="Times New Roman" w:cs="Times New Roman"/>
                <w:b w:val="0"/>
                <w:bCs w:val="0"/>
                <w:vertAlign w:val="superscript"/>
              </w:rPr>
              <w:t>a</w:t>
            </w:r>
            <w:proofErr w:type="spellEnd"/>
          </w:p>
        </w:tc>
        <w:tc>
          <w:tcPr>
            <w:tcW w:w="1847" w:type="dxa"/>
          </w:tcPr>
          <w:p w14:paraId="7E08ECF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142.14 </w:t>
            </w:r>
            <w:r>
              <w:rPr>
                <w:rFonts w:ascii="Times New Roman" w:hAnsi="Times New Roman" w:cs="Times New Roman"/>
              </w:rPr>
              <w:sym w:font="Symbol" w:char="F0B1"/>
            </w:r>
            <w:r>
              <w:rPr>
                <w:rFonts w:ascii="Times New Roman" w:hAnsi="Times New Roman" w:cs="Times New Roman"/>
              </w:rPr>
              <w:t xml:space="preserve"> 33.08</w:t>
            </w:r>
          </w:p>
        </w:tc>
        <w:tc>
          <w:tcPr>
            <w:tcW w:w="1848" w:type="dxa"/>
          </w:tcPr>
          <w:p w14:paraId="377755C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201.86 </w:t>
            </w:r>
            <w:r>
              <w:rPr>
                <w:rFonts w:ascii="Times New Roman" w:hAnsi="Times New Roman" w:cs="Times New Roman"/>
              </w:rPr>
              <w:sym w:font="Symbol" w:char="F0B1"/>
            </w:r>
            <w:r>
              <w:rPr>
                <w:rFonts w:ascii="Times New Roman" w:hAnsi="Times New Roman" w:cs="Times New Roman"/>
              </w:rPr>
              <w:t xml:space="preserve"> 45.76</w:t>
            </w:r>
          </w:p>
        </w:tc>
        <w:tc>
          <w:tcPr>
            <w:tcW w:w="2042" w:type="dxa"/>
          </w:tcPr>
          <w:p w14:paraId="7821DCE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0.055</w:t>
            </w:r>
          </w:p>
        </w:tc>
        <w:tc>
          <w:tcPr>
            <w:tcW w:w="1629" w:type="dxa"/>
          </w:tcPr>
          <w:p w14:paraId="4624533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0.708</w:t>
            </w:r>
          </w:p>
        </w:tc>
      </w:tr>
      <w:tr w:rsidR="0065584C" w14:paraId="5C24F54A"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4B077019" w14:textId="5699428E" w:rsidR="0065584C" w:rsidRDefault="0065584C" w:rsidP="002B2917">
            <w:pPr>
              <w:spacing w:line="480" w:lineRule="auto"/>
              <w:rPr>
                <w:rFonts w:ascii="Times New Roman" w:hAnsi="Times New Roman" w:cs="Times New Roman"/>
              </w:rPr>
            </w:pPr>
            <w:proofErr w:type="spellStart"/>
            <w:r>
              <w:rPr>
                <w:rFonts w:ascii="Times New Roman" w:hAnsi="Times New Roman" w:cs="Times New Roman"/>
              </w:rPr>
              <w:t>Sleep</w:t>
            </w:r>
            <w:r w:rsidR="00350632" w:rsidRPr="00350632">
              <w:rPr>
                <w:rFonts w:ascii="Times New Roman" w:hAnsi="Times New Roman" w:cs="Times New Roman"/>
                <w:b w:val="0"/>
                <w:bCs w:val="0"/>
                <w:vertAlign w:val="superscript"/>
              </w:rPr>
              <w:t>a</w:t>
            </w:r>
            <w:proofErr w:type="spellEnd"/>
          </w:p>
        </w:tc>
        <w:tc>
          <w:tcPr>
            <w:tcW w:w="1847" w:type="dxa"/>
          </w:tcPr>
          <w:p w14:paraId="77645582"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58.43 </w:t>
            </w:r>
            <w:r>
              <w:rPr>
                <w:rFonts w:ascii="Times New Roman" w:hAnsi="Times New Roman" w:cs="Times New Roman"/>
              </w:rPr>
              <w:sym w:font="Symbol" w:char="F0B1"/>
            </w:r>
            <w:r>
              <w:rPr>
                <w:rFonts w:ascii="Times New Roman" w:hAnsi="Times New Roman" w:cs="Times New Roman"/>
              </w:rPr>
              <w:t xml:space="preserve"> 6.64</w:t>
            </w:r>
          </w:p>
        </w:tc>
        <w:tc>
          <w:tcPr>
            <w:tcW w:w="1848" w:type="dxa"/>
          </w:tcPr>
          <w:p w14:paraId="5F3141AE"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52.57 </w:t>
            </w:r>
            <w:r>
              <w:rPr>
                <w:rFonts w:ascii="Times New Roman" w:hAnsi="Times New Roman" w:cs="Times New Roman"/>
              </w:rPr>
              <w:sym w:font="Symbol" w:char="F0B1"/>
            </w:r>
            <w:r>
              <w:rPr>
                <w:rFonts w:ascii="Times New Roman" w:hAnsi="Times New Roman" w:cs="Times New Roman"/>
              </w:rPr>
              <w:t xml:space="preserve"> 8.49</w:t>
            </w:r>
          </w:p>
        </w:tc>
        <w:tc>
          <w:tcPr>
            <w:tcW w:w="2042" w:type="dxa"/>
          </w:tcPr>
          <w:p w14:paraId="7FB187F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0.180</w:t>
            </w:r>
          </w:p>
        </w:tc>
        <w:tc>
          <w:tcPr>
            <w:tcW w:w="1629" w:type="dxa"/>
          </w:tcPr>
          <w:p w14:paraId="58B96A0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0.605</w:t>
            </w:r>
          </w:p>
        </w:tc>
      </w:tr>
      <w:tr w:rsidR="0065584C" w14:paraId="66B2EC91"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10E30FEC" w14:textId="509B2FA8"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Total</w:t>
            </w:r>
            <w:r w:rsidR="00350632" w:rsidRPr="00350632">
              <w:rPr>
                <w:rFonts w:ascii="Times New Roman" w:hAnsi="Times New Roman" w:cs="Times New Roman"/>
                <w:b w:val="0"/>
                <w:bCs w:val="0"/>
                <w:vertAlign w:val="superscript"/>
              </w:rPr>
              <w:t>b</w:t>
            </w:r>
            <w:proofErr w:type="spellEnd"/>
          </w:p>
        </w:tc>
        <w:tc>
          <w:tcPr>
            <w:tcW w:w="1847" w:type="dxa"/>
          </w:tcPr>
          <w:p w14:paraId="71E683C2"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113.29 </w:t>
            </w:r>
            <w:r>
              <w:rPr>
                <w:rFonts w:ascii="Times New Roman" w:hAnsi="Times New Roman" w:cs="Times New Roman"/>
              </w:rPr>
              <w:sym w:font="Symbol" w:char="F0B1"/>
            </w:r>
            <w:r>
              <w:rPr>
                <w:rFonts w:ascii="Times New Roman" w:hAnsi="Times New Roman" w:cs="Times New Roman"/>
              </w:rPr>
              <w:t xml:space="preserve"> 16.26</w:t>
            </w:r>
          </w:p>
        </w:tc>
        <w:tc>
          <w:tcPr>
            <w:tcW w:w="1848" w:type="dxa"/>
          </w:tcPr>
          <w:p w14:paraId="33599E11"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85.86 </w:t>
            </w:r>
            <w:r>
              <w:rPr>
                <w:rFonts w:ascii="Times New Roman" w:hAnsi="Times New Roman" w:cs="Times New Roman"/>
              </w:rPr>
              <w:sym w:font="Symbol" w:char="F0B1"/>
            </w:r>
            <w:r>
              <w:rPr>
                <w:rFonts w:ascii="Times New Roman" w:hAnsi="Times New Roman" w:cs="Times New Roman"/>
              </w:rPr>
              <w:t xml:space="preserve"> 15.87</w:t>
            </w:r>
          </w:p>
        </w:tc>
        <w:tc>
          <w:tcPr>
            <w:tcW w:w="2042" w:type="dxa"/>
          </w:tcPr>
          <w:p w14:paraId="1011BDEE"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0.060</w:t>
            </w:r>
          </w:p>
        </w:tc>
        <w:tc>
          <w:tcPr>
            <w:tcW w:w="1629" w:type="dxa"/>
          </w:tcPr>
          <w:p w14:paraId="13B01F71"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1.707</w:t>
            </w:r>
          </w:p>
        </w:tc>
      </w:tr>
      <w:tr w:rsidR="0065584C" w14:paraId="041D6B32"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792A718E" w14:textId="6C801359"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High</w:t>
            </w:r>
            <w:r w:rsidR="00350632" w:rsidRPr="00350632">
              <w:rPr>
                <w:rFonts w:ascii="Times New Roman" w:hAnsi="Times New Roman" w:cs="Times New Roman"/>
                <w:b w:val="0"/>
                <w:bCs w:val="0"/>
                <w:vertAlign w:val="superscript"/>
              </w:rPr>
              <w:t>b</w:t>
            </w:r>
            <w:proofErr w:type="spellEnd"/>
          </w:p>
        </w:tc>
        <w:tc>
          <w:tcPr>
            <w:tcW w:w="1847" w:type="dxa"/>
          </w:tcPr>
          <w:p w14:paraId="6C53509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29.00 </w:t>
            </w:r>
            <w:r>
              <w:rPr>
                <w:rFonts w:ascii="Times New Roman" w:hAnsi="Times New Roman" w:cs="Times New Roman"/>
              </w:rPr>
              <w:sym w:font="Symbol" w:char="F0B1"/>
            </w:r>
            <w:r>
              <w:rPr>
                <w:rFonts w:ascii="Times New Roman" w:hAnsi="Times New Roman" w:cs="Times New Roman"/>
              </w:rPr>
              <w:t xml:space="preserve"> 2.62</w:t>
            </w:r>
          </w:p>
        </w:tc>
        <w:tc>
          <w:tcPr>
            <w:tcW w:w="1848" w:type="dxa"/>
          </w:tcPr>
          <w:p w14:paraId="5347A25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21.71 </w:t>
            </w:r>
            <w:r>
              <w:rPr>
                <w:rFonts w:ascii="Times New Roman" w:hAnsi="Times New Roman" w:cs="Times New Roman"/>
              </w:rPr>
              <w:sym w:font="Symbol" w:char="F0B1"/>
            </w:r>
            <w:r>
              <w:rPr>
                <w:rFonts w:ascii="Times New Roman" w:hAnsi="Times New Roman" w:cs="Times New Roman"/>
              </w:rPr>
              <w:t xml:space="preserve"> 5.17</w:t>
            </w:r>
          </w:p>
        </w:tc>
        <w:tc>
          <w:tcPr>
            <w:tcW w:w="2042" w:type="dxa"/>
          </w:tcPr>
          <w:p w14:paraId="7E2CF78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0.299</w:t>
            </w:r>
          </w:p>
        </w:tc>
        <w:tc>
          <w:tcPr>
            <w:tcW w:w="1629" w:type="dxa"/>
          </w:tcPr>
          <w:p w14:paraId="1E2171F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1.779</w:t>
            </w:r>
          </w:p>
        </w:tc>
      </w:tr>
      <w:tr w:rsidR="0065584C" w14:paraId="44AFDA21"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77A61090" w14:textId="08733CF0"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Medium</w:t>
            </w:r>
            <w:r w:rsidR="00350632" w:rsidRPr="00350632">
              <w:rPr>
                <w:rFonts w:ascii="Times New Roman" w:hAnsi="Times New Roman" w:cs="Times New Roman"/>
                <w:b w:val="0"/>
                <w:bCs w:val="0"/>
                <w:vertAlign w:val="superscript"/>
              </w:rPr>
              <w:t>b</w:t>
            </w:r>
            <w:proofErr w:type="spellEnd"/>
          </w:p>
        </w:tc>
        <w:tc>
          <w:tcPr>
            <w:tcW w:w="1847" w:type="dxa"/>
          </w:tcPr>
          <w:p w14:paraId="38D65561"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111.85 </w:t>
            </w:r>
            <w:r>
              <w:rPr>
                <w:rFonts w:ascii="Times New Roman" w:hAnsi="Times New Roman" w:cs="Times New Roman"/>
              </w:rPr>
              <w:sym w:font="Symbol" w:char="F0B1"/>
            </w:r>
            <w:r>
              <w:rPr>
                <w:rFonts w:ascii="Times New Roman" w:hAnsi="Times New Roman" w:cs="Times New Roman"/>
              </w:rPr>
              <w:t xml:space="preserve"> 22.71</w:t>
            </w:r>
          </w:p>
        </w:tc>
        <w:tc>
          <w:tcPr>
            <w:tcW w:w="1848" w:type="dxa"/>
          </w:tcPr>
          <w:p w14:paraId="119647D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28.71 </w:t>
            </w:r>
            <w:r>
              <w:rPr>
                <w:rFonts w:ascii="Times New Roman" w:hAnsi="Times New Roman" w:cs="Times New Roman"/>
              </w:rPr>
              <w:sym w:font="Symbol" w:char="F0B1"/>
            </w:r>
            <w:r>
              <w:rPr>
                <w:rFonts w:ascii="Times New Roman" w:hAnsi="Times New Roman" w:cs="Times New Roman"/>
              </w:rPr>
              <w:t xml:space="preserve"> 7.42</w:t>
            </w:r>
          </w:p>
        </w:tc>
        <w:tc>
          <w:tcPr>
            <w:tcW w:w="2042" w:type="dxa"/>
          </w:tcPr>
          <w:p w14:paraId="4D4E3E78" w14:textId="2582B6C2" w:rsidR="0065584C" w:rsidRDefault="00314A10"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 0.008</w:t>
            </w:r>
            <w:r w:rsidR="003A58B5">
              <w:rPr>
                <w:rFonts w:ascii="Times New Roman" w:hAnsi="Times New Roman" w:cs="Times New Roman"/>
              </w:rPr>
              <w:t>*</w:t>
            </w:r>
          </w:p>
        </w:tc>
        <w:tc>
          <w:tcPr>
            <w:tcW w:w="1629" w:type="dxa"/>
          </w:tcPr>
          <w:p w14:paraId="4DBF731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4.921</w:t>
            </w:r>
          </w:p>
        </w:tc>
      </w:tr>
      <w:tr w:rsidR="0065584C" w14:paraId="5BF9CC1A"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294FFF7A" w14:textId="47F5838D"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Low</w:t>
            </w:r>
            <w:r w:rsidR="00350632" w:rsidRPr="00350632">
              <w:rPr>
                <w:rFonts w:ascii="Times New Roman" w:hAnsi="Times New Roman" w:cs="Times New Roman"/>
                <w:b w:val="0"/>
                <w:bCs w:val="0"/>
                <w:vertAlign w:val="superscript"/>
              </w:rPr>
              <w:t>b</w:t>
            </w:r>
            <w:proofErr w:type="spellEnd"/>
          </w:p>
        </w:tc>
        <w:tc>
          <w:tcPr>
            <w:tcW w:w="1847" w:type="dxa"/>
          </w:tcPr>
          <w:p w14:paraId="7D08BCD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90.43 </w:t>
            </w:r>
            <w:r>
              <w:rPr>
                <w:rFonts w:ascii="Times New Roman" w:hAnsi="Times New Roman" w:cs="Times New Roman"/>
              </w:rPr>
              <w:sym w:font="Symbol" w:char="F0B1"/>
            </w:r>
            <w:r>
              <w:rPr>
                <w:rFonts w:ascii="Times New Roman" w:hAnsi="Times New Roman" w:cs="Times New Roman"/>
              </w:rPr>
              <w:t xml:space="preserve"> 24.14</w:t>
            </w:r>
          </w:p>
        </w:tc>
        <w:tc>
          <w:tcPr>
            <w:tcW w:w="1848" w:type="dxa"/>
          </w:tcPr>
          <w:p w14:paraId="534175E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7.71 </w:t>
            </w:r>
            <w:r>
              <w:rPr>
                <w:rFonts w:ascii="Times New Roman" w:hAnsi="Times New Roman" w:cs="Times New Roman"/>
              </w:rPr>
              <w:sym w:font="Symbol" w:char="F0B1"/>
            </w:r>
            <w:r>
              <w:rPr>
                <w:rFonts w:ascii="Times New Roman" w:hAnsi="Times New Roman" w:cs="Times New Roman"/>
              </w:rPr>
              <w:t xml:space="preserve"> 2.15</w:t>
            </w:r>
          </w:p>
        </w:tc>
        <w:tc>
          <w:tcPr>
            <w:tcW w:w="2042" w:type="dxa"/>
          </w:tcPr>
          <w:p w14:paraId="1155B548" w14:textId="6E43EF26" w:rsidR="0065584C" w:rsidRDefault="00314A10"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 0.011</w:t>
            </w:r>
            <w:r w:rsidR="003A58B5">
              <w:rPr>
                <w:rFonts w:ascii="Times New Roman" w:hAnsi="Times New Roman" w:cs="Times New Roman"/>
              </w:rPr>
              <w:t>*</w:t>
            </w:r>
          </w:p>
        </w:tc>
        <w:tc>
          <w:tcPr>
            <w:tcW w:w="1629" w:type="dxa"/>
          </w:tcPr>
          <w:p w14:paraId="201836C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4.827</w:t>
            </w:r>
          </w:p>
        </w:tc>
      </w:tr>
      <w:tr w:rsidR="0065584C" w14:paraId="70D361C4" w14:textId="77777777" w:rsidTr="002B2917">
        <w:tc>
          <w:tcPr>
            <w:cnfStyle w:val="001000000000" w:firstRow="0" w:lastRow="0" w:firstColumn="1" w:lastColumn="0" w:oddVBand="0" w:evenVBand="0" w:oddHBand="0" w:evenHBand="0" w:firstRowFirstColumn="0" w:firstRowLastColumn="0" w:lastRowFirstColumn="0" w:lastRowLastColumn="0"/>
            <w:tcW w:w="1994" w:type="dxa"/>
            <w:tcBorders>
              <w:bottom w:val="single" w:sz="18" w:space="0" w:color="auto"/>
            </w:tcBorders>
          </w:tcPr>
          <w:p w14:paraId="1917E58D" w14:textId="30C49330" w:rsidR="0065584C" w:rsidRDefault="0065584C" w:rsidP="002B2917">
            <w:pPr>
              <w:spacing w:line="480" w:lineRule="auto"/>
              <w:rPr>
                <w:rFonts w:ascii="Times New Roman" w:hAnsi="Times New Roman" w:cs="Times New Roman"/>
              </w:rPr>
            </w:pPr>
            <w:r>
              <w:rPr>
                <w:rFonts w:ascii="Times New Roman" w:hAnsi="Times New Roman" w:cs="Times New Roman"/>
              </w:rPr>
              <w:t>PL</w:t>
            </w:r>
            <w:r w:rsidR="00350632" w:rsidRPr="00350632">
              <w:rPr>
                <w:rFonts w:ascii="Times New Roman" w:hAnsi="Times New Roman" w:cs="Times New Roman"/>
                <w:b w:val="0"/>
                <w:bCs w:val="0"/>
                <w:vertAlign w:val="superscript"/>
              </w:rPr>
              <w:t>b</w:t>
            </w:r>
          </w:p>
        </w:tc>
        <w:tc>
          <w:tcPr>
            <w:tcW w:w="1847" w:type="dxa"/>
            <w:tcBorders>
              <w:bottom w:val="single" w:sz="18" w:space="0" w:color="auto"/>
            </w:tcBorders>
          </w:tcPr>
          <w:p w14:paraId="44CE1F7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617.61 </w:t>
            </w:r>
            <w:r>
              <w:rPr>
                <w:rFonts w:ascii="Times New Roman" w:hAnsi="Times New Roman" w:cs="Times New Roman"/>
              </w:rPr>
              <w:sym w:font="Symbol" w:char="F0B1"/>
            </w:r>
            <w:r>
              <w:rPr>
                <w:rFonts w:ascii="Times New Roman" w:hAnsi="Times New Roman" w:cs="Times New Roman"/>
              </w:rPr>
              <w:t xml:space="preserve"> 59.57</w:t>
            </w:r>
          </w:p>
        </w:tc>
        <w:tc>
          <w:tcPr>
            <w:tcW w:w="1848" w:type="dxa"/>
            <w:tcBorders>
              <w:bottom w:val="single" w:sz="18" w:space="0" w:color="auto"/>
            </w:tcBorders>
          </w:tcPr>
          <w:p w14:paraId="329A493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344.94 </w:t>
            </w:r>
            <w:r>
              <w:rPr>
                <w:rFonts w:ascii="Times New Roman" w:hAnsi="Times New Roman" w:cs="Times New Roman"/>
              </w:rPr>
              <w:sym w:font="Symbol" w:char="F0B1"/>
            </w:r>
            <w:r>
              <w:rPr>
                <w:rFonts w:ascii="Times New Roman" w:hAnsi="Times New Roman" w:cs="Times New Roman"/>
              </w:rPr>
              <w:t xml:space="preserve"> 25.42</w:t>
            </w:r>
          </w:p>
        </w:tc>
        <w:tc>
          <w:tcPr>
            <w:tcW w:w="2042" w:type="dxa"/>
            <w:tcBorders>
              <w:bottom w:val="single" w:sz="18" w:space="0" w:color="auto"/>
            </w:tcBorders>
          </w:tcPr>
          <w:p w14:paraId="63F777CE" w14:textId="49CF38B9" w:rsidR="0065584C" w:rsidRDefault="00314A10"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&lt; 0.001</w:t>
            </w:r>
            <w:r w:rsidR="003A58B5">
              <w:rPr>
                <w:rFonts w:ascii="Times New Roman" w:hAnsi="Times New Roman" w:cs="Times New Roman"/>
              </w:rPr>
              <w:t>**</w:t>
            </w:r>
          </w:p>
        </w:tc>
        <w:tc>
          <w:tcPr>
            <w:tcW w:w="1629" w:type="dxa"/>
            <w:tcBorders>
              <w:bottom w:val="single" w:sz="18" w:space="0" w:color="auto"/>
            </w:tcBorders>
          </w:tcPr>
          <w:p w14:paraId="27BBF5D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5.954</w:t>
            </w:r>
          </w:p>
        </w:tc>
      </w:tr>
    </w:tbl>
    <w:p w14:paraId="35F6EE87" w14:textId="77777777" w:rsidR="003A58B5" w:rsidRPr="003A58B5" w:rsidRDefault="003A58B5" w:rsidP="003A58B5">
      <w:pPr>
        <w:spacing w:line="276" w:lineRule="auto"/>
        <w:rPr>
          <w:rFonts w:ascii="Times New Roman" w:hAnsi="Times New Roman" w:cs="Times New Roman"/>
        </w:rPr>
      </w:pPr>
      <w:r w:rsidRPr="003A58B5">
        <w:rPr>
          <w:rFonts w:ascii="Times New Roman" w:hAnsi="Times New Roman" w:cs="Times New Roman"/>
        </w:rPr>
        <w:t>* Denotes statistical significance at the p</w:t>
      </w:r>
      <w:r w:rsidRPr="003A58B5">
        <w:rPr>
          <w:rFonts w:ascii="Times New Roman" w:hAnsi="Times New Roman" w:cs="Times New Roman"/>
          <w:u w:val="single"/>
        </w:rPr>
        <w:t>&lt;</w:t>
      </w:r>
      <w:r w:rsidRPr="003A58B5">
        <w:rPr>
          <w:rFonts w:ascii="Times New Roman" w:hAnsi="Times New Roman" w:cs="Times New Roman"/>
        </w:rPr>
        <w:t>0.05 level</w:t>
      </w:r>
    </w:p>
    <w:p w14:paraId="4BA3BDF6" w14:textId="5D298A0E" w:rsidR="003A58B5" w:rsidRDefault="003A58B5" w:rsidP="003A58B5">
      <w:pPr>
        <w:spacing w:line="276" w:lineRule="auto"/>
        <w:rPr>
          <w:rFonts w:ascii="Times New Roman" w:hAnsi="Times New Roman" w:cs="Times New Roman"/>
        </w:rPr>
      </w:pPr>
      <w:r w:rsidRPr="003A58B5">
        <w:rPr>
          <w:rFonts w:ascii="Times New Roman" w:hAnsi="Times New Roman" w:cs="Times New Roman"/>
        </w:rPr>
        <w:t>** Denotes statistical significance at the p</w:t>
      </w:r>
      <w:r w:rsidRPr="003A58B5">
        <w:rPr>
          <w:rFonts w:ascii="Times New Roman" w:hAnsi="Times New Roman" w:cs="Times New Roman"/>
          <w:u w:val="single"/>
        </w:rPr>
        <w:t>&lt;</w:t>
      </w:r>
      <w:r w:rsidRPr="003A58B5">
        <w:rPr>
          <w:rFonts w:ascii="Times New Roman" w:hAnsi="Times New Roman" w:cs="Times New Roman"/>
        </w:rPr>
        <w:t>0.01 level</w:t>
      </w:r>
    </w:p>
    <w:p w14:paraId="46743C02" w14:textId="77777777" w:rsidR="0065584C" w:rsidRDefault="0065584C" w:rsidP="0065584C">
      <w:pPr>
        <w:spacing w:line="276" w:lineRule="auto"/>
        <w:rPr>
          <w:rFonts w:ascii="Times New Roman" w:hAnsi="Times New Roman" w:cs="Times New Roman"/>
        </w:rPr>
      </w:pPr>
    </w:p>
    <w:p w14:paraId="617E3553" w14:textId="73AADEAF" w:rsidR="0065584C" w:rsidRDefault="003A58B5" w:rsidP="0065584C">
      <w:pPr>
        <w:spacing w:line="480" w:lineRule="auto"/>
        <w:rPr>
          <w:rFonts w:ascii="Times New Roman" w:hAnsi="Times New Roman" w:cs="Times New Roman"/>
        </w:rPr>
      </w:pPr>
      <w:r>
        <w:rPr>
          <w:rFonts w:ascii="Times New Roman" w:hAnsi="Times New Roman" w:cs="Times New Roman"/>
        </w:rPr>
        <w:t xml:space="preserve">For the highest and lowest </w:t>
      </w:r>
      <w:r w:rsidR="00E12B09">
        <w:rPr>
          <w:rFonts w:ascii="Times New Roman" w:hAnsi="Times New Roman" w:cs="Times New Roman"/>
        </w:rPr>
        <w:t>S</w:t>
      </w:r>
      <w:r>
        <w:rPr>
          <w:rFonts w:ascii="Times New Roman" w:hAnsi="Times New Roman" w:cs="Times New Roman"/>
        </w:rPr>
        <w:t xml:space="preserve">tress composite days, </w:t>
      </w:r>
      <w:r w:rsidR="00E12B09">
        <w:rPr>
          <w:rFonts w:ascii="Times New Roman" w:hAnsi="Times New Roman" w:cs="Times New Roman"/>
        </w:rPr>
        <w:t>S</w:t>
      </w:r>
      <w:r>
        <w:rPr>
          <w:rFonts w:ascii="Times New Roman" w:hAnsi="Times New Roman" w:cs="Times New Roman"/>
        </w:rPr>
        <w:t>tress composite (p = 0.020), IMA Medium (p = 0.008), and IMA Low (p = 0.011) showed significant differences between the two days. The highest Recovery composite day was the same day as the lowest Stress composite day and the lowest Recovery composite day was the same day as the highest Stress composite day. PL low</w:t>
      </w:r>
      <w:r w:rsidR="00BD0EDD">
        <w:rPr>
          <w:rFonts w:ascii="Times New Roman" w:hAnsi="Times New Roman" w:cs="Times New Roman"/>
        </w:rPr>
        <w:t xml:space="preserve"> </w:t>
      </w:r>
      <w:r>
        <w:rPr>
          <w:rFonts w:ascii="Times New Roman" w:hAnsi="Times New Roman" w:cs="Times New Roman"/>
        </w:rPr>
        <w:t xml:space="preserve">occurred on the same day as Recovery composite low and Stress composite low. </w:t>
      </w:r>
    </w:p>
    <w:p w14:paraId="50A7F1C5" w14:textId="77777777" w:rsidR="006D0558" w:rsidRDefault="006D0558" w:rsidP="006D0558">
      <w:pPr>
        <w:rPr>
          <w:rFonts w:ascii="Times New Roman" w:hAnsi="Times New Roman" w:cs="Times New Roman"/>
        </w:rPr>
      </w:pPr>
      <w:r>
        <w:rPr>
          <w:rFonts w:ascii="Times New Roman" w:hAnsi="Times New Roman" w:cs="Times New Roman"/>
          <w:b/>
          <w:bCs/>
        </w:rPr>
        <w:t xml:space="preserve">Table 4: </w:t>
      </w:r>
      <w:r>
        <w:rPr>
          <w:rFonts w:ascii="Times New Roman" w:hAnsi="Times New Roman" w:cs="Times New Roman"/>
        </w:rPr>
        <w:t>Stress composite high day and low day with corresponding internal</w:t>
      </w:r>
      <w:r w:rsidRPr="00350632">
        <w:rPr>
          <w:rFonts w:ascii="Times New Roman" w:hAnsi="Times New Roman" w:cs="Times New Roman"/>
          <w:vertAlign w:val="superscript"/>
        </w:rPr>
        <w:t>a</w:t>
      </w:r>
      <w:r>
        <w:rPr>
          <w:rFonts w:ascii="Times New Roman" w:hAnsi="Times New Roman" w:cs="Times New Roman"/>
        </w:rPr>
        <w:t xml:space="preserve"> (n=18) and external</w:t>
      </w:r>
      <w:r w:rsidRPr="00350632">
        <w:rPr>
          <w:rFonts w:ascii="Times New Roman" w:hAnsi="Times New Roman" w:cs="Times New Roman"/>
          <w:vertAlign w:val="superscript"/>
        </w:rPr>
        <w:t>b</w:t>
      </w:r>
      <w:r>
        <w:rPr>
          <w:rFonts w:ascii="Times New Roman" w:hAnsi="Times New Roman" w:cs="Times New Roman"/>
        </w:rPr>
        <w:t xml:space="preserve"> (n=8) load values. </w:t>
      </w:r>
    </w:p>
    <w:tbl>
      <w:tblPr>
        <w:tblStyle w:val="PlainTable2"/>
        <w:tblW w:w="0" w:type="auto"/>
        <w:tblLook w:val="06A0" w:firstRow="1" w:lastRow="0" w:firstColumn="1" w:lastColumn="0" w:noHBand="1" w:noVBand="1"/>
      </w:tblPr>
      <w:tblGrid>
        <w:gridCol w:w="1994"/>
        <w:gridCol w:w="1847"/>
        <w:gridCol w:w="1848"/>
        <w:gridCol w:w="2042"/>
        <w:gridCol w:w="1629"/>
      </w:tblGrid>
      <w:tr w:rsidR="0065584C" w14:paraId="791B713B" w14:textId="77777777" w:rsidTr="002B29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4" w:type="dxa"/>
            <w:tcBorders>
              <w:top w:val="single" w:sz="18" w:space="0" w:color="auto"/>
              <w:bottom w:val="single" w:sz="18" w:space="0" w:color="auto"/>
            </w:tcBorders>
          </w:tcPr>
          <w:p w14:paraId="7A0651B5" w14:textId="77777777" w:rsidR="0065584C" w:rsidRDefault="0065584C" w:rsidP="002B2917">
            <w:pPr>
              <w:spacing w:line="480" w:lineRule="auto"/>
              <w:rPr>
                <w:rFonts w:ascii="Times New Roman" w:hAnsi="Times New Roman" w:cs="Times New Roman"/>
              </w:rPr>
            </w:pPr>
          </w:p>
        </w:tc>
        <w:tc>
          <w:tcPr>
            <w:tcW w:w="1847" w:type="dxa"/>
            <w:tcBorders>
              <w:top w:val="single" w:sz="18" w:space="0" w:color="auto"/>
              <w:bottom w:val="single" w:sz="18" w:space="0" w:color="auto"/>
            </w:tcBorders>
          </w:tcPr>
          <w:p w14:paraId="5F7986E3"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High Value</w:t>
            </w:r>
          </w:p>
        </w:tc>
        <w:tc>
          <w:tcPr>
            <w:tcW w:w="1848" w:type="dxa"/>
            <w:tcBorders>
              <w:top w:val="single" w:sz="18" w:space="0" w:color="auto"/>
              <w:bottom w:val="single" w:sz="18" w:space="0" w:color="auto"/>
            </w:tcBorders>
          </w:tcPr>
          <w:p w14:paraId="54388F4D"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Low Value</w:t>
            </w:r>
          </w:p>
        </w:tc>
        <w:tc>
          <w:tcPr>
            <w:tcW w:w="2042" w:type="dxa"/>
            <w:tcBorders>
              <w:top w:val="single" w:sz="18" w:space="0" w:color="auto"/>
              <w:bottom w:val="single" w:sz="18" w:space="0" w:color="auto"/>
            </w:tcBorders>
          </w:tcPr>
          <w:p w14:paraId="18DE58D6"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Significance</w:t>
            </w:r>
          </w:p>
        </w:tc>
        <w:tc>
          <w:tcPr>
            <w:tcW w:w="1629" w:type="dxa"/>
            <w:tcBorders>
              <w:top w:val="single" w:sz="18" w:space="0" w:color="auto"/>
              <w:bottom w:val="single" w:sz="18" w:space="0" w:color="auto"/>
            </w:tcBorders>
          </w:tcPr>
          <w:p w14:paraId="2502D7BF"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Effect Size</w:t>
            </w:r>
          </w:p>
        </w:tc>
      </w:tr>
      <w:tr w:rsidR="0065584C" w14:paraId="21DBF126" w14:textId="77777777" w:rsidTr="002B2917">
        <w:tc>
          <w:tcPr>
            <w:cnfStyle w:val="001000000000" w:firstRow="0" w:lastRow="0" w:firstColumn="1" w:lastColumn="0" w:oddVBand="0" w:evenVBand="0" w:oddHBand="0" w:evenHBand="0" w:firstRowFirstColumn="0" w:firstRowLastColumn="0" w:lastRowFirstColumn="0" w:lastRowLastColumn="0"/>
            <w:tcW w:w="1994" w:type="dxa"/>
            <w:tcBorders>
              <w:top w:val="single" w:sz="18" w:space="0" w:color="auto"/>
            </w:tcBorders>
          </w:tcPr>
          <w:p w14:paraId="2CD3E324" w14:textId="201B7254" w:rsidR="0065584C" w:rsidRDefault="0065584C" w:rsidP="002B2917">
            <w:pPr>
              <w:spacing w:line="480" w:lineRule="auto"/>
              <w:rPr>
                <w:rFonts w:ascii="Times New Roman" w:hAnsi="Times New Roman" w:cs="Times New Roman"/>
              </w:rPr>
            </w:pPr>
            <w:r>
              <w:rPr>
                <w:rFonts w:ascii="Times New Roman" w:hAnsi="Times New Roman" w:cs="Times New Roman"/>
              </w:rPr>
              <w:t xml:space="preserve">Stress </w:t>
            </w:r>
            <w:proofErr w:type="spellStart"/>
            <w:r w:rsidR="00A2690A">
              <w:rPr>
                <w:rFonts w:ascii="Times New Roman" w:hAnsi="Times New Roman" w:cs="Times New Roman"/>
              </w:rPr>
              <w:t>c</w:t>
            </w:r>
            <w:r>
              <w:rPr>
                <w:rFonts w:ascii="Times New Roman" w:hAnsi="Times New Roman" w:cs="Times New Roman"/>
              </w:rPr>
              <w:t>omp</w:t>
            </w:r>
            <w:r w:rsidR="003D100F" w:rsidRPr="003D100F">
              <w:rPr>
                <w:rFonts w:ascii="Times New Roman" w:hAnsi="Times New Roman" w:cs="Times New Roman"/>
                <w:b w:val="0"/>
                <w:bCs w:val="0"/>
                <w:vertAlign w:val="superscript"/>
              </w:rPr>
              <w:t>a</w:t>
            </w:r>
            <w:proofErr w:type="spellEnd"/>
          </w:p>
        </w:tc>
        <w:tc>
          <w:tcPr>
            <w:tcW w:w="1847" w:type="dxa"/>
            <w:tcBorders>
              <w:top w:val="single" w:sz="18" w:space="0" w:color="auto"/>
            </w:tcBorders>
          </w:tcPr>
          <w:p w14:paraId="57BD958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11.71 </w:t>
            </w:r>
            <w:r>
              <w:rPr>
                <w:rFonts w:ascii="Times New Roman" w:hAnsi="Times New Roman" w:cs="Times New Roman"/>
              </w:rPr>
              <w:sym w:font="Symbol" w:char="F0B1"/>
            </w:r>
            <w:r>
              <w:rPr>
                <w:rFonts w:ascii="Times New Roman" w:hAnsi="Times New Roman" w:cs="Times New Roman"/>
              </w:rPr>
              <w:t xml:space="preserve"> 1.97</w:t>
            </w:r>
          </w:p>
        </w:tc>
        <w:tc>
          <w:tcPr>
            <w:tcW w:w="1848" w:type="dxa"/>
            <w:tcBorders>
              <w:top w:val="single" w:sz="18" w:space="0" w:color="auto"/>
            </w:tcBorders>
          </w:tcPr>
          <w:p w14:paraId="1F1F01E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8.57 </w:t>
            </w:r>
            <w:r>
              <w:rPr>
                <w:rFonts w:ascii="Times New Roman" w:hAnsi="Times New Roman" w:cs="Times New Roman"/>
              </w:rPr>
              <w:sym w:font="Symbol" w:char="F0B1"/>
            </w:r>
            <w:r>
              <w:rPr>
                <w:rFonts w:ascii="Times New Roman" w:hAnsi="Times New Roman" w:cs="Times New Roman"/>
              </w:rPr>
              <w:t xml:space="preserve"> 1.84</w:t>
            </w:r>
          </w:p>
        </w:tc>
        <w:tc>
          <w:tcPr>
            <w:tcW w:w="2042" w:type="dxa"/>
            <w:tcBorders>
              <w:top w:val="single" w:sz="18" w:space="0" w:color="auto"/>
            </w:tcBorders>
          </w:tcPr>
          <w:p w14:paraId="039930A0" w14:textId="132EF1D7" w:rsidR="0065584C" w:rsidRDefault="00314A10"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 0.020</w:t>
            </w:r>
            <w:r w:rsidR="003A58B5">
              <w:rPr>
                <w:rFonts w:ascii="Times New Roman" w:hAnsi="Times New Roman" w:cs="Times New Roman"/>
              </w:rPr>
              <w:t>*</w:t>
            </w:r>
          </w:p>
        </w:tc>
        <w:tc>
          <w:tcPr>
            <w:tcW w:w="1629" w:type="dxa"/>
            <w:tcBorders>
              <w:top w:val="single" w:sz="18" w:space="0" w:color="auto"/>
            </w:tcBorders>
          </w:tcPr>
          <w:p w14:paraId="26EB099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1.100</w:t>
            </w:r>
          </w:p>
        </w:tc>
      </w:tr>
      <w:tr w:rsidR="0065584C" w14:paraId="4702C692"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0DBF0BFC" w14:textId="57FDCC58" w:rsidR="0065584C" w:rsidRDefault="0065584C" w:rsidP="002B2917">
            <w:pPr>
              <w:spacing w:line="480" w:lineRule="auto"/>
              <w:rPr>
                <w:rFonts w:ascii="Times New Roman" w:hAnsi="Times New Roman" w:cs="Times New Roman"/>
              </w:rPr>
            </w:pPr>
            <w:r>
              <w:rPr>
                <w:rFonts w:ascii="Times New Roman" w:hAnsi="Times New Roman" w:cs="Times New Roman"/>
              </w:rPr>
              <w:t xml:space="preserve">Recovery </w:t>
            </w:r>
            <w:proofErr w:type="spellStart"/>
            <w:r w:rsidR="00A2690A">
              <w:rPr>
                <w:rFonts w:ascii="Times New Roman" w:hAnsi="Times New Roman" w:cs="Times New Roman"/>
              </w:rPr>
              <w:t>c</w:t>
            </w:r>
            <w:r>
              <w:rPr>
                <w:rFonts w:ascii="Times New Roman" w:hAnsi="Times New Roman" w:cs="Times New Roman"/>
              </w:rPr>
              <w:t>omp</w:t>
            </w:r>
            <w:r w:rsidR="003D100F" w:rsidRPr="003D100F">
              <w:rPr>
                <w:rFonts w:ascii="Times New Roman" w:hAnsi="Times New Roman" w:cs="Times New Roman"/>
                <w:b w:val="0"/>
                <w:bCs w:val="0"/>
                <w:vertAlign w:val="superscript"/>
              </w:rPr>
              <w:t>a</w:t>
            </w:r>
            <w:proofErr w:type="spellEnd"/>
          </w:p>
        </w:tc>
        <w:tc>
          <w:tcPr>
            <w:tcW w:w="1847" w:type="dxa"/>
          </w:tcPr>
          <w:p w14:paraId="753B797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12.29 </w:t>
            </w:r>
            <w:r>
              <w:rPr>
                <w:rFonts w:ascii="Times New Roman" w:hAnsi="Times New Roman" w:cs="Times New Roman"/>
              </w:rPr>
              <w:sym w:font="Symbol" w:char="F0B1"/>
            </w:r>
            <w:r>
              <w:rPr>
                <w:rFonts w:ascii="Times New Roman" w:hAnsi="Times New Roman" w:cs="Times New Roman"/>
              </w:rPr>
              <w:t xml:space="preserve"> 1.57</w:t>
            </w:r>
          </w:p>
        </w:tc>
        <w:tc>
          <w:tcPr>
            <w:tcW w:w="1848" w:type="dxa"/>
          </w:tcPr>
          <w:p w14:paraId="05AFCFE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13.00 </w:t>
            </w:r>
            <w:r>
              <w:rPr>
                <w:rFonts w:ascii="Times New Roman" w:hAnsi="Times New Roman" w:cs="Times New Roman"/>
              </w:rPr>
              <w:sym w:font="Symbol" w:char="F0B1"/>
            </w:r>
            <w:r>
              <w:rPr>
                <w:rFonts w:ascii="Times New Roman" w:hAnsi="Times New Roman" w:cs="Times New Roman"/>
              </w:rPr>
              <w:t xml:space="preserve"> 0.49</w:t>
            </w:r>
          </w:p>
        </w:tc>
        <w:tc>
          <w:tcPr>
            <w:tcW w:w="2042" w:type="dxa"/>
          </w:tcPr>
          <w:p w14:paraId="44C7AC8E"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0.113</w:t>
            </w:r>
          </w:p>
        </w:tc>
        <w:tc>
          <w:tcPr>
            <w:tcW w:w="1629" w:type="dxa"/>
          </w:tcPr>
          <w:p w14:paraId="3B33A30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0.854</w:t>
            </w:r>
          </w:p>
        </w:tc>
      </w:tr>
      <w:tr w:rsidR="0065584C" w14:paraId="4BD86394"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5088A641" w14:textId="3E951EEA" w:rsidR="0065584C" w:rsidRDefault="0065584C" w:rsidP="002B2917">
            <w:pPr>
              <w:spacing w:line="480" w:lineRule="auto"/>
              <w:rPr>
                <w:rFonts w:ascii="Times New Roman" w:hAnsi="Times New Roman" w:cs="Times New Roman"/>
              </w:rPr>
            </w:pPr>
            <w:r>
              <w:rPr>
                <w:rFonts w:ascii="Times New Roman" w:hAnsi="Times New Roman" w:cs="Times New Roman"/>
              </w:rPr>
              <w:lastRenderedPageBreak/>
              <w:t xml:space="preserve">Soreness </w:t>
            </w:r>
            <w:proofErr w:type="spellStart"/>
            <w:r w:rsidR="00A2690A">
              <w:rPr>
                <w:rFonts w:ascii="Times New Roman" w:hAnsi="Times New Roman" w:cs="Times New Roman"/>
              </w:rPr>
              <w:t>c</w:t>
            </w:r>
            <w:r>
              <w:rPr>
                <w:rFonts w:ascii="Times New Roman" w:hAnsi="Times New Roman" w:cs="Times New Roman"/>
              </w:rPr>
              <w:t>omp</w:t>
            </w:r>
            <w:r w:rsidR="003D100F" w:rsidRPr="003D100F">
              <w:rPr>
                <w:rFonts w:ascii="Times New Roman" w:hAnsi="Times New Roman" w:cs="Times New Roman"/>
                <w:b w:val="0"/>
                <w:bCs w:val="0"/>
                <w:vertAlign w:val="superscript"/>
              </w:rPr>
              <w:t>a</w:t>
            </w:r>
            <w:proofErr w:type="spellEnd"/>
          </w:p>
        </w:tc>
        <w:tc>
          <w:tcPr>
            <w:tcW w:w="1847" w:type="dxa"/>
          </w:tcPr>
          <w:p w14:paraId="255EF5F0"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201.86 </w:t>
            </w:r>
            <w:r>
              <w:rPr>
                <w:rFonts w:ascii="Times New Roman" w:hAnsi="Times New Roman" w:cs="Times New Roman"/>
              </w:rPr>
              <w:sym w:font="Symbol" w:char="F0B1"/>
            </w:r>
            <w:r>
              <w:rPr>
                <w:rFonts w:ascii="Times New Roman" w:hAnsi="Times New Roman" w:cs="Times New Roman"/>
              </w:rPr>
              <w:t xml:space="preserve"> 45.76</w:t>
            </w:r>
          </w:p>
        </w:tc>
        <w:tc>
          <w:tcPr>
            <w:tcW w:w="1848" w:type="dxa"/>
          </w:tcPr>
          <w:p w14:paraId="470DC85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142.14 </w:t>
            </w:r>
            <w:r>
              <w:rPr>
                <w:rFonts w:ascii="Times New Roman" w:hAnsi="Times New Roman" w:cs="Times New Roman"/>
              </w:rPr>
              <w:sym w:font="Symbol" w:char="F0B1"/>
            </w:r>
            <w:r>
              <w:rPr>
                <w:rFonts w:ascii="Times New Roman" w:hAnsi="Times New Roman" w:cs="Times New Roman"/>
              </w:rPr>
              <w:t xml:space="preserve"> 33.08</w:t>
            </w:r>
          </w:p>
        </w:tc>
        <w:tc>
          <w:tcPr>
            <w:tcW w:w="2042" w:type="dxa"/>
          </w:tcPr>
          <w:p w14:paraId="76CC58E5"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0.055</w:t>
            </w:r>
          </w:p>
        </w:tc>
        <w:tc>
          <w:tcPr>
            <w:tcW w:w="1629" w:type="dxa"/>
          </w:tcPr>
          <w:p w14:paraId="187B437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0.708</w:t>
            </w:r>
          </w:p>
        </w:tc>
      </w:tr>
      <w:tr w:rsidR="0065584C" w14:paraId="1D5D17C5"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477110D0" w14:textId="79CFD3C4" w:rsidR="0065584C" w:rsidRDefault="0065584C" w:rsidP="002B2917">
            <w:pPr>
              <w:spacing w:line="480" w:lineRule="auto"/>
              <w:rPr>
                <w:rFonts w:ascii="Times New Roman" w:hAnsi="Times New Roman" w:cs="Times New Roman"/>
              </w:rPr>
            </w:pPr>
            <w:proofErr w:type="spellStart"/>
            <w:r>
              <w:rPr>
                <w:rFonts w:ascii="Times New Roman" w:hAnsi="Times New Roman" w:cs="Times New Roman"/>
              </w:rPr>
              <w:t>Sleep</w:t>
            </w:r>
            <w:r w:rsidR="003D100F" w:rsidRPr="003D100F">
              <w:rPr>
                <w:rFonts w:ascii="Times New Roman" w:hAnsi="Times New Roman" w:cs="Times New Roman"/>
                <w:b w:val="0"/>
                <w:bCs w:val="0"/>
                <w:vertAlign w:val="superscript"/>
              </w:rPr>
              <w:t>a</w:t>
            </w:r>
            <w:proofErr w:type="spellEnd"/>
          </w:p>
        </w:tc>
        <w:tc>
          <w:tcPr>
            <w:tcW w:w="1847" w:type="dxa"/>
          </w:tcPr>
          <w:p w14:paraId="579ED28E"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52.57 </w:t>
            </w:r>
            <w:r>
              <w:rPr>
                <w:rFonts w:ascii="Times New Roman" w:hAnsi="Times New Roman" w:cs="Times New Roman"/>
              </w:rPr>
              <w:sym w:font="Symbol" w:char="F0B1"/>
            </w:r>
            <w:r>
              <w:rPr>
                <w:rFonts w:ascii="Times New Roman" w:hAnsi="Times New Roman" w:cs="Times New Roman"/>
              </w:rPr>
              <w:t xml:space="preserve"> 8.49</w:t>
            </w:r>
          </w:p>
        </w:tc>
        <w:tc>
          <w:tcPr>
            <w:tcW w:w="1848" w:type="dxa"/>
          </w:tcPr>
          <w:p w14:paraId="03006702"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58.43 </w:t>
            </w:r>
            <w:r>
              <w:rPr>
                <w:rFonts w:ascii="Times New Roman" w:hAnsi="Times New Roman" w:cs="Times New Roman"/>
              </w:rPr>
              <w:sym w:font="Symbol" w:char="F0B1"/>
            </w:r>
            <w:r>
              <w:rPr>
                <w:rFonts w:ascii="Times New Roman" w:hAnsi="Times New Roman" w:cs="Times New Roman"/>
              </w:rPr>
              <w:t xml:space="preserve"> 6.64</w:t>
            </w:r>
          </w:p>
        </w:tc>
        <w:tc>
          <w:tcPr>
            <w:tcW w:w="2042" w:type="dxa"/>
          </w:tcPr>
          <w:p w14:paraId="417C6DE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0.180</w:t>
            </w:r>
          </w:p>
        </w:tc>
        <w:tc>
          <w:tcPr>
            <w:tcW w:w="1629" w:type="dxa"/>
          </w:tcPr>
          <w:p w14:paraId="5D90F6E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0.605</w:t>
            </w:r>
          </w:p>
        </w:tc>
      </w:tr>
      <w:tr w:rsidR="0065584C" w14:paraId="2FC4D045"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1765B337" w14:textId="34FC0176"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Total</w:t>
            </w:r>
            <w:r w:rsidR="003D100F" w:rsidRPr="003D100F">
              <w:rPr>
                <w:rFonts w:ascii="Times New Roman" w:hAnsi="Times New Roman" w:cs="Times New Roman"/>
                <w:b w:val="0"/>
                <w:bCs w:val="0"/>
                <w:vertAlign w:val="superscript"/>
              </w:rPr>
              <w:t>b</w:t>
            </w:r>
            <w:proofErr w:type="spellEnd"/>
          </w:p>
        </w:tc>
        <w:tc>
          <w:tcPr>
            <w:tcW w:w="1847" w:type="dxa"/>
          </w:tcPr>
          <w:p w14:paraId="339905D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85.86 </w:t>
            </w:r>
            <w:r>
              <w:rPr>
                <w:rFonts w:ascii="Times New Roman" w:hAnsi="Times New Roman" w:cs="Times New Roman"/>
              </w:rPr>
              <w:sym w:font="Symbol" w:char="F0B1"/>
            </w:r>
            <w:r>
              <w:rPr>
                <w:rFonts w:ascii="Times New Roman" w:hAnsi="Times New Roman" w:cs="Times New Roman"/>
              </w:rPr>
              <w:t xml:space="preserve"> 15.87</w:t>
            </w:r>
          </w:p>
        </w:tc>
        <w:tc>
          <w:tcPr>
            <w:tcW w:w="1848" w:type="dxa"/>
          </w:tcPr>
          <w:p w14:paraId="1082FB0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113.29 </w:t>
            </w:r>
            <w:r>
              <w:rPr>
                <w:rFonts w:ascii="Times New Roman" w:hAnsi="Times New Roman" w:cs="Times New Roman"/>
              </w:rPr>
              <w:sym w:font="Symbol" w:char="F0B1"/>
            </w:r>
            <w:r>
              <w:rPr>
                <w:rFonts w:ascii="Times New Roman" w:hAnsi="Times New Roman" w:cs="Times New Roman"/>
              </w:rPr>
              <w:t xml:space="preserve"> 16.26</w:t>
            </w:r>
          </w:p>
        </w:tc>
        <w:tc>
          <w:tcPr>
            <w:tcW w:w="2042" w:type="dxa"/>
          </w:tcPr>
          <w:p w14:paraId="0BE50C2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0.060</w:t>
            </w:r>
          </w:p>
        </w:tc>
        <w:tc>
          <w:tcPr>
            <w:tcW w:w="1629" w:type="dxa"/>
          </w:tcPr>
          <w:p w14:paraId="6D10922E"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1.707</w:t>
            </w:r>
          </w:p>
        </w:tc>
      </w:tr>
      <w:tr w:rsidR="0065584C" w14:paraId="5C6403BC"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2C76ADBA" w14:textId="42D0DE10"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High</w:t>
            </w:r>
            <w:r w:rsidR="003D100F" w:rsidRPr="003D100F">
              <w:rPr>
                <w:rFonts w:ascii="Times New Roman" w:hAnsi="Times New Roman" w:cs="Times New Roman"/>
                <w:b w:val="0"/>
                <w:bCs w:val="0"/>
                <w:vertAlign w:val="superscript"/>
              </w:rPr>
              <w:t>b</w:t>
            </w:r>
            <w:proofErr w:type="spellEnd"/>
          </w:p>
        </w:tc>
        <w:tc>
          <w:tcPr>
            <w:tcW w:w="1847" w:type="dxa"/>
          </w:tcPr>
          <w:p w14:paraId="5FF3770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21.71 </w:t>
            </w:r>
            <w:r>
              <w:rPr>
                <w:rFonts w:ascii="Times New Roman" w:hAnsi="Times New Roman" w:cs="Times New Roman"/>
              </w:rPr>
              <w:sym w:font="Symbol" w:char="F0B1"/>
            </w:r>
            <w:r>
              <w:rPr>
                <w:rFonts w:ascii="Times New Roman" w:hAnsi="Times New Roman" w:cs="Times New Roman"/>
              </w:rPr>
              <w:t xml:space="preserve"> 5.17</w:t>
            </w:r>
          </w:p>
        </w:tc>
        <w:tc>
          <w:tcPr>
            <w:tcW w:w="1848" w:type="dxa"/>
          </w:tcPr>
          <w:p w14:paraId="1A2B670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29.00 </w:t>
            </w:r>
            <w:r>
              <w:rPr>
                <w:rFonts w:ascii="Times New Roman" w:hAnsi="Times New Roman" w:cs="Times New Roman"/>
              </w:rPr>
              <w:sym w:font="Symbol" w:char="F0B1"/>
            </w:r>
            <w:r>
              <w:rPr>
                <w:rFonts w:ascii="Times New Roman" w:hAnsi="Times New Roman" w:cs="Times New Roman"/>
              </w:rPr>
              <w:t xml:space="preserve"> 2.62</w:t>
            </w:r>
          </w:p>
        </w:tc>
        <w:tc>
          <w:tcPr>
            <w:tcW w:w="2042" w:type="dxa"/>
          </w:tcPr>
          <w:p w14:paraId="0E1C0C3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0.299</w:t>
            </w:r>
          </w:p>
        </w:tc>
        <w:tc>
          <w:tcPr>
            <w:tcW w:w="1629" w:type="dxa"/>
          </w:tcPr>
          <w:p w14:paraId="650DC5A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1.779</w:t>
            </w:r>
          </w:p>
        </w:tc>
      </w:tr>
      <w:tr w:rsidR="0065584C" w14:paraId="04A61BAA"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03F0375D" w14:textId="61E3EF9E"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Medium</w:t>
            </w:r>
            <w:r w:rsidR="003D100F" w:rsidRPr="003D100F">
              <w:rPr>
                <w:rFonts w:ascii="Times New Roman" w:hAnsi="Times New Roman" w:cs="Times New Roman"/>
                <w:b w:val="0"/>
                <w:bCs w:val="0"/>
                <w:vertAlign w:val="superscript"/>
              </w:rPr>
              <w:t>b</w:t>
            </w:r>
            <w:proofErr w:type="spellEnd"/>
          </w:p>
        </w:tc>
        <w:tc>
          <w:tcPr>
            <w:tcW w:w="1847" w:type="dxa"/>
          </w:tcPr>
          <w:p w14:paraId="3188AC20"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28.71 </w:t>
            </w:r>
            <w:r>
              <w:rPr>
                <w:rFonts w:ascii="Times New Roman" w:hAnsi="Times New Roman" w:cs="Times New Roman"/>
              </w:rPr>
              <w:sym w:font="Symbol" w:char="F0B1"/>
            </w:r>
            <w:r>
              <w:rPr>
                <w:rFonts w:ascii="Times New Roman" w:hAnsi="Times New Roman" w:cs="Times New Roman"/>
              </w:rPr>
              <w:t xml:space="preserve"> 7.42</w:t>
            </w:r>
          </w:p>
        </w:tc>
        <w:tc>
          <w:tcPr>
            <w:tcW w:w="1848" w:type="dxa"/>
          </w:tcPr>
          <w:p w14:paraId="63400A1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111.85 </w:t>
            </w:r>
            <w:r>
              <w:rPr>
                <w:rFonts w:ascii="Times New Roman" w:hAnsi="Times New Roman" w:cs="Times New Roman"/>
              </w:rPr>
              <w:sym w:font="Symbol" w:char="F0B1"/>
            </w:r>
            <w:r>
              <w:rPr>
                <w:rFonts w:ascii="Times New Roman" w:hAnsi="Times New Roman" w:cs="Times New Roman"/>
              </w:rPr>
              <w:t xml:space="preserve"> 22.71</w:t>
            </w:r>
          </w:p>
        </w:tc>
        <w:tc>
          <w:tcPr>
            <w:tcW w:w="2042" w:type="dxa"/>
          </w:tcPr>
          <w:p w14:paraId="2ACFCC41" w14:textId="2A7B10AF" w:rsidR="0065584C" w:rsidRDefault="00314A10"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 0.008</w:t>
            </w:r>
            <w:r w:rsidR="003A58B5">
              <w:rPr>
                <w:rFonts w:ascii="Times New Roman" w:hAnsi="Times New Roman" w:cs="Times New Roman"/>
              </w:rPr>
              <w:t>*</w:t>
            </w:r>
          </w:p>
        </w:tc>
        <w:tc>
          <w:tcPr>
            <w:tcW w:w="1629" w:type="dxa"/>
          </w:tcPr>
          <w:p w14:paraId="00DBA06D"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4.921</w:t>
            </w:r>
          </w:p>
        </w:tc>
      </w:tr>
      <w:tr w:rsidR="0065584C" w14:paraId="5ED80E32"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738006B9" w14:textId="006C5825"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Low</w:t>
            </w:r>
            <w:r w:rsidR="003D100F" w:rsidRPr="003D100F">
              <w:rPr>
                <w:rFonts w:ascii="Times New Roman" w:hAnsi="Times New Roman" w:cs="Times New Roman"/>
                <w:b w:val="0"/>
                <w:bCs w:val="0"/>
                <w:vertAlign w:val="superscript"/>
              </w:rPr>
              <w:t>b</w:t>
            </w:r>
            <w:proofErr w:type="spellEnd"/>
          </w:p>
        </w:tc>
        <w:tc>
          <w:tcPr>
            <w:tcW w:w="1847" w:type="dxa"/>
          </w:tcPr>
          <w:p w14:paraId="118ED4DD"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7.71 </w:t>
            </w:r>
            <w:r>
              <w:rPr>
                <w:rFonts w:ascii="Times New Roman" w:hAnsi="Times New Roman" w:cs="Times New Roman"/>
              </w:rPr>
              <w:sym w:font="Symbol" w:char="F0B1"/>
            </w:r>
            <w:r>
              <w:rPr>
                <w:rFonts w:ascii="Times New Roman" w:hAnsi="Times New Roman" w:cs="Times New Roman"/>
              </w:rPr>
              <w:t xml:space="preserve"> 2.15</w:t>
            </w:r>
          </w:p>
        </w:tc>
        <w:tc>
          <w:tcPr>
            <w:tcW w:w="1848" w:type="dxa"/>
          </w:tcPr>
          <w:p w14:paraId="2F88DAD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90.43 </w:t>
            </w:r>
            <w:r>
              <w:rPr>
                <w:rFonts w:ascii="Times New Roman" w:hAnsi="Times New Roman" w:cs="Times New Roman"/>
              </w:rPr>
              <w:sym w:font="Symbol" w:char="F0B1"/>
            </w:r>
            <w:r>
              <w:rPr>
                <w:rFonts w:ascii="Times New Roman" w:hAnsi="Times New Roman" w:cs="Times New Roman"/>
              </w:rPr>
              <w:t xml:space="preserve"> 24.14</w:t>
            </w:r>
          </w:p>
        </w:tc>
        <w:tc>
          <w:tcPr>
            <w:tcW w:w="2042" w:type="dxa"/>
          </w:tcPr>
          <w:p w14:paraId="3040E2B8" w14:textId="68AD40E7" w:rsidR="0065584C" w:rsidRDefault="00314A10"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 0.011</w:t>
            </w:r>
            <w:r w:rsidR="003A58B5">
              <w:rPr>
                <w:rFonts w:ascii="Times New Roman" w:hAnsi="Times New Roman" w:cs="Times New Roman"/>
              </w:rPr>
              <w:t>*</w:t>
            </w:r>
          </w:p>
        </w:tc>
        <w:tc>
          <w:tcPr>
            <w:tcW w:w="1629" w:type="dxa"/>
          </w:tcPr>
          <w:p w14:paraId="44467A8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4.827</w:t>
            </w:r>
          </w:p>
        </w:tc>
      </w:tr>
      <w:tr w:rsidR="0065584C" w14:paraId="15DDCD39" w14:textId="77777777" w:rsidTr="002B2917">
        <w:tc>
          <w:tcPr>
            <w:cnfStyle w:val="001000000000" w:firstRow="0" w:lastRow="0" w:firstColumn="1" w:lastColumn="0" w:oddVBand="0" w:evenVBand="0" w:oddHBand="0" w:evenHBand="0" w:firstRowFirstColumn="0" w:firstRowLastColumn="0" w:lastRowFirstColumn="0" w:lastRowLastColumn="0"/>
            <w:tcW w:w="1994" w:type="dxa"/>
            <w:tcBorders>
              <w:bottom w:val="single" w:sz="18" w:space="0" w:color="auto"/>
            </w:tcBorders>
          </w:tcPr>
          <w:p w14:paraId="21A57CFE" w14:textId="577E2B74" w:rsidR="0065584C" w:rsidRDefault="0065584C" w:rsidP="002B2917">
            <w:pPr>
              <w:spacing w:line="480" w:lineRule="auto"/>
              <w:rPr>
                <w:rFonts w:ascii="Times New Roman" w:hAnsi="Times New Roman" w:cs="Times New Roman"/>
              </w:rPr>
            </w:pPr>
            <w:r>
              <w:rPr>
                <w:rFonts w:ascii="Times New Roman" w:hAnsi="Times New Roman" w:cs="Times New Roman"/>
              </w:rPr>
              <w:t>PL</w:t>
            </w:r>
            <w:r w:rsidR="003D100F" w:rsidRPr="003D100F">
              <w:rPr>
                <w:rFonts w:ascii="Times New Roman" w:hAnsi="Times New Roman" w:cs="Times New Roman"/>
                <w:b w:val="0"/>
                <w:bCs w:val="0"/>
                <w:vertAlign w:val="superscript"/>
              </w:rPr>
              <w:t>b</w:t>
            </w:r>
          </w:p>
        </w:tc>
        <w:tc>
          <w:tcPr>
            <w:tcW w:w="1847" w:type="dxa"/>
            <w:tcBorders>
              <w:bottom w:val="single" w:sz="18" w:space="0" w:color="auto"/>
            </w:tcBorders>
          </w:tcPr>
          <w:p w14:paraId="64B8D42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344.94 </w:t>
            </w:r>
            <w:r>
              <w:rPr>
                <w:rFonts w:ascii="Times New Roman" w:hAnsi="Times New Roman" w:cs="Times New Roman"/>
              </w:rPr>
              <w:sym w:font="Symbol" w:char="F0B1"/>
            </w:r>
            <w:r>
              <w:rPr>
                <w:rFonts w:ascii="Times New Roman" w:hAnsi="Times New Roman" w:cs="Times New Roman"/>
              </w:rPr>
              <w:t xml:space="preserve"> 25.42</w:t>
            </w:r>
          </w:p>
        </w:tc>
        <w:tc>
          <w:tcPr>
            <w:tcW w:w="1848" w:type="dxa"/>
            <w:tcBorders>
              <w:bottom w:val="single" w:sz="18" w:space="0" w:color="auto"/>
            </w:tcBorders>
          </w:tcPr>
          <w:p w14:paraId="21B062C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617.61 </w:t>
            </w:r>
            <w:r>
              <w:rPr>
                <w:rFonts w:ascii="Times New Roman" w:hAnsi="Times New Roman" w:cs="Times New Roman"/>
              </w:rPr>
              <w:sym w:font="Symbol" w:char="F0B1"/>
            </w:r>
            <w:r>
              <w:rPr>
                <w:rFonts w:ascii="Times New Roman" w:hAnsi="Times New Roman" w:cs="Times New Roman"/>
              </w:rPr>
              <w:t xml:space="preserve"> 59.57</w:t>
            </w:r>
          </w:p>
        </w:tc>
        <w:tc>
          <w:tcPr>
            <w:tcW w:w="2042" w:type="dxa"/>
            <w:tcBorders>
              <w:bottom w:val="single" w:sz="18" w:space="0" w:color="auto"/>
            </w:tcBorders>
          </w:tcPr>
          <w:p w14:paraId="06CAD22D" w14:textId="3EBF6DDB" w:rsidR="0065584C" w:rsidRDefault="00314A10"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&lt; 0.001</w:t>
            </w:r>
            <w:r w:rsidR="003A58B5">
              <w:rPr>
                <w:rFonts w:ascii="Times New Roman" w:hAnsi="Times New Roman" w:cs="Times New Roman"/>
              </w:rPr>
              <w:t>**</w:t>
            </w:r>
          </w:p>
        </w:tc>
        <w:tc>
          <w:tcPr>
            <w:tcW w:w="1629" w:type="dxa"/>
            <w:tcBorders>
              <w:bottom w:val="single" w:sz="18" w:space="0" w:color="auto"/>
            </w:tcBorders>
          </w:tcPr>
          <w:p w14:paraId="2DEDC651"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5.954</w:t>
            </w:r>
          </w:p>
        </w:tc>
      </w:tr>
    </w:tbl>
    <w:p w14:paraId="574EAE7B" w14:textId="77777777" w:rsidR="003A58B5" w:rsidRPr="003A58B5" w:rsidRDefault="003A58B5" w:rsidP="003A58B5">
      <w:pPr>
        <w:rPr>
          <w:rFonts w:ascii="Times New Roman" w:hAnsi="Times New Roman" w:cs="Times New Roman"/>
        </w:rPr>
      </w:pPr>
      <w:r w:rsidRPr="003A58B5">
        <w:rPr>
          <w:rFonts w:ascii="Times New Roman" w:hAnsi="Times New Roman" w:cs="Times New Roman"/>
        </w:rPr>
        <w:t>* Denotes statistical significance at the p</w:t>
      </w:r>
      <w:r w:rsidRPr="003A58B5">
        <w:rPr>
          <w:rFonts w:ascii="Times New Roman" w:hAnsi="Times New Roman" w:cs="Times New Roman"/>
          <w:u w:val="single"/>
        </w:rPr>
        <w:t>&lt;</w:t>
      </w:r>
      <w:r w:rsidRPr="003A58B5">
        <w:rPr>
          <w:rFonts w:ascii="Times New Roman" w:hAnsi="Times New Roman" w:cs="Times New Roman"/>
        </w:rPr>
        <w:t>0.05 level</w:t>
      </w:r>
    </w:p>
    <w:p w14:paraId="0FB614F5" w14:textId="0E315A74" w:rsidR="003A58B5" w:rsidRDefault="003A58B5" w:rsidP="003A58B5">
      <w:pPr>
        <w:rPr>
          <w:rFonts w:ascii="Times New Roman" w:hAnsi="Times New Roman" w:cs="Times New Roman"/>
        </w:rPr>
      </w:pPr>
      <w:r w:rsidRPr="003A58B5">
        <w:rPr>
          <w:rFonts w:ascii="Times New Roman" w:hAnsi="Times New Roman" w:cs="Times New Roman"/>
        </w:rPr>
        <w:t>** Denotes statistical significance at the p</w:t>
      </w:r>
      <w:r w:rsidRPr="003A58B5">
        <w:rPr>
          <w:rFonts w:ascii="Times New Roman" w:hAnsi="Times New Roman" w:cs="Times New Roman"/>
          <w:u w:val="single"/>
        </w:rPr>
        <w:t>&lt;</w:t>
      </w:r>
      <w:r w:rsidRPr="003A58B5">
        <w:rPr>
          <w:rFonts w:ascii="Times New Roman" w:hAnsi="Times New Roman" w:cs="Times New Roman"/>
        </w:rPr>
        <w:t>0.01 level</w:t>
      </w:r>
    </w:p>
    <w:p w14:paraId="77339B1B" w14:textId="77777777" w:rsidR="0065584C" w:rsidRDefault="0065584C" w:rsidP="0065584C">
      <w:pPr>
        <w:rPr>
          <w:rFonts w:ascii="Times New Roman" w:hAnsi="Times New Roman" w:cs="Times New Roman"/>
        </w:rPr>
      </w:pPr>
    </w:p>
    <w:p w14:paraId="11D2529F" w14:textId="7D2DDFEC" w:rsidR="0065584C" w:rsidRDefault="0065584C" w:rsidP="0065584C">
      <w:pPr>
        <w:spacing w:line="480" w:lineRule="auto"/>
        <w:rPr>
          <w:rFonts w:ascii="Times New Roman" w:hAnsi="Times New Roman" w:cs="Times New Roman"/>
        </w:rPr>
      </w:pPr>
      <w:r>
        <w:rPr>
          <w:rFonts w:ascii="Times New Roman" w:hAnsi="Times New Roman" w:cs="Times New Roman"/>
        </w:rPr>
        <w:t xml:space="preserve">For the highest and lowest PL days, PL (p = 0.028), IMA High (p = 0.016), IMA Medium (p = 0.004), IMA Low (p = 0.009), and IMA Total (p = 0.002) showed significant differences. </w:t>
      </w:r>
    </w:p>
    <w:p w14:paraId="7753EC83" w14:textId="77777777" w:rsidR="00BD0EDD" w:rsidRDefault="00BD0EDD" w:rsidP="0065584C">
      <w:pPr>
        <w:spacing w:line="480" w:lineRule="auto"/>
        <w:rPr>
          <w:rFonts w:ascii="Times New Roman" w:hAnsi="Times New Roman" w:cs="Times New Roman"/>
        </w:rPr>
      </w:pPr>
    </w:p>
    <w:p w14:paraId="399BF594" w14:textId="77777777" w:rsidR="006D0558" w:rsidRDefault="006D0558" w:rsidP="006D0558">
      <w:pPr>
        <w:rPr>
          <w:rFonts w:ascii="Times New Roman" w:hAnsi="Times New Roman" w:cs="Times New Roman"/>
        </w:rPr>
      </w:pPr>
      <w:r>
        <w:rPr>
          <w:rFonts w:ascii="Times New Roman" w:hAnsi="Times New Roman" w:cs="Times New Roman"/>
          <w:b/>
          <w:bCs/>
        </w:rPr>
        <w:t xml:space="preserve">Table 5: </w:t>
      </w:r>
      <w:r>
        <w:rPr>
          <w:rFonts w:ascii="Times New Roman" w:hAnsi="Times New Roman" w:cs="Times New Roman"/>
        </w:rPr>
        <w:t>PL high day and low day with corresponding internal</w:t>
      </w:r>
      <w:r w:rsidRPr="00350632">
        <w:rPr>
          <w:rFonts w:ascii="Times New Roman" w:hAnsi="Times New Roman" w:cs="Times New Roman"/>
          <w:vertAlign w:val="superscript"/>
        </w:rPr>
        <w:t>a</w:t>
      </w:r>
      <w:r>
        <w:rPr>
          <w:rFonts w:ascii="Times New Roman" w:hAnsi="Times New Roman" w:cs="Times New Roman"/>
        </w:rPr>
        <w:t xml:space="preserve"> (n=18) and external</w:t>
      </w:r>
      <w:r w:rsidRPr="00350632">
        <w:rPr>
          <w:rFonts w:ascii="Times New Roman" w:hAnsi="Times New Roman" w:cs="Times New Roman"/>
          <w:vertAlign w:val="superscript"/>
        </w:rPr>
        <w:t>b</w:t>
      </w:r>
      <w:r>
        <w:rPr>
          <w:rFonts w:ascii="Times New Roman" w:hAnsi="Times New Roman" w:cs="Times New Roman"/>
        </w:rPr>
        <w:t xml:space="preserve"> (n=8) load values. </w:t>
      </w:r>
    </w:p>
    <w:tbl>
      <w:tblPr>
        <w:tblStyle w:val="PlainTable2"/>
        <w:tblW w:w="0" w:type="auto"/>
        <w:tblLook w:val="06A0" w:firstRow="1" w:lastRow="0" w:firstColumn="1" w:lastColumn="0" w:noHBand="1" w:noVBand="1"/>
      </w:tblPr>
      <w:tblGrid>
        <w:gridCol w:w="1994"/>
        <w:gridCol w:w="1847"/>
        <w:gridCol w:w="1848"/>
        <w:gridCol w:w="2042"/>
        <w:gridCol w:w="1629"/>
      </w:tblGrid>
      <w:tr w:rsidR="0065584C" w14:paraId="6F318D25" w14:textId="77777777" w:rsidTr="002B2917">
        <w:trPr>
          <w:cnfStyle w:val="100000000000" w:firstRow="1" w:lastRow="0" w:firstColumn="0" w:lastColumn="0" w:oddVBand="0" w:evenVBand="0" w:oddHBand="0"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1994" w:type="dxa"/>
            <w:tcBorders>
              <w:top w:val="single" w:sz="18" w:space="0" w:color="000000" w:themeColor="text1"/>
              <w:bottom w:val="single" w:sz="18" w:space="0" w:color="000000" w:themeColor="text1"/>
            </w:tcBorders>
            <w:vAlign w:val="bottom"/>
          </w:tcPr>
          <w:p w14:paraId="4CB86252" w14:textId="77777777" w:rsidR="0065584C" w:rsidRDefault="0065584C" w:rsidP="002B2917">
            <w:pPr>
              <w:spacing w:line="480" w:lineRule="auto"/>
              <w:jc w:val="center"/>
              <w:rPr>
                <w:rFonts w:ascii="Times New Roman" w:hAnsi="Times New Roman" w:cs="Times New Roman"/>
              </w:rPr>
            </w:pPr>
          </w:p>
        </w:tc>
        <w:tc>
          <w:tcPr>
            <w:tcW w:w="1847" w:type="dxa"/>
            <w:tcBorders>
              <w:top w:val="single" w:sz="18" w:space="0" w:color="000000" w:themeColor="text1"/>
              <w:bottom w:val="single" w:sz="18" w:space="0" w:color="000000" w:themeColor="text1"/>
            </w:tcBorders>
            <w:vAlign w:val="bottom"/>
          </w:tcPr>
          <w:p w14:paraId="58A0C558"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High Value</w:t>
            </w:r>
          </w:p>
        </w:tc>
        <w:tc>
          <w:tcPr>
            <w:tcW w:w="1848" w:type="dxa"/>
            <w:tcBorders>
              <w:top w:val="single" w:sz="18" w:space="0" w:color="000000" w:themeColor="text1"/>
              <w:bottom w:val="single" w:sz="18" w:space="0" w:color="000000" w:themeColor="text1"/>
            </w:tcBorders>
            <w:vAlign w:val="bottom"/>
          </w:tcPr>
          <w:p w14:paraId="2ABFADD7"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Low Value</w:t>
            </w:r>
          </w:p>
        </w:tc>
        <w:tc>
          <w:tcPr>
            <w:tcW w:w="2042" w:type="dxa"/>
            <w:tcBorders>
              <w:top w:val="single" w:sz="18" w:space="0" w:color="000000" w:themeColor="text1"/>
              <w:bottom w:val="single" w:sz="18" w:space="0" w:color="000000" w:themeColor="text1"/>
            </w:tcBorders>
            <w:vAlign w:val="bottom"/>
          </w:tcPr>
          <w:p w14:paraId="167CE806"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Significance</w:t>
            </w:r>
          </w:p>
        </w:tc>
        <w:tc>
          <w:tcPr>
            <w:tcW w:w="1629" w:type="dxa"/>
            <w:tcBorders>
              <w:top w:val="single" w:sz="18" w:space="0" w:color="000000" w:themeColor="text1"/>
              <w:bottom w:val="single" w:sz="18" w:space="0" w:color="000000" w:themeColor="text1"/>
            </w:tcBorders>
            <w:vAlign w:val="bottom"/>
          </w:tcPr>
          <w:p w14:paraId="50DDFCA1"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Effect Size</w:t>
            </w:r>
          </w:p>
        </w:tc>
      </w:tr>
      <w:tr w:rsidR="0065584C" w14:paraId="45728C06" w14:textId="77777777" w:rsidTr="002B2917">
        <w:tc>
          <w:tcPr>
            <w:cnfStyle w:val="001000000000" w:firstRow="0" w:lastRow="0" w:firstColumn="1" w:lastColumn="0" w:oddVBand="0" w:evenVBand="0" w:oddHBand="0" w:evenHBand="0" w:firstRowFirstColumn="0" w:firstRowLastColumn="0" w:lastRowFirstColumn="0" w:lastRowLastColumn="0"/>
            <w:tcW w:w="1994" w:type="dxa"/>
            <w:tcBorders>
              <w:top w:val="single" w:sz="18" w:space="0" w:color="000000" w:themeColor="text1"/>
            </w:tcBorders>
          </w:tcPr>
          <w:p w14:paraId="5B00AA6B" w14:textId="4C4C05DB" w:rsidR="0065584C" w:rsidRDefault="0065584C" w:rsidP="002B2917">
            <w:pPr>
              <w:spacing w:line="480" w:lineRule="auto"/>
              <w:rPr>
                <w:rFonts w:ascii="Times New Roman" w:hAnsi="Times New Roman" w:cs="Times New Roman"/>
              </w:rPr>
            </w:pPr>
            <w:r>
              <w:rPr>
                <w:rFonts w:ascii="Times New Roman" w:hAnsi="Times New Roman" w:cs="Times New Roman"/>
              </w:rPr>
              <w:t>PL</w:t>
            </w:r>
            <w:r w:rsidR="00350632" w:rsidRPr="00350632">
              <w:rPr>
                <w:rFonts w:ascii="Times New Roman" w:hAnsi="Times New Roman" w:cs="Times New Roman"/>
                <w:b w:val="0"/>
                <w:bCs w:val="0"/>
                <w:vertAlign w:val="superscript"/>
              </w:rPr>
              <w:t>b</w:t>
            </w:r>
          </w:p>
        </w:tc>
        <w:tc>
          <w:tcPr>
            <w:tcW w:w="1847" w:type="dxa"/>
            <w:tcBorders>
              <w:top w:val="single" w:sz="18" w:space="0" w:color="000000" w:themeColor="text1"/>
            </w:tcBorders>
          </w:tcPr>
          <w:p w14:paraId="4396ACF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766.57 </w:t>
            </w:r>
            <w:r>
              <w:rPr>
                <w:rFonts w:ascii="Times New Roman" w:hAnsi="Times New Roman" w:cs="Times New Roman"/>
              </w:rPr>
              <w:sym w:font="Symbol" w:char="F0B1"/>
            </w:r>
            <w:r>
              <w:rPr>
                <w:rFonts w:ascii="Times New Roman" w:hAnsi="Times New Roman" w:cs="Times New Roman"/>
              </w:rPr>
              <w:t xml:space="preserve"> 40.05</w:t>
            </w:r>
          </w:p>
        </w:tc>
        <w:tc>
          <w:tcPr>
            <w:tcW w:w="1848" w:type="dxa"/>
            <w:tcBorders>
              <w:top w:val="single" w:sz="18" w:space="0" w:color="000000" w:themeColor="text1"/>
            </w:tcBorders>
          </w:tcPr>
          <w:p w14:paraId="0675DD91"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330.34 </w:t>
            </w:r>
            <w:r>
              <w:rPr>
                <w:rFonts w:ascii="Times New Roman" w:hAnsi="Times New Roman" w:cs="Times New Roman"/>
              </w:rPr>
              <w:sym w:font="Symbol" w:char="F0B1"/>
            </w:r>
            <w:r>
              <w:rPr>
                <w:rFonts w:ascii="Times New Roman" w:hAnsi="Times New Roman" w:cs="Times New Roman"/>
              </w:rPr>
              <w:t xml:space="preserve"> 24.63</w:t>
            </w:r>
          </w:p>
        </w:tc>
        <w:tc>
          <w:tcPr>
            <w:tcW w:w="2042" w:type="dxa"/>
            <w:tcBorders>
              <w:top w:val="single" w:sz="18" w:space="0" w:color="000000" w:themeColor="text1"/>
            </w:tcBorders>
          </w:tcPr>
          <w:p w14:paraId="72C1BDBE" w14:textId="2652829E" w:rsidR="0065584C" w:rsidRDefault="00314A10"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 0.028</w:t>
            </w:r>
            <w:r w:rsidR="00A222FD">
              <w:rPr>
                <w:rFonts w:ascii="Times New Roman" w:hAnsi="Times New Roman" w:cs="Times New Roman"/>
              </w:rPr>
              <w:t>*</w:t>
            </w:r>
          </w:p>
        </w:tc>
        <w:tc>
          <w:tcPr>
            <w:tcW w:w="1629" w:type="dxa"/>
            <w:tcBorders>
              <w:top w:val="single" w:sz="18" w:space="0" w:color="000000" w:themeColor="text1"/>
            </w:tcBorders>
          </w:tcPr>
          <w:p w14:paraId="0D99197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13.121 </w:t>
            </w:r>
          </w:p>
        </w:tc>
      </w:tr>
      <w:tr w:rsidR="0065584C" w14:paraId="480F5A78"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567298F2" w14:textId="1B897DD3"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High</w:t>
            </w:r>
            <w:r w:rsidR="00350632" w:rsidRPr="00350632">
              <w:rPr>
                <w:rFonts w:ascii="Times New Roman" w:hAnsi="Times New Roman" w:cs="Times New Roman"/>
                <w:b w:val="0"/>
                <w:bCs w:val="0"/>
                <w:vertAlign w:val="superscript"/>
              </w:rPr>
              <w:t>b</w:t>
            </w:r>
            <w:proofErr w:type="spellEnd"/>
          </w:p>
        </w:tc>
        <w:tc>
          <w:tcPr>
            <w:tcW w:w="1847" w:type="dxa"/>
          </w:tcPr>
          <w:p w14:paraId="056262C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47.33 </w:t>
            </w:r>
            <w:r>
              <w:rPr>
                <w:rFonts w:ascii="Times New Roman" w:hAnsi="Times New Roman" w:cs="Times New Roman"/>
              </w:rPr>
              <w:sym w:font="Symbol" w:char="F0B1"/>
            </w:r>
            <w:r>
              <w:rPr>
                <w:rFonts w:ascii="Times New Roman" w:hAnsi="Times New Roman" w:cs="Times New Roman"/>
              </w:rPr>
              <w:t xml:space="preserve"> 4.50</w:t>
            </w:r>
          </w:p>
        </w:tc>
        <w:tc>
          <w:tcPr>
            <w:tcW w:w="1848" w:type="dxa"/>
          </w:tcPr>
          <w:p w14:paraId="2A74C84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22.83 </w:t>
            </w:r>
            <w:r>
              <w:rPr>
                <w:rFonts w:ascii="Times New Roman" w:hAnsi="Times New Roman" w:cs="Times New Roman"/>
              </w:rPr>
              <w:sym w:font="Symbol" w:char="F0B1"/>
            </w:r>
            <w:r>
              <w:rPr>
                <w:rFonts w:ascii="Times New Roman" w:hAnsi="Times New Roman" w:cs="Times New Roman"/>
              </w:rPr>
              <w:t xml:space="preserve"> 5.97</w:t>
            </w:r>
          </w:p>
        </w:tc>
        <w:tc>
          <w:tcPr>
            <w:tcW w:w="2042" w:type="dxa"/>
          </w:tcPr>
          <w:p w14:paraId="5D345762" w14:textId="6C19925E" w:rsidR="0065584C" w:rsidRDefault="00314A10"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 0.016</w:t>
            </w:r>
            <w:r w:rsidR="00A222FD">
              <w:rPr>
                <w:rFonts w:ascii="Times New Roman" w:hAnsi="Times New Roman" w:cs="Times New Roman"/>
              </w:rPr>
              <w:t>*</w:t>
            </w:r>
          </w:p>
        </w:tc>
        <w:tc>
          <w:tcPr>
            <w:tcW w:w="1629" w:type="dxa"/>
          </w:tcPr>
          <w:p w14:paraId="3C0933A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4.635</w:t>
            </w:r>
          </w:p>
        </w:tc>
      </w:tr>
      <w:tr w:rsidR="0065584C" w14:paraId="6FE008EF"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100E8E68" w14:textId="04ACC446"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Medium</w:t>
            </w:r>
            <w:r w:rsidR="00350632" w:rsidRPr="00350632">
              <w:rPr>
                <w:rFonts w:ascii="Times New Roman" w:hAnsi="Times New Roman" w:cs="Times New Roman"/>
                <w:b w:val="0"/>
                <w:bCs w:val="0"/>
                <w:vertAlign w:val="superscript"/>
              </w:rPr>
              <w:t>b</w:t>
            </w:r>
            <w:proofErr w:type="spellEnd"/>
          </w:p>
        </w:tc>
        <w:tc>
          <w:tcPr>
            <w:tcW w:w="1847" w:type="dxa"/>
          </w:tcPr>
          <w:p w14:paraId="1979D2F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84.83 </w:t>
            </w:r>
            <w:r>
              <w:rPr>
                <w:rFonts w:ascii="Times New Roman" w:hAnsi="Times New Roman" w:cs="Times New Roman"/>
              </w:rPr>
              <w:sym w:font="Symbol" w:char="F0B1"/>
            </w:r>
            <w:r>
              <w:rPr>
                <w:rFonts w:ascii="Times New Roman" w:hAnsi="Times New Roman" w:cs="Times New Roman"/>
              </w:rPr>
              <w:t xml:space="preserve"> 13.07</w:t>
            </w:r>
          </w:p>
        </w:tc>
        <w:tc>
          <w:tcPr>
            <w:tcW w:w="1848" w:type="dxa"/>
          </w:tcPr>
          <w:p w14:paraId="719F4DD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30.17 </w:t>
            </w:r>
            <w:r>
              <w:rPr>
                <w:rFonts w:ascii="Times New Roman" w:hAnsi="Times New Roman" w:cs="Times New Roman"/>
              </w:rPr>
              <w:sym w:font="Symbol" w:char="F0B1"/>
            </w:r>
            <w:r>
              <w:rPr>
                <w:rFonts w:ascii="Times New Roman" w:hAnsi="Times New Roman" w:cs="Times New Roman"/>
              </w:rPr>
              <w:t xml:space="preserve"> 8.61</w:t>
            </w:r>
          </w:p>
        </w:tc>
        <w:tc>
          <w:tcPr>
            <w:tcW w:w="2042" w:type="dxa"/>
          </w:tcPr>
          <w:p w14:paraId="077ABBA1" w14:textId="57331F90" w:rsidR="0065584C" w:rsidRDefault="00314A10"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 0.004</w:t>
            </w:r>
            <w:r w:rsidR="00A222FD">
              <w:rPr>
                <w:rFonts w:ascii="Times New Roman" w:hAnsi="Times New Roman" w:cs="Times New Roman"/>
              </w:rPr>
              <w:t>*</w:t>
            </w:r>
          </w:p>
        </w:tc>
        <w:tc>
          <w:tcPr>
            <w:tcW w:w="1629" w:type="dxa"/>
          </w:tcPr>
          <w:p w14:paraId="0A7CC6B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4.939</w:t>
            </w:r>
          </w:p>
        </w:tc>
      </w:tr>
      <w:tr w:rsidR="0065584C" w14:paraId="46E2B581"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00C3AA58" w14:textId="72F262E1"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Low</w:t>
            </w:r>
            <w:r w:rsidR="00350632" w:rsidRPr="00350632">
              <w:rPr>
                <w:rFonts w:ascii="Times New Roman" w:hAnsi="Times New Roman" w:cs="Times New Roman"/>
                <w:b w:val="0"/>
                <w:bCs w:val="0"/>
                <w:vertAlign w:val="superscript"/>
              </w:rPr>
              <w:t>b</w:t>
            </w:r>
            <w:proofErr w:type="spellEnd"/>
          </w:p>
        </w:tc>
        <w:tc>
          <w:tcPr>
            <w:tcW w:w="1847" w:type="dxa"/>
          </w:tcPr>
          <w:p w14:paraId="6D6AACA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62.17 </w:t>
            </w:r>
            <w:r>
              <w:rPr>
                <w:rFonts w:ascii="Times New Roman" w:hAnsi="Times New Roman" w:cs="Times New Roman"/>
              </w:rPr>
              <w:sym w:font="Symbol" w:char="F0B1"/>
            </w:r>
            <w:r>
              <w:rPr>
                <w:rFonts w:ascii="Times New Roman" w:hAnsi="Times New Roman" w:cs="Times New Roman"/>
              </w:rPr>
              <w:t xml:space="preserve"> 14.50</w:t>
            </w:r>
          </w:p>
        </w:tc>
        <w:tc>
          <w:tcPr>
            <w:tcW w:w="1848" w:type="dxa"/>
          </w:tcPr>
          <w:p w14:paraId="306DCBA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7.33 </w:t>
            </w:r>
            <w:r>
              <w:rPr>
                <w:rFonts w:ascii="Times New Roman" w:hAnsi="Times New Roman" w:cs="Times New Roman"/>
              </w:rPr>
              <w:sym w:font="Symbol" w:char="F0B1"/>
            </w:r>
            <w:r>
              <w:rPr>
                <w:rFonts w:ascii="Times New Roman" w:hAnsi="Times New Roman" w:cs="Times New Roman"/>
              </w:rPr>
              <w:t xml:space="preserve"> 2.50</w:t>
            </w:r>
          </w:p>
        </w:tc>
        <w:tc>
          <w:tcPr>
            <w:tcW w:w="2042" w:type="dxa"/>
          </w:tcPr>
          <w:p w14:paraId="7F2B5E6C" w14:textId="2CBE1005" w:rsidR="0065584C" w:rsidRDefault="00314A10"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 0.009</w:t>
            </w:r>
            <w:r w:rsidR="00A222FD">
              <w:rPr>
                <w:rFonts w:ascii="Times New Roman" w:hAnsi="Times New Roman" w:cs="Times New Roman"/>
              </w:rPr>
              <w:t>*</w:t>
            </w:r>
          </w:p>
        </w:tc>
        <w:tc>
          <w:tcPr>
            <w:tcW w:w="1629" w:type="dxa"/>
          </w:tcPr>
          <w:p w14:paraId="3DD24660"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5.271</w:t>
            </w:r>
          </w:p>
        </w:tc>
      </w:tr>
      <w:tr w:rsidR="0065584C" w14:paraId="41E03689"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0259ED89" w14:textId="57C84D72"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Total</w:t>
            </w:r>
            <w:r w:rsidR="00350632" w:rsidRPr="00350632">
              <w:rPr>
                <w:rFonts w:ascii="Times New Roman" w:hAnsi="Times New Roman" w:cs="Times New Roman"/>
                <w:b w:val="0"/>
                <w:bCs w:val="0"/>
                <w:vertAlign w:val="superscript"/>
              </w:rPr>
              <w:t>b</w:t>
            </w:r>
            <w:proofErr w:type="spellEnd"/>
          </w:p>
        </w:tc>
        <w:tc>
          <w:tcPr>
            <w:tcW w:w="1847" w:type="dxa"/>
          </w:tcPr>
          <w:p w14:paraId="4EFA41D0"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172.17 </w:t>
            </w:r>
            <w:r>
              <w:rPr>
                <w:rFonts w:ascii="Times New Roman" w:hAnsi="Times New Roman" w:cs="Times New Roman"/>
              </w:rPr>
              <w:sym w:font="Symbol" w:char="F0B1"/>
            </w:r>
            <w:r>
              <w:rPr>
                <w:rFonts w:ascii="Times New Roman" w:hAnsi="Times New Roman" w:cs="Times New Roman"/>
              </w:rPr>
              <w:t xml:space="preserve"> 16.37</w:t>
            </w:r>
          </w:p>
        </w:tc>
        <w:tc>
          <w:tcPr>
            <w:tcW w:w="1848" w:type="dxa"/>
          </w:tcPr>
          <w:p w14:paraId="71BBA65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89.00 </w:t>
            </w:r>
            <w:r>
              <w:rPr>
                <w:rFonts w:ascii="Times New Roman" w:hAnsi="Times New Roman" w:cs="Times New Roman"/>
              </w:rPr>
              <w:sym w:font="Symbol" w:char="F0B1"/>
            </w:r>
            <w:r>
              <w:rPr>
                <w:rFonts w:ascii="Times New Roman" w:hAnsi="Times New Roman" w:cs="Times New Roman"/>
              </w:rPr>
              <w:t xml:space="preserve"> 28.40</w:t>
            </w:r>
          </w:p>
        </w:tc>
        <w:tc>
          <w:tcPr>
            <w:tcW w:w="2042" w:type="dxa"/>
          </w:tcPr>
          <w:p w14:paraId="46EA8B3D"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0.002</w:t>
            </w:r>
          </w:p>
        </w:tc>
        <w:tc>
          <w:tcPr>
            <w:tcW w:w="1629" w:type="dxa"/>
          </w:tcPr>
          <w:p w14:paraId="2EEC7F6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3.588</w:t>
            </w:r>
          </w:p>
        </w:tc>
      </w:tr>
      <w:tr w:rsidR="0065584C" w14:paraId="7E2575FB"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5198EE60" w14:textId="3A4FE40F" w:rsidR="0065584C" w:rsidRDefault="0065584C" w:rsidP="002B2917">
            <w:pPr>
              <w:spacing w:line="480" w:lineRule="auto"/>
              <w:rPr>
                <w:rFonts w:ascii="Times New Roman" w:hAnsi="Times New Roman" w:cs="Times New Roman"/>
              </w:rPr>
            </w:pPr>
            <w:r>
              <w:rPr>
                <w:rFonts w:ascii="Times New Roman" w:hAnsi="Times New Roman" w:cs="Times New Roman"/>
              </w:rPr>
              <w:t xml:space="preserve">Recovery </w:t>
            </w:r>
            <w:proofErr w:type="spellStart"/>
            <w:r w:rsidR="00A2690A">
              <w:rPr>
                <w:rFonts w:ascii="Times New Roman" w:hAnsi="Times New Roman" w:cs="Times New Roman"/>
              </w:rPr>
              <w:t>c</w:t>
            </w:r>
            <w:r>
              <w:rPr>
                <w:rFonts w:ascii="Times New Roman" w:hAnsi="Times New Roman" w:cs="Times New Roman"/>
              </w:rPr>
              <w:t>omp</w:t>
            </w:r>
            <w:r w:rsidR="00350632" w:rsidRPr="00350632">
              <w:rPr>
                <w:rFonts w:ascii="Times New Roman" w:hAnsi="Times New Roman" w:cs="Times New Roman"/>
                <w:b w:val="0"/>
                <w:bCs w:val="0"/>
                <w:vertAlign w:val="superscript"/>
              </w:rPr>
              <w:t>a</w:t>
            </w:r>
            <w:proofErr w:type="spellEnd"/>
          </w:p>
        </w:tc>
        <w:tc>
          <w:tcPr>
            <w:tcW w:w="1847" w:type="dxa"/>
          </w:tcPr>
          <w:p w14:paraId="72FDB31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13.17 </w:t>
            </w:r>
            <w:r>
              <w:rPr>
                <w:rFonts w:ascii="Times New Roman" w:hAnsi="Times New Roman" w:cs="Times New Roman"/>
              </w:rPr>
              <w:sym w:font="Symbol" w:char="F0B1"/>
            </w:r>
            <w:r>
              <w:rPr>
                <w:rFonts w:ascii="Times New Roman" w:hAnsi="Times New Roman" w:cs="Times New Roman"/>
              </w:rPr>
              <w:t xml:space="preserve"> 2.23</w:t>
            </w:r>
          </w:p>
        </w:tc>
        <w:tc>
          <w:tcPr>
            <w:tcW w:w="1848" w:type="dxa"/>
          </w:tcPr>
          <w:p w14:paraId="09CC4782"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12.50 </w:t>
            </w:r>
            <w:r>
              <w:rPr>
                <w:rFonts w:ascii="Times New Roman" w:hAnsi="Times New Roman" w:cs="Times New Roman"/>
              </w:rPr>
              <w:sym w:font="Symbol" w:char="F0B1"/>
            </w:r>
            <w:r>
              <w:rPr>
                <w:rFonts w:ascii="Times New Roman" w:hAnsi="Times New Roman" w:cs="Times New Roman"/>
              </w:rPr>
              <w:t xml:space="preserve"> 1.84</w:t>
            </w:r>
          </w:p>
        </w:tc>
        <w:tc>
          <w:tcPr>
            <w:tcW w:w="2042" w:type="dxa"/>
          </w:tcPr>
          <w:p w14:paraId="7CE00B15"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0.747</w:t>
            </w:r>
          </w:p>
        </w:tc>
        <w:tc>
          <w:tcPr>
            <w:tcW w:w="1629" w:type="dxa"/>
          </w:tcPr>
          <w:p w14:paraId="3A16220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0.328</w:t>
            </w:r>
          </w:p>
        </w:tc>
      </w:tr>
      <w:tr w:rsidR="0065584C" w14:paraId="1658D904"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7E2C2AE5" w14:textId="25ECDE87" w:rsidR="0065584C" w:rsidRDefault="0065584C" w:rsidP="002B2917">
            <w:pPr>
              <w:spacing w:line="480" w:lineRule="auto"/>
              <w:rPr>
                <w:rFonts w:ascii="Times New Roman" w:hAnsi="Times New Roman" w:cs="Times New Roman"/>
              </w:rPr>
            </w:pPr>
            <w:r>
              <w:rPr>
                <w:rFonts w:ascii="Times New Roman" w:hAnsi="Times New Roman" w:cs="Times New Roman"/>
              </w:rPr>
              <w:t xml:space="preserve">Stress </w:t>
            </w:r>
            <w:proofErr w:type="spellStart"/>
            <w:r w:rsidR="00A2690A">
              <w:rPr>
                <w:rFonts w:ascii="Times New Roman" w:hAnsi="Times New Roman" w:cs="Times New Roman"/>
              </w:rPr>
              <w:t>c</w:t>
            </w:r>
            <w:r>
              <w:rPr>
                <w:rFonts w:ascii="Times New Roman" w:hAnsi="Times New Roman" w:cs="Times New Roman"/>
              </w:rPr>
              <w:t>omp</w:t>
            </w:r>
            <w:r w:rsidR="00350632" w:rsidRPr="00350632">
              <w:rPr>
                <w:rFonts w:ascii="Times New Roman" w:hAnsi="Times New Roman" w:cs="Times New Roman"/>
                <w:b w:val="0"/>
                <w:bCs w:val="0"/>
                <w:vertAlign w:val="superscript"/>
              </w:rPr>
              <w:t>a</w:t>
            </w:r>
            <w:proofErr w:type="spellEnd"/>
          </w:p>
        </w:tc>
        <w:tc>
          <w:tcPr>
            <w:tcW w:w="1847" w:type="dxa"/>
          </w:tcPr>
          <w:p w14:paraId="7F769830"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9.33 </w:t>
            </w:r>
            <w:r>
              <w:rPr>
                <w:rFonts w:ascii="Times New Roman" w:hAnsi="Times New Roman" w:cs="Times New Roman"/>
              </w:rPr>
              <w:sym w:font="Symbol" w:char="F0B1"/>
            </w:r>
            <w:r>
              <w:rPr>
                <w:rFonts w:ascii="Times New Roman" w:hAnsi="Times New Roman" w:cs="Times New Roman"/>
              </w:rPr>
              <w:t xml:space="preserve"> 2.62</w:t>
            </w:r>
          </w:p>
        </w:tc>
        <w:tc>
          <w:tcPr>
            <w:tcW w:w="1848" w:type="dxa"/>
          </w:tcPr>
          <w:p w14:paraId="03B9532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12.50 </w:t>
            </w:r>
            <w:r>
              <w:rPr>
                <w:rFonts w:ascii="Times New Roman" w:hAnsi="Times New Roman" w:cs="Times New Roman"/>
              </w:rPr>
              <w:sym w:font="Symbol" w:char="F0B1"/>
            </w:r>
            <w:r>
              <w:rPr>
                <w:rFonts w:ascii="Times New Roman" w:hAnsi="Times New Roman" w:cs="Times New Roman"/>
              </w:rPr>
              <w:t xml:space="preserve"> 2.14</w:t>
            </w:r>
          </w:p>
        </w:tc>
        <w:tc>
          <w:tcPr>
            <w:tcW w:w="2042" w:type="dxa"/>
          </w:tcPr>
          <w:p w14:paraId="77B8311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0.392</w:t>
            </w:r>
          </w:p>
        </w:tc>
        <w:tc>
          <w:tcPr>
            <w:tcW w:w="1629" w:type="dxa"/>
          </w:tcPr>
          <w:p w14:paraId="70415B4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1.325</w:t>
            </w:r>
          </w:p>
        </w:tc>
      </w:tr>
      <w:tr w:rsidR="0065584C" w14:paraId="1F0BBE09" w14:textId="77777777" w:rsidTr="002B2917">
        <w:tc>
          <w:tcPr>
            <w:cnfStyle w:val="001000000000" w:firstRow="0" w:lastRow="0" w:firstColumn="1" w:lastColumn="0" w:oddVBand="0" w:evenVBand="0" w:oddHBand="0" w:evenHBand="0" w:firstRowFirstColumn="0" w:firstRowLastColumn="0" w:lastRowFirstColumn="0" w:lastRowLastColumn="0"/>
            <w:tcW w:w="1994" w:type="dxa"/>
          </w:tcPr>
          <w:p w14:paraId="698A36E8" w14:textId="0B21BB09" w:rsidR="0065584C" w:rsidRDefault="0065584C" w:rsidP="002B2917">
            <w:pPr>
              <w:spacing w:line="480" w:lineRule="auto"/>
              <w:rPr>
                <w:rFonts w:ascii="Times New Roman" w:hAnsi="Times New Roman" w:cs="Times New Roman"/>
              </w:rPr>
            </w:pPr>
            <w:r>
              <w:rPr>
                <w:rFonts w:ascii="Times New Roman" w:hAnsi="Times New Roman" w:cs="Times New Roman"/>
              </w:rPr>
              <w:t xml:space="preserve">Soreness </w:t>
            </w:r>
            <w:proofErr w:type="spellStart"/>
            <w:r w:rsidR="00A2690A">
              <w:rPr>
                <w:rFonts w:ascii="Times New Roman" w:hAnsi="Times New Roman" w:cs="Times New Roman"/>
              </w:rPr>
              <w:t>c</w:t>
            </w:r>
            <w:r>
              <w:rPr>
                <w:rFonts w:ascii="Times New Roman" w:hAnsi="Times New Roman" w:cs="Times New Roman"/>
              </w:rPr>
              <w:t>omp</w:t>
            </w:r>
            <w:r w:rsidR="00350632" w:rsidRPr="00350632">
              <w:rPr>
                <w:rFonts w:ascii="Times New Roman" w:hAnsi="Times New Roman" w:cs="Times New Roman"/>
                <w:b w:val="0"/>
                <w:bCs w:val="0"/>
                <w:vertAlign w:val="superscript"/>
              </w:rPr>
              <w:t>a</w:t>
            </w:r>
            <w:proofErr w:type="spellEnd"/>
          </w:p>
        </w:tc>
        <w:tc>
          <w:tcPr>
            <w:tcW w:w="1847" w:type="dxa"/>
          </w:tcPr>
          <w:p w14:paraId="766954E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184.50 </w:t>
            </w:r>
            <w:r>
              <w:rPr>
                <w:rFonts w:ascii="Times New Roman" w:hAnsi="Times New Roman" w:cs="Times New Roman"/>
              </w:rPr>
              <w:sym w:font="Symbol" w:char="F0B1"/>
            </w:r>
            <w:r>
              <w:rPr>
                <w:rFonts w:ascii="Times New Roman" w:hAnsi="Times New Roman" w:cs="Times New Roman"/>
              </w:rPr>
              <w:t xml:space="preserve"> 51.00</w:t>
            </w:r>
          </w:p>
        </w:tc>
        <w:tc>
          <w:tcPr>
            <w:tcW w:w="1848" w:type="dxa"/>
          </w:tcPr>
          <w:p w14:paraId="41EBB820"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181.83 </w:t>
            </w:r>
            <w:r>
              <w:rPr>
                <w:rFonts w:ascii="Times New Roman" w:hAnsi="Times New Roman" w:cs="Times New Roman"/>
              </w:rPr>
              <w:sym w:font="Symbol" w:char="F0B1"/>
            </w:r>
            <w:r>
              <w:rPr>
                <w:rFonts w:ascii="Times New Roman" w:hAnsi="Times New Roman" w:cs="Times New Roman"/>
              </w:rPr>
              <w:t xml:space="preserve"> 48.68</w:t>
            </w:r>
          </w:p>
        </w:tc>
        <w:tc>
          <w:tcPr>
            <w:tcW w:w="2042" w:type="dxa"/>
          </w:tcPr>
          <w:p w14:paraId="0B038E1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0.692</w:t>
            </w:r>
          </w:p>
        </w:tc>
        <w:tc>
          <w:tcPr>
            <w:tcW w:w="1629" w:type="dxa"/>
          </w:tcPr>
          <w:p w14:paraId="226F3332"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0.054</w:t>
            </w:r>
          </w:p>
        </w:tc>
      </w:tr>
      <w:tr w:rsidR="0065584C" w14:paraId="75075B61" w14:textId="77777777" w:rsidTr="002B2917">
        <w:tc>
          <w:tcPr>
            <w:cnfStyle w:val="001000000000" w:firstRow="0" w:lastRow="0" w:firstColumn="1" w:lastColumn="0" w:oddVBand="0" w:evenVBand="0" w:oddHBand="0" w:evenHBand="0" w:firstRowFirstColumn="0" w:firstRowLastColumn="0" w:lastRowFirstColumn="0" w:lastRowLastColumn="0"/>
            <w:tcW w:w="1994" w:type="dxa"/>
            <w:tcBorders>
              <w:bottom w:val="single" w:sz="18" w:space="0" w:color="000000" w:themeColor="text1"/>
            </w:tcBorders>
          </w:tcPr>
          <w:p w14:paraId="208633F1" w14:textId="28110184" w:rsidR="0065584C" w:rsidRDefault="0065584C" w:rsidP="002B2917">
            <w:pPr>
              <w:spacing w:line="480" w:lineRule="auto"/>
              <w:rPr>
                <w:rFonts w:ascii="Times New Roman" w:hAnsi="Times New Roman" w:cs="Times New Roman"/>
              </w:rPr>
            </w:pPr>
            <w:proofErr w:type="spellStart"/>
            <w:r>
              <w:rPr>
                <w:rFonts w:ascii="Times New Roman" w:hAnsi="Times New Roman" w:cs="Times New Roman"/>
              </w:rPr>
              <w:lastRenderedPageBreak/>
              <w:t>Sleep</w:t>
            </w:r>
            <w:r w:rsidR="00350632" w:rsidRPr="00350632">
              <w:rPr>
                <w:rFonts w:ascii="Times New Roman" w:hAnsi="Times New Roman" w:cs="Times New Roman"/>
                <w:b w:val="0"/>
                <w:bCs w:val="0"/>
                <w:vertAlign w:val="superscript"/>
              </w:rPr>
              <w:t>a</w:t>
            </w:r>
            <w:proofErr w:type="spellEnd"/>
          </w:p>
        </w:tc>
        <w:tc>
          <w:tcPr>
            <w:tcW w:w="1847" w:type="dxa"/>
            <w:tcBorders>
              <w:bottom w:val="single" w:sz="18" w:space="0" w:color="000000" w:themeColor="text1"/>
            </w:tcBorders>
          </w:tcPr>
          <w:p w14:paraId="578361C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65.00 </w:t>
            </w:r>
            <w:r>
              <w:rPr>
                <w:rFonts w:ascii="Times New Roman" w:hAnsi="Times New Roman" w:cs="Times New Roman"/>
              </w:rPr>
              <w:sym w:font="Symbol" w:char="F0B1"/>
            </w:r>
            <w:r>
              <w:rPr>
                <w:rFonts w:ascii="Times New Roman" w:hAnsi="Times New Roman" w:cs="Times New Roman"/>
              </w:rPr>
              <w:t xml:space="preserve"> 6.32</w:t>
            </w:r>
          </w:p>
        </w:tc>
        <w:tc>
          <w:tcPr>
            <w:tcW w:w="1848" w:type="dxa"/>
            <w:tcBorders>
              <w:bottom w:val="single" w:sz="18" w:space="0" w:color="000000" w:themeColor="text1"/>
            </w:tcBorders>
          </w:tcPr>
          <w:p w14:paraId="664A856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51.50 </w:t>
            </w:r>
            <w:r>
              <w:rPr>
                <w:rFonts w:ascii="Times New Roman" w:hAnsi="Times New Roman" w:cs="Times New Roman"/>
              </w:rPr>
              <w:sym w:font="Symbol" w:char="F0B1"/>
            </w:r>
            <w:r>
              <w:rPr>
                <w:rFonts w:ascii="Times New Roman" w:hAnsi="Times New Roman" w:cs="Times New Roman"/>
              </w:rPr>
              <w:t xml:space="preserve"> 9.97</w:t>
            </w:r>
          </w:p>
        </w:tc>
        <w:tc>
          <w:tcPr>
            <w:tcW w:w="2042" w:type="dxa"/>
            <w:tcBorders>
              <w:bottom w:val="single" w:sz="18" w:space="0" w:color="000000" w:themeColor="text1"/>
            </w:tcBorders>
          </w:tcPr>
          <w:p w14:paraId="53EC9B2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0.361</w:t>
            </w:r>
          </w:p>
        </w:tc>
        <w:tc>
          <w:tcPr>
            <w:tcW w:w="1629" w:type="dxa"/>
            <w:tcBorders>
              <w:bottom w:val="single" w:sz="18" w:space="0" w:color="000000" w:themeColor="text1"/>
            </w:tcBorders>
          </w:tcPr>
          <w:p w14:paraId="3709261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1.617</w:t>
            </w:r>
          </w:p>
        </w:tc>
      </w:tr>
    </w:tbl>
    <w:p w14:paraId="4FE172FB" w14:textId="77777777" w:rsidR="003A58B5" w:rsidRPr="003A58B5" w:rsidRDefault="003A58B5" w:rsidP="003A58B5">
      <w:pPr>
        <w:rPr>
          <w:rFonts w:ascii="Times New Roman" w:hAnsi="Times New Roman" w:cs="Times New Roman"/>
        </w:rPr>
      </w:pPr>
      <w:r w:rsidRPr="003A58B5">
        <w:rPr>
          <w:rFonts w:ascii="Times New Roman" w:hAnsi="Times New Roman" w:cs="Times New Roman"/>
        </w:rPr>
        <w:t>* Denotes statistical significance at the p</w:t>
      </w:r>
      <w:r w:rsidRPr="003A58B5">
        <w:rPr>
          <w:rFonts w:ascii="Times New Roman" w:hAnsi="Times New Roman" w:cs="Times New Roman"/>
          <w:u w:val="single"/>
        </w:rPr>
        <w:t>&lt;</w:t>
      </w:r>
      <w:r w:rsidRPr="003A58B5">
        <w:rPr>
          <w:rFonts w:ascii="Times New Roman" w:hAnsi="Times New Roman" w:cs="Times New Roman"/>
        </w:rPr>
        <w:t>0.05 level</w:t>
      </w:r>
    </w:p>
    <w:p w14:paraId="42B90AD5" w14:textId="372D2F87" w:rsidR="003A58B5" w:rsidRDefault="003A58B5" w:rsidP="003A58B5">
      <w:pPr>
        <w:rPr>
          <w:rFonts w:ascii="Times New Roman" w:hAnsi="Times New Roman" w:cs="Times New Roman"/>
        </w:rPr>
      </w:pPr>
      <w:r w:rsidRPr="003A58B5">
        <w:rPr>
          <w:rFonts w:ascii="Times New Roman" w:hAnsi="Times New Roman" w:cs="Times New Roman"/>
        </w:rPr>
        <w:t>** Denotes statistical significance at the p</w:t>
      </w:r>
      <w:r w:rsidRPr="003A58B5">
        <w:rPr>
          <w:rFonts w:ascii="Times New Roman" w:hAnsi="Times New Roman" w:cs="Times New Roman"/>
          <w:u w:val="single"/>
        </w:rPr>
        <w:t>&lt;</w:t>
      </w:r>
      <w:r w:rsidRPr="003A58B5">
        <w:rPr>
          <w:rFonts w:ascii="Times New Roman" w:hAnsi="Times New Roman" w:cs="Times New Roman"/>
        </w:rPr>
        <w:t>0.01 level</w:t>
      </w:r>
    </w:p>
    <w:p w14:paraId="5B853059" w14:textId="77777777" w:rsidR="003A58B5" w:rsidRDefault="003A58B5" w:rsidP="003A58B5">
      <w:pPr>
        <w:rPr>
          <w:rFonts w:ascii="Times New Roman" w:hAnsi="Times New Roman" w:cs="Times New Roman"/>
        </w:rPr>
      </w:pPr>
    </w:p>
    <w:p w14:paraId="3F58E502" w14:textId="50420DD8" w:rsidR="0065584C" w:rsidRDefault="0065584C" w:rsidP="0065584C">
      <w:pPr>
        <w:spacing w:line="480" w:lineRule="auto"/>
        <w:rPr>
          <w:rFonts w:ascii="Times New Roman" w:hAnsi="Times New Roman" w:cs="Times New Roman"/>
        </w:rPr>
      </w:pPr>
      <w:r>
        <w:rPr>
          <w:rFonts w:ascii="Times New Roman" w:hAnsi="Times New Roman" w:cs="Times New Roman"/>
        </w:rPr>
        <w:t xml:space="preserve">For the highest and lowest IMA Total days, IMA Total (p &lt;0.001) and IMA High (p = 0.002) showed significant differences. </w:t>
      </w:r>
    </w:p>
    <w:p w14:paraId="7133BC0B" w14:textId="77777777" w:rsidR="006D0558" w:rsidRDefault="006D0558" w:rsidP="006D0558">
      <w:pPr>
        <w:rPr>
          <w:rFonts w:ascii="Times New Roman" w:hAnsi="Times New Roman" w:cs="Times New Roman"/>
        </w:rPr>
      </w:pPr>
      <w:r>
        <w:rPr>
          <w:rFonts w:ascii="Times New Roman" w:hAnsi="Times New Roman" w:cs="Times New Roman"/>
          <w:b/>
          <w:bCs/>
        </w:rPr>
        <w:t xml:space="preserve">Table 6: </w:t>
      </w:r>
      <w:r>
        <w:rPr>
          <w:rFonts w:ascii="Times New Roman" w:hAnsi="Times New Roman" w:cs="Times New Roman"/>
        </w:rPr>
        <w:t>IMA Total high day and low day with corresponding internal</w:t>
      </w:r>
      <w:r w:rsidRPr="00350632">
        <w:rPr>
          <w:rFonts w:ascii="Times New Roman" w:hAnsi="Times New Roman" w:cs="Times New Roman"/>
          <w:vertAlign w:val="superscript"/>
        </w:rPr>
        <w:t>a</w:t>
      </w:r>
      <w:r>
        <w:rPr>
          <w:rFonts w:ascii="Times New Roman" w:hAnsi="Times New Roman" w:cs="Times New Roman"/>
        </w:rPr>
        <w:t xml:space="preserve"> (n=18) and external</w:t>
      </w:r>
      <w:r w:rsidRPr="00350632">
        <w:rPr>
          <w:rFonts w:ascii="Times New Roman" w:hAnsi="Times New Roman" w:cs="Times New Roman"/>
          <w:vertAlign w:val="superscript"/>
        </w:rPr>
        <w:t>b</w:t>
      </w:r>
      <w:r>
        <w:rPr>
          <w:rFonts w:ascii="Times New Roman" w:hAnsi="Times New Roman" w:cs="Times New Roman"/>
        </w:rPr>
        <w:t xml:space="preserve"> (n=8). </w:t>
      </w:r>
    </w:p>
    <w:tbl>
      <w:tblPr>
        <w:tblStyle w:val="PlainTable2"/>
        <w:tblW w:w="0" w:type="auto"/>
        <w:tblLook w:val="06A0" w:firstRow="1" w:lastRow="0" w:firstColumn="1" w:lastColumn="0" w:noHBand="1" w:noVBand="1"/>
      </w:tblPr>
      <w:tblGrid>
        <w:gridCol w:w="1970"/>
        <w:gridCol w:w="1817"/>
        <w:gridCol w:w="1818"/>
        <w:gridCol w:w="2170"/>
        <w:gridCol w:w="1585"/>
      </w:tblGrid>
      <w:tr w:rsidR="0065584C" w14:paraId="7AB641D9" w14:textId="77777777" w:rsidTr="002B29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0" w:type="dxa"/>
            <w:tcBorders>
              <w:top w:val="single" w:sz="18" w:space="0" w:color="auto"/>
              <w:bottom w:val="single" w:sz="18" w:space="0" w:color="auto"/>
            </w:tcBorders>
          </w:tcPr>
          <w:p w14:paraId="50565EFC" w14:textId="77777777" w:rsidR="0065584C" w:rsidRDefault="0065584C" w:rsidP="002B2917">
            <w:pPr>
              <w:spacing w:line="480" w:lineRule="auto"/>
              <w:rPr>
                <w:rFonts w:ascii="Times New Roman" w:hAnsi="Times New Roman" w:cs="Times New Roman"/>
              </w:rPr>
            </w:pPr>
          </w:p>
        </w:tc>
        <w:tc>
          <w:tcPr>
            <w:tcW w:w="1817" w:type="dxa"/>
            <w:tcBorders>
              <w:top w:val="single" w:sz="18" w:space="0" w:color="auto"/>
              <w:bottom w:val="single" w:sz="18" w:space="0" w:color="auto"/>
            </w:tcBorders>
          </w:tcPr>
          <w:p w14:paraId="1C86BA8C"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High Value</w:t>
            </w:r>
          </w:p>
        </w:tc>
        <w:tc>
          <w:tcPr>
            <w:tcW w:w="1818" w:type="dxa"/>
            <w:tcBorders>
              <w:top w:val="single" w:sz="18" w:space="0" w:color="auto"/>
              <w:bottom w:val="single" w:sz="18" w:space="0" w:color="auto"/>
            </w:tcBorders>
          </w:tcPr>
          <w:p w14:paraId="77AF4DE5"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Low Value</w:t>
            </w:r>
          </w:p>
        </w:tc>
        <w:tc>
          <w:tcPr>
            <w:tcW w:w="2170" w:type="dxa"/>
            <w:tcBorders>
              <w:top w:val="single" w:sz="18" w:space="0" w:color="auto"/>
              <w:bottom w:val="single" w:sz="18" w:space="0" w:color="auto"/>
            </w:tcBorders>
          </w:tcPr>
          <w:p w14:paraId="1B4C3D82"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Significance</w:t>
            </w:r>
          </w:p>
        </w:tc>
        <w:tc>
          <w:tcPr>
            <w:tcW w:w="1585" w:type="dxa"/>
            <w:tcBorders>
              <w:top w:val="single" w:sz="18" w:space="0" w:color="auto"/>
              <w:bottom w:val="single" w:sz="18" w:space="0" w:color="auto"/>
            </w:tcBorders>
          </w:tcPr>
          <w:p w14:paraId="56E06CAE" w14:textId="77777777" w:rsidR="0065584C" w:rsidRDefault="0065584C" w:rsidP="002B291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Effect Size</w:t>
            </w:r>
          </w:p>
        </w:tc>
      </w:tr>
      <w:tr w:rsidR="0065584C" w14:paraId="032DE52A" w14:textId="77777777" w:rsidTr="002B2917">
        <w:tc>
          <w:tcPr>
            <w:cnfStyle w:val="001000000000" w:firstRow="0" w:lastRow="0" w:firstColumn="1" w:lastColumn="0" w:oddVBand="0" w:evenVBand="0" w:oddHBand="0" w:evenHBand="0" w:firstRowFirstColumn="0" w:firstRowLastColumn="0" w:lastRowFirstColumn="0" w:lastRowLastColumn="0"/>
            <w:tcW w:w="1970" w:type="dxa"/>
            <w:tcBorders>
              <w:top w:val="single" w:sz="18" w:space="0" w:color="auto"/>
            </w:tcBorders>
          </w:tcPr>
          <w:p w14:paraId="3D091E97" w14:textId="73C45DF2"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Total</w:t>
            </w:r>
            <w:r w:rsidR="00DD6664" w:rsidRPr="00DD6664">
              <w:rPr>
                <w:rFonts w:ascii="Times New Roman" w:hAnsi="Times New Roman" w:cs="Times New Roman"/>
                <w:b w:val="0"/>
                <w:bCs w:val="0"/>
                <w:vertAlign w:val="superscript"/>
              </w:rPr>
              <w:t>b</w:t>
            </w:r>
            <w:proofErr w:type="spellEnd"/>
          </w:p>
        </w:tc>
        <w:tc>
          <w:tcPr>
            <w:tcW w:w="1817" w:type="dxa"/>
            <w:tcBorders>
              <w:top w:val="single" w:sz="18" w:space="0" w:color="auto"/>
            </w:tcBorders>
          </w:tcPr>
          <w:p w14:paraId="21E74AF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206.21 </w:t>
            </w:r>
            <w:r>
              <w:rPr>
                <w:rFonts w:ascii="Times New Roman" w:hAnsi="Times New Roman" w:cs="Times New Roman"/>
              </w:rPr>
              <w:sym w:font="Symbol" w:char="F0B1"/>
            </w:r>
            <w:r>
              <w:rPr>
                <w:rFonts w:ascii="Times New Roman" w:hAnsi="Times New Roman" w:cs="Times New Roman"/>
              </w:rPr>
              <w:t xml:space="preserve"> 13.34</w:t>
            </w:r>
          </w:p>
        </w:tc>
        <w:tc>
          <w:tcPr>
            <w:tcW w:w="1818" w:type="dxa"/>
            <w:tcBorders>
              <w:top w:val="single" w:sz="18" w:space="0" w:color="auto"/>
            </w:tcBorders>
          </w:tcPr>
          <w:p w14:paraId="4133C3D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89.71 </w:t>
            </w:r>
            <w:r>
              <w:rPr>
                <w:rFonts w:ascii="Times New Roman" w:hAnsi="Times New Roman" w:cs="Times New Roman"/>
              </w:rPr>
              <w:sym w:font="Symbol" w:char="F0B1"/>
            </w:r>
            <w:r>
              <w:rPr>
                <w:rFonts w:ascii="Times New Roman" w:hAnsi="Times New Roman" w:cs="Times New Roman"/>
              </w:rPr>
              <w:t xml:space="preserve"> 13.39</w:t>
            </w:r>
          </w:p>
        </w:tc>
        <w:tc>
          <w:tcPr>
            <w:tcW w:w="2170" w:type="dxa"/>
            <w:tcBorders>
              <w:top w:val="single" w:sz="18" w:space="0" w:color="auto"/>
            </w:tcBorders>
          </w:tcPr>
          <w:p w14:paraId="79ECEE56" w14:textId="6206CBD1" w:rsidR="0065584C" w:rsidRDefault="00314A10"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&lt; 0.001</w:t>
            </w:r>
            <w:r w:rsidR="00A222FD">
              <w:rPr>
                <w:rFonts w:ascii="Times New Roman" w:hAnsi="Times New Roman" w:cs="Times New Roman"/>
              </w:rPr>
              <w:t>**</w:t>
            </w:r>
          </w:p>
        </w:tc>
        <w:tc>
          <w:tcPr>
            <w:tcW w:w="1585" w:type="dxa"/>
            <w:tcBorders>
              <w:top w:val="single" w:sz="18" w:space="0" w:color="auto"/>
            </w:tcBorders>
          </w:tcPr>
          <w:p w14:paraId="1180544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8.717</w:t>
            </w:r>
          </w:p>
        </w:tc>
      </w:tr>
      <w:tr w:rsidR="0065584C" w14:paraId="7DCC2E82" w14:textId="77777777" w:rsidTr="002B2917">
        <w:tc>
          <w:tcPr>
            <w:cnfStyle w:val="001000000000" w:firstRow="0" w:lastRow="0" w:firstColumn="1" w:lastColumn="0" w:oddVBand="0" w:evenVBand="0" w:oddHBand="0" w:evenHBand="0" w:firstRowFirstColumn="0" w:firstRowLastColumn="0" w:lastRowFirstColumn="0" w:lastRowLastColumn="0"/>
            <w:tcW w:w="1970" w:type="dxa"/>
          </w:tcPr>
          <w:p w14:paraId="12BD26AC" w14:textId="4F550253"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High</w:t>
            </w:r>
            <w:r w:rsidR="00DD6664" w:rsidRPr="00DD6664">
              <w:rPr>
                <w:rFonts w:ascii="Times New Roman" w:hAnsi="Times New Roman" w:cs="Times New Roman"/>
                <w:b w:val="0"/>
                <w:bCs w:val="0"/>
                <w:vertAlign w:val="superscript"/>
              </w:rPr>
              <w:t>b</w:t>
            </w:r>
            <w:proofErr w:type="spellEnd"/>
          </w:p>
        </w:tc>
        <w:tc>
          <w:tcPr>
            <w:tcW w:w="1817" w:type="dxa"/>
          </w:tcPr>
          <w:p w14:paraId="7D81409E"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51.43 </w:t>
            </w:r>
            <w:r>
              <w:rPr>
                <w:rFonts w:ascii="Times New Roman" w:hAnsi="Times New Roman" w:cs="Times New Roman"/>
              </w:rPr>
              <w:sym w:font="Symbol" w:char="F0B1"/>
            </w:r>
            <w:r>
              <w:rPr>
                <w:rFonts w:ascii="Times New Roman" w:hAnsi="Times New Roman" w:cs="Times New Roman"/>
              </w:rPr>
              <w:t xml:space="preserve"> 4.35</w:t>
            </w:r>
          </w:p>
        </w:tc>
        <w:tc>
          <w:tcPr>
            <w:tcW w:w="1818" w:type="dxa"/>
          </w:tcPr>
          <w:p w14:paraId="6298DDB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29.00 </w:t>
            </w:r>
            <w:r>
              <w:rPr>
                <w:rFonts w:ascii="Times New Roman" w:hAnsi="Times New Roman" w:cs="Times New Roman"/>
              </w:rPr>
              <w:sym w:font="Symbol" w:char="F0B1"/>
            </w:r>
            <w:r>
              <w:rPr>
                <w:rFonts w:ascii="Times New Roman" w:hAnsi="Times New Roman" w:cs="Times New Roman"/>
              </w:rPr>
              <w:t xml:space="preserve"> 2.62</w:t>
            </w:r>
          </w:p>
        </w:tc>
        <w:tc>
          <w:tcPr>
            <w:tcW w:w="2170" w:type="dxa"/>
          </w:tcPr>
          <w:p w14:paraId="1D7E9A1D" w14:textId="056A81EB" w:rsidR="0065584C" w:rsidRDefault="00314A10"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 0.002</w:t>
            </w:r>
            <w:r w:rsidR="00A222FD">
              <w:rPr>
                <w:rFonts w:ascii="Times New Roman" w:hAnsi="Times New Roman" w:cs="Times New Roman"/>
              </w:rPr>
              <w:t>*</w:t>
            </w:r>
          </w:p>
        </w:tc>
        <w:tc>
          <w:tcPr>
            <w:tcW w:w="1585" w:type="dxa"/>
          </w:tcPr>
          <w:p w14:paraId="1CEAFBD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6.247</w:t>
            </w:r>
          </w:p>
        </w:tc>
      </w:tr>
      <w:tr w:rsidR="0065584C" w14:paraId="395359E2" w14:textId="77777777" w:rsidTr="002B2917">
        <w:tc>
          <w:tcPr>
            <w:cnfStyle w:val="001000000000" w:firstRow="0" w:lastRow="0" w:firstColumn="1" w:lastColumn="0" w:oddVBand="0" w:evenVBand="0" w:oddHBand="0" w:evenHBand="0" w:firstRowFirstColumn="0" w:firstRowLastColumn="0" w:lastRowFirstColumn="0" w:lastRowLastColumn="0"/>
            <w:tcW w:w="1970" w:type="dxa"/>
          </w:tcPr>
          <w:p w14:paraId="1D213567" w14:textId="0B471C46"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Medium</w:t>
            </w:r>
            <w:r w:rsidR="00DD6664" w:rsidRPr="00DD6664">
              <w:rPr>
                <w:rFonts w:ascii="Times New Roman" w:hAnsi="Times New Roman" w:cs="Times New Roman"/>
                <w:b w:val="0"/>
                <w:bCs w:val="0"/>
                <w:vertAlign w:val="superscript"/>
              </w:rPr>
              <w:t>b</w:t>
            </w:r>
            <w:proofErr w:type="spellEnd"/>
          </w:p>
        </w:tc>
        <w:tc>
          <w:tcPr>
            <w:tcW w:w="1817" w:type="dxa"/>
          </w:tcPr>
          <w:p w14:paraId="1E0A73C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89.29 </w:t>
            </w:r>
            <w:r>
              <w:rPr>
                <w:rFonts w:ascii="Times New Roman" w:hAnsi="Times New Roman" w:cs="Times New Roman"/>
              </w:rPr>
              <w:sym w:font="Symbol" w:char="F0B1"/>
            </w:r>
            <w:r>
              <w:rPr>
                <w:rFonts w:ascii="Times New Roman" w:hAnsi="Times New Roman" w:cs="Times New Roman"/>
              </w:rPr>
              <w:t xml:space="preserve"> 8.24</w:t>
            </w:r>
          </w:p>
        </w:tc>
        <w:tc>
          <w:tcPr>
            <w:tcW w:w="1818" w:type="dxa"/>
          </w:tcPr>
          <w:p w14:paraId="12087E7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111.86 </w:t>
            </w:r>
            <w:r>
              <w:rPr>
                <w:rFonts w:ascii="Times New Roman" w:hAnsi="Times New Roman" w:cs="Times New Roman"/>
              </w:rPr>
              <w:sym w:font="Symbol" w:char="F0B1"/>
            </w:r>
            <w:r>
              <w:rPr>
                <w:rFonts w:ascii="Times New Roman" w:hAnsi="Times New Roman" w:cs="Times New Roman"/>
              </w:rPr>
              <w:t xml:space="preserve"> 22.71</w:t>
            </w:r>
          </w:p>
        </w:tc>
        <w:tc>
          <w:tcPr>
            <w:tcW w:w="2170" w:type="dxa"/>
          </w:tcPr>
          <w:p w14:paraId="6AE7BD7E" w14:textId="47F7B869" w:rsidR="0065584C" w:rsidRDefault="00314A10" w:rsidP="00314A1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 0.270</w:t>
            </w:r>
          </w:p>
        </w:tc>
        <w:tc>
          <w:tcPr>
            <w:tcW w:w="1585" w:type="dxa"/>
          </w:tcPr>
          <w:p w14:paraId="575D820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1.321</w:t>
            </w:r>
          </w:p>
        </w:tc>
      </w:tr>
      <w:tr w:rsidR="0065584C" w14:paraId="05365811" w14:textId="77777777" w:rsidTr="002B2917">
        <w:tc>
          <w:tcPr>
            <w:cnfStyle w:val="001000000000" w:firstRow="0" w:lastRow="0" w:firstColumn="1" w:lastColumn="0" w:oddVBand="0" w:evenVBand="0" w:oddHBand="0" w:evenHBand="0" w:firstRowFirstColumn="0" w:firstRowLastColumn="0" w:lastRowFirstColumn="0" w:lastRowLastColumn="0"/>
            <w:tcW w:w="1970" w:type="dxa"/>
          </w:tcPr>
          <w:p w14:paraId="4DAC042C" w14:textId="42144F0B" w:rsidR="0065584C" w:rsidRDefault="0065584C" w:rsidP="002B2917">
            <w:pPr>
              <w:spacing w:line="480" w:lineRule="auto"/>
              <w:rPr>
                <w:rFonts w:ascii="Times New Roman" w:hAnsi="Times New Roman" w:cs="Times New Roman"/>
              </w:rPr>
            </w:pPr>
            <w:r>
              <w:rPr>
                <w:rFonts w:ascii="Times New Roman" w:hAnsi="Times New Roman" w:cs="Times New Roman"/>
              </w:rPr>
              <w:t xml:space="preserve">IMA </w:t>
            </w:r>
            <w:proofErr w:type="spellStart"/>
            <w:r>
              <w:rPr>
                <w:rFonts w:ascii="Times New Roman" w:hAnsi="Times New Roman" w:cs="Times New Roman"/>
              </w:rPr>
              <w:t>Low</w:t>
            </w:r>
            <w:r w:rsidR="00DD6664" w:rsidRPr="00DD6664">
              <w:rPr>
                <w:rFonts w:ascii="Times New Roman" w:hAnsi="Times New Roman" w:cs="Times New Roman"/>
                <w:b w:val="0"/>
                <w:bCs w:val="0"/>
                <w:vertAlign w:val="superscript"/>
              </w:rPr>
              <w:t>b</w:t>
            </w:r>
            <w:proofErr w:type="spellEnd"/>
          </w:p>
        </w:tc>
        <w:tc>
          <w:tcPr>
            <w:tcW w:w="1817" w:type="dxa"/>
          </w:tcPr>
          <w:p w14:paraId="5B28FA5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55.43 </w:t>
            </w:r>
            <w:r>
              <w:rPr>
                <w:rFonts w:ascii="Times New Roman" w:hAnsi="Times New Roman" w:cs="Times New Roman"/>
              </w:rPr>
              <w:sym w:font="Symbol" w:char="F0B1"/>
            </w:r>
            <w:r>
              <w:rPr>
                <w:rFonts w:ascii="Times New Roman" w:hAnsi="Times New Roman" w:cs="Times New Roman"/>
              </w:rPr>
              <w:t xml:space="preserve"> 19.47</w:t>
            </w:r>
          </w:p>
        </w:tc>
        <w:tc>
          <w:tcPr>
            <w:tcW w:w="1818" w:type="dxa"/>
          </w:tcPr>
          <w:p w14:paraId="4E193DE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90.43 </w:t>
            </w:r>
            <w:r>
              <w:rPr>
                <w:rFonts w:ascii="Times New Roman" w:hAnsi="Times New Roman" w:cs="Times New Roman"/>
              </w:rPr>
              <w:sym w:font="Symbol" w:char="F0B1"/>
            </w:r>
            <w:r>
              <w:rPr>
                <w:rFonts w:ascii="Times New Roman" w:hAnsi="Times New Roman" w:cs="Times New Roman"/>
              </w:rPr>
              <w:t xml:space="preserve"> 24.14</w:t>
            </w:r>
          </w:p>
        </w:tc>
        <w:tc>
          <w:tcPr>
            <w:tcW w:w="2170" w:type="dxa"/>
          </w:tcPr>
          <w:p w14:paraId="39681C96" w14:textId="35ACF9CB" w:rsidR="0065584C" w:rsidRDefault="00314A10" w:rsidP="00314A1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 0.057</w:t>
            </w:r>
          </w:p>
        </w:tc>
        <w:tc>
          <w:tcPr>
            <w:tcW w:w="1585" w:type="dxa"/>
          </w:tcPr>
          <w:p w14:paraId="6A1D684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1.596</w:t>
            </w:r>
          </w:p>
        </w:tc>
      </w:tr>
      <w:tr w:rsidR="0065584C" w14:paraId="51D0FAEF" w14:textId="77777777" w:rsidTr="002B2917">
        <w:tc>
          <w:tcPr>
            <w:cnfStyle w:val="001000000000" w:firstRow="0" w:lastRow="0" w:firstColumn="1" w:lastColumn="0" w:oddVBand="0" w:evenVBand="0" w:oddHBand="0" w:evenHBand="0" w:firstRowFirstColumn="0" w:firstRowLastColumn="0" w:lastRowFirstColumn="0" w:lastRowLastColumn="0"/>
            <w:tcW w:w="1970" w:type="dxa"/>
          </w:tcPr>
          <w:p w14:paraId="10DD49B6" w14:textId="202939E1" w:rsidR="0065584C" w:rsidRDefault="0065584C" w:rsidP="002B2917">
            <w:pPr>
              <w:spacing w:line="480" w:lineRule="auto"/>
              <w:rPr>
                <w:rFonts w:ascii="Times New Roman" w:hAnsi="Times New Roman" w:cs="Times New Roman"/>
              </w:rPr>
            </w:pPr>
            <w:r>
              <w:rPr>
                <w:rFonts w:ascii="Times New Roman" w:hAnsi="Times New Roman" w:cs="Times New Roman"/>
              </w:rPr>
              <w:t>PL</w:t>
            </w:r>
            <w:r w:rsidR="00DD6664" w:rsidRPr="00DD6664">
              <w:rPr>
                <w:rFonts w:ascii="Times New Roman" w:hAnsi="Times New Roman" w:cs="Times New Roman"/>
                <w:b w:val="0"/>
                <w:bCs w:val="0"/>
                <w:vertAlign w:val="superscript"/>
              </w:rPr>
              <w:t>b</w:t>
            </w:r>
          </w:p>
        </w:tc>
        <w:tc>
          <w:tcPr>
            <w:tcW w:w="1817" w:type="dxa"/>
          </w:tcPr>
          <w:p w14:paraId="1461942D"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560.81 </w:t>
            </w:r>
            <w:r>
              <w:rPr>
                <w:rFonts w:ascii="Times New Roman" w:hAnsi="Times New Roman" w:cs="Times New Roman"/>
              </w:rPr>
              <w:sym w:font="Symbol" w:char="F0B1"/>
            </w:r>
            <w:r>
              <w:rPr>
                <w:rFonts w:ascii="Times New Roman" w:hAnsi="Times New Roman" w:cs="Times New Roman"/>
              </w:rPr>
              <w:t xml:space="preserve"> 15.19</w:t>
            </w:r>
          </w:p>
        </w:tc>
        <w:tc>
          <w:tcPr>
            <w:tcW w:w="1818" w:type="dxa"/>
          </w:tcPr>
          <w:p w14:paraId="7E7E39A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617.61 </w:t>
            </w:r>
            <w:r>
              <w:rPr>
                <w:rFonts w:ascii="Times New Roman" w:hAnsi="Times New Roman" w:cs="Times New Roman"/>
              </w:rPr>
              <w:sym w:font="Symbol" w:char="F0B1"/>
            </w:r>
            <w:r>
              <w:rPr>
                <w:rFonts w:ascii="Times New Roman" w:hAnsi="Times New Roman" w:cs="Times New Roman"/>
              </w:rPr>
              <w:t xml:space="preserve"> 69.57</w:t>
            </w:r>
          </w:p>
        </w:tc>
        <w:tc>
          <w:tcPr>
            <w:tcW w:w="2170" w:type="dxa"/>
          </w:tcPr>
          <w:p w14:paraId="4B764ABA" w14:textId="65638332" w:rsidR="0065584C" w:rsidRDefault="00314A10" w:rsidP="00314A1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w:t>
            </w:r>
            <w:r w:rsidR="0065584C">
              <w:rPr>
                <w:rFonts w:ascii="Times New Roman" w:hAnsi="Times New Roman" w:cs="Times New Roman"/>
              </w:rPr>
              <w:t>p = 0.290</w:t>
            </w:r>
          </w:p>
        </w:tc>
        <w:tc>
          <w:tcPr>
            <w:tcW w:w="1585" w:type="dxa"/>
          </w:tcPr>
          <w:p w14:paraId="141DAF0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1.128</w:t>
            </w:r>
          </w:p>
        </w:tc>
      </w:tr>
      <w:tr w:rsidR="0065584C" w14:paraId="7ADE4DDE" w14:textId="77777777" w:rsidTr="002B2917">
        <w:tc>
          <w:tcPr>
            <w:cnfStyle w:val="001000000000" w:firstRow="0" w:lastRow="0" w:firstColumn="1" w:lastColumn="0" w:oddVBand="0" w:evenVBand="0" w:oddHBand="0" w:evenHBand="0" w:firstRowFirstColumn="0" w:firstRowLastColumn="0" w:lastRowFirstColumn="0" w:lastRowLastColumn="0"/>
            <w:tcW w:w="1970" w:type="dxa"/>
          </w:tcPr>
          <w:p w14:paraId="593776AB" w14:textId="689E4141" w:rsidR="0065584C" w:rsidRDefault="0065584C" w:rsidP="002B2917">
            <w:pPr>
              <w:spacing w:line="480" w:lineRule="auto"/>
              <w:rPr>
                <w:rFonts w:ascii="Times New Roman" w:hAnsi="Times New Roman" w:cs="Times New Roman"/>
              </w:rPr>
            </w:pPr>
            <w:r>
              <w:rPr>
                <w:rFonts w:ascii="Times New Roman" w:hAnsi="Times New Roman" w:cs="Times New Roman"/>
              </w:rPr>
              <w:t xml:space="preserve">Recovery </w:t>
            </w:r>
            <w:proofErr w:type="spellStart"/>
            <w:r w:rsidR="00A2690A">
              <w:rPr>
                <w:rFonts w:ascii="Times New Roman" w:hAnsi="Times New Roman" w:cs="Times New Roman"/>
              </w:rPr>
              <w:t>c</w:t>
            </w:r>
            <w:r>
              <w:rPr>
                <w:rFonts w:ascii="Times New Roman" w:hAnsi="Times New Roman" w:cs="Times New Roman"/>
              </w:rPr>
              <w:t>omp</w:t>
            </w:r>
            <w:r w:rsidR="00DD6664" w:rsidRPr="00DD6664">
              <w:rPr>
                <w:rFonts w:ascii="Times New Roman" w:hAnsi="Times New Roman" w:cs="Times New Roman"/>
                <w:b w:val="0"/>
                <w:bCs w:val="0"/>
                <w:vertAlign w:val="superscript"/>
              </w:rPr>
              <w:t>a</w:t>
            </w:r>
            <w:proofErr w:type="spellEnd"/>
          </w:p>
        </w:tc>
        <w:tc>
          <w:tcPr>
            <w:tcW w:w="1817" w:type="dxa"/>
          </w:tcPr>
          <w:p w14:paraId="3FD061C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14.43 </w:t>
            </w:r>
            <w:r>
              <w:rPr>
                <w:rFonts w:ascii="Times New Roman" w:hAnsi="Times New Roman" w:cs="Times New Roman"/>
              </w:rPr>
              <w:sym w:font="Symbol" w:char="F0B1"/>
            </w:r>
            <w:r>
              <w:rPr>
                <w:rFonts w:ascii="Times New Roman" w:hAnsi="Times New Roman" w:cs="Times New Roman"/>
              </w:rPr>
              <w:t xml:space="preserve"> 1.31</w:t>
            </w:r>
          </w:p>
        </w:tc>
        <w:tc>
          <w:tcPr>
            <w:tcW w:w="1818" w:type="dxa"/>
          </w:tcPr>
          <w:p w14:paraId="3843D91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13.14 </w:t>
            </w:r>
            <w:r>
              <w:rPr>
                <w:rFonts w:ascii="Times New Roman" w:hAnsi="Times New Roman" w:cs="Times New Roman"/>
              </w:rPr>
              <w:sym w:font="Symbol" w:char="F0B1"/>
            </w:r>
            <w:r>
              <w:rPr>
                <w:rFonts w:ascii="Times New Roman" w:hAnsi="Times New Roman" w:cs="Times New Roman"/>
              </w:rPr>
              <w:t xml:space="preserve"> 1.30</w:t>
            </w:r>
          </w:p>
        </w:tc>
        <w:tc>
          <w:tcPr>
            <w:tcW w:w="2170" w:type="dxa"/>
          </w:tcPr>
          <w:p w14:paraId="1DEC6AB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0.898</w:t>
            </w:r>
          </w:p>
        </w:tc>
        <w:tc>
          <w:tcPr>
            <w:tcW w:w="1585" w:type="dxa"/>
          </w:tcPr>
          <w:p w14:paraId="11C62DF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0.988</w:t>
            </w:r>
          </w:p>
        </w:tc>
      </w:tr>
      <w:tr w:rsidR="0065584C" w14:paraId="768D43E8" w14:textId="77777777" w:rsidTr="002B2917">
        <w:tc>
          <w:tcPr>
            <w:cnfStyle w:val="001000000000" w:firstRow="0" w:lastRow="0" w:firstColumn="1" w:lastColumn="0" w:oddVBand="0" w:evenVBand="0" w:oddHBand="0" w:evenHBand="0" w:firstRowFirstColumn="0" w:firstRowLastColumn="0" w:lastRowFirstColumn="0" w:lastRowLastColumn="0"/>
            <w:tcW w:w="1970" w:type="dxa"/>
          </w:tcPr>
          <w:p w14:paraId="3D5E487E" w14:textId="1A3A569F" w:rsidR="0065584C" w:rsidRDefault="0065584C" w:rsidP="002B2917">
            <w:pPr>
              <w:spacing w:line="480" w:lineRule="auto"/>
              <w:rPr>
                <w:rFonts w:ascii="Times New Roman" w:hAnsi="Times New Roman" w:cs="Times New Roman"/>
              </w:rPr>
            </w:pPr>
            <w:r>
              <w:rPr>
                <w:rFonts w:ascii="Times New Roman" w:hAnsi="Times New Roman" w:cs="Times New Roman"/>
              </w:rPr>
              <w:t xml:space="preserve">Stress </w:t>
            </w:r>
            <w:proofErr w:type="spellStart"/>
            <w:r w:rsidR="00A2690A">
              <w:rPr>
                <w:rFonts w:ascii="Times New Roman" w:hAnsi="Times New Roman" w:cs="Times New Roman"/>
              </w:rPr>
              <w:t>c</w:t>
            </w:r>
            <w:r>
              <w:rPr>
                <w:rFonts w:ascii="Times New Roman" w:hAnsi="Times New Roman" w:cs="Times New Roman"/>
              </w:rPr>
              <w:t>omp</w:t>
            </w:r>
            <w:r w:rsidR="00DD6664" w:rsidRPr="00DD6664">
              <w:rPr>
                <w:rFonts w:ascii="Times New Roman" w:hAnsi="Times New Roman" w:cs="Times New Roman"/>
                <w:b w:val="0"/>
                <w:bCs w:val="0"/>
                <w:vertAlign w:val="superscript"/>
              </w:rPr>
              <w:t>a</w:t>
            </w:r>
            <w:proofErr w:type="spellEnd"/>
          </w:p>
        </w:tc>
        <w:tc>
          <w:tcPr>
            <w:tcW w:w="1817" w:type="dxa"/>
          </w:tcPr>
          <w:p w14:paraId="650FD39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7.71 </w:t>
            </w:r>
            <w:r>
              <w:rPr>
                <w:rFonts w:ascii="Times New Roman" w:hAnsi="Times New Roman" w:cs="Times New Roman"/>
              </w:rPr>
              <w:sym w:font="Symbol" w:char="F0B1"/>
            </w:r>
            <w:r>
              <w:rPr>
                <w:rFonts w:ascii="Times New Roman" w:hAnsi="Times New Roman" w:cs="Times New Roman"/>
              </w:rPr>
              <w:t xml:space="preserve"> 1.82</w:t>
            </w:r>
          </w:p>
        </w:tc>
        <w:tc>
          <w:tcPr>
            <w:tcW w:w="1818" w:type="dxa"/>
          </w:tcPr>
          <w:p w14:paraId="2B34AB62"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8.43 </w:t>
            </w:r>
            <w:r>
              <w:rPr>
                <w:rFonts w:ascii="Times New Roman" w:hAnsi="Times New Roman" w:cs="Times New Roman"/>
              </w:rPr>
              <w:sym w:font="Symbol" w:char="F0B1"/>
            </w:r>
            <w:r>
              <w:rPr>
                <w:rFonts w:ascii="Times New Roman" w:hAnsi="Times New Roman" w:cs="Times New Roman"/>
              </w:rPr>
              <w:t xml:space="preserve"> 1.56</w:t>
            </w:r>
          </w:p>
        </w:tc>
        <w:tc>
          <w:tcPr>
            <w:tcW w:w="2170" w:type="dxa"/>
          </w:tcPr>
          <w:p w14:paraId="1E9FA78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0.959</w:t>
            </w:r>
          </w:p>
        </w:tc>
        <w:tc>
          <w:tcPr>
            <w:tcW w:w="1585" w:type="dxa"/>
          </w:tcPr>
          <w:p w14:paraId="6DEB4A4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0.425</w:t>
            </w:r>
          </w:p>
        </w:tc>
      </w:tr>
      <w:tr w:rsidR="0065584C" w14:paraId="4F886031" w14:textId="77777777" w:rsidTr="002B2917">
        <w:tc>
          <w:tcPr>
            <w:cnfStyle w:val="001000000000" w:firstRow="0" w:lastRow="0" w:firstColumn="1" w:lastColumn="0" w:oddVBand="0" w:evenVBand="0" w:oddHBand="0" w:evenHBand="0" w:firstRowFirstColumn="0" w:firstRowLastColumn="0" w:lastRowFirstColumn="0" w:lastRowLastColumn="0"/>
            <w:tcW w:w="1970" w:type="dxa"/>
          </w:tcPr>
          <w:p w14:paraId="24730B73" w14:textId="4B19DCD7" w:rsidR="0065584C" w:rsidRDefault="0065584C" w:rsidP="002B2917">
            <w:pPr>
              <w:spacing w:line="480" w:lineRule="auto"/>
              <w:rPr>
                <w:rFonts w:ascii="Times New Roman" w:hAnsi="Times New Roman" w:cs="Times New Roman"/>
              </w:rPr>
            </w:pPr>
            <w:r>
              <w:rPr>
                <w:rFonts w:ascii="Times New Roman" w:hAnsi="Times New Roman" w:cs="Times New Roman"/>
              </w:rPr>
              <w:t xml:space="preserve">Soreness </w:t>
            </w:r>
            <w:proofErr w:type="spellStart"/>
            <w:r w:rsidR="00A2690A">
              <w:rPr>
                <w:rFonts w:ascii="Times New Roman" w:hAnsi="Times New Roman" w:cs="Times New Roman"/>
              </w:rPr>
              <w:t>c</w:t>
            </w:r>
            <w:r>
              <w:rPr>
                <w:rFonts w:ascii="Times New Roman" w:hAnsi="Times New Roman" w:cs="Times New Roman"/>
              </w:rPr>
              <w:t>omp</w:t>
            </w:r>
            <w:r w:rsidR="00DD6664" w:rsidRPr="00DD6664">
              <w:rPr>
                <w:rFonts w:ascii="Times New Roman" w:hAnsi="Times New Roman" w:cs="Times New Roman"/>
                <w:b w:val="0"/>
                <w:bCs w:val="0"/>
                <w:vertAlign w:val="superscript"/>
              </w:rPr>
              <w:t>a</w:t>
            </w:r>
            <w:proofErr w:type="spellEnd"/>
          </w:p>
        </w:tc>
        <w:tc>
          <w:tcPr>
            <w:tcW w:w="1817" w:type="dxa"/>
          </w:tcPr>
          <w:p w14:paraId="6C8B117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148.14 </w:t>
            </w:r>
            <w:r>
              <w:rPr>
                <w:rFonts w:ascii="Times New Roman" w:hAnsi="Times New Roman" w:cs="Times New Roman"/>
              </w:rPr>
              <w:sym w:font="Symbol" w:char="F0B1"/>
            </w:r>
            <w:r>
              <w:rPr>
                <w:rFonts w:ascii="Times New Roman" w:hAnsi="Times New Roman" w:cs="Times New Roman"/>
              </w:rPr>
              <w:t xml:space="preserve"> 36.15</w:t>
            </w:r>
          </w:p>
        </w:tc>
        <w:tc>
          <w:tcPr>
            <w:tcW w:w="1818" w:type="dxa"/>
          </w:tcPr>
          <w:p w14:paraId="2E2A0881"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166.29 </w:t>
            </w:r>
            <w:r>
              <w:rPr>
                <w:rFonts w:ascii="Times New Roman" w:hAnsi="Times New Roman" w:cs="Times New Roman"/>
              </w:rPr>
              <w:sym w:font="Symbol" w:char="F0B1"/>
            </w:r>
            <w:r>
              <w:rPr>
                <w:rFonts w:ascii="Times New Roman" w:hAnsi="Times New Roman" w:cs="Times New Roman"/>
              </w:rPr>
              <w:t xml:space="preserve"> 36.51</w:t>
            </w:r>
          </w:p>
        </w:tc>
        <w:tc>
          <w:tcPr>
            <w:tcW w:w="2170" w:type="dxa"/>
          </w:tcPr>
          <w:p w14:paraId="1D95038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0.221</w:t>
            </w:r>
          </w:p>
        </w:tc>
        <w:tc>
          <w:tcPr>
            <w:tcW w:w="1585" w:type="dxa"/>
          </w:tcPr>
          <w:p w14:paraId="78B4EA2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0.500</w:t>
            </w:r>
          </w:p>
        </w:tc>
      </w:tr>
      <w:tr w:rsidR="0065584C" w14:paraId="700A6249" w14:textId="77777777" w:rsidTr="002B2917">
        <w:tc>
          <w:tcPr>
            <w:cnfStyle w:val="001000000000" w:firstRow="0" w:lastRow="0" w:firstColumn="1" w:lastColumn="0" w:oddVBand="0" w:evenVBand="0" w:oddHBand="0" w:evenHBand="0" w:firstRowFirstColumn="0" w:firstRowLastColumn="0" w:lastRowFirstColumn="0" w:lastRowLastColumn="0"/>
            <w:tcW w:w="1970" w:type="dxa"/>
            <w:tcBorders>
              <w:bottom w:val="single" w:sz="18" w:space="0" w:color="auto"/>
            </w:tcBorders>
          </w:tcPr>
          <w:p w14:paraId="3DDF1948" w14:textId="3A39FE18" w:rsidR="0065584C" w:rsidRDefault="0065584C" w:rsidP="002B2917">
            <w:pPr>
              <w:spacing w:line="480" w:lineRule="auto"/>
              <w:rPr>
                <w:rFonts w:ascii="Times New Roman" w:hAnsi="Times New Roman" w:cs="Times New Roman"/>
              </w:rPr>
            </w:pPr>
            <w:proofErr w:type="spellStart"/>
            <w:r>
              <w:rPr>
                <w:rFonts w:ascii="Times New Roman" w:hAnsi="Times New Roman" w:cs="Times New Roman"/>
              </w:rPr>
              <w:t>Sleep</w:t>
            </w:r>
            <w:r w:rsidR="00DD6664" w:rsidRPr="00DD6664">
              <w:rPr>
                <w:rFonts w:ascii="Times New Roman" w:hAnsi="Times New Roman" w:cs="Times New Roman"/>
                <w:b w:val="0"/>
                <w:bCs w:val="0"/>
                <w:vertAlign w:val="superscript"/>
              </w:rPr>
              <w:t>a</w:t>
            </w:r>
            <w:proofErr w:type="spellEnd"/>
          </w:p>
        </w:tc>
        <w:tc>
          <w:tcPr>
            <w:tcW w:w="1817" w:type="dxa"/>
            <w:tcBorders>
              <w:bottom w:val="single" w:sz="18" w:space="0" w:color="auto"/>
            </w:tcBorders>
          </w:tcPr>
          <w:p w14:paraId="32D9C50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55.57 </w:t>
            </w:r>
            <w:r>
              <w:rPr>
                <w:rFonts w:ascii="Times New Roman" w:hAnsi="Times New Roman" w:cs="Times New Roman"/>
              </w:rPr>
              <w:sym w:font="Symbol" w:char="F0B1"/>
            </w:r>
            <w:r>
              <w:rPr>
                <w:rFonts w:ascii="Times New Roman" w:hAnsi="Times New Roman" w:cs="Times New Roman"/>
              </w:rPr>
              <w:t xml:space="preserve"> 6.37</w:t>
            </w:r>
          </w:p>
        </w:tc>
        <w:tc>
          <w:tcPr>
            <w:tcW w:w="1818" w:type="dxa"/>
            <w:tcBorders>
              <w:bottom w:val="single" w:sz="18" w:space="0" w:color="auto"/>
            </w:tcBorders>
          </w:tcPr>
          <w:p w14:paraId="6769AB7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63.71 </w:t>
            </w:r>
            <w:r>
              <w:rPr>
                <w:rFonts w:ascii="Times New Roman" w:hAnsi="Times New Roman" w:cs="Times New Roman"/>
              </w:rPr>
              <w:sym w:font="Symbol" w:char="F0B1"/>
            </w:r>
            <w:r>
              <w:rPr>
                <w:rFonts w:ascii="Times New Roman" w:hAnsi="Times New Roman" w:cs="Times New Roman"/>
              </w:rPr>
              <w:t xml:space="preserve"> 8.11</w:t>
            </w:r>
          </w:p>
        </w:tc>
        <w:tc>
          <w:tcPr>
            <w:tcW w:w="2170" w:type="dxa"/>
            <w:tcBorders>
              <w:bottom w:val="single" w:sz="18" w:space="0" w:color="auto"/>
            </w:tcBorders>
          </w:tcPr>
          <w:p w14:paraId="5BE4A87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 = 0.097</w:t>
            </w:r>
          </w:p>
        </w:tc>
        <w:tc>
          <w:tcPr>
            <w:tcW w:w="1585" w:type="dxa"/>
            <w:tcBorders>
              <w:bottom w:val="single" w:sz="18" w:space="0" w:color="auto"/>
            </w:tcBorders>
          </w:tcPr>
          <w:p w14:paraId="6E20813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1.116</w:t>
            </w:r>
          </w:p>
        </w:tc>
      </w:tr>
    </w:tbl>
    <w:p w14:paraId="12E4F9EE" w14:textId="77777777" w:rsidR="003A58B5" w:rsidRPr="003A58B5" w:rsidRDefault="003A58B5" w:rsidP="003A58B5">
      <w:pPr>
        <w:rPr>
          <w:rFonts w:ascii="Times New Roman" w:hAnsi="Times New Roman" w:cs="Times New Roman"/>
        </w:rPr>
      </w:pPr>
      <w:r w:rsidRPr="003A58B5">
        <w:rPr>
          <w:rFonts w:ascii="Times New Roman" w:hAnsi="Times New Roman" w:cs="Times New Roman"/>
        </w:rPr>
        <w:t>* Denotes statistical significance at the p</w:t>
      </w:r>
      <w:r w:rsidRPr="003A58B5">
        <w:rPr>
          <w:rFonts w:ascii="Times New Roman" w:hAnsi="Times New Roman" w:cs="Times New Roman"/>
          <w:u w:val="single"/>
        </w:rPr>
        <w:t>&lt;</w:t>
      </w:r>
      <w:r w:rsidRPr="003A58B5">
        <w:rPr>
          <w:rFonts w:ascii="Times New Roman" w:hAnsi="Times New Roman" w:cs="Times New Roman"/>
        </w:rPr>
        <w:t>0.05 level</w:t>
      </w:r>
    </w:p>
    <w:p w14:paraId="588574F7" w14:textId="69A55CBE" w:rsidR="003A58B5" w:rsidRPr="00FF000C" w:rsidRDefault="003A58B5" w:rsidP="00BD0EDD">
      <w:pPr>
        <w:rPr>
          <w:rFonts w:ascii="Times New Roman" w:hAnsi="Times New Roman" w:cs="Times New Roman"/>
        </w:rPr>
      </w:pPr>
      <w:r w:rsidRPr="003A58B5">
        <w:rPr>
          <w:rFonts w:ascii="Times New Roman" w:hAnsi="Times New Roman" w:cs="Times New Roman"/>
        </w:rPr>
        <w:t>** Denotes statistical significance at the p</w:t>
      </w:r>
      <w:r w:rsidRPr="003A58B5">
        <w:rPr>
          <w:rFonts w:ascii="Times New Roman" w:hAnsi="Times New Roman" w:cs="Times New Roman"/>
          <w:u w:val="single"/>
        </w:rPr>
        <w:t>&lt;</w:t>
      </w:r>
      <w:r w:rsidRPr="003A58B5">
        <w:rPr>
          <w:rFonts w:ascii="Times New Roman" w:hAnsi="Times New Roman" w:cs="Times New Roman"/>
        </w:rPr>
        <w:t>0.01 level</w:t>
      </w:r>
    </w:p>
    <w:p w14:paraId="41ED2217" w14:textId="77777777" w:rsidR="0065584C" w:rsidRDefault="0065584C" w:rsidP="005B15BA">
      <w:pPr>
        <w:pStyle w:val="Heading3"/>
      </w:pPr>
      <w:bookmarkStart w:id="24" w:name="_Toc85791410"/>
      <w:r>
        <w:t>Repeated Measures ANOVA</w:t>
      </w:r>
      <w:bookmarkEnd w:id="24"/>
      <w:r>
        <w:tab/>
      </w:r>
    </w:p>
    <w:p w14:paraId="4141ABD0" w14:textId="5532761E" w:rsidR="0065584C" w:rsidRDefault="00A222FD" w:rsidP="0065584C">
      <w:pPr>
        <w:spacing w:line="480" w:lineRule="auto"/>
        <w:ind w:firstLine="720"/>
        <w:rPr>
          <w:rFonts w:ascii="Times New Roman" w:hAnsi="Times New Roman" w:cs="Times New Roman"/>
        </w:rPr>
      </w:pPr>
      <w:r>
        <w:rPr>
          <w:rFonts w:ascii="Times New Roman" w:hAnsi="Times New Roman" w:cs="Times New Roman"/>
        </w:rPr>
        <w:t xml:space="preserve">Significant differences were shown between training phases for the external load variables PL, PL per minute, PL 1D Up, IMA high, IMA medium, IMA low, and IMA total.  The internal load variables recovery composite, stress composite, soreness composite, and sleep values showed no significant differences across the training blocks. </w:t>
      </w:r>
      <w:r w:rsidR="0065584C" w:rsidRPr="00A03639">
        <w:rPr>
          <w:rFonts w:ascii="Times New Roman" w:hAnsi="Times New Roman" w:cs="Times New Roman"/>
        </w:rPr>
        <w:t xml:space="preserve">Mauchly’s Test of Sphericity showed </w:t>
      </w:r>
      <w:r w:rsidR="0065584C">
        <w:rPr>
          <w:rFonts w:ascii="Times New Roman" w:hAnsi="Times New Roman" w:cs="Times New Roman"/>
        </w:rPr>
        <w:t xml:space="preserve">that sphericity was violated for PL (p = 0.021), therefore </w:t>
      </w:r>
      <w:r w:rsidR="0065584C" w:rsidRPr="00C05F3F">
        <w:rPr>
          <w:rFonts w:ascii="Times New Roman" w:hAnsi="Times New Roman" w:cs="Times New Roman"/>
        </w:rPr>
        <w:t>a Greenhouse-Geiser correction</w:t>
      </w:r>
      <w:r w:rsidR="0065584C" w:rsidRPr="00B17959">
        <w:rPr>
          <w:rFonts w:ascii="Times New Roman" w:hAnsi="Times New Roman" w:cs="Times New Roman"/>
        </w:rPr>
        <w:t xml:space="preserve"> </w:t>
      </w:r>
      <w:r w:rsidR="0065584C">
        <w:rPr>
          <w:rFonts w:ascii="Times New Roman" w:hAnsi="Times New Roman" w:cs="Times New Roman"/>
        </w:rPr>
        <w:lastRenderedPageBreak/>
        <w:t>was</w:t>
      </w:r>
      <w:r w:rsidR="0065584C" w:rsidRPr="00C05F3F">
        <w:rPr>
          <w:rFonts w:ascii="Times New Roman" w:hAnsi="Times New Roman" w:cs="Times New Roman"/>
        </w:rPr>
        <w:t xml:space="preserve"> used</w:t>
      </w:r>
      <w:r w:rsidR="0065584C">
        <w:rPr>
          <w:rFonts w:ascii="Times New Roman" w:hAnsi="Times New Roman" w:cs="Times New Roman"/>
        </w:rPr>
        <w:t xml:space="preserve">. PL (p&lt;0.001) was found to be significantly different between each phase. Pairwise comparisons with a Bonferroni correction showed GP2 was significantly greater than SP1 (642.15 </w:t>
      </w:r>
      <w:r w:rsidR="0065584C">
        <w:rPr>
          <w:rFonts w:ascii="Times New Roman" w:hAnsi="Times New Roman" w:cs="Times New Roman"/>
        </w:rPr>
        <w:sym w:font="Symbol" w:char="F0B1"/>
      </w:r>
      <w:r w:rsidR="0065584C">
        <w:rPr>
          <w:rFonts w:ascii="Times New Roman" w:hAnsi="Times New Roman" w:cs="Times New Roman"/>
        </w:rPr>
        <w:t xml:space="preserve"> 17.67 vs. 574.15 </w:t>
      </w:r>
      <w:r w:rsidR="0065584C">
        <w:rPr>
          <w:rFonts w:ascii="Times New Roman" w:hAnsi="Times New Roman" w:cs="Times New Roman"/>
        </w:rPr>
        <w:sym w:font="Symbol" w:char="F0B1"/>
      </w:r>
      <w:r w:rsidR="0065584C">
        <w:rPr>
          <w:rFonts w:ascii="Times New Roman" w:hAnsi="Times New Roman" w:cs="Times New Roman"/>
        </w:rPr>
        <w:t xml:space="preserve"> 15.19, respectively, p = 0.019, ES = 0.211) and SP2 (522.35 </w:t>
      </w:r>
      <w:r w:rsidR="0065584C">
        <w:rPr>
          <w:rFonts w:ascii="Times New Roman" w:hAnsi="Times New Roman" w:cs="Times New Roman"/>
        </w:rPr>
        <w:sym w:font="Symbol" w:char="F0B1"/>
      </w:r>
      <w:r w:rsidR="0065584C">
        <w:rPr>
          <w:rFonts w:ascii="Times New Roman" w:hAnsi="Times New Roman" w:cs="Times New Roman"/>
        </w:rPr>
        <w:t xml:space="preserve"> 17.00, p &lt; 0.001). SP1 was found to be significantly greater than SP2 (p = 0.012). Mauchly’s Test of Sphericity showed that sphericity could be assumed for PL per minute (p = 0.925). PL per minute (p&lt;0.001) was significantly higher during GP2 compared to SP1 (3.34 </w:t>
      </w:r>
      <w:r w:rsidR="0065584C">
        <w:rPr>
          <w:rFonts w:ascii="Times New Roman" w:hAnsi="Times New Roman" w:cs="Times New Roman"/>
        </w:rPr>
        <w:sym w:font="Symbol" w:char="F0B1"/>
      </w:r>
      <w:r w:rsidR="0065584C">
        <w:rPr>
          <w:rFonts w:ascii="Times New Roman" w:hAnsi="Times New Roman" w:cs="Times New Roman"/>
        </w:rPr>
        <w:t xml:space="preserve">  0.07  vs. 3.0</w:t>
      </w:r>
      <w:r w:rsidR="00EA3BB3">
        <w:rPr>
          <w:rFonts w:ascii="Times New Roman" w:hAnsi="Times New Roman" w:cs="Times New Roman"/>
        </w:rPr>
        <w:t>5</w:t>
      </w:r>
      <w:r w:rsidR="0065584C">
        <w:rPr>
          <w:rFonts w:ascii="Times New Roman" w:hAnsi="Times New Roman" w:cs="Times New Roman"/>
        </w:rPr>
        <w:t xml:space="preserve"> </w:t>
      </w:r>
      <w:r w:rsidR="0065584C">
        <w:rPr>
          <w:rFonts w:ascii="Times New Roman" w:hAnsi="Times New Roman" w:cs="Times New Roman"/>
        </w:rPr>
        <w:sym w:font="Symbol" w:char="F0B1"/>
      </w:r>
      <w:r w:rsidR="0065584C">
        <w:rPr>
          <w:rFonts w:ascii="Times New Roman" w:hAnsi="Times New Roman" w:cs="Times New Roman"/>
        </w:rPr>
        <w:t xml:space="preserve"> 0.08, p = 0.018, ES = 0.175) SP2 (2.83 </w:t>
      </w:r>
      <w:r w:rsidR="0065584C">
        <w:rPr>
          <w:rFonts w:ascii="Times New Roman" w:hAnsi="Times New Roman" w:cs="Times New Roman"/>
        </w:rPr>
        <w:sym w:font="Symbol" w:char="F0B1"/>
      </w:r>
      <w:r w:rsidR="0065584C">
        <w:rPr>
          <w:rFonts w:ascii="Times New Roman" w:hAnsi="Times New Roman" w:cs="Times New Roman"/>
        </w:rPr>
        <w:t xml:space="preserve"> 0.07, p = 0.018</w:t>
      </w:r>
      <w:r w:rsidR="0065584C" w:rsidRPr="00C05F3F">
        <w:rPr>
          <w:rFonts w:ascii="Times New Roman" w:hAnsi="Times New Roman" w:cs="Times New Roman"/>
        </w:rPr>
        <w:t>). Mauchly’s Test of Sphericity showed that assumed sphericity was violated for PL 1D Up (p = 0.004), so a Greenhouse-Geiser correction</w:t>
      </w:r>
      <w:r w:rsidR="0065584C" w:rsidRPr="002A58A9">
        <w:rPr>
          <w:rFonts w:ascii="Times New Roman" w:hAnsi="Times New Roman" w:cs="Times New Roman"/>
        </w:rPr>
        <w:t xml:space="preserve"> </w:t>
      </w:r>
      <w:r w:rsidR="0065584C">
        <w:rPr>
          <w:rFonts w:ascii="Times New Roman" w:hAnsi="Times New Roman" w:cs="Times New Roman"/>
        </w:rPr>
        <w:t>was again used</w:t>
      </w:r>
      <w:r w:rsidR="0065584C" w:rsidRPr="00C05F3F">
        <w:rPr>
          <w:rFonts w:ascii="Times New Roman" w:hAnsi="Times New Roman" w:cs="Times New Roman"/>
        </w:rPr>
        <w:t xml:space="preserve">. </w:t>
      </w:r>
      <w:r w:rsidR="0065584C">
        <w:rPr>
          <w:rFonts w:ascii="Times New Roman" w:hAnsi="Times New Roman" w:cs="Times New Roman"/>
        </w:rPr>
        <w:t xml:space="preserve">Pairwise comparisons with Bonferroni correction showed that </w:t>
      </w:r>
      <w:r w:rsidR="0065584C" w:rsidRPr="00C05F3F">
        <w:rPr>
          <w:rFonts w:ascii="Times New Roman" w:hAnsi="Times New Roman" w:cs="Times New Roman"/>
        </w:rPr>
        <w:t xml:space="preserve">PL 1D Up (p&lt;0.001) during GP2 was significantly greater than SP1 (439.15 </w:t>
      </w:r>
      <w:r w:rsidR="0065584C" w:rsidRPr="00C05F3F">
        <w:rPr>
          <w:rFonts w:ascii="Times New Roman" w:hAnsi="Times New Roman" w:cs="Times New Roman"/>
        </w:rPr>
        <w:sym w:font="Symbol" w:char="F0B1"/>
      </w:r>
      <w:r w:rsidR="0065584C" w:rsidRPr="00C05F3F">
        <w:rPr>
          <w:rFonts w:ascii="Times New Roman" w:hAnsi="Times New Roman" w:cs="Times New Roman"/>
        </w:rPr>
        <w:t xml:space="preserve"> 13.43 vs. 388.76 </w:t>
      </w:r>
      <w:r w:rsidR="0065584C" w:rsidRPr="00C05F3F">
        <w:rPr>
          <w:rFonts w:ascii="Times New Roman" w:hAnsi="Times New Roman" w:cs="Times New Roman"/>
        </w:rPr>
        <w:sym w:font="Symbol" w:char="F0B1"/>
      </w:r>
      <w:r w:rsidR="0065584C" w:rsidRPr="00C05F3F">
        <w:rPr>
          <w:rFonts w:ascii="Times New Roman" w:hAnsi="Times New Roman" w:cs="Times New Roman"/>
        </w:rPr>
        <w:t xml:space="preserve"> 11.43, p = 0.0</w:t>
      </w:r>
      <w:r w:rsidR="0065584C" w:rsidRPr="002A58A9">
        <w:rPr>
          <w:rFonts w:ascii="Times New Roman" w:hAnsi="Times New Roman" w:cs="Times New Roman"/>
        </w:rPr>
        <w:t>21</w:t>
      </w:r>
      <w:r w:rsidR="0065584C" w:rsidRPr="00C05F3F">
        <w:rPr>
          <w:rFonts w:ascii="Times New Roman" w:hAnsi="Times New Roman" w:cs="Times New Roman"/>
        </w:rPr>
        <w:t xml:space="preserve">, ES = 0.217) and SP2 (439.15 </w:t>
      </w:r>
      <w:r w:rsidR="0065584C" w:rsidRPr="00C05F3F">
        <w:rPr>
          <w:rFonts w:ascii="Times New Roman" w:hAnsi="Times New Roman" w:cs="Times New Roman"/>
        </w:rPr>
        <w:sym w:font="Symbol" w:char="F0B1"/>
      </w:r>
      <w:r w:rsidR="0065584C" w:rsidRPr="00C05F3F">
        <w:rPr>
          <w:rFonts w:ascii="Times New Roman" w:hAnsi="Times New Roman" w:cs="Times New Roman"/>
        </w:rPr>
        <w:t xml:space="preserve"> 13.43 vs. 350.00 </w:t>
      </w:r>
      <w:r w:rsidR="0065584C" w:rsidRPr="00C05F3F">
        <w:rPr>
          <w:rFonts w:ascii="Times New Roman" w:hAnsi="Times New Roman" w:cs="Times New Roman"/>
        </w:rPr>
        <w:sym w:font="Symbol" w:char="F0B1"/>
      </w:r>
      <w:r w:rsidR="0065584C" w:rsidRPr="00C05F3F">
        <w:rPr>
          <w:rFonts w:ascii="Times New Roman" w:hAnsi="Times New Roman" w:cs="Times New Roman"/>
        </w:rPr>
        <w:t xml:space="preserve"> 11.72, p &lt; 0.001). Additionally, SP1 had significantly higher PL 1D Up when compared to SP2 (388.76 </w:t>
      </w:r>
      <w:r w:rsidR="0065584C" w:rsidRPr="00C05F3F">
        <w:rPr>
          <w:rFonts w:ascii="Times New Roman" w:hAnsi="Times New Roman" w:cs="Times New Roman"/>
        </w:rPr>
        <w:sym w:font="Symbol" w:char="F0B1"/>
      </w:r>
      <w:r w:rsidR="0065584C" w:rsidRPr="00C05F3F">
        <w:rPr>
          <w:rFonts w:ascii="Times New Roman" w:hAnsi="Times New Roman" w:cs="Times New Roman"/>
        </w:rPr>
        <w:t xml:space="preserve"> 11.43 vs. 350.00 </w:t>
      </w:r>
      <w:r w:rsidR="0065584C" w:rsidRPr="00C05F3F">
        <w:rPr>
          <w:rFonts w:ascii="Times New Roman" w:hAnsi="Times New Roman" w:cs="Times New Roman"/>
        </w:rPr>
        <w:sym w:font="Symbol" w:char="F0B1"/>
      </w:r>
      <w:r w:rsidR="0065584C" w:rsidRPr="00C05F3F">
        <w:rPr>
          <w:rFonts w:ascii="Times New Roman" w:hAnsi="Times New Roman" w:cs="Times New Roman"/>
        </w:rPr>
        <w:t xml:space="preserve"> 11.72, p = 0.00</w:t>
      </w:r>
      <w:r w:rsidR="0065584C" w:rsidRPr="002A58A9">
        <w:rPr>
          <w:rFonts w:ascii="Times New Roman" w:hAnsi="Times New Roman" w:cs="Times New Roman"/>
        </w:rPr>
        <w:t>8</w:t>
      </w:r>
      <w:r w:rsidR="0065584C" w:rsidRPr="00C05F3F">
        <w:rPr>
          <w:rFonts w:ascii="Times New Roman" w:hAnsi="Times New Roman" w:cs="Times New Roman"/>
        </w:rPr>
        <w:t>).</w:t>
      </w:r>
      <w:r w:rsidR="0065584C" w:rsidRPr="00611804">
        <w:rPr>
          <w:rFonts w:ascii="Times New Roman" w:hAnsi="Times New Roman" w:cs="Times New Roman"/>
        </w:rPr>
        <w:t xml:space="preserve"> </w:t>
      </w:r>
    </w:p>
    <w:p w14:paraId="0F693424" w14:textId="4BDABF47" w:rsidR="0065584C" w:rsidRPr="00611804" w:rsidRDefault="0065584C" w:rsidP="0065584C">
      <w:pPr>
        <w:spacing w:line="480" w:lineRule="auto"/>
        <w:ind w:firstLine="720"/>
        <w:rPr>
          <w:rFonts w:ascii="Times New Roman" w:hAnsi="Times New Roman" w:cs="Times New Roman"/>
        </w:rPr>
      </w:pPr>
      <w:r>
        <w:rPr>
          <w:rFonts w:ascii="Times New Roman" w:hAnsi="Times New Roman" w:cs="Times New Roman"/>
        </w:rPr>
        <w:t xml:space="preserve">Mauchly’s Test of Sphericity showed that sphericity could be assumed for IMA high (p = 0.253). </w:t>
      </w:r>
      <w:r w:rsidRPr="00611804">
        <w:rPr>
          <w:rFonts w:ascii="Times New Roman" w:hAnsi="Times New Roman" w:cs="Times New Roman"/>
        </w:rPr>
        <w:t xml:space="preserve">IMA </w:t>
      </w:r>
      <w:r>
        <w:rPr>
          <w:rFonts w:ascii="Times New Roman" w:hAnsi="Times New Roman" w:cs="Times New Roman"/>
        </w:rPr>
        <w:t>h</w:t>
      </w:r>
      <w:r w:rsidRPr="00611804">
        <w:rPr>
          <w:rFonts w:ascii="Times New Roman" w:hAnsi="Times New Roman" w:cs="Times New Roman"/>
        </w:rPr>
        <w:t>igh (p=0.002) showed significant differences</w:t>
      </w:r>
      <w:r>
        <w:t xml:space="preserve"> </w:t>
      </w:r>
      <w:r>
        <w:rPr>
          <w:rFonts w:ascii="Times New Roman" w:hAnsi="Times New Roman" w:cs="Times New Roman"/>
        </w:rPr>
        <w:t xml:space="preserve">between GP2 and SP2, with GP2 being significantly greater than SP2 (35.07 </w:t>
      </w:r>
      <w:r>
        <w:rPr>
          <w:rFonts w:ascii="Times New Roman" w:hAnsi="Times New Roman" w:cs="Times New Roman"/>
        </w:rPr>
        <w:sym w:font="Symbol" w:char="F0B1"/>
      </w:r>
      <w:r>
        <w:rPr>
          <w:rFonts w:ascii="Times New Roman" w:hAnsi="Times New Roman" w:cs="Times New Roman"/>
        </w:rPr>
        <w:t xml:space="preserve"> 2.58 vs. 24.70 </w:t>
      </w:r>
      <w:r>
        <w:rPr>
          <w:rFonts w:ascii="Times New Roman" w:hAnsi="Times New Roman" w:cs="Times New Roman"/>
        </w:rPr>
        <w:sym w:font="Symbol" w:char="F0B1"/>
      </w:r>
      <w:r>
        <w:rPr>
          <w:rFonts w:ascii="Times New Roman" w:hAnsi="Times New Roman" w:cs="Times New Roman"/>
        </w:rPr>
        <w:t xml:space="preserve"> 2.20, p &lt; 0.001, ES = 0.120). SP1 was also found to be significantly greater than SP2 (30.12 </w:t>
      </w:r>
      <w:r>
        <w:rPr>
          <w:rFonts w:ascii="Times New Roman" w:hAnsi="Times New Roman" w:cs="Times New Roman"/>
        </w:rPr>
        <w:sym w:font="Symbol" w:char="F0B1"/>
      </w:r>
      <w:r>
        <w:rPr>
          <w:rFonts w:ascii="Times New Roman" w:hAnsi="Times New Roman" w:cs="Times New Roman"/>
        </w:rPr>
        <w:t xml:space="preserve"> 1.5</w:t>
      </w:r>
      <w:r w:rsidR="00EA3BB3">
        <w:rPr>
          <w:rFonts w:ascii="Times New Roman" w:hAnsi="Times New Roman" w:cs="Times New Roman"/>
        </w:rPr>
        <w:t>9</w:t>
      </w:r>
      <w:r>
        <w:rPr>
          <w:rFonts w:ascii="Times New Roman" w:hAnsi="Times New Roman" w:cs="Times New Roman"/>
        </w:rPr>
        <w:t xml:space="preserve"> vs. 24.70 </w:t>
      </w:r>
      <w:r>
        <w:rPr>
          <w:rFonts w:ascii="Times New Roman" w:hAnsi="Times New Roman" w:cs="Times New Roman"/>
        </w:rPr>
        <w:sym w:font="Symbol" w:char="F0B1"/>
      </w:r>
      <w:r>
        <w:rPr>
          <w:rFonts w:ascii="Times New Roman" w:hAnsi="Times New Roman" w:cs="Times New Roman"/>
        </w:rPr>
        <w:t xml:space="preserve"> 2.20, p = 0.027). Mauchly’s Test of Sphericity showed that sphericity could be assumed for IMA </w:t>
      </w:r>
      <w:r w:rsidR="003D22BD">
        <w:rPr>
          <w:rFonts w:ascii="Times New Roman" w:hAnsi="Times New Roman" w:cs="Times New Roman"/>
        </w:rPr>
        <w:t>M</w:t>
      </w:r>
      <w:r>
        <w:rPr>
          <w:rFonts w:ascii="Times New Roman" w:hAnsi="Times New Roman" w:cs="Times New Roman"/>
        </w:rPr>
        <w:t xml:space="preserve">edium (p = 0.262). IMA </w:t>
      </w:r>
      <w:r w:rsidR="003D22BD">
        <w:rPr>
          <w:rFonts w:ascii="Times New Roman" w:hAnsi="Times New Roman" w:cs="Times New Roman"/>
        </w:rPr>
        <w:t>M</w:t>
      </w:r>
      <w:r>
        <w:rPr>
          <w:rFonts w:ascii="Times New Roman" w:hAnsi="Times New Roman" w:cs="Times New Roman"/>
        </w:rPr>
        <w:t>edium (p&lt;0.001) showed significant differences between GP2 and SP1 with GP2 being significantly greater than SP1 (78.9</w:t>
      </w:r>
      <w:r w:rsidR="00EA3BB3">
        <w:rPr>
          <w:rFonts w:ascii="Times New Roman" w:hAnsi="Times New Roman" w:cs="Times New Roman"/>
        </w:rPr>
        <w:t>0</w:t>
      </w:r>
      <w:r>
        <w:rPr>
          <w:rFonts w:ascii="Times New Roman" w:hAnsi="Times New Roman" w:cs="Times New Roman"/>
        </w:rPr>
        <w:t xml:space="preserve"> </w:t>
      </w:r>
      <w:r>
        <w:rPr>
          <w:rFonts w:ascii="Times New Roman" w:hAnsi="Times New Roman" w:cs="Times New Roman"/>
        </w:rPr>
        <w:sym w:font="Symbol" w:char="F0B1"/>
      </w:r>
      <w:r>
        <w:rPr>
          <w:rFonts w:ascii="Times New Roman" w:hAnsi="Times New Roman" w:cs="Times New Roman"/>
        </w:rPr>
        <w:t xml:space="preserve"> 4.43 vs. 65.05 </w:t>
      </w:r>
      <w:r>
        <w:rPr>
          <w:rFonts w:ascii="Times New Roman" w:hAnsi="Times New Roman" w:cs="Times New Roman"/>
        </w:rPr>
        <w:sym w:font="Symbol" w:char="F0B1"/>
      </w:r>
      <w:r>
        <w:rPr>
          <w:rFonts w:ascii="Times New Roman" w:hAnsi="Times New Roman" w:cs="Times New Roman"/>
        </w:rPr>
        <w:t xml:space="preserve"> 5.52, p = 0.033, ES = 0.192). GP2 had a significantly higher IMA </w:t>
      </w:r>
      <w:r w:rsidR="003D22BD">
        <w:rPr>
          <w:rFonts w:ascii="Times New Roman" w:hAnsi="Times New Roman" w:cs="Times New Roman"/>
        </w:rPr>
        <w:t>M</w:t>
      </w:r>
      <w:r>
        <w:rPr>
          <w:rFonts w:ascii="Times New Roman" w:hAnsi="Times New Roman" w:cs="Times New Roman"/>
        </w:rPr>
        <w:t>edium when compared to SP2 (78.</w:t>
      </w:r>
      <w:r w:rsidR="00EA3BB3">
        <w:rPr>
          <w:rFonts w:ascii="Times New Roman" w:hAnsi="Times New Roman" w:cs="Times New Roman"/>
        </w:rPr>
        <w:t>90</w:t>
      </w:r>
      <w:r>
        <w:rPr>
          <w:rFonts w:ascii="Times New Roman" w:hAnsi="Times New Roman" w:cs="Times New Roman"/>
        </w:rPr>
        <w:t xml:space="preserve"> </w:t>
      </w:r>
      <w:r>
        <w:rPr>
          <w:rFonts w:ascii="Times New Roman" w:hAnsi="Times New Roman" w:cs="Times New Roman"/>
        </w:rPr>
        <w:sym w:font="Symbol" w:char="F0B1"/>
      </w:r>
      <w:r>
        <w:rPr>
          <w:rFonts w:ascii="Times New Roman" w:hAnsi="Times New Roman" w:cs="Times New Roman"/>
        </w:rPr>
        <w:t xml:space="preserve"> 4.43 vs. 46.3</w:t>
      </w:r>
      <w:r w:rsidR="00EA3BB3">
        <w:rPr>
          <w:rFonts w:ascii="Times New Roman" w:hAnsi="Times New Roman" w:cs="Times New Roman"/>
        </w:rPr>
        <w:t>7</w:t>
      </w:r>
      <w:r>
        <w:rPr>
          <w:rFonts w:ascii="Times New Roman" w:hAnsi="Times New Roman" w:cs="Times New Roman"/>
        </w:rPr>
        <w:t xml:space="preserve"> </w:t>
      </w:r>
      <w:r>
        <w:rPr>
          <w:rFonts w:ascii="Times New Roman" w:hAnsi="Times New Roman" w:cs="Times New Roman"/>
        </w:rPr>
        <w:sym w:font="Symbol" w:char="F0B1"/>
      </w:r>
      <w:r>
        <w:rPr>
          <w:rFonts w:ascii="Times New Roman" w:hAnsi="Times New Roman" w:cs="Times New Roman"/>
        </w:rPr>
        <w:t xml:space="preserve"> 3.4</w:t>
      </w:r>
      <w:r w:rsidR="00EA3BB3">
        <w:rPr>
          <w:rFonts w:ascii="Times New Roman" w:hAnsi="Times New Roman" w:cs="Times New Roman"/>
        </w:rPr>
        <w:t>3</w:t>
      </w:r>
      <w:r>
        <w:rPr>
          <w:rFonts w:ascii="Times New Roman" w:hAnsi="Times New Roman" w:cs="Times New Roman"/>
        </w:rPr>
        <w:t xml:space="preserve">, p &lt; 0.001). Additionally, SP1 was also shown to be significantly greater then SP2 (65.05 </w:t>
      </w:r>
      <w:r>
        <w:rPr>
          <w:rFonts w:ascii="Times New Roman" w:hAnsi="Times New Roman" w:cs="Times New Roman"/>
        </w:rPr>
        <w:sym w:font="Symbol" w:char="F0B1"/>
      </w:r>
      <w:r>
        <w:rPr>
          <w:rFonts w:ascii="Times New Roman" w:hAnsi="Times New Roman" w:cs="Times New Roman"/>
        </w:rPr>
        <w:t xml:space="preserve"> 5.52 vs. 46.3</w:t>
      </w:r>
      <w:r w:rsidR="00EA3BB3">
        <w:rPr>
          <w:rFonts w:ascii="Times New Roman" w:hAnsi="Times New Roman" w:cs="Times New Roman"/>
        </w:rPr>
        <w:t>7</w:t>
      </w:r>
      <w:r>
        <w:rPr>
          <w:rFonts w:ascii="Times New Roman" w:hAnsi="Times New Roman" w:cs="Times New Roman"/>
        </w:rPr>
        <w:t xml:space="preserve"> </w:t>
      </w:r>
      <w:r>
        <w:rPr>
          <w:rFonts w:ascii="Times New Roman" w:hAnsi="Times New Roman" w:cs="Times New Roman"/>
        </w:rPr>
        <w:sym w:font="Symbol" w:char="F0B1"/>
      </w:r>
      <w:r>
        <w:rPr>
          <w:rFonts w:ascii="Times New Roman" w:hAnsi="Times New Roman" w:cs="Times New Roman"/>
        </w:rPr>
        <w:t xml:space="preserve"> 3.4</w:t>
      </w:r>
      <w:r w:rsidR="00EA3BB3">
        <w:rPr>
          <w:rFonts w:ascii="Times New Roman" w:hAnsi="Times New Roman" w:cs="Times New Roman"/>
        </w:rPr>
        <w:t>3</w:t>
      </w:r>
      <w:r>
        <w:rPr>
          <w:rFonts w:ascii="Times New Roman" w:hAnsi="Times New Roman" w:cs="Times New Roman"/>
        </w:rPr>
        <w:t xml:space="preserve">, p = 0.009). Mauchly’s Test of Sphericity showed that sphericity could be assumed </w:t>
      </w:r>
      <w:r>
        <w:rPr>
          <w:rFonts w:ascii="Times New Roman" w:hAnsi="Times New Roman" w:cs="Times New Roman"/>
        </w:rPr>
        <w:lastRenderedPageBreak/>
        <w:t xml:space="preserve">for IMA low (p = 0.899). IMA </w:t>
      </w:r>
      <w:r w:rsidR="003D22BD">
        <w:rPr>
          <w:rFonts w:ascii="Times New Roman" w:hAnsi="Times New Roman" w:cs="Times New Roman"/>
        </w:rPr>
        <w:t>L</w:t>
      </w:r>
      <w:r>
        <w:rPr>
          <w:rFonts w:ascii="Times New Roman" w:hAnsi="Times New Roman" w:cs="Times New Roman"/>
        </w:rPr>
        <w:t xml:space="preserve">ow </w:t>
      </w:r>
      <w:r w:rsidRPr="00611804">
        <w:rPr>
          <w:rFonts w:ascii="Times New Roman" w:hAnsi="Times New Roman" w:cs="Times New Roman"/>
        </w:rPr>
        <w:t>(p=0.002) showed significant differences</w:t>
      </w:r>
      <w:r>
        <w:t xml:space="preserve"> </w:t>
      </w:r>
      <w:r>
        <w:rPr>
          <w:rFonts w:ascii="Times New Roman" w:hAnsi="Times New Roman" w:cs="Times New Roman"/>
        </w:rPr>
        <w:t>between GP2 and SP1, with GP2 being significantly greater (67.0</w:t>
      </w:r>
      <w:r w:rsidR="00EA3BB3">
        <w:rPr>
          <w:rFonts w:ascii="Times New Roman" w:hAnsi="Times New Roman" w:cs="Times New Roman"/>
        </w:rPr>
        <w:t>4</w:t>
      </w:r>
      <w:r>
        <w:rPr>
          <w:rFonts w:ascii="Times New Roman" w:hAnsi="Times New Roman" w:cs="Times New Roman"/>
        </w:rPr>
        <w:t xml:space="preserve"> </w:t>
      </w:r>
      <w:r>
        <w:rPr>
          <w:rFonts w:ascii="Times New Roman" w:hAnsi="Times New Roman" w:cs="Times New Roman"/>
        </w:rPr>
        <w:sym w:font="Symbol" w:char="F0B1"/>
      </w:r>
      <w:r>
        <w:rPr>
          <w:rFonts w:ascii="Times New Roman" w:hAnsi="Times New Roman" w:cs="Times New Roman"/>
        </w:rPr>
        <w:t xml:space="preserve"> 6.3</w:t>
      </w:r>
      <w:r w:rsidR="00EA3BB3">
        <w:rPr>
          <w:rFonts w:ascii="Times New Roman" w:hAnsi="Times New Roman" w:cs="Times New Roman"/>
        </w:rPr>
        <w:t>3</w:t>
      </w:r>
      <w:r>
        <w:rPr>
          <w:rFonts w:ascii="Times New Roman" w:hAnsi="Times New Roman" w:cs="Times New Roman"/>
        </w:rPr>
        <w:t xml:space="preserve"> vs. 46.14 </w:t>
      </w:r>
      <w:r>
        <w:rPr>
          <w:rFonts w:ascii="Times New Roman" w:hAnsi="Times New Roman" w:cs="Times New Roman"/>
        </w:rPr>
        <w:sym w:font="Symbol" w:char="F0B1"/>
      </w:r>
      <w:r>
        <w:rPr>
          <w:rFonts w:ascii="Times New Roman" w:hAnsi="Times New Roman" w:cs="Times New Roman"/>
        </w:rPr>
        <w:t xml:space="preserve"> 5.6</w:t>
      </w:r>
      <w:r w:rsidR="00EA3BB3">
        <w:rPr>
          <w:rFonts w:ascii="Times New Roman" w:hAnsi="Times New Roman" w:cs="Times New Roman"/>
        </w:rPr>
        <w:t>9</w:t>
      </w:r>
      <w:r>
        <w:rPr>
          <w:rFonts w:ascii="Times New Roman" w:hAnsi="Times New Roman" w:cs="Times New Roman"/>
        </w:rPr>
        <w:t>, p = 0.012, ES = 0.095). Additionally, GP2 was shown to be significantly greater than SP2 (67.0</w:t>
      </w:r>
      <w:r w:rsidR="00EA3BB3">
        <w:rPr>
          <w:rFonts w:ascii="Times New Roman" w:hAnsi="Times New Roman" w:cs="Times New Roman"/>
        </w:rPr>
        <w:t>4</w:t>
      </w:r>
      <w:r>
        <w:rPr>
          <w:rFonts w:ascii="Times New Roman" w:hAnsi="Times New Roman" w:cs="Times New Roman"/>
        </w:rPr>
        <w:t xml:space="preserve"> </w:t>
      </w:r>
      <w:r>
        <w:rPr>
          <w:rFonts w:ascii="Times New Roman" w:hAnsi="Times New Roman" w:cs="Times New Roman"/>
        </w:rPr>
        <w:sym w:font="Symbol" w:char="F0B1"/>
      </w:r>
      <w:r>
        <w:rPr>
          <w:rFonts w:ascii="Times New Roman" w:hAnsi="Times New Roman" w:cs="Times New Roman"/>
        </w:rPr>
        <w:t xml:space="preserve"> 6.3</w:t>
      </w:r>
      <w:r w:rsidR="00EA3BB3">
        <w:rPr>
          <w:rFonts w:ascii="Times New Roman" w:hAnsi="Times New Roman" w:cs="Times New Roman"/>
        </w:rPr>
        <w:t>3</w:t>
      </w:r>
      <w:r>
        <w:rPr>
          <w:rFonts w:ascii="Times New Roman" w:hAnsi="Times New Roman" w:cs="Times New Roman"/>
        </w:rPr>
        <w:t xml:space="preserve"> vs. 40.70 </w:t>
      </w:r>
      <w:r>
        <w:rPr>
          <w:rFonts w:ascii="Times New Roman" w:hAnsi="Times New Roman" w:cs="Times New Roman"/>
        </w:rPr>
        <w:sym w:font="Symbol" w:char="F0B1"/>
      </w:r>
      <w:r>
        <w:rPr>
          <w:rFonts w:ascii="Times New Roman" w:hAnsi="Times New Roman" w:cs="Times New Roman"/>
        </w:rPr>
        <w:t xml:space="preserve"> 5.4</w:t>
      </w:r>
      <w:r w:rsidR="00EA3BB3">
        <w:rPr>
          <w:rFonts w:ascii="Times New Roman" w:hAnsi="Times New Roman" w:cs="Times New Roman"/>
        </w:rPr>
        <w:t>9</w:t>
      </w:r>
      <w:r>
        <w:rPr>
          <w:rFonts w:ascii="Times New Roman" w:hAnsi="Times New Roman" w:cs="Times New Roman"/>
        </w:rPr>
        <w:t>, p = 0.001). Finally, Mauchly’s Test of Sphericity showed that sphericity could also be assumed for Total IMA (p = 0.743). Total IMA (p&lt;0.001) showed significant differences between GP2 and SP1 and GP2 and SP2, with GP2 being significantly greater than SP1 (148.3</w:t>
      </w:r>
      <w:r w:rsidR="00EA3BB3">
        <w:rPr>
          <w:rFonts w:ascii="Times New Roman" w:hAnsi="Times New Roman" w:cs="Times New Roman"/>
        </w:rPr>
        <w:t>2</w:t>
      </w:r>
      <w:r>
        <w:rPr>
          <w:rFonts w:ascii="Times New Roman" w:hAnsi="Times New Roman" w:cs="Times New Roman"/>
        </w:rPr>
        <w:t xml:space="preserve"> </w:t>
      </w:r>
      <w:r>
        <w:rPr>
          <w:rFonts w:ascii="Times New Roman" w:hAnsi="Times New Roman" w:cs="Times New Roman"/>
        </w:rPr>
        <w:sym w:font="Symbol" w:char="F0B1"/>
      </w:r>
      <w:r>
        <w:rPr>
          <w:rFonts w:ascii="Times New Roman" w:hAnsi="Times New Roman" w:cs="Times New Roman"/>
        </w:rPr>
        <w:t xml:space="preserve"> 7.52 vs. 119.46 </w:t>
      </w:r>
      <w:r>
        <w:rPr>
          <w:rFonts w:ascii="Times New Roman" w:hAnsi="Times New Roman" w:cs="Times New Roman"/>
        </w:rPr>
        <w:sym w:font="Symbol" w:char="F0B1"/>
      </w:r>
      <w:r>
        <w:rPr>
          <w:rFonts w:ascii="Times New Roman" w:hAnsi="Times New Roman" w:cs="Times New Roman"/>
        </w:rPr>
        <w:t xml:space="preserve"> 5.82, p = 0.002, ES = 0.208) and SP2 (148.3</w:t>
      </w:r>
      <w:r w:rsidR="00EA3BB3">
        <w:rPr>
          <w:rFonts w:ascii="Times New Roman" w:hAnsi="Times New Roman" w:cs="Times New Roman"/>
        </w:rPr>
        <w:t>2</w:t>
      </w:r>
      <w:r>
        <w:rPr>
          <w:rFonts w:ascii="Times New Roman" w:hAnsi="Times New Roman" w:cs="Times New Roman"/>
        </w:rPr>
        <w:t xml:space="preserve"> </w:t>
      </w:r>
      <w:r>
        <w:rPr>
          <w:rFonts w:ascii="Times New Roman" w:hAnsi="Times New Roman" w:cs="Times New Roman"/>
        </w:rPr>
        <w:sym w:font="Symbol" w:char="F0B1"/>
      </w:r>
      <w:r>
        <w:rPr>
          <w:rFonts w:ascii="Times New Roman" w:hAnsi="Times New Roman" w:cs="Times New Roman"/>
        </w:rPr>
        <w:t xml:space="preserve"> 7.52 vs. 97.12 </w:t>
      </w:r>
      <w:r>
        <w:rPr>
          <w:rFonts w:ascii="Times New Roman" w:hAnsi="Times New Roman" w:cs="Times New Roman"/>
        </w:rPr>
        <w:sym w:font="Symbol" w:char="F0B1"/>
      </w:r>
      <w:r>
        <w:rPr>
          <w:rFonts w:ascii="Times New Roman" w:hAnsi="Times New Roman" w:cs="Times New Roman"/>
        </w:rPr>
        <w:t xml:space="preserve"> 6.97, p &lt; 0.001). Additionally, SP1 was found to be significantly greater than SP2 (119.46 </w:t>
      </w:r>
      <w:r>
        <w:rPr>
          <w:rFonts w:ascii="Times New Roman" w:hAnsi="Times New Roman" w:cs="Times New Roman"/>
        </w:rPr>
        <w:sym w:font="Symbol" w:char="F0B1"/>
      </w:r>
      <w:r>
        <w:rPr>
          <w:rFonts w:ascii="Times New Roman" w:hAnsi="Times New Roman" w:cs="Times New Roman"/>
        </w:rPr>
        <w:t xml:space="preserve"> 5.82 vs. 97.12 </w:t>
      </w:r>
      <w:r>
        <w:rPr>
          <w:rFonts w:ascii="Times New Roman" w:hAnsi="Times New Roman" w:cs="Times New Roman"/>
        </w:rPr>
        <w:sym w:font="Symbol" w:char="F0B1"/>
      </w:r>
      <w:r>
        <w:rPr>
          <w:rFonts w:ascii="Times New Roman" w:hAnsi="Times New Roman" w:cs="Times New Roman"/>
        </w:rPr>
        <w:t xml:space="preserve"> 6.97, p = 0.025).</w:t>
      </w:r>
    </w:p>
    <w:p w14:paraId="5201F9EE" w14:textId="77777777" w:rsidR="0065584C" w:rsidRDefault="0065584C" w:rsidP="005B15BA">
      <w:pPr>
        <w:pStyle w:val="Heading3"/>
      </w:pPr>
      <w:bookmarkStart w:id="25" w:name="_Toc85791411"/>
      <w:r>
        <w:t>Correlations</w:t>
      </w:r>
      <w:bookmarkEnd w:id="25"/>
    </w:p>
    <w:p w14:paraId="30DE09C9" w14:textId="673DAC81" w:rsidR="0065584C" w:rsidRDefault="0065584C" w:rsidP="0065584C">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Internal load measures predominantly correlated strongly with each other. Physical recovery had strong to moderate positive correlations with mental recovery (r = 0.531; p &lt; 0.001), emotional recovery (r = 0.467;</w:t>
      </w:r>
      <w:r w:rsidRPr="00BF71DC">
        <w:rPr>
          <w:rFonts w:ascii="Times New Roman" w:hAnsi="Times New Roman" w:cs="Times New Roman"/>
        </w:rPr>
        <w:t xml:space="preserve"> </w:t>
      </w:r>
      <w:r>
        <w:rPr>
          <w:rFonts w:ascii="Times New Roman" w:hAnsi="Times New Roman" w:cs="Times New Roman"/>
        </w:rPr>
        <w:t xml:space="preserve">p &lt; 0.001), overall recovery (r = 0.636; p &lt; 0.001), and recovery composite (r = 0.791; p &lt; 0.001). Mental recovery also had moderate to strong positive correlations with emotional recovery (r = 0.572; p &lt; 0.001), overall recovery (r = 0.525; p &lt; 0.001), and recovery composite measures (r = 0.809; p &lt; 0.001). Emotional recovery had moderate to strong positive correlations with overall recovery (r = 0.472; p &lt; 0.001) and recovery composite (r = 0.780; p &lt; 0.001). Recovery measures showed weak to strong negative correlations to stress measures. Recovery composite and stress composites showed a strong negative correlation (r = </w:t>
      </w:r>
      <w:r w:rsidRPr="00367F2B">
        <w:rPr>
          <w:rFonts w:ascii="Times New Roman" w:hAnsi="Times New Roman" w:cs="Times New Roman"/>
          <w:vertAlign w:val="superscript"/>
        </w:rPr>
        <w:t>-</w:t>
      </w:r>
      <w:r>
        <w:rPr>
          <w:rFonts w:ascii="Times New Roman" w:hAnsi="Times New Roman" w:cs="Times New Roman"/>
        </w:rPr>
        <w:t xml:space="preserve">0.828; p &lt; 0.001). Physical recovery had weak to moderate negative correlations with each stress measure: physical stress (r = </w:t>
      </w:r>
      <w:r w:rsidRPr="00367F2B">
        <w:rPr>
          <w:rFonts w:ascii="Times New Roman" w:hAnsi="Times New Roman" w:cs="Times New Roman"/>
          <w:vertAlign w:val="superscript"/>
        </w:rPr>
        <w:t>-</w:t>
      </w:r>
      <w:r>
        <w:rPr>
          <w:rFonts w:ascii="Times New Roman" w:hAnsi="Times New Roman" w:cs="Times New Roman"/>
        </w:rPr>
        <w:t>0.441; p &lt; 0.001), mental stress (r =</w:t>
      </w:r>
      <w:r w:rsidR="00F47D83">
        <w:rPr>
          <w:rFonts w:ascii="Times New Roman" w:hAnsi="Times New Roman" w:cs="Times New Roman"/>
        </w:rPr>
        <w:t xml:space="preserve">    </w:t>
      </w:r>
      <w:r>
        <w:rPr>
          <w:rFonts w:ascii="Times New Roman" w:hAnsi="Times New Roman" w:cs="Times New Roman"/>
        </w:rPr>
        <w:t xml:space="preserve"> </w:t>
      </w:r>
      <w:r w:rsidR="00F47D83">
        <w:rPr>
          <w:rFonts w:ascii="Times New Roman" w:hAnsi="Times New Roman" w:cs="Times New Roman"/>
          <w:vertAlign w:val="superscript"/>
        </w:rPr>
        <w:t>-</w:t>
      </w:r>
      <w:r>
        <w:rPr>
          <w:rFonts w:ascii="Times New Roman" w:hAnsi="Times New Roman" w:cs="Times New Roman"/>
        </w:rPr>
        <w:t xml:space="preserve">0.520; p &lt; 0.001), emotional stress (r = </w:t>
      </w:r>
      <w:r w:rsidRPr="00367F2B">
        <w:rPr>
          <w:rFonts w:ascii="Times New Roman" w:hAnsi="Times New Roman" w:cs="Times New Roman"/>
          <w:vertAlign w:val="superscript"/>
        </w:rPr>
        <w:t>-</w:t>
      </w:r>
      <w:r>
        <w:rPr>
          <w:rFonts w:ascii="Times New Roman" w:hAnsi="Times New Roman" w:cs="Times New Roman"/>
        </w:rPr>
        <w:t xml:space="preserve">0.375; p &lt; 0.001), overall stress (r = </w:t>
      </w:r>
      <w:r w:rsidRPr="00367F2B">
        <w:rPr>
          <w:rFonts w:ascii="Times New Roman" w:hAnsi="Times New Roman" w:cs="Times New Roman"/>
          <w:vertAlign w:val="superscript"/>
        </w:rPr>
        <w:t>-</w:t>
      </w:r>
      <w:r>
        <w:rPr>
          <w:rFonts w:ascii="Times New Roman" w:hAnsi="Times New Roman" w:cs="Times New Roman"/>
        </w:rPr>
        <w:t xml:space="preserve">0.494; p &lt; 0.001), and stress composite (r = </w:t>
      </w:r>
      <w:r w:rsidRPr="00367F2B">
        <w:rPr>
          <w:rFonts w:ascii="Times New Roman" w:hAnsi="Times New Roman" w:cs="Times New Roman"/>
          <w:vertAlign w:val="superscript"/>
        </w:rPr>
        <w:t>-</w:t>
      </w:r>
      <w:r>
        <w:rPr>
          <w:rFonts w:ascii="Times New Roman" w:hAnsi="Times New Roman" w:cs="Times New Roman"/>
        </w:rPr>
        <w:t xml:space="preserve">0.590; p &lt; 0.001). Mental recovery also showed weak to moderate </w:t>
      </w:r>
      <w:r>
        <w:rPr>
          <w:rFonts w:ascii="Times New Roman" w:hAnsi="Times New Roman" w:cs="Times New Roman"/>
        </w:rPr>
        <w:lastRenderedPageBreak/>
        <w:t xml:space="preserve">negative correlations to each stress measure; physical stress (r = </w:t>
      </w:r>
      <w:r w:rsidRPr="00367F2B">
        <w:rPr>
          <w:rFonts w:ascii="Times New Roman" w:hAnsi="Times New Roman" w:cs="Times New Roman"/>
          <w:vertAlign w:val="superscript"/>
        </w:rPr>
        <w:t>-</w:t>
      </w:r>
      <w:r>
        <w:rPr>
          <w:rFonts w:ascii="Times New Roman" w:hAnsi="Times New Roman" w:cs="Times New Roman"/>
        </w:rPr>
        <w:t xml:space="preserve">0.303; p &lt; 0.001), mental stress (r = </w:t>
      </w:r>
      <w:r w:rsidRPr="00367F2B">
        <w:rPr>
          <w:rFonts w:ascii="Times New Roman" w:hAnsi="Times New Roman" w:cs="Times New Roman"/>
          <w:vertAlign w:val="superscript"/>
        </w:rPr>
        <w:t>-</w:t>
      </w:r>
      <w:r>
        <w:rPr>
          <w:rFonts w:ascii="Times New Roman" w:hAnsi="Times New Roman" w:cs="Times New Roman"/>
        </w:rPr>
        <w:t xml:space="preserve">0.398; p &lt; 0.001), emotional stress (r = </w:t>
      </w:r>
      <w:r w:rsidRPr="00367F2B">
        <w:rPr>
          <w:rFonts w:ascii="Times New Roman" w:hAnsi="Times New Roman" w:cs="Times New Roman"/>
          <w:vertAlign w:val="superscript"/>
        </w:rPr>
        <w:t>-</w:t>
      </w:r>
      <w:r>
        <w:rPr>
          <w:rFonts w:ascii="Times New Roman" w:hAnsi="Times New Roman" w:cs="Times New Roman"/>
        </w:rPr>
        <w:t xml:space="preserve">0.376; p &lt; 0.001), overall stress (r = </w:t>
      </w:r>
      <w:r w:rsidRPr="00367F2B">
        <w:rPr>
          <w:rFonts w:ascii="Times New Roman" w:hAnsi="Times New Roman" w:cs="Times New Roman"/>
          <w:vertAlign w:val="superscript"/>
        </w:rPr>
        <w:t>-</w:t>
      </w:r>
      <w:r>
        <w:rPr>
          <w:rFonts w:ascii="Times New Roman" w:hAnsi="Times New Roman" w:cs="Times New Roman"/>
        </w:rPr>
        <w:t xml:space="preserve">0.463; p &lt; 0.001), and stress composite (r = </w:t>
      </w:r>
      <w:r w:rsidRPr="00367F2B">
        <w:rPr>
          <w:rFonts w:ascii="Times New Roman" w:hAnsi="Times New Roman" w:cs="Times New Roman"/>
          <w:vertAlign w:val="superscript"/>
        </w:rPr>
        <w:t>-</w:t>
      </w:r>
      <w:r>
        <w:rPr>
          <w:rFonts w:ascii="Times New Roman" w:hAnsi="Times New Roman" w:cs="Times New Roman"/>
        </w:rPr>
        <w:t xml:space="preserve">0.473; p &lt; 0.001). Emotional recovery showed weak to strong negative correlations to each stress measure; physical stress (r = </w:t>
      </w:r>
      <w:r w:rsidRPr="00367F2B">
        <w:rPr>
          <w:rFonts w:ascii="Times New Roman" w:hAnsi="Times New Roman" w:cs="Times New Roman"/>
          <w:vertAlign w:val="superscript"/>
        </w:rPr>
        <w:t>-</w:t>
      </w:r>
      <w:r>
        <w:rPr>
          <w:rFonts w:ascii="Times New Roman" w:hAnsi="Times New Roman" w:cs="Times New Roman"/>
        </w:rPr>
        <w:t xml:space="preserve">0.295; p &lt; 0.001), mental stress (r = </w:t>
      </w:r>
      <w:r w:rsidRPr="00367F2B">
        <w:rPr>
          <w:rFonts w:ascii="Times New Roman" w:hAnsi="Times New Roman" w:cs="Times New Roman"/>
          <w:vertAlign w:val="superscript"/>
        </w:rPr>
        <w:t>-</w:t>
      </w:r>
      <w:r>
        <w:rPr>
          <w:rFonts w:ascii="Times New Roman" w:hAnsi="Times New Roman" w:cs="Times New Roman"/>
        </w:rPr>
        <w:t xml:space="preserve">0.449; p &lt; 0.001), emotional stress (r = </w:t>
      </w:r>
      <w:r w:rsidRPr="00367F2B">
        <w:rPr>
          <w:rFonts w:ascii="Times New Roman" w:hAnsi="Times New Roman" w:cs="Times New Roman"/>
          <w:vertAlign w:val="superscript"/>
        </w:rPr>
        <w:t>-</w:t>
      </w:r>
      <w:r>
        <w:rPr>
          <w:rFonts w:ascii="Times New Roman" w:hAnsi="Times New Roman" w:cs="Times New Roman"/>
        </w:rPr>
        <w:t xml:space="preserve">0.636; p &lt; 0.001), overall stress (r = </w:t>
      </w:r>
      <w:r w:rsidRPr="00367F2B">
        <w:rPr>
          <w:rFonts w:ascii="Times New Roman" w:hAnsi="Times New Roman" w:cs="Times New Roman"/>
          <w:vertAlign w:val="superscript"/>
        </w:rPr>
        <w:t>-</w:t>
      </w:r>
      <w:r>
        <w:rPr>
          <w:rFonts w:ascii="Times New Roman" w:hAnsi="Times New Roman" w:cs="Times New Roman"/>
        </w:rPr>
        <w:t xml:space="preserve">0.514; p &lt; 0.001), and stress composite (r = </w:t>
      </w:r>
      <w:r w:rsidRPr="00367F2B">
        <w:rPr>
          <w:rFonts w:ascii="Times New Roman" w:hAnsi="Times New Roman" w:cs="Times New Roman"/>
          <w:vertAlign w:val="superscript"/>
        </w:rPr>
        <w:t>-</w:t>
      </w:r>
      <w:r>
        <w:rPr>
          <w:rFonts w:ascii="Times New Roman" w:hAnsi="Times New Roman" w:cs="Times New Roman"/>
        </w:rPr>
        <w:t xml:space="preserve">0.586; p &lt; 0.001). Overall recovery showed weak to moderate negative correlations to each stress measure; physical stress (r = </w:t>
      </w:r>
      <w:r w:rsidRPr="00367F2B">
        <w:rPr>
          <w:rFonts w:ascii="Times New Roman" w:hAnsi="Times New Roman" w:cs="Times New Roman"/>
          <w:vertAlign w:val="superscript"/>
        </w:rPr>
        <w:t>-</w:t>
      </w:r>
      <w:r>
        <w:rPr>
          <w:rFonts w:ascii="Times New Roman" w:hAnsi="Times New Roman" w:cs="Times New Roman"/>
        </w:rPr>
        <w:t xml:space="preserve">0.556; p &lt; 0.001), mental stress (r = </w:t>
      </w:r>
      <w:r w:rsidRPr="00367F2B">
        <w:rPr>
          <w:rFonts w:ascii="Times New Roman" w:hAnsi="Times New Roman" w:cs="Times New Roman"/>
          <w:vertAlign w:val="superscript"/>
        </w:rPr>
        <w:t>-</w:t>
      </w:r>
      <w:r>
        <w:rPr>
          <w:rFonts w:ascii="Times New Roman" w:hAnsi="Times New Roman" w:cs="Times New Roman"/>
        </w:rPr>
        <w:t xml:space="preserve">0.410; p &lt; 0.001), emotional stress (r = </w:t>
      </w:r>
      <w:r w:rsidRPr="00367F2B">
        <w:rPr>
          <w:rFonts w:ascii="Times New Roman" w:hAnsi="Times New Roman" w:cs="Times New Roman"/>
          <w:vertAlign w:val="superscript"/>
        </w:rPr>
        <w:t>-</w:t>
      </w:r>
      <w:r>
        <w:rPr>
          <w:rFonts w:ascii="Times New Roman" w:hAnsi="Times New Roman" w:cs="Times New Roman"/>
        </w:rPr>
        <w:t xml:space="preserve">0.340; p &lt; 0.001), overall stress (r = </w:t>
      </w:r>
      <w:r w:rsidRPr="00367F2B">
        <w:rPr>
          <w:rFonts w:ascii="Times New Roman" w:hAnsi="Times New Roman" w:cs="Times New Roman"/>
          <w:vertAlign w:val="superscript"/>
        </w:rPr>
        <w:t>-</w:t>
      </w:r>
      <w:r>
        <w:rPr>
          <w:rFonts w:ascii="Times New Roman" w:hAnsi="Times New Roman" w:cs="Times New Roman"/>
        </w:rPr>
        <w:t xml:space="preserve">0.515; p &lt; 0.001), and stress composite (r = </w:t>
      </w:r>
      <w:r w:rsidRPr="00367F2B">
        <w:rPr>
          <w:rFonts w:ascii="Times New Roman" w:hAnsi="Times New Roman" w:cs="Times New Roman"/>
          <w:vertAlign w:val="superscript"/>
        </w:rPr>
        <w:t>-</w:t>
      </w:r>
      <w:r>
        <w:rPr>
          <w:rFonts w:ascii="Times New Roman" w:hAnsi="Times New Roman" w:cs="Times New Roman"/>
        </w:rPr>
        <w:t xml:space="preserve">0.549; p &lt; 0.001). </w:t>
      </w:r>
    </w:p>
    <w:p w14:paraId="512A3431" w14:textId="06157F45" w:rsidR="0065584C" w:rsidRDefault="0065584C" w:rsidP="0065584C">
      <w:pPr>
        <w:spacing w:line="480" w:lineRule="auto"/>
        <w:ind w:firstLine="720"/>
        <w:rPr>
          <w:rFonts w:ascii="Times New Roman" w:hAnsi="Times New Roman" w:cs="Times New Roman"/>
        </w:rPr>
      </w:pPr>
      <w:r>
        <w:rPr>
          <w:rFonts w:ascii="Times New Roman" w:hAnsi="Times New Roman" w:cs="Times New Roman"/>
        </w:rPr>
        <w:t xml:space="preserve">Recovery composite and sleep demonstrated a strong, positive correlation (r = 0.739; p &lt; 0.001). However, sleep had weak moderate correlations with each recovery measure; physical recovery (r = 0.399; p &lt; 0.001), </w:t>
      </w:r>
      <w:r w:rsidRPr="00356001">
        <w:rPr>
          <w:rFonts w:ascii="Times New Roman" w:hAnsi="Times New Roman" w:cs="Times New Roman"/>
        </w:rPr>
        <w:t>mental recovery (r = 0.464; p &lt; 0.001), emotional recovery (r = 0.416; p &lt; 0.001), overall recovery (r = 0.383; p &lt; 0.001), and recovery composite (r = 0.513; p &lt; 0.001). R</w:t>
      </w:r>
      <w:r>
        <w:rPr>
          <w:rFonts w:ascii="Times New Roman" w:hAnsi="Times New Roman" w:cs="Times New Roman"/>
        </w:rPr>
        <w:t xml:space="preserve">ecovery composite and soreness composite had a weak negative correlation (r = </w:t>
      </w:r>
      <w:r>
        <w:rPr>
          <w:rFonts w:ascii="Times New Roman" w:hAnsi="Times New Roman" w:cs="Times New Roman"/>
          <w:vertAlign w:val="superscript"/>
        </w:rPr>
        <w:t>-</w:t>
      </w:r>
      <w:r>
        <w:rPr>
          <w:rFonts w:ascii="Times New Roman" w:hAnsi="Times New Roman" w:cs="Times New Roman"/>
        </w:rPr>
        <w:t>0.341; p &lt; 0.001). Soreness composite ha</w:t>
      </w:r>
      <w:r w:rsidR="005E4CBF">
        <w:rPr>
          <w:rFonts w:ascii="Times New Roman" w:hAnsi="Times New Roman" w:cs="Times New Roman"/>
        </w:rPr>
        <w:t>d</w:t>
      </w:r>
      <w:r>
        <w:rPr>
          <w:rFonts w:ascii="Times New Roman" w:hAnsi="Times New Roman" w:cs="Times New Roman"/>
        </w:rPr>
        <w:t xml:space="preserve"> weak negative correlations with each recovery measure; </w:t>
      </w:r>
      <w:r w:rsidRPr="00F81248">
        <w:rPr>
          <w:rFonts w:ascii="Times New Roman" w:hAnsi="Times New Roman" w:cs="Times New Roman"/>
        </w:rPr>
        <w:t xml:space="preserve">physical recovery (r = </w:t>
      </w:r>
      <w:r w:rsidRPr="00F81248">
        <w:rPr>
          <w:rFonts w:ascii="Times New Roman" w:hAnsi="Times New Roman" w:cs="Times New Roman"/>
          <w:vertAlign w:val="superscript"/>
        </w:rPr>
        <w:t>-</w:t>
      </w:r>
      <w:r w:rsidRPr="00F81248">
        <w:rPr>
          <w:rFonts w:ascii="Times New Roman" w:hAnsi="Times New Roman" w:cs="Times New Roman"/>
        </w:rPr>
        <w:t xml:space="preserve">0.311; p &lt; 0.001), mental recovery (r = </w:t>
      </w:r>
      <w:r w:rsidRPr="00F81248">
        <w:rPr>
          <w:rFonts w:ascii="Times New Roman" w:hAnsi="Times New Roman" w:cs="Times New Roman"/>
          <w:vertAlign w:val="superscript"/>
        </w:rPr>
        <w:t>-</w:t>
      </w:r>
      <w:r w:rsidRPr="00F81248">
        <w:rPr>
          <w:rFonts w:ascii="Times New Roman" w:hAnsi="Times New Roman" w:cs="Times New Roman"/>
        </w:rPr>
        <w:t xml:space="preserve">0.262; p &lt; 0.001), emotional recovery (r = </w:t>
      </w:r>
      <w:r w:rsidRPr="00F81248">
        <w:rPr>
          <w:rFonts w:ascii="Times New Roman" w:hAnsi="Times New Roman" w:cs="Times New Roman"/>
          <w:vertAlign w:val="superscript"/>
        </w:rPr>
        <w:t>-</w:t>
      </w:r>
      <w:r w:rsidRPr="00F81248">
        <w:rPr>
          <w:rFonts w:ascii="Times New Roman" w:hAnsi="Times New Roman" w:cs="Times New Roman"/>
        </w:rPr>
        <w:t xml:space="preserve">0.168; p &lt; 0.001), overall recovery (r = </w:t>
      </w:r>
      <w:r w:rsidRPr="00F81248">
        <w:rPr>
          <w:rFonts w:ascii="Times New Roman" w:hAnsi="Times New Roman" w:cs="Times New Roman"/>
          <w:vertAlign w:val="superscript"/>
        </w:rPr>
        <w:t>-</w:t>
      </w:r>
      <w:r w:rsidRPr="00F81248">
        <w:rPr>
          <w:rFonts w:ascii="Times New Roman" w:hAnsi="Times New Roman" w:cs="Times New Roman"/>
        </w:rPr>
        <w:t xml:space="preserve">0.399; p &lt; 0.001), and recovery composite (r = </w:t>
      </w:r>
      <w:r w:rsidRPr="00F81248">
        <w:rPr>
          <w:rFonts w:ascii="Times New Roman" w:hAnsi="Times New Roman" w:cs="Times New Roman"/>
          <w:vertAlign w:val="superscript"/>
        </w:rPr>
        <w:t>-</w:t>
      </w:r>
      <w:r w:rsidRPr="00F81248">
        <w:rPr>
          <w:rFonts w:ascii="Times New Roman" w:hAnsi="Times New Roman" w:cs="Times New Roman"/>
        </w:rPr>
        <w:t>0.341; p &lt; 0.001). Most recover</w:t>
      </w:r>
      <w:r>
        <w:rPr>
          <w:rFonts w:ascii="Times New Roman" w:hAnsi="Times New Roman" w:cs="Times New Roman"/>
        </w:rPr>
        <w:t xml:space="preserve">y measures were significantly negatively correlated with most soreness measures. </w:t>
      </w:r>
    </w:p>
    <w:p w14:paraId="5B212347" w14:textId="77777777" w:rsidR="0065584C" w:rsidRDefault="0065584C" w:rsidP="0065584C">
      <w:pPr>
        <w:spacing w:line="480" w:lineRule="auto"/>
        <w:ind w:firstLine="720"/>
        <w:rPr>
          <w:rFonts w:ascii="Times New Roman" w:hAnsi="Times New Roman" w:cs="Times New Roman"/>
        </w:rPr>
      </w:pPr>
      <w:r w:rsidRPr="00F26B35">
        <w:rPr>
          <w:rFonts w:ascii="Times New Roman" w:hAnsi="Times New Roman" w:cs="Times New Roman"/>
        </w:rPr>
        <w:t>Stress measures all had weak to strong positive correlations with each other.</w:t>
      </w:r>
      <w:r>
        <w:rPr>
          <w:rFonts w:ascii="Times New Roman" w:hAnsi="Times New Roman" w:cs="Times New Roman"/>
        </w:rPr>
        <w:t xml:space="preserve"> Stress composite showed moderate to strong positive correlations with physical stress (r = 0.695</w:t>
      </w:r>
      <w:r w:rsidRPr="00F81248">
        <w:rPr>
          <w:rFonts w:ascii="Times New Roman" w:hAnsi="Times New Roman" w:cs="Times New Roman"/>
        </w:rPr>
        <w:t>; p &lt; 0.001</w:t>
      </w:r>
      <w:r>
        <w:rPr>
          <w:rFonts w:ascii="Times New Roman" w:hAnsi="Times New Roman" w:cs="Times New Roman"/>
        </w:rPr>
        <w:t>), mental stress (r = 0.843</w:t>
      </w:r>
      <w:r w:rsidRPr="00F81248">
        <w:rPr>
          <w:rFonts w:ascii="Times New Roman" w:hAnsi="Times New Roman" w:cs="Times New Roman"/>
        </w:rPr>
        <w:t>; p &lt; 0.001</w:t>
      </w:r>
      <w:r>
        <w:rPr>
          <w:rFonts w:ascii="Times New Roman" w:hAnsi="Times New Roman" w:cs="Times New Roman"/>
        </w:rPr>
        <w:t>), emotional stress (r = 0.804</w:t>
      </w:r>
      <w:r w:rsidRPr="00F81248">
        <w:rPr>
          <w:rFonts w:ascii="Times New Roman" w:hAnsi="Times New Roman" w:cs="Times New Roman"/>
        </w:rPr>
        <w:t>; p &lt; 0.001</w:t>
      </w:r>
      <w:r>
        <w:rPr>
          <w:rFonts w:ascii="Times New Roman" w:hAnsi="Times New Roman" w:cs="Times New Roman"/>
        </w:rPr>
        <w:t>), and overall stress (r = 0.862</w:t>
      </w:r>
      <w:r w:rsidRPr="00F81248">
        <w:rPr>
          <w:rFonts w:ascii="Times New Roman" w:hAnsi="Times New Roman" w:cs="Times New Roman"/>
        </w:rPr>
        <w:t>; p &lt; 0.001</w:t>
      </w:r>
      <w:r>
        <w:rPr>
          <w:rFonts w:ascii="Times New Roman" w:hAnsi="Times New Roman" w:cs="Times New Roman"/>
        </w:rPr>
        <w:t xml:space="preserve">). Physical stress had weak to moderate correlations with the other </w:t>
      </w:r>
      <w:r>
        <w:rPr>
          <w:rFonts w:ascii="Times New Roman" w:hAnsi="Times New Roman" w:cs="Times New Roman"/>
        </w:rPr>
        <w:lastRenderedPageBreak/>
        <w:t>stress measures, mental stress (r = 0.446</w:t>
      </w:r>
      <w:r w:rsidRPr="00F81248">
        <w:rPr>
          <w:rFonts w:ascii="Times New Roman" w:hAnsi="Times New Roman" w:cs="Times New Roman"/>
        </w:rPr>
        <w:t>; p &lt; 0.001</w:t>
      </w:r>
      <w:r>
        <w:rPr>
          <w:rFonts w:ascii="Times New Roman" w:hAnsi="Times New Roman" w:cs="Times New Roman"/>
        </w:rPr>
        <w:t>), emotional stress (r = 0.338</w:t>
      </w:r>
      <w:r w:rsidRPr="00F81248">
        <w:rPr>
          <w:rFonts w:ascii="Times New Roman" w:hAnsi="Times New Roman" w:cs="Times New Roman"/>
        </w:rPr>
        <w:t>; p &lt; 0.001</w:t>
      </w:r>
      <w:r>
        <w:rPr>
          <w:rFonts w:ascii="Times New Roman" w:hAnsi="Times New Roman" w:cs="Times New Roman"/>
        </w:rPr>
        <w:t>), and overall stress (r = 0.541</w:t>
      </w:r>
      <w:r w:rsidRPr="00F81248">
        <w:rPr>
          <w:rFonts w:ascii="Times New Roman" w:hAnsi="Times New Roman" w:cs="Times New Roman"/>
        </w:rPr>
        <w:t>; p &lt; 0.001</w:t>
      </w:r>
      <w:r>
        <w:rPr>
          <w:rFonts w:ascii="Times New Roman" w:hAnsi="Times New Roman" w:cs="Times New Roman"/>
        </w:rPr>
        <w:t>). Mental stress showed moderate correlations with emotional stress (r = 0.638</w:t>
      </w:r>
      <w:r w:rsidRPr="00F81248">
        <w:rPr>
          <w:rFonts w:ascii="Times New Roman" w:hAnsi="Times New Roman" w:cs="Times New Roman"/>
        </w:rPr>
        <w:t>; p &lt; 0.001</w:t>
      </w:r>
      <w:r>
        <w:rPr>
          <w:rFonts w:ascii="Times New Roman" w:hAnsi="Times New Roman" w:cs="Times New Roman"/>
        </w:rPr>
        <w:t>) and overall stress (r = 0.631</w:t>
      </w:r>
      <w:r w:rsidRPr="00F81248">
        <w:rPr>
          <w:rFonts w:ascii="Times New Roman" w:hAnsi="Times New Roman" w:cs="Times New Roman"/>
        </w:rPr>
        <w:t>; p &lt; 0.001</w:t>
      </w:r>
      <w:r>
        <w:rPr>
          <w:rFonts w:ascii="Times New Roman" w:hAnsi="Times New Roman" w:cs="Times New Roman"/>
        </w:rPr>
        <w:t>). Emotional stress and overall stress had a moderate correlation (r = 0.617</w:t>
      </w:r>
      <w:r w:rsidRPr="00F81248">
        <w:rPr>
          <w:rFonts w:ascii="Times New Roman" w:hAnsi="Times New Roman" w:cs="Times New Roman"/>
        </w:rPr>
        <w:t>; p &lt; 0.001</w:t>
      </w:r>
      <w:r>
        <w:rPr>
          <w:rFonts w:ascii="Times New Roman" w:hAnsi="Times New Roman" w:cs="Times New Roman"/>
        </w:rPr>
        <w:t xml:space="preserve">). All stress measures had a significant weak negative correlation with </w:t>
      </w:r>
      <w:r w:rsidRPr="00E867B1">
        <w:rPr>
          <w:rFonts w:ascii="Times New Roman" w:hAnsi="Times New Roman" w:cs="Times New Roman"/>
        </w:rPr>
        <w:t xml:space="preserve">sleep; physical stress (r = </w:t>
      </w:r>
      <w:r w:rsidRPr="00E867B1">
        <w:rPr>
          <w:rFonts w:ascii="Times New Roman" w:hAnsi="Times New Roman" w:cs="Times New Roman"/>
          <w:vertAlign w:val="superscript"/>
        </w:rPr>
        <w:t>-</w:t>
      </w:r>
      <w:r w:rsidRPr="00E867B1">
        <w:rPr>
          <w:rFonts w:ascii="Times New Roman" w:hAnsi="Times New Roman" w:cs="Times New Roman"/>
        </w:rPr>
        <w:t xml:space="preserve">0.195; p &lt; 0.001), mental stress (r = </w:t>
      </w:r>
      <w:r w:rsidRPr="00E867B1">
        <w:rPr>
          <w:rFonts w:ascii="Times New Roman" w:hAnsi="Times New Roman" w:cs="Times New Roman"/>
          <w:vertAlign w:val="superscript"/>
        </w:rPr>
        <w:t>-</w:t>
      </w:r>
      <w:r w:rsidRPr="00E867B1">
        <w:rPr>
          <w:rFonts w:ascii="Times New Roman" w:hAnsi="Times New Roman" w:cs="Times New Roman"/>
        </w:rPr>
        <w:t xml:space="preserve">0.336; p &lt; 0.001), emotional stress (r = </w:t>
      </w:r>
      <w:r w:rsidRPr="00E867B1">
        <w:rPr>
          <w:rFonts w:ascii="Times New Roman" w:hAnsi="Times New Roman" w:cs="Times New Roman"/>
          <w:vertAlign w:val="superscript"/>
        </w:rPr>
        <w:t>-</w:t>
      </w:r>
      <w:r w:rsidRPr="00E867B1">
        <w:rPr>
          <w:rFonts w:ascii="Times New Roman" w:hAnsi="Times New Roman" w:cs="Times New Roman"/>
        </w:rPr>
        <w:t xml:space="preserve">0.366; p &lt; 0.001), overall stress (r = </w:t>
      </w:r>
      <w:r w:rsidRPr="00E867B1">
        <w:rPr>
          <w:rFonts w:ascii="Times New Roman" w:hAnsi="Times New Roman" w:cs="Times New Roman"/>
          <w:vertAlign w:val="superscript"/>
        </w:rPr>
        <w:t>-</w:t>
      </w:r>
      <w:r w:rsidRPr="00E867B1">
        <w:rPr>
          <w:rFonts w:ascii="Times New Roman" w:hAnsi="Times New Roman" w:cs="Times New Roman"/>
        </w:rPr>
        <w:t xml:space="preserve">0.363; p &lt; 0.001), and stress composite (r = </w:t>
      </w:r>
      <w:r w:rsidRPr="00E867B1">
        <w:rPr>
          <w:rFonts w:ascii="Times New Roman" w:hAnsi="Times New Roman" w:cs="Times New Roman"/>
          <w:vertAlign w:val="superscript"/>
        </w:rPr>
        <w:t>-</w:t>
      </w:r>
      <w:r w:rsidRPr="00E867B1">
        <w:rPr>
          <w:rFonts w:ascii="Times New Roman" w:hAnsi="Times New Roman" w:cs="Times New Roman"/>
        </w:rPr>
        <w:t xml:space="preserve">0.384; p &lt; 0.001). Physical stress had a moderate negative correlation with soreness composite (r = </w:t>
      </w:r>
      <w:r w:rsidRPr="00E867B1">
        <w:rPr>
          <w:rFonts w:ascii="Times New Roman" w:hAnsi="Times New Roman" w:cs="Times New Roman"/>
          <w:vertAlign w:val="superscript"/>
        </w:rPr>
        <w:t>-</w:t>
      </w:r>
      <w:r w:rsidRPr="00E867B1">
        <w:rPr>
          <w:rFonts w:ascii="Times New Roman" w:hAnsi="Times New Roman" w:cs="Times New Roman"/>
        </w:rPr>
        <w:t xml:space="preserve">0.460; p &lt; 0.001). </w:t>
      </w:r>
    </w:p>
    <w:p w14:paraId="21532EB7" w14:textId="77777777" w:rsidR="0065584C" w:rsidRPr="00E867B1" w:rsidRDefault="0065584C" w:rsidP="0065584C">
      <w:pPr>
        <w:spacing w:line="480" w:lineRule="auto"/>
        <w:ind w:firstLine="720"/>
        <w:rPr>
          <w:rFonts w:ascii="Times New Roman" w:hAnsi="Times New Roman" w:cs="Times New Roman"/>
        </w:rPr>
      </w:pPr>
      <w:r>
        <w:rPr>
          <w:rFonts w:ascii="Times New Roman" w:hAnsi="Times New Roman" w:cs="Times New Roman"/>
        </w:rPr>
        <w:t xml:space="preserve">No significant correlations were found between external load measures and any of the recovery, stress, soreness, or sleep measures. </w:t>
      </w:r>
    </w:p>
    <w:p w14:paraId="0F33E6BE" w14:textId="77777777" w:rsidR="0065584C" w:rsidRPr="00FC3E19" w:rsidRDefault="0065584C" w:rsidP="0065584C">
      <w:pPr>
        <w:spacing w:line="480" w:lineRule="auto"/>
        <w:ind w:firstLine="720"/>
        <w:rPr>
          <w:rFonts w:ascii="Times New Roman" w:hAnsi="Times New Roman" w:cs="Times New Roman"/>
        </w:rPr>
      </w:pPr>
      <w:r>
        <w:rPr>
          <w:rFonts w:ascii="Times New Roman" w:hAnsi="Times New Roman" w:cs="Times New Roman"/>
        </w:rPr>
        <w:t>As expected, PL</w:t>
      </w:r>
      <w:r w:rsidRPr="00E867B1">
        <w:rPr>
          <w:rFonts w:ascii="Times New Roman" w:hAnsi="Times New Roman" w:cs="Times New Roman"/>
        </w:rPr>
        <w:t xml:space="preserve"> and </w:t>
      </w:r>
      <w:r>
        <w:rPr>
          <w:rFonts w:ascii="Times New Roman" w:hAnsi="Times New Roman" w:cs="Times New Roman"/>
        </w:rPr>
        <w:t>PL</w:t>
      </w:r>
      <w:r w:rsidRPr="00E867B1">
        <w:rPr>
          <w:rFonts w:ascii="Times New Roman" w:hAnsi="Times New Roman" w:cs="Times New Roman"/>
        </w:rPr>
        <w:t xml:space="preserve"> per minute had a strong positive correlation (r = 0.742; p &lt; 0.001), PL and PL 1D Up had a strong positive correlation (r = 0.986; p &lt; 0.001), and PL per minute and PL 1D Up had a strong positive correlation (r = 0.761; p &lt; 0.001). PL had weak to moderate correlations with IMA high band (r = 0.361; p &lt; 0.001), IMA medium band (r = 0.618; p &lt; 0.001), IMA low band (r = 0.508; p &lt; 0.001), and total IMA (r = 0.553; p &lt; 0.001). PL per minute also had weak to moderate correlations with IMA high band (r = 0.329; p &lt; 0.001), IMA medium band (r = 0.464; p &lt; 0.001), IMA low band (r = 0.284; p &lt; 0.001), and total IMA (r = 0.473; p &lt; 0.001). PL 1D Up showed weak to moderate correlations with IMA high band (r = 0.377; p &lt; 0.001), IMA medium band (r = 0.634; p &lt; 0.001), IMA low band (r = 0.518; p &lt; 0.001), and total IMA (r = 0.551; p &lt; 0.001</w:t>
      </w:r>
      <w:r>
        <w:rPr>
          <w:rFonts w:ascii="Times New Roman" w:hAnsi="Times New Roman" w:cs="Times New Roman"/>
        </w:rPr>
        <w:t>).</w:t>
      </w:r>
    </w:p>
    <w:p w14:paraId="5527CCB5" w14:textId="77777777" w:rsidR="0065584C" w:rsidRDefault="0065584C" w:rsidP="0065584C">
      <w:pPr>
        <w:spacing w:line="480" w:lineRule="auto"/>
        <w:rPr>
          <w:rFonts w:ascii="Times New Roman" w:hAnsi="Times New Roman" w:cs="Times New Roman"/>
        </w:rPr>
      </w:pPr>
      <w:r>
        <w:rPr>
          <w:rFonts w:ascii="Times New Roman" w:hAnsi="Times New Roman" w:cs="Times New Roman"/>
        </w:rPr>
        <w:tab/>
        <w:t xml:space="preserve">Player Load and IMA, when paired with the following day’s internal load data, showed several significant correlations. Recovery composite was negatively correlated with stress composite (r = </w:t>
      </w:r>
      <w:r>
        <w:rPr>
          <w:rFonts w:ascii="Times New Roman" w:hAnsi="Times New Roman" w:cs="Times New Roman"/>
          <w:vertAlign w:val="superscript"/>
        </w:rPr>
        <w:t>-</w:t>
      </w:r>
      <w:r>
        <w:rPr>
          <w:rFonts w:ascii="Times New Roman" w:hAnsi="Times New Roman" w:cs="Times New Roman"/>
        </w:rPr>
        <w:t>0.828</w:t>
      </w:r>
      <w:r w:rsidRPr="00E867B1">
        <w:rPr>
          <w:rFonts w:ascii="Times New Roman" w:hAnsi="Times New Roman" w:cs="Times New Roman"/>
        </w:rPr>
        <w:t>; p &lt; 0.001</w:t>
      </w:r>
      <w:r>
        <w:rPr>
          <w:rFonts w:ascii="Times New Roman" w:hAnsi="Times New Roman" w:cs="Times New Roman"/>
        </w:rPr>
        <w:t>) and positively correlated with sleep (r = 0.739</w:t>
      </w:r>
      <w:r w:rsidRPr="00E867B1">
        <w:rPr>
          <w:rFonts w:ascii="Times New Roman" w:hAnsi="Times New Roman" w:cs="Times New Roman"/>
        </w:rPr>
        <w:t>; p &lt; 0.001</w:t>
      </w:r>
      <w:r>
        <w:rPr>
          <w:rFonts w:ascii="Times New Roman" w:hAnsi="Times New Roman" w:cs="Times New Roman"/>
        </w:rPr>
        <w:t xml:space="preserve">). </w:t>
      </w:r>
      <w:r>
        <w:rPr>
          <w:rFonts w:ascii="Times New Roman" w:hAnsi="Times New Roman" w:cs="Times New Roman"/>
        </w:rPr>
        <w:lastRenderedPageBreak/>
        <w:t xml:space="preserve">Stress composite had a moderate negative correlation with sleep (r = </w:t>
      </w:r>
      <w:r>
        <w:rPr>
          <w:rFonts w:ascii="Times New Roman" w:hAnsi="Times New Roman" w:cs="Times New Roman"/>
          <w:vertAlign w:val="superscript"/>
        </w:rPr>
        <w:t>-</w:t>
      </w:r>
      <w:r>
        <w:rPr>
          <w:rFonts w:ascii="Times New Roman" w:hAnsi="Times New Roman" w:cs="Times New Roman"/>
        </w:rPr>
        <w:t>0.477; p = 0.045). Player Load had strong positive correlations with PL per minute (r = 0.848</w:t>
      </w:r>
      <w:r w:rsidRPr="00E867B1">
        <w:rPr>
          <w:rFonts w:ascii="Times New Roman" w:hAnsi="Times New Roman" w:cs="Times New Roman"/>
        </w:rPr>
        <w:t>; p &lt; 0.001</w:t>
      </w:r>
      <w:r>
        <w:rPr>
          <w:rFonts w:ascii="Times New Roman" w:hAnsi="Times New Roman" w:cs="Times New Roman"/>
        </w:rPr>
        <w:t>) and PL 1D Up (r = 0.990</w:t>
      </w:r>
      <w:r w:rsidRPr="00E867B1">
        <w:rPr>
          <w:rFonts w:ascii="Times New Roman" w:hAnsi="Times New Roman" w:cs="Times New Roman"/>
        </w:rPr>
        <w:t>; p &lt; 0.001</w:t>
      </w:r>
      <w:r>
        <w:rPr>
          <w:rFonts w:ascii="Times New Roman" w:hAnsi="Times New Roman" w:cs="Times New Roman"/>
        </w:rPr>
        <w:t>). Additionally, PL per minute had a strong positive correlation with PL 1D Up (r = 0.887</w:t>
      </w:r>
      <w:r w:rsidRPr="00E867B1">
        <w:rPr>
          <w:rFonts w:ascii="Times New Roman" w:hAnsi="Times New Roman" w:cs="Times New Roman"/>
        </w:rPr>
        <w:t>; p &lt; 0.001</w:t>
      </w:r>
      <w:r>
        <w:rPr>
          <w:rFonts w:ascii="Times New Roman" w:hAnsi="Times New Roman" w:cs="Times New Roman"/>
        </w:rPr>
        <w:t xml:space="preserve">). Correlations between internal and external load measures and correlations with soreness were not found. </w:t>
      </w:r>
    </w:p>
    <w:p w14:paraId="72E512BE" w14:textId="77777777" w:rsidR="0065584C" w:rsidRDefault="0065584C" w:rsidP="0065584C">
      <w:pPr>
        <w:spacing w:line="480" w:lineRule="auto"/>
        <w:rPr>
          <w:rFonts w:ascii="Times New Roman" w:hAnsi="Times New Roman" w:cs="Times New Roman"/>
        </w:rPr>
        <w:sectPr w:rsidR="0065584C" w:rsidSect="00274F78">
          <w:footerReference w:type="first" r:id="rId13"/>
          <w:pgSz w:w="12240" w:h="15840"/>
          <w:pgMar w:top="1440" w:right="1440" w:bottom="1440" w:left="1440" w:header="720" w:footer="720" w:gutter="0"/>
          <w:pgNumType w:start="1"/>
          <w:cols w:space="720"/>
          <w:titlePg/>
          <w:docGrid w:linePitch="360"/>
        </w:sectPr>
      </w:pPr>
    </w:p>
    <w:p w14:paraId="590CFECE" w14:textId="77777777" w:rsidR="0065584C" w:rsidRPr="0056127E" w:rsidRDefault="0065584C" w:rsidP="0065584C">
      <w:pPr>
        <w:spacing w:after="120"/>
        <w:rPr>
          <w:rFonts w:ascii="Times New Roman" w:hAnsi="Times New Roman" w:cs="Times New Roman"/>
          <w:b/>
          <w:bCs/>
        </w:rPr>
      </w:pPr>
      <w:r w:rsidRPr="0056127E">
        <w:rPr>
          <w:rFonts w:ascii="Times New Roman" w:hAnsi="Times New Roman" w:cs="Times New Roman"/>
          <w:b/>
          <w:bCs/>
        </w:rPr>
        <w:lastRenderedPageBreak/>
        <w:t xml:space="preserve">Table </w:t>
      </w:r>
      <w:r>
        <w:rPr>
          <w:rFonts w:ascii="Times New Roman" w:hAnsi="Times New Roman" w:cs="Times New Roman"/>
          <w:b/>
          <w:bCs/>
        </w:rPr>
        <w:t>7</w:t>
      </w:r>
      <w:r w:rsidRPr="0056127E">
        <w:rPr>
          <w:rFonts w:ascii="Times New Roman" w:hAnsi="Times New Roman" w:cs="Times New Roman"/>
          <w:b/>
          <w:bCs/>
        </w:rPr>
        <w:t>.  Correlations between SRSS individual recovery measures</w:t>
      </w:r>
      <w:r>
        <w:rPr>
          <w:rFonts w:ascii="Times New Roman" w:hAnsi="Times New Roman" w:cs="Times New Roman"/>
          <w:b/>
          <w:bCs/>
        </w:rPr>
        <w:t xml:space="preserve">, </w:t>
      </w:r>
      <w:r w:rsidRPr="0056127E">
        <w:rPr>
          <w:rFonts w:ascii="Times New Roman" w:hAnsi="Times New Roman" w:cs="Times New Roman"/>
          <w:b/>
          <w:bCs/>
        </w:rPr>
        <w:t>recovery composite</w:t>
      </w:r>
      <w:r>
        <w:rPr>
          <w:rFonts w:ascii="Times New Roman" w:hAnsi="Times New Roman" w:cs="Times New Roman"/>
          <w:b/>
          <w:bCs/>
        </w:rPr>
        <w:t>, soreness composite, and sleep</w:t>
      </w:r>
    </w:p>
    <w:tbl>
      <w:tblPr>
        <w:tblStyle w:val="PlainTable2"/>
        <w:tblW w:w="0" w:type="auto"/>
        <w:jc w:val="center"/>
        <w:tblCellMar>
          <w:top w:w="144" w:type="dxa"/>
          <w:bottom w:w="144" w:type="dxa"/>
        </w:tblCellMar>
        <w:tblLook w:val="06A0" w:firstRow="1" w:lastRow="0" w:firstColumn="1" w:lastColumn="0" w:noHBand="1" w:noVBand="1"/>
      </w:tblPr>
      <w:tblGrid>
        <w:gridCol w:w="2015"/>
        <w:gridCol w:w="235"/>
        <w:gridCol w:w="1238"/>
        <w:gridCol w:w="1580"/>
        <w:gridCol w:w="1658"/>
        <w:gridCol w:w="1580"/>
        <w:gridCol w:w="1695"/>
        <w:gridCol w:w="1577"/>
        <w:gridCol w:w="1292"/>
      </w:tblGrid>
      <w:tr w:rsidR="0065584C" w14:paraId="611F7ADA" w14:textId="77777777" w:rsidTr="002B2917">
        <w:trPr>
          <w:cnfStyle w:val="100000000000" w:firstRow="1" w:lastRow="0" w:firstColumn="0" w:lastColumn="0" w:oddVBand="0" w:evenVBand="0" w:oddHBand="0" w:evenHBand="0" w:firstRowFirstColumn="0" w:firstRowLastColumn="0" w:lastRowFirstColumn="0" w:lastRowLastColumn="0"/>
          <w:trHeight w:val="470"/>
          <w:jc w:val="center"/>
        </w:trPr>
        <w:tc>
          <w:tcPr>
            <w:cnfStyle w:val="001000000000" w:firstRow="0" w:lastRow="0" w:firstColumn="1" w:lastColumn="0" w:oddVBand="0" w:evenVBand="0" w:oddHBand="0" w:evenHBand="0" w:firstRowFirstColumn="0" w:firstRowLastColumn="0" w:lastRowFirstColumn="0" w:lastRowLastColumn="0"/>
            <w:tcW w:w="2015" w:type="dxa"/>
            <w:tcBorders>
              <w:top w:val="single" w:sz="18" w:space="0" w:color="000000" w:themeColor="text1"/>
              <w:bottom w:val="single" w:sz="18" w:space="0" w:color="000000" w:themeColor="text1"/>
            </w:tcBorders>
            <w:vAlign w:val="center"/>
          </w:tcPr>
          <w:p w14:paraId="6298015F" w14:textId="77777777" w:rsidR="0065584C" w:rsidRDefault="0065584C" w:rsidP="002B2917">
            <w:pPr>
              <w:jc w:val="center"/>
              <w:rPr>
                <w:rFonts w:ascii="Times New Roman" w:hAnsi="Times New Roman" w:cs="Times New Roman"/>
              </w:rPr>
            </w:pPr>
          </w:p>
        </w:tc>
        <w:tc>
          <w:tcPr>
            <w:tcW w:w="1473" w:type="dxa"/>
            <w:gridSpan w:val="2"/>
            <w:tcBorders>
              <w:top w:val="single" w:sz="18" w:space="0" w:color="000000" w:themeColor="text1"/>
              <w:bottom w:val="single" w:sz="18" w:space="0" w:color="000000" w:themeColor="text1"/>
            </w:tcBorders>
            <w:tcMar>
              <w:left w:w="115" w:type="dxa"/>
              <w:right w:w="115" w:type="dxa"/>
            </w:tcMar>
            <w:vAlign w:val="center"/>
          </w:tcPr>
          <w:p w14:paraId="7C797FDC" w14:textId="4AC6CFE6"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96FC0">
              <w:rPr>
                <w:rFonts w:ascii="Times New Roman" w:hAnsi="Times New Roman" w:cs="Times New Roman"/>
                <w:b w:val="0"/>
                <w:bCs w:val="0"/>
              </w:rPr>
              <w:t xml:space="preserve">Physical </w:t>
            </w:r>
            <w:r w:rsidR="00A2690A">
              <w:rPr>
                <w:rFonts w:ascii="Times New Roman" w:hAnsi="Times New Roman" w:cs="Times New Roman"/>
                <w:b w:val="0"/>
                <w:bCs w:val="0"/>
              </w:rPr>
              <w:t>r</w:t>
            </w:r>
            <w:r w:rsidRPr="00896FC0">
              <w:rPr>
                <w:rFonts w:ascii="Times New Roman" w:hAnsi="Times New Roman" w:cs="Times New Roman"/>
                <w:b w:val="0"/>
                <w:bCs w:val="0"/>
              </w:rPr>
              <w:t>ecovery</w:t>
            </w:r>
          </w:p>
        </w:tc>
        <w:tc>
          <w:tcPr>
            <w:tcW w:w="1580" w:type="dxa"/>
            <w:tcBorders>
              <w:top w:val="single" w:sz="18" w:space="0" w:color="000000" w:themeColor="text1"/>
              <w:bottom w:val="single" w:sz="18" w:space="0" w:color="000000" w:themeColor="text1"/>
            </w:tcBorders>
            <w:tcMar>
              <w:left w:w="115" w:type="dxa"/>
              <w:right w:w="115" w:type="dxa"/>
            </w:tcMar>
            <w:vAlign w:val="center"/>
          </w:tcPr>
          <w:p w14:paraId="5C2B1FC5" w14:textId="3FA01412"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96FC0">
              <w:rPr>
                <w:rFonts w:ascii="Times New Roman" w:hAnsi="Times New Roman" w:cs="Times New Roman"/>
                <w:b w:val="0"/>
                <w:bCs w:val="0"/>
              </w:rPr>
              <w:t xml:space="preserve">Mental </w:t>
            </w:r>
            <w:r w:rsidR="00A2690A">
              <w:rPr>
                <w:rFonts w:ascii="Times New Roman" w:hAnsi="Times New Roman" w:cs="Times New Roman"/>
                <w:b w:val="0"/>
                <w:bCs w:val="0"/>
              </w:rPr>
              <w:t>r</w:t>
            </w:r>
            <w:r w:rsidRPr="00896FC0">
              <w:rPr>
                <w:rFonts w:ascii="Times New Roman" w:hAnsi="Times New Roman" w:cs="Times New Roman"/>
                <w:b w:val="0"/>
                <w:bCs w:val="0"/>
              </w:rPr>
              <w:t>ecovery</w:t>
            </w:r>
          </w:p>
        </w:tc>
        <w:tc>
          <w:tcPr>
            <w:tcW w:w="1658" w:type="dxa"/>
            <w:tcBorders>
              <w:top w:val="single" w:sz="18" w:space="0" w:color="000000" w:themeColor="text1"/>
              <w:bottom w:val="single" w:sz="18" w:space="0" w:color="000000" w:themeColor="text1"/>
            </w:tcBorders>
            <w:tcMar>
              <w:left w:w="115" w:type="dxa"/>
              <w:right w:w="115" w:type="dxa"/>
            </w:tcMar>
            <w:vAlign w:val="center"/>
          </w:tcPr>
          <w:p w14:paraId="7D6EA45A" w14:textId="27940DAB"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96FC0">
              <w:rPr>
                <w:rFonts w:ascii="Times New Roman" w:hAnsi="Times New Roman" w:cs="Times New Roman"/>
                <w:b w:val="0"/>
                <w:bCs w:val="0"/>
              </w:rPr>
              <w:t xml:space="preserve">Emotional </w:t>
            </w:r>
            <w:r w:rsidR="00A2690A">
              <w:rPr>
                <w:rFonts w:ascii="Times New Roman" w:hAnsi="Times New Roman" w:cs="Times New Roman"/>
                <w:b w:val="0"/>
                <w:bCs w:val="0"/>
              </w:rPr>
              <w:t>r</w:t>
            </w:r>
            <w:r w:rsidRPr="00896FC0">
              <w:rPr>
                <w:rFonts w:ascii="Times New Roman" w:hAnsi="Times New Roman" w:cs="Times New Roman"/>
                <w:b w:val="0"/>
                <w:bCs w:val="0"/>
              </w:rPr>
              <w:t>ecovery</w:t>
            </w:r>
          </w:p>
        </w:tc>
        <w:tc>
          <w:tcPr>
            <w:tcW w:w="1580" w:type="dxa"/>
            <w:tcBorders>
              <w:top w:val="single" w:sz="18" w:space="0" w:color="000000" w:themeColor="text1"/>
              <w:bottom w:val="single" w:sz="18" w:space="0" w:color="000000" w:themeColor="text1"/>
            </w:tcBorders>
            <w:tcMar>
              <w:left w:w="115" w:type="dxa"/>
              <w:right w:w="115" w:type="dxa"/>
            </w:tcMar>
            <w:vAlign w:val="center"/>
          </w:tcPr>
          <w:p w14:paraId="18A3FE18" w14:textId="6ADD2D01"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96FC0">
              <w:rPr>
                <w:rFonts w:ascii="Times New Roman" w:hAnsi="Times New Roman" w:cs="Times New Roman"/>
                <w:b w:val="0"/>
                <w:bCs w:val="0"/>
              </w:rPr>
              <w:t xml:space="preserve">Overall </w:t>
            </w:r>
            <w:r w:rsidR="00A2690A">
              <w:rPr>
                <w:rFonts w:ascii="Times New Roman" w:hAnsi="Times New Roman" w:cs="Times New Roman"/>
                <w:b w:val="0"/>
                <w:bCs w:val="0"/>
              </w:rPr>
              <w:t>r</w:t>
            </w:r>
            <w:r w:rsidRPr="00896FC0">
              <w:rPr>
                <w:rFonts w:ascii="Times New Roman" w:hAnsi="Times New Roman" w:cs="Times New Roman"/>
                <w:b w:val="0"/>
                <w:bCs w:val="0"/>
              </w:rPr>
              <w:t>ecovery</w:t>
            </w:r>
          </w:p>
        </w:tc>
        <w:tc>
          <w:tcPr>
            <w:tcW w:w="1695" w:type="dxa"/>
            <w:tcBorders>
              <w:top w:val="single" w:sz="18" w:space="0" w:color="000000" w:themeColor="text1"/>
              <w:bottom w:val="single" w:sz="18" w:space="0" w:color="000000" w:themeColor="text1"/>
            </w:tcBorders>
            <w:tcMar>
              <w:left w:w="115" w:type="dxa"/>
              <w:right w:w="115" w:type="dxa"/>
            </w:tcMar>
            <w:vAlign w:val="center"/>
          </w:tcPr>
          <w:p w14:paraId="665799AF" w14:textId="69ECB3A2"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96FC0">
              <w:rPr>
                <w:rFonts w:ascii="Times New Roman" w:hAnsi="Times New Roman" w:cs="Times New Roman"/>
                <w:b w:val="0"/>
                <w:bCs w:val="0"/>
              </w:rPr>
              <w:t xml:space="preserve">Recovery </w:t>
            </w:r>
            <w:r w:rsidR="00A2690A">
              <w:rPr>
                <w:rFonts w:ascii="Times New Roman" w:hAnsi="Times New Roman" w:cs="Times New Roman"/>
                <w:b w:val="0"/>
                <w:bCs w:val="0"/>
              </w:rPr>
              <w:t>c</w:t>
            </w:r>
            <w:r w:rsidRPr="00896FC0">
              <w:rPr>
                <w:rFonts w:ascii="Times New Roman" w:hAnsi="Times New Roman" w:cs="Times New Roman"/>
                <w:b w:val="0"/>
                <w:bCs w:val="0"/>
              </w:rPr>
              <w:t>omposite</w:t>
            </w:r>
          </w:p>
        </w:tc>
        <w:tc>
          <w:tcPr>
            <w:tcW w:w="1577" w:type="dxa"/>
            <w:tcBorders>
              <w:top w:val="single" w:sz="18" w:space="0" w:color="000000" w:themeColor="text1"/>
              <w:bottom w:val="single" w:sz="18" w:space="0" w:color="000000" w:themeColor="text1"/>
            </w:tcBorders>
            <w:vAlign w:val="center"/>
          </w:tcPr>
          <w:p w14:paraId="49AFCCE7" w14:textId="7451ECBA" w:rsidR="0065584C" w:rsidRPr="00F00A38"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b w:val="0"/>
                <w:bCs w:val="0"/>
              </w:rPr>
              <w:t xml:space="preserve">Soreness </w:t>
            </w:r>
            <w:r w:rsidR="00A2690A">
              <w:rPr>
                <w:rFonts w:ascii="Times New Roman" w:hAnsi="Times New Roman" w:cs="Times New Roman"/>
                <w:b w:val="0"/>
                <w:bCs w:val="0"/>
              </w:rPr>
              <w:t>c</w:t>
            </w:r>
            <w:r>
              <w:rPr>
                <w:rFonts w:ascii="Times New Roman" w:hAnsi="Times New Roman" w:cs="Times New Roman"/>
                <w:b w:val="0"/>
                <w:bCs w:val="0"/>
              </w:rPr>
              <w:t>omposite</w:t>
            </w:r>
          </w:p>
        </w:tc>
        <w:tc>
          <w:tcPr>
            <w:tcW w:w="1292" w:type="dxa"/>
            <w:tcBorders>
              <w:top w:val="single" w:sz="18" w:space="0" w:color="000000" w:themeColor="text1"/>
              <w:bottom w:val="single" w:sz="18" w:space="0" w:color="000000" w:themeColor="text1"/>
            </w:tcBorders>
            <w:vAlign w:val="center"/>
          </w:tcPr>
          <w:p w14:paraId="78549D32" w14:textId="77777777" w:rsidR="0065584C" w:rsidRPr="00F00A38"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F00A38">
              <w:rPr>
                <w:rFonts w:ascii="Times New Roman" w:hAnsi="Times New Roman" w:cs="Times New Roman"/>
                <w:b w:val="0"/>
                <w:bCs w:val="0"/>
              </w:rPr>
              <w:t>Sleep</w:t>
            </w:r>
          </w:p>
        </w:tc>
      </w:tr>
      <w:tr w:rsidR="0065584C" w14:paraId="340ADA2F" w14:textId="77777777" w:rsidTr="00314A10">
        <w:trPr>
          <w:trHeight w:val="700"/>
          <w:jc w:val="center"/>
        </w:trPr>
        <w:tc>
          <w:tcPr>
            <w:cnfStyle w:val="001000000000" w:firstRow="0" w:lastRow="0" w:firstColumn="1" w:lastColumn="0" w:oddVBand="0" w:evenVBand="0" w:oddHBand="0" w:evenHBand="0" w:firstRowFirstColumn="0" w:firstRowLastColumn="0" w:lastRowFirstColumn="0" w:lastRowLastColumn="0"/>
            <w:tcW w:w="2250" w:type="dxa"/>
            <w:gridSpan w:val="2"/>
            <w:tcBorders>
              <w:top w:val="single" w:sz="18" w:space="0" w:color="000000" w:themeColor="text1"/>
            </w:tcBorders>
            <w:tcMar>
              <w:top w:w="288" w:type="dxa"/>
              <w:left w:w="115" w:type="dxa"/>
              <w:bottom w:w="43" w:type="dxa"/>
              <w:right w:w="115" w:type="dxa"/>
            </w:tcMar>
            <w:vAlign w:val="center"/>
          </w:tcPr>
          <w:p w14:paraId="0FB8E86C" w14:textId="6D947B80" w:rsidR="0065584C" w:rsidRPr="00896FC0" w:rsidRDefault="0065584C" w:rsidP="00314A10">
            <w:pPr>
              <w:spacing w:line="276" w:lineRule="auto"/>
              <w:rPr>
                <w:rFonts w:ascii="Times New Roman" w:hAnsi="Times New Roman" w:cs="Times New Roman"/>
              </w:rPr>
            </w:pPr>
            <w:r w:rsidRPr="00896FC0">
              <w:rPr>
                <w:rFonts w:ascii="Times New Roman" w:hAnsi="Times New Roman" w:cs="Times New Roman"/>
                <w:b w:val="0"/>
                <w:bCs w:val="0"/>
              </w:rPr>
              <w:t xml:space="preserve">Physical </w:t>
            </w:r>
            <w:r w:rsidR="00A2690A">
              <w:rPr>
                <w:rFonts w:ascii="Times New Roman" w:hAnsi="Times New Roman" w:cs="Times New Roman"/>
                <w:b w:val="0"/>
                <w:bCs w:val="0"/>
              </w:rPr>
              <w:t>r</w:t>
            </w:r>
            <w:r w:rsidRPr="00896FC0">
              <w:rPr>
                <w:rFonts w:ascii="Times New Roman" w:hAnsi="Times New Roman" w:cs="Times New Roman"/>
                <w:b w:val="0"/>
                <w:bCs w:val="0"/>
              </w:rPr>
              <w:t>ecovery</w:t>
            </w:r>
          </w:p>
        </w:tc>
        <w:tc>
          <w:tcPr>
            <w:tcW w:w="1238" w:type="dxa"/>
            <w:tcBorders>
              <w:top w:val="single" w:sz="18" w:space="0" w:color="000000" w:themeColor="text1"/>
            </w:tcBorders>
            <w:tcMar>
              <w:top w:w="288" w:type="dxa"/>
              <w:left w:w="115" w:type="dxa"/>
              <w:bottom w:w="43" w:type="dxa"/>
              <w:right w:w="115" w:type="dxa"/>
            </w:tcMar>
            <w:vAlign w:val="center"/>
          </w:tcPr>
          <w:p w14:paraId="43B927F0"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580" w:type="dxa"/>
            <w:tcBorders>
              <w:top w:val="single" w:sz="18" w:space="0" w:color="000000" w:themeColor="text1"/>
            </w:tcBorders>
            <w:tcMar>
              <w:top w:w="288" w:type="dxa"/>
              <w:left w:w="115" w:type="dxa"/>
              <w:bottom w:w="43" w:type="dxa"/>
              <w:right w:w="115" w:type="dxa"/>
            </w:tcMar>
            <w:vAlign w:val="center"/>
          </w:tcPr>
          <w:p w14:paraId="313DFE93"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0.531**</w:t>
            </w:r>
          </w:p>
        </w:tc>
        <w:tc>
          <w:tcPr>
            <w:tcW w:w="1658" w:type="dxa"/>
            <w:tcBorders>
              <w:top w:val="single" w:sz="18" w:space="0" w:color="000000" w:themeColor="text1"/>
            </w:tcBorders>
            <w:tcMar>
              <w:top w:w="288" w:type="dxa"/>
              <w:left w:w="115" w:type="dxa"/>
              <w:bottom w:w="43" w:type="dxa"/>
              <w:right w:w="115" w:type="dxa"/>
            </w:tcMar>
            <w:vAlign w:val="center"/>
          </w:tcPr>
          <w:p w14:paraId="325C25D2"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0.467**</w:t>
            </w:r>
          </w:p>
        </w:tc>
        <w:tc>
          <w:tcPr>
            <w:tcW w:w="1580" w:type="dxa"/>
            <w:tcBorders>
              <w:top w:val="single" w:sz="18" w:space="0" w:color="000000" w:themeColor="text1"/>
            </w:tcBorders>
            <w:tcMar>
              <w:top w:w="288" w:type="dxa"/>
              <w:left w:w="115" w:type="dxa"/>
              <w:bottom w:w="43" w:type="dxa"/>
              <w:right w:w="115" w:type="dxa"/>
            </w:tcMar>
            <w:vAlign w:val="center"/>
          </w:tcPr>
          <w:p w14:paraId="1423A9A8"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0.636**</w:t>
            </w:r>
          </w:p>
        </w:tc>
        <w:tc>
          <w:tcPr>
            <w:tcW w:w="1695" w:type="dxa"/>
            <w:tcBorders>
              <w:top w:val="single" w:sz="18" w:space="0" w:color="000000" w:themeColor="text1"/>
            </w:tcBorders>
            <w:tcMar>
              <w:top w:w="288" w:type="dxa"/>
              <w:left w:w="115" w:type="dxa"/>
              <w:bottom w:w="43" w:type="dxa"/>
              <w:right w:w="115" w:type="dxa"/>
            </w:tcMar>
            <w:vAlign w:val="center"/>
          </w:tcPr>
          <w:p w14:paraId="373046A2"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0.791**</w:t>
            </w:r>
          </w:p>
        </w:tc>
        <w:tc>
          <w:tcPr>
            <w:tcW w:w="1577" w:type="dxa"/>
            <w:tcBorders>
              <w:top w:val="single" w:sz="18" w:space="0" w:color="000000" w:themeColor="text1"/>
            </w:tcBorders>
            <w:vAlign w:val="center"/>
          </w:tcPr>
          <w:p w14:paraId="52127BF5"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0.311**</w:t>
            </w:r>
          </w:p>
        </w:tc>
        <w:tc>
          <w:tcPr>
            <w:tcW w:w="1292" w:type="dxa"/>
            <w:tcBorders>
              <w:top w:val="single" w:sz="18" w:space="0" w:color="000000" w:themeColor="text1"/>
            </w:tcBorders>
            <w:vAlign w:val="center"/>
          </w:tcPr>
          <w:p w14:paraId="2A2A4E4E"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0.399**</w:t>
            </w:r>
          </w:p>
        </w:tc>
      </w:tr>
      <w:tr w:rsidR="0065584C" w14:paraId="20879C9E" w14:textId="77777777" w:rsidTr="00314A10">
        <w:trPr>
          <w:trHeight w:val="700"/>
          <w:jc w:val="center"/>
        </w:trPr>
        <w:tc>
          <w:tcPr>
            <w:cnfStyle w:val="001000000000" w:firstRow="0" w:lastRow="0" w:firstColumn="1" w:lastColumn="0" w:oddVBand="0" w:evenVBand="0" w:oddHBand="0" w:evenHBand="0" w:firstRowFirstColumn="0" w:firstRowLastColumn="0" w:lastRowFirstColumn="0" w:lastRowLastColumn="0"/>
            <w:tcW w:w="2250" w:type="dxa"/>
            <w:gridSpan w:val="2"/>
            <w:tcMar>
              <w:top w:w="43" w:type="dxa"/>
              <w:left w:w="115" w:type="dxa"/>
              <w:bottom w:w="43" w:type="dxa"/>
              <w:right w:w="115" w:type="dxa"/>
            </w:tcMar>
            <w:vAlign w:val="center"/>
          </w:tcPr>
          <w:p w14:paraId="1F60FA5E" w14:textId="29695BA4" w:rsidR="0065584C" w:rsidRPr="00896FC0" w:rsidRDefault="0065584C" w:rsidP="00314A10">
            <w:pPr>
              <w:spacing w:line="276" w:lineRule="auto"/>
              <w:rPr>
                <w:rFonts w:ascii="Times New Roman" w:hAnsi="Times New Roman" w:cs="Times New Roman"/>
                <w:b w:val="0"/>
                <w:bCs w:val="0"/>
              </w:rPr>
            </w:pPr>
            <w:r w:rsidRPr="00896FC0">
              <w:rPr>
                <w:rFonts w:ascii="Times New Roman" w:hAnsi="Times New Roman" w:cs="Times New Roman"/>
                <w:b w:val="0"/>
                <w:bCs w:val="0"/>
              </w:rPr>
              <w:t xml:space="preserve">Mental </w:t>
            </w:r>
            <w:r w:rsidR="00A2690A">
              <w:rPr>
                <w:rFonts w:ascii="Times New Roman" w:hAnsi="Times New Roman" w:cs="Times New Roman"/>
                <w:b w:val="0"/>
                <w:bCs w:val="0"/>
              </w:rPr>
              <w:t>r</w:t>
            </w:r>
            <w:r w:rsidRPr="00896FC0">
              <w:rPr>
                <w:rFonts w:ascii="Times New Roman" w:hAnsi="Times New Roman" w:cs="Times New Roman"/>
                <w:b w:val="0"/>
                <w:bCs w:val="0"/>
              </w:rPr>
              <w:t>ecovery</w:t>
            </w:r>
          </w:p>
        </w:tc>
        <w:tc>
          <w:tcPr>
            <w:tcW w:w="1238" w:type="dxa"/>
            <w:tcMar>
              <w:top w:w="43" w:type="dxa"/>
              <w:left w:w="115" w:type="dxa"/>
              <w:bottom w:w="43" w:type="dxa"/>
              <w:right w:w="115" w:type="dxa"/>
            </w:tcMar>
            <w:vAlign w:val="center"/>
          </w:tcPr>
          <w:p w14:paraId="6671B1F3"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0.531**</w:t>
            </w:r>
          </w:p>
        </w:tc>
        <w:tc>
          <w:tcPr>
            <w:tcW w:w="1580" w:type="dxa"/>
            <w:tcMar>
              <w:top w:w="43" w:type="dxa"/>
              <w:left w:w="115" w:type="dxa"/>
              <w:bottom w:w="43" w:type="dxa"/>
              <w:right w:w="115" w:type="dxa"/>
            </w:tcMar>
            <w:vAlign w:val="center"/>
          </w:tcPr>
          <w:p w14:paraId="32C4B442"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658" w:type="dxa"/>
            <w:tcMar>
              <w:top w:w="43" w:type="dxa"/>
              <w:left w:w="115" w:type="dxa"/>
              <w:bottom w:w="43" w:type="dxa"/>
              <w:right w:w="115" w:type="dxa"/>
            </w:tcMar>
            <w:vAlign w:val="center"/>
          </w:tcPr>
          <w:p w14:paraId="3F4420EB"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0.572**</w:t>
            </w:r>
          </w:p>
        </w:tc>
        <w:tc>
          <w:tcPr>
            <w:tcW w:w="1580" w:type="dxa"/>
            <w:tcMar>
              <w:top w:w="43" w:type="dxa"/>
              <w:left w:w="115" w:type="dxa"/>
              <w:bottom w:w="43" w:type="dxa"/>
              <w:right w:w="115" w:type="dxa"/>
            </w:tcMar>
            <w:vAlign w:val="center"/>
          </w:tcPr>
          <w:p w14:paraId="33AFA227"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0.472**</w:t>
            </w:r>
          </w:p>
        </w:tc>
        <w:tc>
          <w:tcPr>
            <w:tcW w:w="1695" w:type="dxa"/>
            <w:tcMar>
              <w:top w:w="43" w:type="dxa"/>
              <w:left w:w="115" w:type="dxa"/>
              <w:bottom w:w="43" w:type="dxa"/>
              <w:right w:w="115" w:type="dxa"/>
            </w:tcMar>
            <w:vAlign w:val="center"/>
          </w:tcPr>
          <w:p w14:paraId="73EC7048"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0.809**</w:t>
            </w:r>
          </w:p>
        </w:tc>
        <w:tc>
          <w:tcPr>
            <w:tcW w:w="1577" w:type="dxa"/>
            <w:vAlign w:val="center"/>
          </w:tcPr>
          <w:p w14:paraId="509C6A40"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0.262**</w:t>
            </w:r>
          </w:p>
        </w:tc>
        <w:tc>
          <w:tcPr>
            <w:tcW w:w="1292" w:type="dxa"/>
            <w:vAlign w:val="center"/>
          </w:tcPr>
          <w:p w14:paraId="1BA4E8E7"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0.464**</w:t>
            </w:r>
          </w:p>
        </w:tc>
      </w:tr>
      <w:tr w:rsidR="0065584C" w14:paraId="01D0CE58" w14:textId="77777777" w:rsidTr="00314A10">
        <w:trPr>
          <w:trHeight w:val="700"/>
          <w:jc w:val="center"/>
        </w:trPr>
        <w:tc>
          <w:tcPr>
            <w:cnfStyle w:val="001000000000" w:firstRow="0" w:lastRow="0" w:firstColumn="1" w:lastColumn="0" w:oddVBand="0" w:evenVBand="0" w:oddHBand="0" w:evenHBand="0" w:firstRowFirstColumn="0" w:firstRowLastColumn="0" w:lastRowFirstColumn="0" w:lastRowLastColumn="0"/>
            <w:tcW w:w="2250" w:type="dxa"/>
            <w:gridSpan w:val="2"/>
            <w:tcMar>
              <w:top w:w="43" w:type="dxa"/>
              <w:left w:w="115" w:type="dxa"/>
              <w:bottom w:w="43" w:type="dxa"/>
              <w:right w:w="115" w:type="dxa"/>
            </w:tcMar>
            <w:vAlign w:val="center"/>
          </w:tcPr>
          <w:p w14:paraId="0D9023CE" w14:textId="335B4E1E" w:rsidR="0065584C" w:rsidRPr="00896FC0" w:rsidRDefault="0065584C" w:rsidP="00314A10">
            <w:pPr>
              <w:spacing w:line="276" w:lineRule="auto"/>
              <w:rPr>
                <w:rFonts w:ascii="Times New Roman" w:hAnsi="Times New Roman" w:cs="Times New Roman"/>
                <w:b w:val="0"/>
                <w:bCs w:val="0"/>
              </w:rPr>
            </w:pPr>
            <w:r w:rsidRPr="00896FC0">
              <w:rPr>
                <w:rFonts w:ascii="Times New Roman" w:hAnsi="Times New Roman" w:cs="Times New Roman"/>
                <w:b w:val="0"/>
                <w:bCs w:val="0"/>
              </w:rPr>
              <w:t xml:space="preserve">Emotional </w:t>
            </w:r>
            <w:r w:rsidR="00A2690A">
              <w:rPr>
                <w:rFonts w:ascii="Times New Roman" w:hAnsi="Times New Roman" w:cs="Times New Roman"/>
                <w:b w:val="0"/>
                <w:bCs w:val="0"/>
              </w:rPr>
              <w:t>r</w:t>
            </w:r>
            <w:r w:rsidRPr="00896FC0">
              <w:rPr>
                <w:rFonts w:ascii="Times New Roman" w:hAnsi="Times New Roman" w:cs="Times New Roman"/>
                <w:b w:val="0"/>
                <w:bCs w:val="0"/>
              </w:rPr>
              <w:t>ecovery</w:t>
            </w:r>
          </w:p>
        </w:tc>
        <w:tc>
          <w:tcPr>
            <w:tcW w:w="1238" w:type="dxa"/>
            <w:tcMar>
              <w:top w:w="43" w:type="dxa"/>
              <w:left w:w="115" w:type="dxa"/>
              <w:bottom w:w="43" w:type="dxa"/>
              <w:right w:w="115" w:type="dxa"/>
            </w:tcMar>
            <w:vAlign w:val="center"/>
          </w:tcPr>
          <w:p w14:paraId="6DBA5778"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0.467**</w:t>
            </w:r>
          </w:p>
        </w:tc>
        <w:tc>
          <w:tcPr>
            <w:tcW w:w="1580" w:type="dxa"/>
            <w:tcMar>
              <w:top w:w="43" w:type="dxa"/>
              <w:left w:w="115" w:type="dxa"/>
              <w:bottom w:w="43" w:type="dxa"/>
              <w:right w:w="115" w:type="dxa"/>
            </w:tcMar>
            <w:vAlign w:val="center"/>
          </w:tcPr>
          <w:p w14:paraId="20BA9B4B"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0.572**</w:t>
            </w:r>
          </w:p>
        </w:tc>
        <w:tc>
          <w:tcPr>
            <w:tcW w:w="1658" w:type="dxa"/>
            <w:tcMar>
              <w:top w:w="43" w:type="dxa"/>
              <w:left w:w="115" w:type="dxa"/>
              <w:bottom w:w="43" w:type="dxa"/>
              <w:right w:w="115" w:type="dxa"/>
            </w:tcMar>
            <w:vAlign w:val="center"/>
          </w:tcPr>
          <w:p w14:paraId="31E45A19"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580" w:type="dxa"/>
            <w:tcMar>
              <w:top w:w="43" w:type="dxa"/>
              <w:left w:w="115" w:type="dxa"/>
              <w:bottom w:w="43" w:type="dxa"/>
              <w:right w:w="115" w:type="dxa"/>
            </w:tcMar>
            <w:vAlign w:val="center"/>
          </w:tcPr>
          <w:p w14:paraId="2061405C"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0.472**</w:t>
            </w:r>
          </w:p>
        </w:tc>
        <w:tc>
          <w:tcPr>
            <w:tcW w:w="1695" w:type="dxa"/>
            <w:tcMar>
              <w:top w:w="43" w:type="dxa"/>
              <w:left w:w="115" w:type="dxa"/>
              <w:bottom w:w="43" w:type="dxa"/>
              <w:right w:w="115" w:type="dxa"/>
            </w:tcMar>
            <w:vAlign w:val="center"/>
          </w:tcPr>
          <w:p w14:paraId="4DEEC3A4"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0.780**</w:t>
            </w:r>
          </w:p>
        </w:tc>
        <w:tc>
          <w:tcPr>
            <w:tcW w:w="1577" w:type="dxa"/>
            <w:vAlign w:val="center"/>
          </w:tcPr>
          <w:p w14:paraId="5BD44996"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0.168**</w:t>
            </w:r>
          </w:p>
        </w:tc>
        <w:tc>
          <w:tcPr>
            <w:tcW w:w="1292" w:type="dxa"/>
            <w:vAlign w:val="center"/>
          </w:tcPr>
          <w:p w14:paraId="7A17E59E"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0.416**</w:t>
            </w:r>
          </w:p>
        </w:tc>
      </w:tr>
      <w:tr w:rsidR="0065584C" w14:paraId="48B05DB9" w14:textId="77777777" w:rsidTr="00314A10">
        <w:trPr>
          <w:trHeight w:val="700"/>
          <w:jc w:val="center"/>
        </w:trPr>
        <w:tc>
          <w:tcPr>
            <w:cnfStyle w:val="001000000000" w:firstRow="0" w:lastRow="0" w:firstColumn="1" w:lastColumn="0" w:oddVBand="0" w:evenVBand="0" w:oddHBand="0" w:evenHBand="0" w:firstRowFirstColumn="0" w:firstRowLastColumn="0" w:lastRowFirstColumn="0" w:lastRowLastColumn="0"/>
            <w:tcW w:w="2250" w:type="dxa"/>
            <w:gridSpan w:val="2"/>
            <w:tcMar>
              <w:top w:w="43" w:type="dxa"/>
              <w:left w:w="115" w:type="dxa"/>
              <w:bottom w:w="43" w:type="dxa"/>
              <w:right w:w="115" w:type="dxa"/>
            </w:tcMar>
            <w:vAlign w:val="center"/>
          </w:tcPr>
          <w:p w14:paraId="4288C7D5" w14:textId="6FFD63A4" w:rsidR="0065584C" w:rsidRPr="00896FC0" w:rsidRDefault="0065584C" w:rsidP="00314A10">
            <w:pPr>
              <w:spacing w:line="276" w:lineRule="auto"/>
              <w:rPr>
                <w:rFonts w:ascii="Times New Roman" w:hAnsi="Times New Roman" w:cs="Times New Roman"/>
                <w:b w:val="0"/>
                <w:bCs w:val="0"/>
              </w:rPr>
            </w:pPr>
            <w:r w:rsidRPr="00896FC0">
              <w:rPr>
                <w:rFonts w:ascii="Times New Roman" w:hAnsi="Times New Roman" w:cs="Times New Roman"/>
                <w:b w:val="0"/>
                <w:bCs w:val="0"/>
              </w:rPr>
              <w:t xml:space="preserve">Overall </w:t>
            </w:r>
            <w:r w:rsidR="00A2690A">
              <w:rPr>
                <w:rFonts w:ascii="Times New Roman" w:hAnsi="Times New Roman" w:cs="Times New Roman"/>
                <w:b w:val="0"/>
                <w:bCs w:val="0"/>
              </w:rPr>
              <w:t>r</w:t>
            </w:r>
            <w:r w:rsidRPr="00896FC0">
              <w:rPr>
                <w:rFonts w:ascii="Times New Roman" w:hAnsi="Times New Roman" w:cs="Times New Roman"/>
                <w:b w:val="0"/>
                <w:bCs w:val="0"/>
              </w:rPr>
              <w:t>ecovery</w:t>
            </w:r>
          </w:p>
        </w:tc>
        <w:tc>
          <w:tcPr>
            <w:tcW w:w="1238" w:type="dxa"/>
            <w:tcMar>
              <w:top w:w="43" w:type="dxa"/>
              <w:left w:w="115" w:type="dxa"/>
              <w:bottom w:w="43" w:type="dxa"/>
              <w:right w:w="115" w:type="dxa"/>
            </w:tcMar>
            <w:vAlign w:val="center"/>
          </w:tcPr>
          <w:p w14:paraId="14670343"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0.636**</w:t>
            </w:r>
          </w:p>
        </w:tc>
        <w:tc>
          <w:tcPr>
            <w:tcW w:w="1580" w:type="dxa"/>
            <w:tcMar>
              <w:top w:w="43" w:type="dxa"/>
              <w:left w:w="115" w:type="dxa"/>
              <w:bottom w:w="43" w:type="dxa"/>
              <w:right w:w="115" w:type="dxa"/>
            </w:tcMar>
            <w:vAlign w:val="center"/>
          </w:tcPr>
          <w:p w14:paraId="4EF4D364"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0.525**</w:t>
            </w:r>
          </w:p>
        </w:tc>
        <w:tc>
          <w:tcPr>
            <w:tcW w:w="1658" w:type="dxa"/>
            <w:tcMar>
              <w:top w:w="43" w:type="dxa"/>
              <w:left w:w="115" w:type="dxa"/>
              <w:bottom w:w="43" w:type="dxa"/>
              <w:right w:w="115" w:type="dxa"/>
            </w:tcMar>
            <w:vAlign w:val="center"/>
          </w:tcPr>
          <w:p w14:paraId="215E8A0F"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0.472**</w:t>
            </w:r>
          </w:p>
        </w:tc>
        <w:tc>
          <w:tcPr>
            <w:tcW w:w="1580" w:type="dxa"/>
            <w:tcMar>
              <w:top w:w="43" w:type="dxa"/>
              <w:left w:w="115" w:type="dxa"/>
              <w:bottom w:w="43" w:type="dxa"/>
              <w:right w:w="115" w:type="dxa"/>
            </w:tcMar>
            <w:vAlign w:val="center"/>
          </w:tcPr>
          <w:p w14:paraId="42E3160D"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695" w:type="dxa"/>
            <w:tcMar>
              <w:top w:w="43" w:type="dxa"/>
              <w:left w:w="115" w:type="dxa"/>
              <w:bottom w:w="43" w:type="dxa"/>
              <w:right w:w="115" w:type="dxa"/>
            </w:tcMar>
            <w:vAlign w:val="center"/>
          </w:tcPr>
          <w:p w14:paraId="1CD1B7D5"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0.808**</w:t>
            </w:r>
          </w:p>
        </w:tc>
        <w:tc>
          <w:tcPr>
            <w:tcW w:w="1577" w:type="dxa"/>
            <w:vAlign w:val="center"/>
          </w:tcPr>
          <w:p w14:paraId="34862851"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0.399**</w:t>
            </w:r>
          </w:p>
        </w:tc>
        <w:tc>
          <w:tcPr>
            <w:tcW w:w="1292" w:type="dxa"/>
            <w:vAlign w:val="center"/>
          </w:tcPr>
          <w:p w14:paraId="19C57F46"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0.383**</w:t>
            </w:r>
          </w:p>
        </w:tc>
      </w:tr>
      <w:tr w:rsidR="0065584C" w14:paraId="6BC6FF70" w14:textId="77777777" w:rsidTr="00314A10">
        <w:trPr>
          <w:trHeight w:val="700"/>
          <w:jc w:val="center"/>
        </w:trPr>
        <w:tc>
          <w:tcPr>
            <w:cnfStyle w:val="001000000000" w:firstRow="0" w:lastRow="0" w:firstColumn="1" w:lastColumn="0" w:oddVBand="0" w:evenVBand="0" w:oddHBand="0" w:evenHBand="0" w:firstRowFirstColumn="0" w:firstRowLastColumn="0" w:lastRowFirstColumn="0" w:lastRowLastColumn="0"/>
            <w:tcW w:w="2250" w:type="dxa"/>
            <w:gridSpan w:val="2"/>
            <w:tcMar>
              <w:top w:w="43" w:type="dxa"/>
              <w:left w:w="115" w:type="dxa"/>
              <w:bottom w:w="43" w:type="dxa"/>
              <w:right w:w="115" w:type="dxa"/>
            </w:tcMar>
            <w:vAlign w:val="center"/>
          </w:tcPr>
          <w:p w14:paraId="31084C03" w14:textId="6714BEC4" w:rsidR="0065584C" w:rsidRPr="00896FC0" w:rsidRDefault="0065584C" w:rsidP="00314A10">
            <w:pPr>
              <w:spacing w:line="276" w:lineRule="auto"/>
              <w:rPr>
                <w:rFonts w:ascii="Times New Roman" w:hAnsi="Times New Roman" w:cs="Times New Roman"/>
                <w:b w:val="0"/>
                <w:bCs w:val="0"/>
              </w:rPr>
            </w:pPr>
            <w:r w:rsidRPr="00896FC0">
              <w:rPr>
                <w:rFonts w:ascii="Times New Roman" w:hAnsi="Times New Roman" w:cs="Times New Roman"/>
                <w:b w:val="0"/>
                <w:bCs w:val="0"/>
              </w:rPr>
              <w:t xml:space="preserve">Recovery </w:t>
            </w:r>
            <w:r w:rsidR="00A2690A">
              <w:rPr>
                <w:rFonts w:ascii="Times New Roman" w:hAnsi="Times New Roman" w:cs="Times New Roman"/>
                <w:b w:val="0"/>
                <w:bCs w:val="0"/>
              </w:rPr>
              <w:t>c</w:t>
            </w:r>
            <w:r w:rsidRPr="00896FC0">
              <w:rPr>
                <w:rFonts w:ascii="Times New Roman" w:hAnsi="Times New Roman" w:cs="Times New Roman"/>
                <w:b w:val="0"/>
                <w:bCs w:val="0"/>
              </w:rPr>
              <w:t>omposite</w:t>
            </w:r>
          </w:p>
        </w:tc>
        <w:tc>
          <w:tcPr>
            <w:tcW w:w="1238" w:type="dxa"/>
            <w:tcMar>
              <w:top w:w="43" w:type="dxa"/>
              <w:left w:w="115" w:type="dxa"/>
              <w:bottom w:w="43" w:type="dxa"/>
              <w:right w:w="115" w:type="dxa"/>
            </w:tcMar>
            <w:vAlign w:val="center"/>
          </w:tcPr>
          <w:p w14:paraId="2658E5B5"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0.791**</w:t>
            </w:r>
          </w:p>
        </w:tc>
        <w:tc>
          <w:tcPr>
            <w:tcW w:w="1580" w:type="dxa"/>
            <w:tcMar>
              <w:top w:w="43" w:type="dxa"/>
              <w:left w:w="115" w:type="dxa"/>
              <w:bottom w:w="43" w:type="dxa"/>
              <w:right w:w="115" w:type="dxa"/>
            </w:tcMar>
            <w:vAlign w:val="center"/>
          </w:tcPr>
          <w:p w14:paraId="3B7129B2"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0.809**</w:t>
            </w:r>
          </w:p>
        </w:tc>
        <w:tc>
          <w:tcPr>
            <w:tcW w:w="1658" w:type="dxa"/>
            <w:tcMar>
              <w:top w:w="43" w:type="dxa"/>
              <w:left w:w="115" w:type="dxa"/>
              <w:bottom w:w="43" w:type="dxa"/>
              <w:right w:w="115" w:type="dxa"/>
            </w:tcMar>
            <w:vAlign w:val="center"/>
          </w:tcPr>
          <w:p w14:paraId="7F595C70"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0.780**</w:t>
            </w:r>
          </w:p>
        </w:tc>
        <w:tc>
          <w:tcPr>
            <w:tcW w:w="1580" w:type="dxa"/>
            <w:tcMar>
              <w:top w:w="43" w:type="dxa"/>
              <w:left w:w="115" w:type="dxa"/>
              <w:bottom w:w="43" w:type="dxa"/>
              <w:right w:w="115" w:type="dxa"/>
            </w:tcMar>
            <w:vAlign w:val="center"/>
          </w:tcPr>
          <w:p w14:paraId="223C3F88"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0.808**</w:t>
            </w:r>
          </w:p>
        </w:tc>
        <w:tc>
          <w:tcPr>
            <w:tcW w:w="1695" w:type="dxa"/>
            <w:tcMar>
              <w:top w:w="43" w:type="dxa"/>
              <w:left w:w="115" w:type="dxa"/>
              <w:bottom w:w="43" w:type="dxa"/>
              <w:right w:w="115" w:type="dxa"/>
            </w:tcMar>
            <w:vAlign w:val="center"/>
          </w:tcPr>
          <w:p w14:paraId="7C5E0E35"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577" w:type="dxa"/>
            <w:vAlign w:val="center"/>
          </w:tcPr>
          <w:p w14:paraId="3F54043C"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0.341**</w:t>
            </w:r>
          </w:p>
        </w:tc>
        <w:tc>
          <w:tcPr>
            <w:tcW w:w="1292" w:type="dxa"/>
            <w:vAlign w:val="center"/>
          </w:tcPr>
          <w:p w14:paraId="15334ABD"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0.513**</w:t>
            </w:r>
          </w:p>
        </w:tc>
      </w:tr>
      <w:tr w:rsidR="0065584C" w14:paraId="28812AF3" w14:textId="77777777" w:rsidTr="00314A10">
        <w:trPr>
          <w:trHeight w:val="700"/>
          <w:jc w:val="center"/>
        </w:trPr>
        <w:tc>
          <w:tcPr>
            <w:cnfStyle w:val="001000000000" w:firstRow="0" w:lastRow="0" w:firstColumn="1" w:lastColumn="0" w:oddVBand="0" w:evenVBand="0" w:oddHBand="0" w:evenHBand="0" w:firstRowFirstColumn="0" w:firstRowLastColumn="0" w:lastRowFirstColumn="0" w:lastRowLastColumn="0"/>
            <w:tcW w:w="2250" w:type="dxa"/>
            <w:gridSpan w:val="2"/>
            <w:tcMar>
              <w:top w:w="43" w:type="dxa"/>
              <w:left w:w="115" w:type="dxa"/>
              <w:bottom w:w="43" w:type="dxa"/>
              <w:right w:w="115" w:type="dxa"/>
            </w:tcMar>
            <w:vAlign w:val="center"/>
          </w:tcPr>
          <w:p w14:paraId="4C42502A" w14:textId="41DA1E9B" w:rsidR="0065584C" w:rsidRPr="00F00A38" w:rsidRDefault="0065584C" w:rsidP="00314A10">
            <w:pPr>
              <w:spacing w:line="276" w:lineRule="auto"/>
              <w:rPr>
                <w:rFonts w:ascii="Times New Roman" w:hAnsi="Times New Roman" w:cs="Times New Roman"/>
                <w:b w:val="0"/>
                <w:bCs w:val="0"/>
              </w:rPr>
            </w:pPr>
            <w:r>
              <w:rPr>
                <w:rFonts w:ascii="Times New Roman" w:hAnsi="Times New Roman" w:cs="Times New Roman"/>
                <w:b w:val="0"/>
                <w:bCs w:val="0"/>
              </w:rPr>
              <w:t xml:space="preserve">Soreness </w:t>
            </w:r>
            <w:r w:rsidR="00A2690A">
              <w:rPr>
                <w:rFonts w:ascii="Times New Roman" w:hAnsi="Times New Roman" w:cs="Times New Roman"/>
                <w:b w:val="0"/>
                <w:bCs w:val="0"/>
              </w:rPr>
              <w:t>c</w:t>
            </w:r>
            <w:r>
              <w:rPr>
                <w:rFonts w:ascii="Times New Roman" w:hAnsi="Times New Roman" w:cs="Times New Roman"/>
                <w:b w:val="0"/>
                <w:bCs w:val="0"/>
              </w:rPr>
              <w:t>omposite</w:t>
            </w:r>
          </w:p>
        </w:tc>
        <w:tc>
          <w:tcPr>
            <w:tcW w:w="1238" w:type="dxa"/>
            <w:tcMar>
              <w:top w:w="43" w:type="dxa"/>
              <w:left w:w="115" w:type="dxa"/>
              <w:bottom w:w="43" w:type="dxa"/>
              <w:right w:w="115" w:type="dxa"/>
            </w:tcMar>
            <w:vAlign w:val="center"/>
          </w:tcPr>
          <w:p w14:paraId="270A4B6D" w14:textId="77777777" w:rsidR="0065584C" w:rsidRPr="00A522CB"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0.311**</w:t>
            </w:r>
          </w:p>
        </w:tc>
        <w:tc>
          <w:tcPr>
            <w:tcW w:w="1580" w:type="dxa"/>
            <w:tcMar>
              <w:top w:w="43" w:type="dxa"/>
              <w:left w:w="115" w:type="dxa"/>
              <w:bottom w:w="43" w:type="dxa"/>
              <w:right w:w="115" w:type="dxa"/>
            </w:tcMar>
            <w:vAlign w:val="center"/>
          </w:tcPr>
          <w:p w14:paraId="50FC6B37"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0.262**</w:t>
            </w:r>
          </w:p>
        </w:tc>
        <w:tc>
          <w:tcPr>
            <w:tcW w:w="1658" w:type="dxa"/>
            <w:tcMar>
              <w:top w:w="43" w:type="dxa"/>
              <w:left w:w="115" w:type="dxa"/>
              <w:bottom w:w="43" w:type="dxa"/>
              <w:right w:w="115" w:type="dxa"/>
            </w:tcMar>
            <w:vAlign w:val="center"/>
          </w:tcPr>
          <w:p w14:paraId="7EA9F5EB"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0.168**</w:t>
            </w:r>
          </w:p>
        </w:tc>
        <w:tc>
          <w:tcPr>
            <w:tcW w:w="1580" w:type="dxa"/>
            <w:tcMar>
              <w:top w:w="43" w:type="dxa"/>
              <w:left w:w="115" w:type="dxa"/>
              <w:bottom w:w="43" w:type="dxa"/>
              <w:right w:w="115" w:type="dxa"/>
            </w:tcMar>
            <w:vAlign w:val="center"/>
          </w:tcPr>
          <w:p w14:paraId="594C2983"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0.399**</w:t>
            </w:r>
          </w:p>
        </w:tc>
        <w:tc>
          <w:tcPr>
            <w:tcW w:w="1695" w:type="dxa"/>
            <w:tcMar>
              <w:top w:w="43" w:type="dxa"/>
              <w:left w:w="115" w:type="dxa"/>
              <w:bottom w:w="43" w:type="dxa"/>
              <w:right w:w="115" w:type="dxa"/>
            </w:tcMar>
            <w:vAlign w:val="center"/>
          </w:tcPr>
          <w:p w14:paraId="59E16B38"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0.341**</w:t>
            </w:r>
          </w:p>
        </w:tc>
        <w:tc>
          <w:tcPr>
            <w:tcW w:w="1577" w:type="dxa"/>
            <w:vAlign w:val="center"/>
          </w:tcPr>
          <w:p w14:paraId="37DB1B03"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292" w:type="dxa"/>
            <w:vAlign w:val="center"/>
          </w:tcPr>
          <w:p w14:paraId="6BA8097F"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0.114**</w:t>
            </w:r>
          </w:p>
        </w:tc>
      </w:tr>
      <w:tr w:rsidR="0065584C" w14:paraId="193BA241" w14:textId="77777777" w:rsidTr="00314A10">
        <w:trPr>
          <w:trHeight w:val="335"/>
          <w:jc w:val="center"/>
        </w:trPr>
        <w:tc>
          <w:tcPr>
            <w:cnfStyle w:val="001000000000" w:firstRow="0" w:lastRow="0" w:firstColumn="1" w:lastColumn="0" w:oddVBand="0" w:evenVBand="0" w:oddHBand="0" w:evenHBand="0" w:firstRowFirstColumn="0" w:firstRowLastColumn="0" w:lastRowFirstColumn="0" w:lastRowLastColumn="0"/>
            <w:tcW w:w="2250" w:type="dxa"/>
            <w:gridSpan w:val="2"/>
            <w:tcBorders>
              <w:bottom w:val="single" w:sz="18" w:space="0" w:color="000000" w:themeColor="text1"/>
            </w:tcBorders>
            <w:tcMar>
              <w:top w:w="43" w:type="dxa"/>
              <w:left w:w="115" w:type="dxa"/>
              <w:bottom w:w="43" w:type="dxa"/>
              <w:right w:w="115" w:type="dxa"/>
            </w:tcMar>
            <w:vAlign w:val="center"/>
          </w:tcPr>
          <w:p w14:paraId="7E596FA2" w14:textId="77777777" w:rsidR="0065584C" w:rsidRPr="00F00A38" w:rsidRDefault="0065584C" w:rsidP="00314A10">
            <w:pPr>
              <w:spacing w:line="276" w:lineRule="auto"/>
              <w:rPr>
                <w:rFonts w:ascii="Times New Roman" w:hAnsi="Times New Roman" w:cs="Times New Roman"/>
                <w:b w:val="0"/>
                <w:bCs w:val="0"/>
              </w:rPr>
            </w:pPr>
            <w:r>
              <w:rPr>
                <w:rFonts w:ascii="Times New Roman" w:hAnsi="Times New Roman" w:cs="Times New Roman"/>
                <w:b w:val="0"/>
                <w:bCs w:val="0"/>
              </w:rPr>
              <w:t>Sleep</w:t>
            </w:r>
          </w:p>
        </w:tc>
        <w:tc>
          <w:tcPr>
            <w:tcW w:w="1238" w:type="dxa"/>
            <w:tcBorders>
              <w:bottom w:val="single" w:sz="18" w:space="0" w:color="000000" w:themeColor="text1"/>
            </w:tcBorders>
            <w:tcMar>
              <w:top w:w="43" w:type="dxa"/>
              <w:left w:w="115" w:type="dxa"/>
              <w:bottom w:w="43" w:type="dxa"/>
              <w:right w:w="115" w:type="dxa"/>
            </w:tcMar>
            <w:vAlign w:val="center"/>
          </w:tcPr>
          <w:p w14:paraId="481CA55E"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0.399**</w:t>
            </w:r>
          </w:p>
        </w:tc>
        <w:tc>
          <w:tcPr>
            <w:tcW w:w="1580" w:type="dxa"/>
            <w:tcBorders>
              <w:bottom w:val="single" w:sz="18" w:space="0" w:color="000000" w:themeColor="text1"/>
            </w:tcBorders>
            <w:tcMar>
              <w:top w:w="43" w:type="dxa"/>
              <w:left w:w="115" w:type="dxa"/>
              <w:bottom w:w="43" w:type="dxa"/>
              <w:right w:w="115" w:type="dxa"/>
            </w:tcMar>
            <w:vAlign w:val="center"/>
          </w:tcPr>
          <w:p w14:paraId="0E00E962"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0.464**</w:t>
            </w:r>
          </w:p>
        </w:tc>
        <w:tc>
          <w:tcPr>
            <w:tcW w:w="1658" w:type="dxa"/>
            <w:tcBorders>
              <w:bottom w:val="single" w:sz="18" w:space="0" w:color="000000" w:themeColor="text1"/>
            </w:tcBorders>
            <w:tcMar>
              <w:top w:w="43" w:type="dxa"/>
              <w:left w:w="115" w:type="dxa"/>
              <w:bottom w:w="43" w:type="dxa"/>
              <w:right w:w="115" w:type="dxa"/>
            </w:tcMar>
            <w:vAlign w:val="center"/>
          </w:tcPr>
          <w:p w14:paraId="54060D19"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0.416**</w:t>
            </w:r>
          </w:p>
        </w:tc>
        <w:tc>
          <w:tcPr>
            <w:tcW w:w="1580" w:type="dxa"/>
            <w:tcBorders>
              <w:bottom w:val="single" w:sz="18" w:space="0" w:color="000000" w:themeColor="text1"/>
            </w:tcBorders>
            <w:tcMar>
              <w:top w:w="43" w:type="dxa"/>
              <w:left w:w="115" w:type="dxa"/>
              <w:bottom w:w="43" w:type="dxa"/>
              <w:right w:w="115" w:type="dxa"/>
            </w:tcMar>
            <w:vAlign w:val="center"/>
          </w:tcPr>
          <w:p w14:paraId="07315047"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0.383**</w:t>
            </w:r>
          </w:p>
        </w:tc>
        <w:tc>
          <w:tcPr>
            <w:tcW w:w="1695" w:type="dxa"/>
            <w:tcBorders>
              <w:bottom w:val="single" w:sz="18" w:space="0" w:color="000000" w:themeColor="text1"/>
            </w:tcBorders>
            <w:tcMar>
              <w:top w:w="43" w:type="dxa"/>
              <w:left w:w="115" w:type="dxa"/>
              <w:bottom w:w="43" w:type="dxa"/>
              <w:right w:w="115" w:type="dxa"/>
            </w:tcMar>
            <w:vAlign w:val="center"/>
          </w:tcPr>
          <w:p w14:paraId="09E15F41"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0.513**</w:t>
            </w:r>
          </w:p>
        </w:tc>
        <w:tc>
          <w:tcPr>
            <w:tcW w:w="1577" w:type="dxa"/>
            <w:tcBorders>
              <w:bottom w:val="single" w:sz="18" w:space="0" w:color="000000" w:themeColor="text1"/>
            </w:tcBorders>
            <w:vAlign w:val="center"/>
          </w:tcPr>
          <w:p w14:paraId="26100194"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0.114**</w:t>
            </w:r>
          </w:p>
        </w:tc>
        <w:tc>
          <w:tcPr>
            <w:tcW w:w="1292" w:type="dxa"/>
            <w:tcBorders>
              <w:bottom w:val="single" w:sz="18" w:space="0" w:color="000000" w:themeColor="text1"/>
            </w:tcBorders>
            <w:vAlign w:val="center"/>
          </w:tcPr>
          <w:p w14:paraId="4F1950C0" w14:textId="77777777" w:rsidR="0065584C" w:rsidRDefault="0065584C" w:rsidP="002B29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r>
    </w:tbl>
    <w:p w14:paraId="0E4AD1FF" w14:textId="1D7DB443" w:rsidR="00767D30" w:rsidRDefault="00767D30" w:rsidP="00767D30">
      <w:pPr>
        <w:rPr>
          <w:rFonts w:ascii="Times New Roman" w:hAnsi="Times New Roman" w:cs="Times New Roman"/>
        </w:rPr>
      </w:pPr>
      <w:r>
        <w:rPr>
          <w:rFonts w:ascii="Times New Roman" w:hAnsi="Times New Roman" w:cs="Times New Roman"/>
        </w:rPr>
        <w:t>**Denotes statistical significance at the p &lt; 0.001 level, whereas *denotes statistical significance at the p &lt; 0.05 level. SRSS = Short Recovery Stress Scale</w:t>
      </w:r>
      <w:r w:rsidR="003D100F">
        <w:rPr>
          <w:rFonts w:ascii="Times New Roman" w:hAnsi="Times New Roman" w:cs="Times New Roman"/>
        </w:rPr>
        <w:t>, (n=18)</w:t>
      </w:r>
    </w:p>
    <w:p w14:paraId="7E0744E4" w14:textId="77777777" w:rsidR="0065584C" w:rsidRDefault="0065584C" w:rsidP="0065584C">
      <w:pPr>
        <w:spacing w:line="480" w:lineRule="auto"/>
        <w:rPr>
          <w:rFonts w:ascii="Times New Roman" w:hAnsi="Times New Roman" w:cs="Times New Roman"/>
        </w:rPr>
      </w:pPr>
    </w:p>
    <w:p w14:paraId="77EADD74" w14:textId="77777777" w:rsidR="0065584C" w:rsidRPr="0056127E" w:rsidRDefault="0065584C" w:rsidP="0065584C">
      <w:pPr>
        <w:spacing w:after="120"/>
        <w:rPr>
          <w:rFonts w:ascii="Times New Roman" w:hAnsi="Times New Roman" w:cs="Times New Roman"/>
          <w:b/>
          <w:bCs/>
        </w:rPr>
      </w:pPr>
      <w:r w:rsidRPr="0056127E">
        <w:rPr>
          <w:rFonts w:ascii="Times New Roman" w:hAnsi="Times New Roman" w:cs="Times New Roman"/>
          <w:b/>
          <w:bCs/>
        </w:rPr>
        <w:lastRenderedPageBreak/>
        <w:t xml:space="preserve">Table </w:t>
      </w:r>
      <w:r>
        <w:rPr>
          <w:rFonts w:ascii="Times New Roman" w:hAnsi="Times New Roman" w:cs="Times New Roman"/>
          <w:b/>
          <w:bCs/>
        </w:rPr>
        <w:t>8</w:t>
      </w:r>
      <w:r w:rsidRPr="0056127E">
        <w:rPr>
          <w:rFonts w:ascii="Times New Roman" w:hAnsi="Times New Roman" w:cs="Times New Roman"/>
          <w:b/>
          <w:bCs/>
        </w:rPr>
        <w:t xml:space="preserve">.  Correlations between SRSS individual </w:t>
      </w:r>
      <w:r>
        <w:rPr>
          <w:rFonts w:ascii="Times New Roman" w:hAnsi="Times New Roman" w:cs="Times New Roman"/>
          <w:b/>
          <w:bCs/>
        </w:rPr>
        <w:t>stress</w:t>
      </w:r>
      <w:r w:rsidRPr="0056127E">
        <w:rPr>
          <w:rFonts w:ascii="Times New Roman" w:hAnsi="Times New Roman" w:cs="Times New Roman"/>
          <w:b/>
          <w:bCs/>
        </w:rPr>
        <w:t xml:space="preserve"> measures</w:t>
      </w:r>
      <w:r>
        <w:rPr>
          <w:rFonts w:ascii="Times New Roman" w:hAnsi="Times New Roman" w:cs="Times New Roman"/>
          <w:b/>
          <w:bCs/>
        </w:rPr>
        <w:t>, stress</w:t>
      </w:r>
      <w:r w:rsidRPr="0056127E">
        <w:rPr>
          <w:rFonts w:ascii="Times New Roman" w:hAnsi="Times New Roman" w:cs="Times New Roman"/>
          <w:b/>
          <w:bCs/>
        </w:rPr>
        <w:t xml:space="preserve"> composite</w:t>
      </w:r>
      <w:r>
        <w:rPr>
          <w:rFonts w:ascii="Times New Roman" w:hAnsi="Times New Roman" w:cs="Times New Roman"/>
          <w:b/>
          <w:bCs/>
        </w:rPr>
        <w:t>, soreness composite, and sleep</w:t>
      </w:r>
    </w:p>
    <w:tbl>
      <w:tblPr>
        <w:tblStyle w:val="PlainTable2"/>
        <w:tblW w:w="0" w:type="auto"/>
        <w:tblCellMar>
          <w:top w:w="144" w:type="dxa"/>
          <w:bottom w:w="144" w:type="dxa"/>
        </w:tblCellMar>
        <w:tblLook w:val="06A0" w:firstRow="1" w:lastRow="0" w:firstColumn="1" w:lastColumn="0" w:noHBand="1" w:noVBand="1"/>
      </w:tblPr>
      <w:tblGrid>
        <w:gridCol w:w="2326"/>
        <w:gridCol w:w="104"/>
        <w:gridCol w:w="1086"/>
        <w:gridCol w:w="1442"/>
        <w:gridCol w:w="1475"/>
        <w:gridCol w:w="1442"/>
        <w:gridCol w:w="1485"/>
        <w:gridCol w:w="1485"/>
        <w:gridCol w:w="1485"/>
      </w:tblGrid>
      <w:tr w:rsidR="0065584C" w14:paraId="64F7656E" w14:textId="77777777" w:rsidTr="002B2917">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326" w:type="dxa"/>
            <w:tcBorders>
              <w:top w:val="single" w:sz="18" w:space="0" w:color="000000" w:themeColor="text1"/>
              <w:bottom w:val="single" w:sz="18" w:space="0" w:color="000000" w:themeColor="text1"/>
            </w:tcBorders>
          </w:tcPr>
          <w:p w14:paraId="083EAA73" w14:textId="77777777" w:rsidR="0065584C" w:rsidRDefault="0065584C" w:rsidP="002B2917">
            <w:pPr>
              <w:jc w:val="center"/>
              <w:rPr>
                <w:rFonts w:ascii="Times New Roman" w:hAnsi="Times New Roman" w:cs="Times New Roman"/>
              </w:rPr>
            </w:pPr>
          </w:p>
        </w:tc>
        <w:tc>
          <w:tcPr>
            <w:tcW w:w="1190" w:type="dxa"/>
            <w:gridSpan w:val="2"/>
            <w:tcBorders>
              <w:top w:val="single" w:sz="18" w:space="0" w:color="000000" w:themeColor="text1"/>
              <w:bottom w:val="single" w:sz="18" w:space="0" w:color="000000" w:themeColor="text1"/>
            </w:tcBorders>
            <w:tcMar>
              <w:left w:w="115" w:type="dxa"/>
              <w:right w:w="115" w:type="dxa"/>
            </w:tcMar>
            <w:vAlign w:val="center"/>
          </w:tcPr>
          <w:p w14:paraId="671DA244" w14:textId="6EB30AD0"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96FC0">
              <w:rPr>
                <w:rFonts w:ascii="Times New Roman" w:hAnsi="Times New Roman" w:cs="Times New Roman"/>
                <w:b w:val="0"/>
                <w:bCs w:val="0"/>
              </w:rPr>
              <w:t xml:space="preserve">Physical </w:t>
            </w:r>
            <w:r w:rsidR="00A2690A">
              <w:rPr>
                <w:rFonts w:ascii="Times New Roman" w:hAnsi="Times New Roman" w:cs="Times New Roman"/>
                <w:b w:val="0"/>
                <w:bCs w:val="0"/>
              </w:rPr>
              <w:t>s</w:t>
            </w:r>
            <w:r>
              <w:rPr>
                <w:rFonts w:ascii="Times New Roman" w:hAnsi="Times New Roman" w:cs="Times New Roman"/>
                <w:b w:val="0"/>
                <w:bCs w:val="0"/>
              </w:rPr>
              <w:t>tress</w:t>
            </w:r>
          </w:p>
        </w:tc>
        <w:tc>
          <w:tcPr>
            <w:tcW w:w="1442" w:type="dxa"/>
            <w:tcBorders>
              <w:top w:val="single" w:sz="18" w:space="0" w:color="000000" w:themeColor="text1"/>
              <w:bottom w:val="single" w:sz="18" w:space="0" w:color="000000" w:themeColor="text1"/>
            </w:tcBorders>
            <w:tcMar>
              <w:left w:w="115" w:type="dxa"/>
              <w:right w:w="115" w:type="dxa"/>
            </w:tcMar>
            <w:vAlign w:val="center"/>
          </w:tcPr>
          <w:p w14:paraId="76E6F626" w14:textId="15E61CE4"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96FC0">
              <w:rPr>
                <w:rFonts w:ascii="Times New Roman" w:hAnsi="Times New Roman" w:cs="Times New Roman"/>
                <w:b w:val="0"/>
                <w:bCs w:val="0"/>
              </w:rPr>
              <w:t xml:space="preserve">Mental </w:t>
            </w:r>
            <w:r w:rsidR="00A2690A">
              <w:rPr>
                <w:rFonts w:ascii="Times New Roman" w:hAnsi="Times New Roman" w:cs="Times New Roman"/>
                <w:b w:val="0"/>
                <w:bCs w:val="0"/>
              </w:rPr>
              <w:t>s</w:t>
            </w:r>
            <w:r>
              <w:rPr>
                <w:rFonts w:ascii="Times New Roman" w:hAnsi="Times New Roman" w:cs="Times New Roman"/>
                <w:b w:val="0"/>
                <w:bCs w:val="0"/>
              </w:rPr>
              <w:t>tress</w:t>
            </w:r>
          </w:p>
        </w:tc>
        <w:tc>
          <w:tcPr>
            <w:tcW w:w="1475" w:type="dxa"/>
            <w:tcBorders>
              <w:top w:val="single" w:sz="18" w:space="0" w:color="000000" w:themeColor="text1"/>
              <w:bottom w:val="single" w:sz="18" w:space="0" w:color="000000" w:themeColor="text1"/>
            </w:tcBorders>
            <w:tcMar>
              <w:left w:w="115" w:type="dxa"/>
              <w:right w:w="115" w:type="dxa"/>
            </w:tcMar>
            <w:vAlign w:val="center"/>
          </w:tcPr>
          <w:p w14:paraId="157DFBC7" w14:textId="6726529F"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96FC0">
              <w:rPr>
                <w:rFonts w:ascii="Times New Roman" w:hAnsi="Times New Roman" w:cs="Times New Roman"/>
                <w:b w:val="0"/>
                <w:bCs w:val="0"/>
              </w:rPr>
              <w:t xml:space="preserve">Emotional </w:t>
            </w:r>
            <w:r w:rsidR="00A2690A">
              <w:rPr>
                <w:rFonts w:ascii="Times New Roman" w:hAnsi="Times New Roman" w:cs="Times New Roman"/>
                <w:b w:val="0"/>
                <w:bCs w:val="0"/>
              </w:rPr>
              <w:t>s</w:t>
            </w:r>
            <w:r>
              <w:rPr>
                <w:rFonts w:ascii="Times New Roman" w:hAnsi="Times New Roman" w:cs="Times New Roman"/>
                <w:b w:val="0"/>
                <w:bCs w:val="0"/>
              </w:rPr>
              <w:t>tress</w:t>
            </w:r>
          </w:p>
        </w:tc>
        <w:tc>
          <w:tcPr>
            <w:tcW w:w="1442" w:type="dxa"/>
            <w:tcBorders>
              <w:top w:val="single" w:sz="18" w:space="0" w:color="000000" w:themeColor="text1"/>
              <w:bottom w:val="single" w:sz="18" w:space="0" w:color="000000" w:themeColor="text1"/>
            </w:tcBorders>
            <w:tcMar>
              <w:left w:w="115" w:type="dxa"/>
              <w:right w:w="115" w:type="dxa"/>
            </w:tcMar>
            <w:vAlign w:val="center"/>
          </w:tcPr>
          <w:p w14:paraId="1D30D165" w14:textId="5F7FF836"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96FC0">
              <w:rPr>
                <w:rFonts w:ascii="Times New Roman" w:hAnsi="Times New Roman" w:cs="Times New Roman"/>
                <w:b w:val="0"/>
                <w:bCs w:val="0"/>
              </w:rPr>
              <w:t xml:space="preserve">Overall </w:t>
            </w:r>
            <w:r w:rsidR="00A2690A">
              <w:rPr>
                <w:rFonts w:ascii="Times New Roman" w:hAnsi="Times New Roman" w:cs="Times New Roman"/>
                <w:b w:val="0"/>
                <w:bCs w:val="0"/>
              </w:rPr>
              <w:t>s</w:t>
            </w:r>
            <w:r>
              <w:rPr>
                <w:rFonts w:ascii="Times New Roman" w:hAnsi="Times New Roman" w:cs="Times New Roman"/>
                <w:b w:val="0"/>
                <w:bCs w:val="0"/>
              </w:rPr>
              <w:t>tress</w:t>
            </w:r>
          </w:p>
        </w:tc>
        <w:tc>
          <w:tcPr>
            <w:tcW w:w="1485" w:type="dxa"/>
            <w:tcBorders>
              <w:top w:val="single" w:sz="18" w:space="0" w:color="000000" w:themeColor="text1"/>
              <w:bottom w:val="single" w:sz="18" w:space="0" w:color="000000" w:themeColor="text1"/>
            </w:tcBorders>
            <w:tcMar>
              <w:left w:w="115" w:type="dxa"/>
              <w:right w:w="115" w:type="dxa"/>
            </w:tcMar>
            <w:vAlign w:val="center"/>
          </w:tcPr>
          <w:p w14:paraId="74DDC9D5" w14:textId="0B1A3ECB"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b w:val="0"/>
                <w:bCs w:val="0"/>
              </w:rPr>
              <w:t>Stress</w:t>
            </w:r>
            <w:r w:rsidRPr="00896FC0">
              <w:rPr>
                <w:rFonts w:ascii="Times New Roman" w:hAnsi="Times New Roman" w:cs="Times New Roman"/>
                <w:b w:val="0"/>
                <w:bCs w:val="0"/>
              </w:rPr>
              <w:t xml:space="preserve"> </w:t>
            </w:r>
            <w:r w:rsidR="00A2690A">
              <w:rPr>
                <w:rFonts w:ascii="Times New Roman" w:hAnsi="Times New Roman" w:cs="Times New Roman"/>
                <w:b w:val="0"/>
                <w:bCs w:val="0"/>
              </w:rPr>
              <w:t>c</w:t>
            </w:r>
            <w:r>
              <w:rPr>
                <w:rFonts w:ascii="Times New Roman" w:hAnsi="Times New Roman" w:cs="Times New Roman"/>
                <w:b w:val="0"/>
                <w:bCs w:val="0"/>
              </w:rPr>
              <w:t>omposite</w:t>
            </w:r>
          </w:p>
        </w:tc>
        <w:tc>
          <w:tcPr>
            <w:tcW w:w="1485" w:type="dxa"/>
            <w:tcBorders>
              <w:top w:val="single" w:sz="18" w:space="0" w:color="000000" w:themeColor="text1"/>
              <w:bottom w:val="single" w:sz="18" w:space="0" w:color="000000" w:themeColor="text1"/>
            </w:tcBorders>
            <w:vAlign w:val="center"/>
          </w:tcPr>
          <w:p w14:paraId="7B94EEC8" w14:textId="37CEC37F" w:rsidR="0065584C"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b w:val="0"/>
                <w:bCs w:val="0"/>
              </w:rPr>
              <w:t xml:space="preserve">Soreness </w:t>
            </w:r>
            <w:r w:rsidR="00A2690A">
              <w:rPr>
                <w:rFonts w:ascii="Times New Roman" w:hAnsi="Times New Roman" w:cs="Times New Roman"/>
                <w:b w:val="0"/>
                <w:bCs w:val="0"/>
              </w:rPr>
              <w:t>c</w:t>
            </w:r>
            <w:r>
              <w:rPr>
                <w:rFonts w:ascii="Times New Roman" w:hAnsi="Times New Roman" w:cs="Times New Roman"/>
                <w:b w:val="0"/>
                <w:bCs w:val="0"/>
              </w:rPr>
              <w:t>omposite</w:t>
            </w:r>
          </w:p>
        </w:tc>
        <w:tc>
          <w:tcPr>
            <w:tcW w:w="1485" w:type="dxa"/>
            <w:tcBorders>
              <w:top w:val="single" w:sz="18" w:space="0" w:color="000000" w:themeColor="text1"/>
              <w:bottom w:val="single" w:sz="18" w:space="0" w:color="000000" w:themeColor="text1"/>
            </w:tcBorders>
            <w:vAlign w:val="center"/>
          </w:tcPr>
          <w:p w14:paraId="1B9958FB" w14:textId="77777777" w:rsidR="0065584C"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b w:val="0"/>
                <w:bCs w:val="0"/>
              </w:rPr>
              <w:t>Sleep</w:t>
            </w:r>
          </w:p>
        </w:tc>
      </w:tr>
      <w:tr w:rsidR="0065584C" w14:paraId="29591A08" w14:textId="77777777" w:rsidTr="002B2917">
        <w:tc>
          <w:tcPr>
            <w:cnfStyle w:val="001000000000" w:firstRow="0" w:lastRow="0" w:firstColumn="1" w:lastColumn="0" w:oddVBand="0" w:evenVBand="0" w:oddHBand="0" w:evenHBand="0" w:firstRowFirstColumn="0" w:firstRowLastColumn="0" w:lastRowFirstColumn="0" w:lastRowLastColumn="0"/>
            <w:tcW w:w="2430" w:type="dxa"/>
            <w:gridSpan w:val="2"/>
            <w:tcBorders>
              <w:top w:val="single" w:sz="18" w:space="0" w:color="000000" w:themeColor="text1"/>
            </w:tcBorders>
            <w:tcMar>
              <w:top w:w="288" w:type="dxa"/>
              <w:left w:w="115" w:type="dxa"/>
              <w:bottom w:w="43" w:type="dxa"/>
              <w:right w:w="115" w:type="dxa"/>
            </w:tcMar>
            <w:vAlign w:val="center"/>
          </w:tcPr>
          <w:p w14:paraId="01FB1B69" w14:textId="21C96B0B" w:rsidR="0065584C" w:rsidRPr="00896FC0" w:rsidRDefault="0065584C" w:rsidP="002B2917">
            <w:pPr>
              <w:spacing w:line="480" w:lineRule="auto"/>
              <w:rPr>
                <w:rFonts w:ascii="Times New Roman" w:hAnsi="Times New Roman" w:cs="Times New Roman"/>
              </w:rPr>
            </w:pPr>
            <w:r w:rsidRPr="00896FC0">
              <w:rPr>
                <w:rFonts w:ascii="Times New Roman" w:hAnsi="Times New Roman" w:cs="Times New Roman"/>
                <w:b w:val="0"/>
                <w:bCs w:val="0"/>
              </w:rPr>
              <w:t xml:space="preserve">Physical </w:t>
            </w:r>
            <w:r w:rsidR="00A2690A">
              <w:rPr>
                <w:rFonts w:ascii="Times New Roman" w:hAnsi="Times New Roman" w:cs="Times New Roman"/>
                <w:b w:val="0"/>
                <w:bCs w:val="0"/>
              </w:rPr>
              <w:t>s</w:t>
            </w:r>
            <w:r>
              <w:rPr>
                <w:rFonts w:ascii="Times New Roman" w:hAnsi="Times New Roman" w:cs="Times New Roman"/>
                <w:b w:val="0"/>
                <w:bCs w:val="0"/>
              </w:rPr>
              <w:t>tress</w:t>
            </w:r>
          </w:p>
        </w:tc>
        <w:tc>
          <w:tcPr>
            <w:tcW w:w="1086" w:type="dxa"/>
            <w:tcBorders>
              <w:top w:val="single" w:sz="18" w:space="0" w:color="000000" w:themeColor="text1"/>
            </w:tcBorders>
            <w:tcMar>
              <w:top w:w="288" w:type="dxa"/>
              <w:left w:w="115" w:type="dxa"/>
              <w:bottom w:w="43" w:type="dxa"/>
              <w:right w:w="115" w:type="dxa"/>
            </w:tcMar>
            <w:vAlign w:val="center"/>
          </w:tcPr>
          <w:p w14:paraId="19573495"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442" w:type="dxa"/>
            <w:tcBorders>
              <w:top w:val="single" w:sz="18" w:space="0" w:color="000000" w:themeColor="text1"/>
            </w:tcBorders>
            <w:tcMar>
              <w:top w:w="288" w:type="dxa"/>
              <w:left w:w="115" w:type="dxa"/>
              <w:bottom w:w="43" w:type="dxa"/>
              <w:right w:w="115" w:type="dxa"/>
            </w:tcMar>
            <w:vAlign w:val="center"/>
          </w:tcPr>
          <w:p w14:paraId="4188FCC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0.446**</w:t>
            </w:r>
          </w:p>
        </w:tc>
        <w:tc>
          <w:tcPr>
            <w:tcW w:w="1475" w:type="dxa"/>
            <w:tcBorders>
              <w:top w:val="single" w:sz="18" w:space="0" w:color="000000" w:themeColor="text1"/>
            </w:tcBorders>
            <w:tcMar>
              <w:top w:w="288" w:type="dxa"/>
              <w:left w:w="115" w:type="dxa"/>
              <w:bottom w:w="43" w:type="dxa"/>
              <w:right w:w="115" w:type="dxa"/>
            </w:tcMar>
            <w:vAlign w:val="center"/>
          </w:tcPr>
          <w:p w14:paraId="3F55C45E"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0.338**</w:t>
            </w:r>
          </w:p>
        </w:tc>
        <w:tc>
          <w:tcPr>
            <w:tcW w:w="1442" w:type="dxa"/>
            <w:tcBorders>
              <w:top w:val="single" w:sz="18" w:space="0" w:color="000000" w:themeColor="text1"/>
            </w:tcBorders>
            <w:tcMar>
              <w:top w:w="288" w:type="dxa"/>
              <w:left w:w="115" w:type="dxa"/>
              <w:bottom w:w="43" w:type="dxa"/>
              <w:right w:w="115" w:type="dxa"/>
            </w:tcMar>
            <w:vAlign w:val="center"/>
          </w:tcPr>
          <w:p w14:paraId="585B29D5"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0.541**</w:t>
            </w:r>
          </w:p>
        </w:tc>
        <w:tc>
          <w:tcPr>
            <w:tcW w:w="1485" w:type="dxa"/>
            <w:tcBorders>
              <w:top w:val="single" w:sz="18" w:space="0" w:color="000000" w:themeColor="text1"/>
            </w:tcBorders>
            <w:tcMar>
              <w:top w:w="288" w:type="dxa"/>
              <w:left w:w="115" w:type="dxa"/>
              <w:bottom w:w="43" w:type="dxa"/>
              <w:right w:w="115" w:type="dxa"/>
            </w:tcMar>
            <w:vAlign w:val="center"/>
          </w:tcPr>
          <w:p w14:paraId="3C60A87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0.695**</w:t>
            </w:r>
          </w:p>
        </w:tc>
        <w:tc>
          <w:tcPr>
            <w:tcW w:w="1485" w:type="dxa"/>
            <w:tcBorders>
              <w:top w:val="single" w:sz="18" w:space="0" w:color="000000" w:themeColor="text1"/>
            </w:tcBorders>
            <w:vAlign w:val="center"/>
          </w:tcPr>
          <w:p w14:paraId="632CDAFD"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0.460**</w:t>
            </w:r>
          </w:p>
        </w:tc>
        <w:tc>
          <w:tcPr>
            <w:tcW w:w="1485" w:type="dxa"/>
            <w:tcBorders>
              <w:top w:val="single" w:sz="18" w:space="0" w:color="000000" w:themeColor="text1"/>
            </w:tcBorders>
            <w:vAlign w:val="center"/>
          </w:tcPr>
          <w:p w14:paraId="4ADA075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0.195**</w:t>
            </w:r>
          </w:p>
        </w:tc>
      </w:tr>
      <w:tr w:rsidR="0065584C" w14:paraId="1A710B1B" w14:textId="77777777" w:rsidTr="002B2917">
        <w:tc>
          <w:tcPr>
            <w:cnfStyle w:val="001000000000" w:firstRow="0" w:lastRow="0" w:firstColumn="1" w:lastColumn="0" w:oddVBand="0" w:evenVBand="0" w:oddHBand="0" w:evenHBand="0" w:firstRowFirstColumn="0" w:firstRowLastColumn="0" w:lastRowFirstColumn="0" w:lastRowLastColumn="0"/>
            <w:tcW w:w="2430" w:type="dxa"/>
            <w:gridSpan w:val="2"/>
            <w:tcMar>
              <w:top w:w="43" w:type="dxa"/>
              <w:left w:w="115" w:type="dxa"/>
              <w:bottom w:w="43" w:type="dxa"/>
              <w:right w:w="115" w:type="dxa"/>
            </w:tcMar>
            <w:vAlign w:val="bottom"/>
          </w:tcPr>
          <w:p w14:paraId="5A4874EE" w14:textId="229515C6" w:rsidR="0065584C" w:rsidRPr="00896FC0" w:rsidRDefault="0065584C" w:rsidP="002B2917">
            <w:pPr>
              <w:spacing w:line="480" w:lineRule="auto"/>
              <w:rPr>
                <w:rFonts w:ascii="Times New Roman" w:hAnsi="Times New Roman" w:cs="Times New Roman"/>
                <w:b w:val="0"/>
                <w:bCs w:val="0"/>
              </w:rPr>
            </w:pPr>
            <w:r w:rsidRPr="00896FC0">
              <w:rPr>
                <w:rFonts w:ascii="Times New Roman" w:hAnsi="Times New Roman" w:cs="Times New Roman"/>
                <w:b w:val="0"/>
                <w:bCs w:val="0"/>
              </w:rPr>
              <w:t xml:space="preserve">Mental </w:t>
            </w:r>
            <w:r w:rsidR="00A2690A">
              <w:rPr>
                <w:rFonts w:ascii="Times New Roman" w:hAnsi="Times New Roman" w:cs="Times New Roman"/>
                <w:b w:val="0"/>
                <w:bCs w:val="0"/>
              </w:rPr>
              <w:t>s</w:t>
            </w:r>
            <w:r>
              <w:rPr>
                <w:rFonts w:ascii="Times New Roman" w:hAnsi="Times New Roman" w:cs="Times New Roman"/>
                <w:b w:val="0"/>
                <w:bCs w:val="0"/>
              </w:rPr>
              <w:t>tress</w:t>
            </w:r>
          </w:p>
        </w:tc>
        <w:tc>
          <w:tcPr>
            <w:tcW w:w="1086" w:type="dxa"/>
            <w:tcMar>
              <w:top w:w="43" w:type="dxa"/>
              <w:left w:w="115" w:type="dxa"/>
              <w:bottom w:w="43" w:type="dxa"/>
              <w:right w:w="115" w:type="dxa"/>
            </w:tcMar>
            <w:vAlign w:val="center"/>
          </w:tcPr>
          <w:p w14:paraId="28BAA801"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0.446**</w:t>
            </w:r>
          </w:p>
        </w:tc>
        <w:tc>
          <w:tcPr>
            <w:tcW w:w="1442" w:type="dxa"/>
            <w:tcMar>
              <w:top w:w="43" w:type="dxa"/>
              <w:left w:w="115" w:type="dxa"/>
              <w:bottom w:w="43" w:type="dxa"/>
              <w:right w:w="115" w:type="dxa"/>
            </w:tcMar>
            <w:vAlign w:val="center"/>
          </w:tcPr>
          <w:p w14:paraId="1BCBE42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475" w:type="dxa"/>
            <w:tcMar>
              <w:top w:w="43" w:type="dxa"/>
              <w:left w:w="115" w:type="dxa"/>
              <w:bottom w:w="43" w:type="dxa"/>
              <w:right w:w="115" w:type="dxa"/>
            </w:tcMar>
            <w:vAlign w:val="center"/>
          </w:tcPr>
          <w:p w14:paraId="77FCE2C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0.638**</w:t>
            </w:r>
          </w:p>
        </w:tc>
        <w:tc>
          <w:tcPr>
            <w:tcW w:w="1442" w:type="dxa"/>
            <w:tcMar>
              <w:top w:w="43" w:type="dxa"/>
              <w:left w:w="115" w:type="dxa"/>
              <w:bottom w:w="43" w:type="dxa"/>
              <w:right w:w="115" w:type="dxa"/>
            </w:tcMar>
            <w:vAlign w:val="center"/>
          </w:tcPr>
          <w:p w14:paraId="3B946C4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0.631**</w:t>
            </w:r>
          </w:p>
        </w:tc>
        <w:tc>
          <w:tcPr>
            <w:tcW w:w="1485" w:type="dxa"/>
            <w:tcMar>
              <w:top w:w="43" w:type="dxa"/>
              <w:left w:w="115" w:type="dxa"/>
              <w:bottom w:w="43" w:type="dxa"/>
              <w:right w:w="115" w:type="dxa"/>
            </w:tcMar>
            <w:vAlign w:val="center"/>
          </w:tcPr>
          <w:p w14:paraId="480B531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0.843**</w:t>
            </w:r>
          </w:p>
        </w:tc>
        <w:tc>
          <w:tcPr>
            <w:tcW w:w="1485" w:type="dxa"/>
          </w:tcPr>
          <w:p w14:paraId="757F44A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0.109*</w:t>
            </w:r>
          </w:p>
        </w:tc>
        <w:tc>
          <w:tcPr>
            <w:tcW w:w="1485" w:type="dxa"/>
          </w:tcPr>
          <w:p w14:paraId="2E7A072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0.336**</w:t>
            </w:r>
          </w:p>
        </w:tc>
      </w:tr>
      <w:tr w:rsidR="0065584C" w14:paraId="577B1A2F" w14:textId="77777777" w:rsidTr="002B2917">
        <w:tc>
          <w:tcPr>
            <w:cnfStyle w:val="001000000000" w:firstRow="0" w:lastRow="0" w:firstColumn="1" w:lastColumn="0" w:oddVBand="0" w:evenVBand="0" w:oddHBand="0" w:evenHBand="0" w:firstRowFirstColumn="0" w:firstRowLastColumn="0" w:lastRowFirstColumn="0" w:lastRowLastColumn="0"/>
            <w:tcW w:w="2430" w:type="dxa"/>
            <w:gridSpan w:val="2"/>
            <w:tcMar>
              <w:top w:w="43" w:type="dxa"/>
              <w:left w:w="115" w:type="dxa"/>
              <w:bottom w:w="43" w:type="dxa"/>
              <w:right w:w="115" w:type="dxa"/>
            </w:tcMar>
            <w:vAlign w:val="center"/>
          </w:tcPr>
          <w:p w14:paraId="7DC3DD87" w14:textId="2AF4D03C" w:rsidR="0065584C" w:rsidRPr="00896FC0" w:rsidRDefault="0065584C" w:rsidP="002B2917">
            <w:pPr>
              <w:spacing w:line="480" w:lineRule="auto"/>
              <w:rPr>
                <w:rFonts w:ascii="Times New Roman" w:hAnsi="Times New Roman" w:cs="Times New Roman"/>
                <w:b w:val="0"/>
                <w:bCs w:val="0"/>
              </w:rPr>
            </w:pPr>
            <w:r w:rsidRPr="00896FC0">
              <w:rPr>
                <w:rFonts w:ascii="Times New Roman" w:hAnsi="Times New Roman" w:cs="Times New Roman"/>
                <w:b w:val="0"/>
                <w:bCs w:val="0"/>
              </w:rPr>
              <w:t xml:space="preserve">Emotional </w:t>
            </w:r>
            <w:r w:rsidR="00A2690A">
              <w:rPr>
                <w:rFonts w:ascii="Times New Roman" w:hAnsi="Times New Roman" w:cs="Times New Roman"/>
                <w:b w:val="0"/>
                <w:bCs w:val="0"/>
              </w:rPr>
              <w:t>s</w:t>
            </w:r>
            <w:r>
              <w:rPr>
                <w:rFonts w:ascii="Times New Roman" w:hAnsi="Times New Roman" w:cs="Times New Roman"/>
                <w:b w:val="0"/>
                <w:bCs w:val="0"/>
              </w:rPr>
              <w:t>tress</w:t>
            </w:r>
          </w:p>
        </w:tc>
        <w:tc>
          <w:tcPr>
            <w:tcW w:w="1086" w:type="dxa"/>
            <w:tcMar>
              <w:top w:w="43" w:type="dxa"/>
              <w:left w:w="115" w:type="dxa"/>
              <w:bottom w:w="43" w:type="dxa"/>
              <w:right w:w="115" w:type="dxa"/>
            </w:tcMar>
            <w:vAlign w:val="center"/>
          </w:tcPr>
          <w:p w14:paraId="5E16724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0.338**</w:t>
            </w:r>
          </w:p>
        </w:tc>
        <w:tc>
          <w:tcPr>
            <w:tcW w:w="1442" w:type="dxa"/>
            <w:tcMar>
              <w:top w:w="43" w:type="dxa"/>
              <w:left w:w="115" w:type="dxa"/>
              <w:bottom w:w="43" w:type="dxa"/>
              <w:right w:w="115" w:type="dxa"/>
            </w:tcMar>
            <w:vAlign w:val="center"/>
          </w:tcPr>
          <w:p w14:paraId="1E2A55AD"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0.638**</w:t>
            </w:r>
          </w:p>
        </w:tc>
        <w:tc>
          <w:tcPr>
            <w:tcW w:w="1475" w:type="dxa"/>
            <w:tcMar>
              <w:top w:w="43" w:type="dxa"/>
              <w:left w:w="115" w:type="dxa"/>
              <w:bottom w:w="43" w:type="dxa"/>
              <w:right w:w="115" w:type="dxa"/>
            </w:tcMar>
            <w:vAlign w:val="center"/>
          </w:tcPr>
          <w:p w14:paraId="59257F7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442" w:type="dxa"/>
            <w:tcMar>
              <w:top w:w="43" w:type="dxa"/>
              <w:left w:w="115" w:type="dxa"/>
              <w:bottom w:w="43" w:type="dxa"/>
              <w:right w:w="115" w:type="dxa"/>
            </w:tcMar>
            <w:vAlign w:val="center"/>
          </w:tcPr>
          <w:p w14:paraId="0E974210"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0.617**</w:t>
            </w:r>
          </w:p>
        </w:tc>
        <w:tc>
          <w:tcPr>
            <w:tcW w:w="1485" w:type="dxa"/>
            <w:tcMar>
              <w:top w:w="43" w:type="dxa"/>
              <w:left w:w="115" w:type="dxa"/>
              <w:bottom w:w="43" w:type="dxa"/>
              <w:right w:w="115" w:type="dxa"/>
            </w:tcMar>
            <w:vAlign w:val="center"/>
          </w:tcPr>
          <w:p w14:paraId="5BCE06C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0.804**</w:t>
            </w:r>
          </w:p>
        </w:tc>
        <w:tc>
          <w:tcPr>
            <w:tcW w:w="1485" w:type="dxa"/>
          </w:tcPr>
          <w:p w14:paraId="09E6C52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0.059</w:t>
            </w:r>
          </w:p>
        </w:tc>
        <w:tc>
          <w:tcPr>
            <w:tcW w:w="1485" w:type="dxa"/>
          </w:tcPr>
          <w:p w14:paraId="7526403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0.366**</w:t>
            </w:r>
          </w:p>
        </w:tc>
      </w:tr>
      <w:tr w:rsidR="0065584C" w14:paraId="6010B53A" w14:textId="77777777" w:rsidTr="002B2917">
        <w:tc>
          <w:tcPr>
            <w:cnfStyle w:val="001000000000" w:firstRow="0" w:lastRow="0" w:firstColumn="1" w:lastColumn="0" w:oddVBand="0" w:evenVBand="0" w:oddHBand="0" w:evenHBand="0" w:firstRowFirstColumn="0" w:firstRowLastColumn="0" w:lastRowFirstColumn="0" w:lastRowLastColumn="0"/>
            <w:tcW w:w="2430" w:type="dxa"/>
            <w:gridSpan w:val="2"/>
            <w:tcMar>
              <w:top w:w="43" w:type="dxa"/>
              <w:left w:w="115" w:type="dxa"/>
              <w:bottom w:w="43" w:type="dxa"/>
              <w:right w:w="115" w:type="dxa"/>
            </w:tcMar>
            <w:vAlign w:val="center"/>
          </w:tcPr>
          <w:p w14:paraId="28A85591" w14:textId="08A3C8EB" w:rsidR="0065584C" w:rsidRPr="00896FC0" w:rsidRDefault="0065584C" w:rsidP="002B2917">
            <w:pPr>
              <w:spacing w:line="480" w:lineRule="auto"/>
              <w:rPr>
                <w:rFonts w:ascii="Times New Roman" w:hAnsi="Times New Roman" w:cs="Times New Roman"/>
                <w:b w:val="0"/>
                <w:bCs w:val="0"/>
              </w:rPr>
            </w:pPr>
            <w:r w:rsidRPr="00896FC0">
              <w:rPr>
                <w:rFonts w:ascii="Times New Roman" w:hAnsi="Times New Roman" w:cs="Times New Roman"/>
                <w:b w:val="0"/>
                <w:bCs w:val="0"/>
              </w:rPr>
              <w:t xml:space="preserve">Overall </w:t>
            </w:r>
            <w:r w:rsidR="00A2690A">
              <w:rPr>
                <w:rFonts w:ascii="Times New Roman" w:hAnsi="Times New Roman" w:cs="Times New Roman"/>
                <w:b w:val="0"/>
                <w:bCs w:val="0"/>
              </w:rPr>
              <w:t>s</w:t>
            </w:r>
            <w:r>
              <w:rPr>
                <w:rFonts w:ascii="Times New Roman" w:hAnsi="Times New Roman" w:cs="Times New Roman"/>
                <w:b w:val="0"/>
                <w:bCs w:val="0"/>
              </w:rPr>
              <w:t>tress</w:t>
            </w:r>
          </w:p>
        </w:tc>
        <w:tc>
          <w:tcPr>
            <w:tcW w:w="1086" w:type="dxa"/>
            <w:tcMar>
              <w:top w:w="43" w:type="dxa"/>
              <w:left w:w="115" w:type="dxa"/>
              <w:bottom w:w="43" w:type="dxa"/>
              <w:right w:w="115" w:type="dxa"/>
            </w:tcMar>
            <w:vAlign w:val="center"/>
          </w:tcPr>
          <w:p w14:paraId="5CE76302"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0.541**</w:t>
            </w:r>
          </w:p>
        </w:tc>
        <w:tc>
          <w:tcPr>
            <w:tcW w:w="1442" w:type="dxa"/>
            <w:tcMar>
              <w:top w:w="43" w:type="dxa"/>
              <w:left w:w="115" w:type="dxa"/>
              <w:bottom w:w="43" w:type="dxa"/>
              <w:right w:w="115" w:type="dxa"/>
            </w:tcMar>
            <w:vAlign w:val="center"/>
          </w:tcPr>
          <w:p w14:paraId="33CE1A92"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0.631**</w:t>
            </w:r>
          </w:p>
        </w:tc>
        <w:tc>
          <w:tcPr>
            <w:tcW w:w="1475" w:type="dxa"/>
            <w:tcMar>
              <w:top w:w="43" w:type="dxa"/>
              <w:left w:w="115" w:type="dxa"/>
              <w:bottom w:w="43" w:type="dxa"/>
              <w:right w:w="115" w:type="dxa"/>
            </w:tcMar>
            <w:vAlign w:val="center"/>
          </w:tcPr>
          <w:p w14:paraId="04DE1A8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0.617**</w:t>
            </w:r>
          </w:p>
        </w:tc>
        <w:tc>
          <w:tcPr>
            <w:tcW w:w="1442" w:type="dxa"/>
            <w:tcMar>
              <w:top w:w="43" w:type="dxa"/>
              <w:left w:w="115" w:type="dxa"/>
              <w:bottom w:w="43" w:type="dxa"/>
              <w:right w:w="115" w:type="dxa"/>
            </w:tcMar>
            <w:vAlign w:val="center"/>
          </w:tcPr>
          <w:p w14:paraId="57AC451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485" w:type="dxa"/>
            <w:tcMar>
              <w:top w:w="43" w:type="dxa"/>
              <w:left w:w="115" w:type="dxa"/>
              <w:bottom w:w="43" w:type="dxa"/>
              <w:right w:w="115" w:type="dxa"/>
            </w:tcMar>
            <w:vAlign w:val="center"/>
          </w:tcPr>
          <w:p w14:paraId="06E38F5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0.862**</w:t>
            </w:r>
          </w:p>
        </w:tc>
        <w:tc>
          <w:tcPr>
            <w:tcW w:w="1485" w:type="dxa"/>
          </w:tcPr>
          <w:p w14:paraId="62FE2251"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0.176**</w:t>
            </w:r>
          </w:p>
        </w:tc>
        <w:tc>
          <w:tcPr>
            <w:tcW w:w="1485" w:type="dxa"/>
          </w:tcPr>
          <w:p w14:paraId="4A775BF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0.363**</w:t>
            </w:r>
          </w:p>
        </w:tc>
      </w:tr>
      <w:tr w:rsidR="0065584C" w14:paraId="0B8A638C" w14:textId="77777777" w:rsidTr="002B2917">
        <w:tc>
          <w:tcPr>
            <w:cnfStyle w:val="001000000000" w:firstRow="0" w:lastRow="0" w:firstColumn="1" w:lastColumn="0" w:oddVBand="0" w:evenVBand="0" w:oddHBand="0" w:evenHBand="0" w:firstRowFirstColumn="0" w:firstRowLastColumn="0" w:lastRowFirstColumn="0" w:lastRowLastColumn="0"/>
            <w:tcW w:w="2430" w:type="dxa"/>
            <w:gridSpan w:val="2"/>
            <w:tcMar>
              <w:top w:w="43" w:type="dxa"/>
              <w:left w:w="115" w:type="dxa"/>
              <w:bottom w:w="43" w:type="dxa"/>
              <w:right w:w="115" w:type="dxa"/>
            </w:tcMar>
            <w:vAlign w:val="center"/>
          </w:tcPr>
          <w:p w14:paraId="7C05545F" w14:textId="0F874E57" w:rsidR="0065584C" w:rsidRPr="00896FC0" w:rsidRDefault="0065584C" w:rsidP="002B2917">
            <w:pPr>
              <w:spacing w:line="480" w:lineRule="auto"/>
              <w:rPr>
                <w:rFonts w:ascii="Times New Roman" w:hAnsi="Times New Roman" w:cs="Times New Roman"/>
                <w:b w:val="0"/>
                <w:bCs w:val="0"/>
              </w:rPr>
            </w:pPr>
            <w:r>
              <w:rPr>
                <w:rFonts w:ascii="Times New Roman" w:hAnsi="Times New Roman" w:cs="Times New Roman"/>
                <w:b w:val="0"/>
                <w:bCs w:val="0"/>
              </w:rPr>
              <w:t>Stress</w:t>
            </w:r>
            <w:r w:rsidRPr="00896FC0">
              <w:rPr>
                <w:rFonts w:ascii="Times New Roman" w:hAnsi="Times New Roman" w:cs="Times New Roman"/>
                <w:b w:val="0"/>
                <w:bCs w:val="0"/>
              </w:rPr>
              <w:t xml:space="preserve"> </w:t>
            </w:r>
            <w:r w:rsidR="00A2690A">
              <w:rPr>
                <w:rFonts w:ascii="Times New Roman" w:hAnsi="Times New Roman" w:cs="Times New Roman"/>
                <w:b w:val="0"/>
                <w:bCs w:val="0"/>
              </w:rPr>
              <w:t>c</w:t>
            </w:r>
            <w:r>
              <w:rPr>
                <w:rFonts w:ascii="Times New Roman" w:hAnsi="Times New Roman" w:cs="Times New Roman"/>
                <w:b w:val="0"/>
                <w:bCs w:val="0"/>
              </w:rPr>
              <w:t>omposite</w:t>
            </w:r>
          </w:p>
        </w:tc>
        <w:tc>
          <w:tcPr>
            <w:tcW w:w="1086" w:type="dxa"/>
            <w:tcMar>
              <w:top w:w="43" w:type="dxa"/>
              <w:left w:w="115" w:type="dxa"/>
              <w:bottom w:w="43" w:type="dxa"/>
              <w:right w:w="115" w:type="dxa"/>
            </w:tcMar>
            <w:vAlign w:val="center"/>
          </w:tcPr>
          <w:p w14:paraId="7382CCB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0.695**</w:t>
            </w:r>
          </w:p>
        </w:tc>
        <w:tc>
          <w:tcPr>
            <w:tcW w:w="1442" w:type="dxa"/>
            <w:tcMar>
              <w:top w:w="43" w:type="dxa"/>
              <w:left w:w="115" w:type="dxa"/>
              <w:bottom w:w="43" w:type="dxa"/>
              <w:right w:w="115" w:type="dxa"/>
            </w:tcMar>
            <w:vAlign w:val="center"/>
          </w:tcPr>
          <w:p w14:paraId="7BF3E98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0.843**</w:t>
            </w:r>
          </w:p>
        </w:tc>
        <w:tc>
          <w:tcPr>
            <w:tcW w:w="1475" w:type="dxa"/>
            <w:tcMar>
              <w:top w:w="43" w:type="dxa"/>
              <w:left w:w="115" w:type="dxa"/>
              <w:bottom w:w="43" w:type="dxa"/>
              <w:right w:w="115" w:type="dxa"/>
            </w:tcMar>
            <w:vAlign w:val="center"/>
          </w:tcPr>
          <w:p w14:paraId="57530602"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0.804**</w:t>
            </w:r>
          </w:p>
        </w:tc>
        <w:tc>
          <w:tcPr>
            <w:tcW w:w="1442" w:type="dxa"/>
            <w:tcMar>
              <w:top w:w="43" w:type="dxa"/>
              <w:left w:w="115" w:type="dxa"/>
              <w:bottom w:w="43" w:type="dxa"/>
              <w:right w:w="115" w:type="dxa"/>
            </w:tcMar>
            <w:vAlign w:val="center"/>
          </w:tcPr>
          <w:p w14:paraId="271A6175"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0.862**</w:t>
            </w:r>
          </w:p>
        </w:tc>
        <w:tc>
          <w:tcPr>
            <w:tcW w:w="1485" w:type="dxa"/>
            <w:tcMar>
              <w:top w:w="43" w:type="dxa"/>
              <w:left w:w="115" w:type="dxa"/>
              <w:bottom w:w="43" w:type="dxa"/>
              <w:right w:w="115" w:type="dxa"/>
            </w:tcMar>
            <w:vAlign w:val="center"/>
          </w:tcPr>
          <w:p w14:paraId="3A197A1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485" w:type="dxa"/>
          </w:tcPr>
          <w:p w14:paraId="7E6E24E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0.232**</w:t>
            </w:r>
          </w:p>
        </w:tc>
        <w:tc>
          <w:tcPr>
            <w:tcW w:w="1485" w:type="dxa"/>
          </w:tcPr>
          <w:p w14:paraId="628B0D4E"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0.384**</w:t>
            </w:r>
          </w:p>
        </w:tc>
      </w:tr>
      <w:tr w:rsidR="0065584C" w14:paraId="351BE71A" w14:textId="77777777" w:rsidTr="002B2917">
        <w:tc>
          <w:tcPr>
            <w:cnfStyle w:val="001000000000" w:firstRow="0" w:lastRow="0" w:firstColumn="1" w:lastColumn="0" w:oddVBand="0" w:evenVBand="0" w:oddHBand="0" w:evenHBand="0" w:firstRowFirstColumn="0" w:firstRowLastColumn="0" w:lastRowFirstColumn="0" w:lastRowLastColumn="0"/>
            <w:tcW w:w="2430" w:type="dxa"/>
            <w:gridSpan w:val="2"/>
            <w:tcMar>
              <w:top w:w="43" w:type="dxa"/>
              <w:left w:w="115" w:type="dxa"/>
              <w:bottom w:w="43" w:type="dxa"/>
              <w:right w:w="115" w:type="dxa"/>
            </w:tcMar>
            <w:vAlign w:val="center"/>
          </w:tcPr>
          <w:p w14:paraId="5719AF26" w14:textId="0D7ABC1B" w:rsidR="0065584C" w:rsidRDefault="0065584C" w:rsidP="002B2917">
            <w:pPr>
              <w:spacing w:line="480" w:lineRule="auto"/>
              <w:rPr>
                <w:rFonts w:ascii="Times New Roman" w:hAnsi="Times New Roman" w:cs="Times New Roman"/>
                <w:b w:val="0"/>
                <w:bCs w:val="0"/>
              </w:rPr>
            </w:pPr>
            <w:r>
              <w:rPr>
                <w:rFonts w:ascii="Times New Roman" w:hAnsi="Times New Roman" w:cs="Times New Roman"/>
                <w:b w:val="0"/>
                <w:bCs w:val="0"/>
              </w:rPr>
              <w:t xml:space="preserve">Soreness </w:t>
            </w:r>
            <w:r w:rsidR="00A2690A">
              <w:rPr>
                <w:rFonts w:ascii="Times New Roman" w:hAnsi="Times New Roman" w:cs="Times New Roman"/>
                <w:b w:val="0"/>
                <w:bCs w:val="0"/>
              </w:rPr>
              <w:t>c</w:t>
            </w:r>
            <w:r>
              <w:rPr>
                <w:rFonts w:ascii="Times New Roman" w:hAnsi="Times New Roman" w:cs="Times New Roman"/>
                <w:b w:val="0"/>
                <w:bCs w:val="0"/>
              </w:rPr>
              <w:t>omposite</w:t>
            </w:r>
          </w:p>
        </w:tc>
        <w:tc>
          <w:tcPr>
            <w:tcW w:w="1086" w:type="dxa"/>
            <w:tcMar>
              <w:top w:w="43" w:type="dxa"/>
              <w:left w:w="115" w:type="dxa"/>
              <w:bottom w:w="43" w:type="dxa"/>
              <w:right w:w="115" w:type="dxa"/>
            </w:tcMar>
            <w:vAlign w:val="center"/>
          </w:tcPr>
          <w:p w14:paraId="0F6134F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0.460**</w:t>
            </w:r>
          </w:p>
        </w:tc>
        <w:tc>
          <w:tcPr>
            <w:tcW w:w="1442" w:type="dxa"/>
            <w:tcMar>
              <w:top w:w="43" w:type="dxa"/>
              <w:left w:w="115" w:type="dxa"/>
              <w:bottom w:w="43" w:type="dxa"/>
              <w:right w:w="115" w:type="dxa"/>
            </w:tcMar>
            <w:vAlign w:val="center"/>
          </w:tcPr>
          <w:p w14:paraId="1F3A0B1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0.109*</w:t>
            </w:r>
          </w:p>
        </w:tc>
        <w:tc>
          <w:tcPr>
            <w:tcW w:w="1475" w:type="dxa"/>
            <w:tcMar>
              <w:top w:w="43" w:type="dxa"/>
              <w:left w:w="115" w:type="dxa"/>
              <w:bottom w:w="43" w:type="dxa"/>
              <w:right w:w="115" w:type="dxa"/>
            </w:tcMar>
            <w:vAlign w:val="center"/>
          </w:tcPr>
          <w:p w14:paraId="10C7B0D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0.059</w:t>
            </w:r>
          </w:p>
        </w:tc>
        <w:tc>
          <w:tcPr>
            <w:tcW w:w="1442" w:type="dxa"/>
            <w:tcMar>
              <w:top w:w="43" w:type="dxa"/>
              <w:left w:w="115" w:type="dxa"/>
              <w:bottom w:w="43" w:type="dxa"/>
              <w:right w:w="115" w:type="dxa"/>
            </w:tcMar>
            <w:vAlign w:val="center"/>
          </w:tcPr>
          <w:p w14:paraId="57D8193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0.176**</w:t>
            </w:r>
          </w:p>
        </w:tc>
        <w:tc>
          <w:tcPr>
            <w:tcW w:w="1485" w:type="dxa"/>
            <w:tcMar>
              <w:top w:w="43" w:type="dxa"/>
              <w:left w:w="115" w:type="dxa"/>
              <w:bottom w:w="43" w:type="dxa"/>
              <w:right w:w="115" w:type="dxa"/>
            </w:tcMar>
            <w:vAlign w:val="center"/>
          </w:tcPr>
          <w:p w14:paraId="184D6A5E"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0.232**</w:t>
            </w:r>
          </w:p>
        </w:tc>
        <w:tc>
          <w:tcPr>
            <w:tcW w:w="1485" w:type="dxa"/>
          </w:tcPr>
          <w:p w14:paraId="6CF661E0"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485" w:type="dxa"/>
          </w:tcPr>
          <w:p w14:paraId="4315C46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0.114**</w:t>
            </w:r>
          </w:p>
        </w:tc>
      </w:tr>
      <w:tr w:rsidR="0065584C" w14:paraId="5820052E" w14:textId="77777777" w:rsidTr="002B2917">
        <w:tc>
          <w:tcPr>
            <w:cnfStyle w:val="001000000000" w:firstRow="0" w:lastRow="0" w:firstColumn="1" w:lastColumn="0" w:oddVBand="0" w:evenVBand="0" w:oddHBand="0" w:evenHBand="0" w:firstRowFirstColumn="0" w:firstRowLastColumn="0" w:lastRowFirstColumn="0" w:lastRowLastColumn="0"/>
            <w:tcW w:w="2430" w:type="dxa"/>
            <w:gridSpan w:val="2"/>
            <w:tcBorders>
              <w:bottom w:val="single" w:sz="18" w:space="0" w:color="000000" w:themeColor="text1"/>
            </w:tcBorders>
            <w:tcMar>
              <w:top w:w="43" w:type="dxa"/>
              <w:left w:w="115" w:type="dxa"/>
              <w:bottom w:w="43" w:type="dxa"/>
              <w:right w:w="115" w:type="dxa"/>
            </w:tcMar>
            <w:vAlign w:val="center"/>
          </w:tcPr>
          <w:p w14:paraId="0A7DA1D2" w14:textId="77777777" w:rsidR="0065584C" w:rsidRDefault="0065584C" w:rsidP="002B2917">
            <w:pPr>
              <w:spacing w:line="480" w:lineRule="auto"/>
              <w:rPr>
                <w:rFonts w:ascii="Times New Roman" w:hAnsi="Times New Roman" w:cs="Times New Roman"/>
                <w:b w:val="0"/>
                <w:bCs w:val="0"/>
              </w:rPr>
            </w:pPr>
            <w:r>
              <w:rPr>
                <w:rFonts w:ascii="Times New Roman" w:hAnsi="Times New Roman" w:cs="Times New Roman"/>
                <w:b w:val="0"/>
                <w:bCs w:val="0"/>
              </w:rPr>
              <w:t>Sleep</w:t>
            </w:r>
          </w:p>
        </w:tc>
        <w:tc>
          <w:tcPr>
            <w:tcW w:w="1086" w:type="dxa"/>
            <w:tcBorders>
              <w:bottom w:val="single" w:sz="18" w:space="0" w:color="000000" w:themeColor="text1"/>
            </w:tcBorders>
            <w:tcMar>
              <w:top w:w="43" w:type="dxa"/>
              <w:left w:w="115" w:type="dxa"/>
              <w:bottom w:w="43" w:type="dxa"/>
              <w:right w:w="115" w:type="dxa"/>
            </w:tcMar>
            <w:vAlign w:val="center"/>
          </w:tcPr>
          <w:p w14:paraId="10B5B2C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0.195**</w:t>
            </w:r>
          </w:p>
        </w:tc>
        <w:tc>
          <w:tcPr>
            <w:tcW w:w="1442" w:type="dxa"/>
            <w:tcBorders>
              <w:bottom w:val="single" w:sz="18" w:space="0" w:color="000000" w:themeColor="text1"/>
            </w:tcBorders>
            <w:tcMar>
              <w:top w:w="43" w:type="dxa"/>
              <w:left w:w="115" w:type="dxa"/>
              <w:bottom w:w="43" w:type="dxa"/>
              <w:right w:w="115" w:type="dxa"/>
            </w:tcMar>
            <w:vAlign w:val="center"/>
          </w:tcPr>
          <w:p w14:paraId="2599678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0.336**</w:t>
            </w:r>
          </w:p>
        </w:tc>
        <w:tc>
          <w:tcPr>
            <w:tcW w:w="1475" w:type="dxa"/>
            <w:tcBorders>
              <w:bottom w:val="single" w:sz="18" w:space="0" w:color="000000" w:themeColor="text1"/>
            </w:tcBorders>
            <w:tcMar>
              <w:top w:w="43" w:type="dxa"/>
              <w:left w:w="115" w:type="dxa"/>
              <w:bottom w:w="43" w:type="dxa"/>
              <w:right w:w="115" w:type="dxa"/>
            </w:tcMar>
            <w:vAlign w:val="center"/>
          </w:tcPr>
          <w:p w14:paraId="0926301E"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0.366**</w:t>
            </w:r>
          </w:p>
        </w:tc>
        <w:tc>
          <w:tcPr>
            <w:tcW w:w="1442" w:type="dxa"/>
            <w:tcBorders>
              <w:bottom w:val="single" w:sz="18" w:space="0" w:color="000000" w:themeColor="text1"/>
            </w:tcBorders>
            <w:tcMar>
              <w:top w:w="43" w:type="dxa"/>
              <w:left w:w="115" w:type="dxa"/>
              <w:bottom w:w="43" w:type="dxa"/>
              <w:right w:w="115" w:type="dxa"/>
            </w:tcMar>
            <w:vAlign w:val="center"/>
          </w:tcPr>
          <w:p w14:paraId="1910A29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0.363**</w:t>
            </w:r>
          </w:p>
        </w:tc>
        <w:tc>
          <w:tcPr>
            <w:tcW w:w="1485" w:type="dxa"/>
            <w:tcBorders>
              <w:bottom w:val="single" w:sz="18" w:space="0" w:color="000000" w:themeColor="text1"/>
            </w:tcBorders>
            <w:tcMar>
              <w:top w:w="43" w:type="dxa"/>
              <w:left w:w="115" w:type="dxa"/>
              <w:bottom w:w="43" w:type="dxa"/>
              <w:right w:w="115" w:type="dxa"/>
            </w:tcMar>
            <w:vAlign w:val="center"/>
          </w:tcPr>
          <w:p w14:paraId="2E3AAE2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0.384**</w:t>
            </w:r>
          </w:p>
        </w:tc>
        <w:tc>
          <w:tcPr>
            <w:tcW w:w="1485" w:type="dxa"/>
            <w:tcBorders>
              <w:bottom w:val="single" w:sz="18" w:space="0" w:color="000000" w:themeColor="text1"/>
            </w:tcBorders>
          </w:tcPr>
          <w:p w14:paraId="1C3827E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0.114**</w:t>
            </w:r>
          </w:p>
        </w:tc>
        <w:tc>
          <w:tcPr>
            <w:tcW w:w="1485" w:type="dxa"/>
            <w:tcBorders>
              <w:bottom w:val="single" w:sz="18" w:space="0" w:color="000000" w:themeColor="text1"/>
            </w:tcBorders>
          </w:tcPr>
          <w:p w14:paraId="3160581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r>
    </w:tbl>
    <w:p w14:paraId="6F7F2415" w14:textId="50D5D683" w:rsidR="0065584C" w:rsidRDefault="0065584C" w:rsidP="00EA3BB3">
      <w:pPr>
        <w:rPr>
          <w:rFonts w:ascii="Times New Roman" w:hAnsi="Times New Roman" w:cs="Times New Roman"/>
        </w:rPr>
      </w:pPr>
      <w:r>
        <w:rPr>
          <w:rFonts w:ascii="Times New Roman" w:hAnsi="Times New Roman" w:cs="Times New Roman"/>
        </w:rPr>
        <w:t>**</w:t>
      </w:r>
      <w:r w:rsidR="00EA3BB3">
        <w:rPr>
          <w:rFonts w:ascii="Times New Roman" w:hAnsi="Times New Roman" w:cs="Times New Roman"/>
        </w:rPr>
        <w:t xml:space="preserve">Denotes statistical significance at the </w:t>
      </w:r>
      <w:r>
        <w:rPr>
          <w:rFonts w:ascii="Times New Roman" w:hAnsi="Times New Roman" w:cs="Times New Roman"/>
        </w:rPr>
        <w:t>p &lt; 0.001</w:t>
      </w:r>
      <w:r w:rsidR="00EA3BB3">
        <w:rPr>
          <w:rFonts w:ascii="Times New Roman" w:hAnsi="Times New Roman" w:cs="Times New Roman"/>
        </w:rPr>
        <w:t xml:space="preserve"> level</w:t>
      </w:r>
      <w:r>
        <w:rPr>
          <w:rFonts w:ascii="Times New Roman" w:hAnsi="Times New Roman" w:cs="Times New Roman"/>
        </w:rPr>
        <w:t xml:space="preserve">, </w:t>
      </w:r>
      <w:r w:rsidR="00EA3BB3">
        <w:rPr>
          <w:rFonts w:ascii="Times New Roman" w:hAnsi="Times New Roman" w:cs="Times New Roman"/>
        </w:rPr>
        <w:t xml:space="preserve">whereas </w:t>
      </w:r>
      <w:r>
        <w:rPr>
          <w:rFonts w:ascii="Times New Roman" w:hAnsi="Times New Roman" w:cs="Times New Roman"/>
        </w:rPr>
        <w:t>*</w:t>
      </w:r>
      <w:r w:rsidR="00EA3BB3">
        <w:rPr>
          <w:rFonts w:ascii="Times New Roman" w:hAnsi="Times New Roman" w:cs="Times New Roman"/>
        </w:rPr>
        <w:t xml:space="preserve">denotes statistical significance at the </w:t>
      </w:r>
      <w:r>
        <w:rPr>
          <w:rFonts w:ascii="Times New Roman" w:hAnsi="Times New Roman" w:cs="Times New Roman"/>
        </w:rPr>
        <w:t>p &lt; 0.05</w:t>
      </w:r>
      <w:r w:rsidR="00EA3BB3">
        <w:rPr>
          <w:rFonts w:ascii="Times New Roman" w:hAnsi="Times New Roman" w:cs="Times New Roman"/>
        </w:rPr>
        <w:t xml:space="preserve"> level</w:t>
      </w:r>
      <w:r>
        <w:rPr>
          <w:rFonts w:ascii="Times New Roman" w:hAnsi="Times New Roman" w:cs="Times New Roman"/>
        </w:rPr>
        <w:t xml:space="preserve">. </w:t>
      </w:r>
      <w:r w:rsidR="00EA3BB3">
        <w:rPr>
          <w:rFonts w:ascii="Times New Roman" w:hAnsi="Times New Roman" w:cs="Times New Roman"/>
        </w:rPr>
        <w:t>SRSS = Short Recovery Stress Scale</w:t>
      </w:r>
      <w:r w:rsidR="003D100F">
        <w:rPr>
          <w:rFonts w:ascii="Times New Roman" w:hAnsi="Times New Roman" w:cs="Times New Roman"/>
        </w:rPr>
        <w:t>, (n=18)</w:t>
      </w:r>
    </w:p>
    <w:p w14:paraId="7B98260C" w14:textId="77777777" w:rsidR="0065584C" w:rsidRDefault="0065584C" w:rsidP="0065584C">
      <w:pPr>
        <w:spacing w:line="480" w:lineRule="auto"/>
        <w:rPr>
          <w:rFonts w:ascii="Times New Roman" w:hAnsi="Times New Roman" w:cs="Times New Roman"/>
        </w:rPr>
      </w:pPr>
    </w:p>
    <w:p w14:paraId="16F89445" w14:textId="41593857" w:rsidR="0065584C" w:rsidRDefault="0065584C" w:rsidP="0065584C">
      <w:pPr>
        <w:spacing w:line="480" w:lineRule="auto"/>
        <w:rPr>
          <w:rFonts w:ascii="Times New Roman" w:hAnsi="Times New Roman" w:cs="Times New Roman"/>
        </w:rPr>
      </w:pPr>
    </w:p>
    <w:p w14:paraId="16D33527" w14:textId="77777777" w:rsidR="00EA3BB3" w:rsidRDefault="00EA3BB3" w:rsidP="0065584C">
      <w:pPr>
        <w:spacing w:line="480" w:lineRule="auto"/>
        <w:rPr>
          <w:rFonts w:ascii="Times New Roman" w:hAnsi="Times New Roman" w:cs="Times New Roman"/>
        </w:rPr>
      </w:pPr>
    </w:p>
    <w:p w14:paraId="595CE2EC" w14:textId="77777777" w:rsidR="0065584C" w:rsidRPr="0056127E" w:rsidRDefault="0065584C" w:rsidP="0065584C">
      <w:pPr>
        <w:spacing w:after="120"/>
        <w:rPr>
          <w:rFonts w:ascii="Times New Roman" w:hAnsi="Times New Roman" w:cs="Times New Roman"/>
          <w:b/>
          <w:bCs/>
        </w:rPr>
      </w:pPr>
      <w:r w:rsidRPr="0056127E">
        <w:rPr>
          <w:rFonts w:ascii="Times New Roman" w:hAnsi="Times New Roman" w:cs="Times New Roman"/>
          <w:b/>
          <w:bCs/>
        </w:rPr>
        <w:lastRenderedPageBreak/>
        <w:t xml:space="preserve">Table </w:t>
      </w:r>
      <w:r>
        <w:rPr>
          <w:rFonts w:ascii="Times New Roman" w:hAnsi="Times New Roman" w:cs="Times New Roman"/>
          <w:b/>
          <w:bCs/>
        </w:rPr>
        <w:t>9</w:t>
      </w:r>
      <w:r w:rsidRPr="0056127E">
        <w:rPr>
          <w:rFonts w:ascii="Times New Roman" w:hAnsi="Times New Roman" w:cs="Times New Roman"/>
          <w:b/>
          <w:bCs/>
        </w:rPr>
        <w:t xml:space="preserve">.  Correlations between SRSS individual </w:t>
      </w:r>
      <w:r>
        <w:rPr>
          <w:rFonts w:ascii="Times New Roman" w:hAnsi="Times New Roman" w:cs="Times New Roman"/>
          <w:b/>
          <w:bCs/>
        </w:rPr>
        <w:t>recovery measures and stress measures</w:t>
      </w:r>
    </w:p>
    <w:tbl>
      <w:tblPr>
        <w:tblStyle w:val="PlainTable2"/>
        <w:tblW w:w="0" w:type="auto"/>
        <w:tblCellMar>
          <w:top w:w="144" w:type="dxa"/>
          <w:bottom w:w="144" w:type="dxa"/>
        </w:tblCellMar>
        <w:tblLook w:val="06A0" w:firstRow="1" w:lastRow="0" w:firstColumn="1" w:lastColumn="0" w:noHBand="1" w:noVBand="1"/>
      </w:tblPr>
      <w:tblGrid>
        <w:gridCol w:w="2097"/>
        <w:gridCol w:w="2097"/>
        <w:gridCol w:w="2097"/>
        <w:gridCol w:w="2097"/>
        <w:gridCol w:w="2097"/>
        <w:gridCol w:w="2097"/>
      </w:tblGrid>
      <w:tr w:rsidR="0065584C" w14:paraId="1B71BEE5" w14:textId="77777777" w:rsidTr="002B2917">
        <w:trPr>
          <w:cnfStyle w:val="100000000000" w:firstRow="1" w:lastRow="0" w:firstColumn="0" w:lastColumn="0" w:oddVBand="0" w:evenVBand="0" w:oddHBand="0"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097" w:type="dxa"/>
            <w:tcBorders>
              <w:top w:val="single" w:sz="18" w:space="0" w:color="000000" w:themeColor="text1"/>
              <w:bottom w:val="single" w:sz="18" w:space="0" w:color="000000" w:themeColor="text1"/>
            </w:tcBorders>
          </w:tcPr>
          <w:p w14:paraId="5B7A58FD" w14:textId="77777777" w:rsidR="0065584C" w:rsidRDefault="0065584C" w:rsidP="002B2917">
            <w:pPr>
              <w:jc w:val="center"/>
              <w:rPr>
                <w:rFonts w:ascii="Times New Roman" w:hAnsi="Times New Roman" w:cs="Times New Roman"/>
              </w:rPr>
            </w:pPr>
          </w:p>
        </w:tc>
        <w:tc>
          <w:tcPr>
            <w:tcW w:w="2097" w:type="dxa"/>
            <w:tcBorders>
              <w:top w:val="single" w:sz="18" w:space="0" w:color="000000" w:themeColor="text1"/>
              <w:bottom w:val="single" w:sz="18" w:space="0" w:color="000000" w:themeColor="text1"/>
            </w:tcBorders>
            <w:tcMar>
              <w:left w:w="115" w:type="dxa"/>
              <w:right w:w="115" w:type="dxa"/>
            </w:tcMar>
            <w:vAlign w:val="center"/>
          </w:tcPr>
          <w:p w14:paraId="7FB4D944" w14:textId="639F5675"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96FC0">
              <w:rPr>
                <w:rFonts w:ascii="Times New Roman" w:hAnsi="Times New Roman" w:cs="Times New Roman"/>
                <w:b w:val="0"/>
                <w:bCs w:val="0"/>
              </w:rPr>
              <w:t xml:space="preserve">Physical </w:t>
            </w:r>
            <w:r w:rsidR="00A2690A">
              <w:rPr>
                <w:rFonts w:ascii="Times New Roman" w:hAnsi="Times New Roman" w:cs="Times New Roman"/>
                <w:b w:val="0"/>
                <w:bCs w:val="0"/>
              </w:rPr>
              <w:t>r</w:t>
            </w:r>
            <w:r>
              <w:rPr>
                <w:rFonts w:ascii="Times New Roman" w:hAnsi="Times New Roman" w:cs="Times New Roman"/>
                <w:b w:val="0"/>
                <w:bCs w:val="0"/>
              </w:rPr>
              <w:t>ecovery</w:t>
            </w:r>
          </w:p>
        </w:tc>
        <w:tc>
          <w:tcPr>
            <w:tcW w:w="2097" w:type="dxa"/>
            <w:tcBorders>
              <w:top w:val="single" w:sz="18" w:space="0" w:color="000000" w:themeColor="text1"/>
              <w:bottom w:val="single" w:sz="18" w:space="0" w:color="000000" w:themeColor="text1"/>
            </w:tcBorders>
            <w:tcMar>
              <w:left w:w="115" w:type="dxa"/>
              <w:right w:w="115" w:type="dxa"/>
            </w:tcMar>
            <w:vAlign w:val="center"/>
          </w:tcPr>
          <w:p w14:paraId="58001377" w14:textId="7CB27CDA"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96FC0">
              <w:rPr>
                <w:rFonts w:ascii="Times New Roman" w:hAnsi="Times New Roman" w:cs="Times New Roman"/>
                <w:b w:val="0"/>
                <w:bCs w:val="0"/>
              </w:rPr>
              <w:t xml:space="preserve">Mental </w:t>
            </w:r>
            <w:r w:rsidR="00A2690A">
              <w:rPr>
                <w:rFonts w:ascii="Times New Roman" w:hAnsi="Times New Roman" w:cs="Times New Roman"/>
                <w:b w:val="0"/>
                <w:bCs w:val="0"/>
              </w:rPr>
              <w:t>r</w:t>
            </w:r>
            <w:r>
              <w:rPr>
                <w:rFonts w:ascii="Times New Roman" w:hAnsi="Times New Roman" w:cs="Times New Roman"/>
                <w:b w:val="0"/>
                <w:bCs w:val="0"/>
              </w:rPr>
              <w:t>ecovery</w:t>
            </w:r>
          </w:p>
        </w:tc>
        <w:tc>
          <w:tcPr>
            <w:tcW w:w="2097" w:type="dxa"/>
            <w:tcBorders>
              <w:top w:val="single" w:sz="18" w:space="0" w:color="000000" w:themeColor="text1"/>
              <w:bottom w:val="single" w:sz="18" w:space="0" w:color="000000" w:themeColor="text1"/>
            </w:tcBorders>
            <w:tcMar>
              <w:left w:w="115" w:type="dxa"/>
              <w:right w:w="115" w:type="dxa"/>
            </w:tcMar>
            <w:vAlign w:val="center"/>
          </w:tcPr>
          <w:p w14:paraId="15F7AF8C" w14:textId="73DB94C4"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96FC0">
              <w:rPr>
                <w:rFonts w:ascii="Times New Roman" w:hAnsi="Times New Roman" w:cs="Times New Roman"/>
                <w:b w:val="0"/>
                <w:bCs w:val="0"/>
              </w:rPr>
              <w:t xml:space="preserve">Emotional </w:t>
            </w:r>
            <w:r w:rsidR="00A2690A">
              <w:rPr>
                <w:rFonts w:ascii="Times New Roman" w:hAnsi="Times New Roman" w:cs="Times New Roman"/>
                <w:b w:val="0"/>
                <w:bCs w:val="0"/>
              </w:rPr>
              <w:t>r</w:t>
            </w:r>
            <w:r>
              <w:rPr>
                <w:rFonts w:ascii="Times New Roman" w:hAnsi="Times New Roman" w:cs="Times New Roman"/>
                <w:b w:val="0"/>
                <w:bCs w:val="0"/>
              </w:rPr>
              <w:t>ecovery</w:t>
            </w:r>
          </w:p>
        </w:tc>
        <w:tc>
          <w:tcPr>
            <w:tcW w:w="2097" w:type="dxa"/>
            <w:tcBorders>
              <w:top w:val="single" w:sz="18" w:space="0" w:color="000000" w:themeColor="text1"/>
              <w:bottom w:val="single" w:sz="18" w:space="0" w:color="000000" w:themeColor="text1"/>
            </w:tcBorders>
            <w:tcMar>
              <w:left w:w="115" w:type="dxa"/>
              <w:right w:w="115" w:type="dxa"/>
            </w:tcMar>
            <w:vAlign w:val="center"/>
          </w:tcPr>
          <w:p w14:paraId="5A16563D" w14:textId="3F4F6C41"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96FC0">
              <w:rPr>
                <w:rFonts w:ascii="Times New Roman" w:hAnsi="Times New Roman" w:cs="Times New Roman"/>
                <w:b w:val="0"/>
                <w:bCs w:val="0"/>
              </w:rPr>
              <w:t xml:space="preserve">Overall </w:t>
            </w:r>
            <w:r w:rsidR="00A2690A">
              <w:rPr>
                <w:rFonts w:ascii="Times New Roman" w:hAnsi="Times New Roman" w:cs="Times New Roman"/>
                <w:b w:val="0"/>
                <w:bCs w:val="0"/>
              </w:rPr>
              <w:t>r</w:t>
            </w:r>
            <w:r>
              <w:rPr>
                <w:rFonts w:ascii="Times New Roman" w:hAnsi="Times New Roman" w:cs="Times New Roman"/>
                <w:b w:val="0"/>
                <w:bCs w:val="0"/>
              </w:rPr>
              <w:t>ecovery</w:t>
            </w:r>
          </w:p>
        </w:tc>
        <w:tc>
          <w:tcPr>
            <w:tcW w:w="2097" w:type="dxa"/>
            <w:tcBorders>
              <w:top w:val="single" w:sz="18" w:space="0" w:color="000000" w:themeColor="text1"/>
              <w:bottom w:val="single" w:sz="18" w:space="0" w:color="000000" w:themeColor="text1"/>
            </w:tcBorders>
            <w:tcMar>
              <w:left w:w="115" w:type="dxa"/>
              <w:right w:w="115" w:type="dxa"/>
            </w:tcMar>
            <w:vAlign w:val="center"/>
          </w:tcPr>
          <w:p w14:paraId="25F74DD6" w14:textId="610C28EC" w:rsidR="0065584C" w:rsidRPr="00896FC0" w:rsidRDefault="005C64A6"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b w:val="0"/>
                <w:bCs w:val="0"/>
              </w:rPr>
              <w:t>R</w:t>
            </w:r>
            <w:r w:rsidR="0065584C">
              <w:rPr>
                <w:rFonts w:ascii="Times New Roman" w:hAnsi="Times New Roman" w:cs="Times New Roman"/>
                <w:b w:val="0"/>
                <w:bCs w:val="0"/>
              </w:rPr>
              <w:t>ecovery</w:t>
            </w:r>
            <w:r>
              <w:rPr>
                <w:rFonts w:ascii="Times New Roman" w:hAnsi="Times New Roman" w:cs="Times New Roman"/>
                <w:b w:val="0"/>
                <w:bCs w:val="0"/>
              </w:rPr>
              <w:t xml:space="preserve"> composite</w:t>
            </w:r>
          </w:p>
        </w:tc>
      </w:tr>
      <w:tr w:rsidR="0065584C" w14:paraId="78C6D30B" w14:textId="77777777" w:rsidTr="002B2917">
        <w:trPr>
          <w:trHeight w:val="708"/>
        </w:trPr>
        <w:tc>
          <w:tcPr>
            <w:cnfStyle w:val="001000000000" w:firstRow="0" w:lastRow="0" w:firstColumn="1" w:lastColumn="0" w:oddVBand="0" w:evenVBand="0" w:oddHBand="0" w:evenHBand="0" w:firstRowFirstColumn="0" w:firstRowLastColumn="0" w:lastRowFirstColumn="0" w:lastRowLastColumn="0"/>
            <w:tcW w:w="2097" w:type="dxa"/>
            <w:tcBorders>
              <w:top w:val="single" w:sz="18" w:space="0" w:color="000000" w:themeColor="text1"/>
            </w:tcBorders>
            <w:tcMar>
              <w:top w:w="288" w:type="dxa"/>
              <w:left w:w="115" w:type="dxa"/>
              <w:bottom w:w="43" w:type="dxa"/>
              <w:right w:w="115" w:type="dxa"/>
            </w:tcMar>
            <w:vAlign w:val="center"/>
          </w:tcPr>
          <w:p w14:paraId="75B51AD9" w14:textId="3747890D" w:rsidR="0065584C" w:rsidRPr="00896FC0" w:rsidRDefault="0065584C" w:rsidP="002B2917">
            <w:pPr>
              <w:spacing w:line="480" w:lineRule="auto"/>
              <w:rPr>
                <w:rFonts w:ascii="Times New Roman" w:hAnsi="Times New Roman" w:cs="Times New Roman"/>
              </w:rPr>
            </w:pPr>
            <w:r w:rsidRPr="00896FC0">
              <w:rPr>
                <w:rFonts w:ascii="Times New Roman" w:hAnsi="Times New Roman" w:cs="Times New Roman"/>
                <w:b w:val="0"/>
                <w:bCs w:val="0"/>
              </w:rPr>
              <w:t xml:space="preserve">Physical </w:t>
            </w:r>
            <w:r w:rsidR="00A2690A">
              <w:rPr>
                <w:rFonts w:ascii="Times New Roman" w:hAnsi="Times New Roman" w:cs="Times New Roman"/>
                <w:b w:val="0"/>
                <w:bCs w:val="0"/>
              </w:rPr>
              <w:t>s</w:t>
            </w:r>
            <w:r>
              <w:rPr>
                <w:rFonts w:ascii="Times New Roman" w:hAnsi="Times New Roman" w:cs="Times New Roman"/>
                <w:b w:val="0"/>
                <w:bCs w:val="0"/>
              </w:rPr>
              <w:t>tress</w:t>
            </w:r>
          </w:p>
        </w:tc>
        <w:tc>
          <w:tcPr>
            <w:tcW w:w="2097" w:type="dxa"/>
            <w:tcBorders>
              <w:top w:val="single" w:sz="18" w:space="0" w:color="000000" w:themeColor="text1"/>
            </w:tcBorders>
            <w:tcMar>
              <w:top w:w="288" w:type="dxa"/>
              <w:left w:w="115" w:type="dxa"/>
              <w:bottom w:w="43" w:type="dxa"/>
              <w:right w:w="115" w:type="dxa"/>
            </w:tcMar>
            <w:vAlign w:val="center"/>
          </w:tcPr>
          <w:p w14:paraId="3FD3F7DC" w14:textId="77777777" w:rsidR="0065584C" w:rsidRPr="00063490"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0.441**</w:t>
            </w:r>
          </w:p>
        </w:tc>
        <w:tc>
          <w:tcPr>
            <w:tcW w:w="2097" w:type="dxa"/>
            <w:tcBorders>
              <w:top w:val="single" w:sz="18" w:space="0" w:color="000000" w:themeColor="text1"/>
            </w:tcBorders>
            <w:tcMar>
              <w:top w:w="288" w:type="dxa"/>
              <w:left w:w="115" w:type="dxa"/>
              <w:bottom w:w="43" w:type="dxa"/>
              <w:right w:w="115" w:type="dxa"/>
            </w:tcMar>
            <w:vAlign w:val="center"/>
          </w:tcPr>
          <w:p w14:paraId="41D884A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0.303**</w:t>
            </w:r>
          </w:p>
        </w:tc>
        <w:tc>
          <w:tcPr>
            <w:tcW w:w="2097" w:type="dxa"/>
            <w:tcBorders>
              <w:top w:val="single" w:sz="18" w:space="0" w:color="000000" w:themeColor="text1"/>
            </w:tcBorders>
            <w:tcMar>
              <w:top w:w="288" w:type="dxa"/>
              <w:left w:w="115" w:type="dxa"/>
              <w:bottom w:w="43" w:type="dxa"/>
              <w:right w:w="115" w:type="dxa"/>
            </w:tcMar>
            <w:vAlign w:val="center"/>
          </w:tcPr>
          <w:p w14:paraId="2A66747B"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0.295**</w:t>
            </w:r>
          </w:p>
        </w:tc>
        <w:tc>
          <w:tcPr>
            <w:tcW w:w="2097" w:type="dxa"/>
            <w:tcBorders>
              <w:top w:val="single" w:sz="18" w:space="0" w:color="000000" w:themeColor="text1"/>
            </w:tcBorders>
            <w:tcMar>
              <w:top w:w="288" w:type="dxa"/>
              <w:left w:w="115" w:type="dxa"/>
              <w:bottom w:w="43" w:type="dxa"/>
              <w:right w:w="115" w:type="dxa"/>
            </w:tcMar>
            <w:vAlign w:val="center"/>
          </w:tcPr>
          <w:p w14:paraId="378F5CC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0.556**</w:t>
            </w:r>
          </w:p>
        </w:tc>
        <w:tc>
          <w:tcPr>
            <w:tcW w:w="2097" w:type="dxa"/>
            <w:tcBorders>
              <w:top w:val="single" w:sz="18" w:space="0" w:color="000000" w:themeColor="text1"/>
            </w:tcBorders>
            <w:tcMar>
              <w:top w:w="288" w:type="dxa"/>
              <w:left w:w="115" w:type="dxa"/>
              <w:bottom w:w="43" w:type="dxa"/>
              <w:right w:w="115" w:type="dxa"/>
            </w:tcMar>
            <w:vAlign w:val="center"/>
          </w:tcPr>
          <w:p w14:paraId="11E77D8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0.480**</w:t>
            </w:r>
          </w:p>
        </w:tc>
      </w:tr>
      <w:tr w:rsidR="0065584C" w14:paraId="08F78374" w14:textId="77777777" w:rsidTr="002B2917">
        <w:trPr>
          <w:trHeight w:val="708"/>
        </w:trPr>
        <w:tc>
          <w:tcPr>
            <w:cnfStyle w:val="001000000000" w:firstRow="0" w:lastRow="0" w:firstColumn="1" w:lastColumn="0" w:oddVBand="0" w:evenVBand="0" w:oddHBand="0" w:evenHBand="0" w:firstRowFirstColumn="0" w:firstRowLastColumn="0" w:lastRowFirstColumn="0" w:lastRowLastColumn="0"/>
            <w:tcW w:w="2097" w:type="dxa"/>
            <w:tcMar>
              <w:top w:w="43" w:type="dxa"/>
              <w:left w:w="115" w:type="dxa"/>
              <w:bottom w:w="43" w:type="dxa"/>
              <w:right w:w="115" w:type="dxa"/>
            </w:tcMar>
            <w:vAlign w:val="bottom"/>
          </w:tcPr>
          <w:p w14:paraId="7E9B3FA2" w14:textId="0F5F3B65" w:rsidR="0065584C" w:rsidRPr="00896FC0" w:rsidRDefault="0065584C" w:rsidP="002B2917">
            <w:pPr>
              <w:spacing w:line="480" w:lineRule="auto"/>
              <w:rPr>
                <w:rFonts w:ascii="Times New Roman" w:hAnsi="Times New Roman" w:cs="Times New Roman"/>
                <w:b w:val="0"/>
                <w:bCs w:val="0"/>
              </w:rPr>
            </w:pPr>
            <w:r w:rsidRPr="00896FC0">
              <w:rPr>
                <w:rFonts w:ascii="Times New Roman" w:hAnsi="Times New Roman" w:cs="Times New Roman"/>
                <w:b w:val="0"/>
                <w:bCs w:val="0"/>
              </w:rPr>
              <w:t xml:space="preserve">Mental </w:t>
            </w:r>
            <w:r w:rsidR="00A2690A">
              <w:rPr>
                <w:rFonts w:ascii="Times New Roman" w:hAnsi="Times New Roman" w:cs="Times New Roman"/>
                <w:b w:val="0"/>
                <w:bCs w:val="0"/>
              </w:rPr>
              <w:t>s</w:t>
            </w:r>
            <w:r>
              <w:rPr>
                <w:rFonts w:ascii="Times New Roman" w:hAnsi="Times New Roman" w:cs="Times New Roman"/>
                <w:b w:val="0"/>
                <w:bCs w:val="0"/>
              </w:rPr>
              <w:t>tress</w:t>
            </w:r>
          </w:p>
        </w:tc>
        <w:tc>
          <w:tcPr>
            <w:tcW w:w="2097" w:type="dxa"/>
            <w:tcMar>
              <w:top w:w="43" w:type="dxa"/>
              <w:left w:w="115" w:type="dxa"/>
              <w:bottom w:w="43" w:type="dxa"/>
              <w:right w:w="115" w:type="dxa"/>
            </w:tcMar>
            <w:vAlign w:val="center"/>
          </w:tcPr>
          <w:p w14:paraId="24E526C2"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0.520**</w:t>
            </w:r>
          </w:p>
        </w:tc>
        <w:tc>
          <w:tcPr>
            <w:tcW w:w="2097" w:type="dxa"/>
            <w:tcMar>
              <w:top w:w="43" w:type="dxa"/>
              <w:left w:w="115" w:type="dxa"/>
              <w:bottom w:w="43" w:type="dxa"/>
              <w:right w:w="115" w:type="dxa"/>
            </w:tcMar>
            <w:vAlign w:val="center"/>
          </w:tcPr>
          <w:p w14:paraId="060CB28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0.398**</w:t>
            </w:r>
          </w:p>
        </w:tc>
        <w:tc>
          <w:tcPr>
            <w:tcW w:w="2097" w:type="dxa"/>
            <w:tcMar>
              <w:top w:w="43" w:type="dxa"/>
              <w:left w:w="115" w:type="dxa"/>
              <w:bottom w:w="43" w:type="dxa"/>
              <w:right w:w="115" w:type="dxa"/>
            </w:tcMar>
            <w:vAlign w:val="center"/>
          </w:tcPr>
          <w:p w14:paraId="3029948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0.449**</w:t>
            </w:r>
          </w:p>
        </w:tc>
        <w:tc>
          <w:tcPr>
            <w:tcW w:w="2097" w:type="dxa"/>
            <w:tcMar>
              <w:top w:w="43" w:type="dxa"/>
              <w:left w:w="115" w:type="dxa"/>
              <w:bottom w:w="43" w:type="dxa"/>
              <w:right w:w="115" w:type="dxa"/>
            </w:tcMar>
            <w:vAlign w:val="center"/>
          </w:tcPr>
          <w:p w14:paraId="46349ED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0.410**</w:t>
            </w:r>
          </w:p>
        </w:tc>
        <w:tc>
          <w:tcPr>
            <w:tcW w:w="2097" w:type="dxa"/>
            <w:tcMar>
              <w:top w:w="43" w:type="dxa"/>
              <w:left w:w="115" w:type="dxa"/>
              <w:bottom w:w="43" w:type="dxa"/>
              <w:right w:w="115" w:type="dxa"/>
            </w:tcMar>
            <w:vAlign w:val="center"/>
          </w:tcPr>
          <w:p w14:paraId="6BBE921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0.539**</w:t>
            </w:r>
          </w:p>
        </w:tc>
      </w:tr>
      <w:tr w:rsidR="0065584C" w14:paraId="1C30BB7F" w14:textId="77777777" w:rsidTr="002B2917">
        <w:trPr>
          <w:trHeight w:val="708"/>
        </w:trPr>
        <w:tc>
          <w:tcPr>
            <w:cnfStyle w:val="001000000000" w:firstRow="0" w:lastRow="0" w:firstColumn="1" w:lastColumn="0" w:oddVBand="0" w:evenVBand="0" w:oddHBand="0" w:evenHBand="0" w:firstRowFirstColumn="0" w:firstRowLastColumn="0" w:lastRowFirstColumn="0" w:lastRowLastColumn="0"/>
            <w:tcW w:w="2097" w:type="dxa"/>
            <w:tcMar>
              <w:top w:w="43" w:type="dxa"/>
              <w:left w:w="115" w:type="dxa"/>
              <w:bottom w:w="43" w:type="dxa"/>
              <w:right w:w="115" w:type="dxa"/>
            </w:tcMar>
            <w:vAlign w:val="center"/>
          </w:tcPr>
          <w:p w14:paraId="1A7ABFCD" w14:textId="7B1D363B" w:rsidR="0065584C" w:rsidRPr="00896FC0" w:rsidRDefault="0065584C" w:rsidP="002B2917">
            <w:pPr>
              <w:spacing w:line="480" w:lineRule="auto"/>
              <w:rPr>
                <w:rFonts w:ascii="Times New Roman" w:hAnsi="Times New Roman" w:cs="Times New Roman"/>
                <w:b w:val="0"/>
                <w:bCs w:val="0"/>
              </w:rPr>
            </w:pPr>
            <w:r w:rsidRPr="00896FC0">
              <w:rPr>
                <w:rFonts w:ascii="Times New Roman" w:hAnsi="Times New Roman" w:cs="Times New Roman"/>
                <w:b w:val="0"/>
                <w:bCs w:val="0"/>
              </w:rPr>
              <w:t xml:space="preserve">Emotional </w:t>
            </w:r>
            <w:r w:rsidR="00A2690A">
              <w:rPr>
                <w:rFonts w:ascii="Times New Roman" w:hAnsi="Times New Roman" w:cs="Times New Roman"/>
                <w:b w:val="0"/>
                <w:bCs w:val="0"/>
              </w:rPr>
              <w:t>s</w:t>
            </w:r>
            <w:r>
              <w:rPr>
                <w:rFonts w:ascii="Times New Roman" w:hAnsi="Times New Roman" w:cs="Times New Roman"/>
                <w:b w:val="0"/>
                <w:bCs w:val="0"/>
              </w:rPr>
              <w:t>tress</w:t>
            </w:r>
          </w:p>
        </w:tc>
        <w:tc>
          <w:tcPr>
            <w:tcW w:w="2097" w:type="dxa"/>
            <w:tcMar>
              <w:top w:w="43" w:type="dxa"/>
              <w:left w:w="115" w:type="dxa"/>
              <w:bottom w:w="43" w:type="dxa"/>
              <w:right w:w="115" w:type="dxa"/>
            </w:tcMar>
            <w:vAlign w:val="center"/>
          </w:tcPr>
          <w:p w14:paraId="721CD9F6"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0.375**</w:t>
            </w:r>
          </w:p>
        </w:tc>
        <w:tc>
          <w:tcPr>
            <w:tcW w:w="2097" w:type="dxa"/>
            <w:tcMar>
              <w:top w:w="43" w:type="dxa"/>
              <w:left w:w="115" w:type="dxa"/>
              <w:bottom w:w="43" w:type="dxa"/>
              <w:right w:w="115" w:type="dxa"/>
            </w:tcMar>
            <w:vAlign w:val="center"/>
          </w:tcPr>
          <w:p w14:paraId="57E29EF0"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0.376**</w:t>
            </w:r>
          </w:p>
        </w:tc>
        <w:tc>
          <w:tcPr>
            <w:tcW w:w="2097" w:type="dxa"/>
            <w:tcMar>
              <w:top w:w="43" w:type="dxa"/>
              <w:left w:w="115" w:type="dxa"/>
              <w:bottom w:w="43" w:type="dxa"/>
              <w:right w:w="115" w:type="dxa"/>
            </w:tcMar>
            <w:vAlign w:val="center"/>
          </w:tcPr>
          <w:p w14:paraId="2BF83EA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0.636**</w:t>
            </w:r>
          </w:p>
        </w:tc>
        <w:tc>
          <w:tcPr>
            <w:tcW w:w="2097" w:type="dxa"/>
            <w:tcMar>
              <w:top w:w="43" w:type="dxa"/>
              <w:left w:w="115" w:type="dxa"/>
              <w:bottom w:w="43" w:type="dxa"/>
              <w:right w:w="115" w:type="dxa"/>
            </w:tcMar>
            <w:vAlign w:val="center"/>
          </w:tcPr>
          <w:p w14:paraId="6D890C05"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0.340**</w:t>
            </w:r>
          </w:p>
        </w:tc>
        <w:tc>
          <w:tcPr>
            <w:tcW w:w="2097" w:type="dxa"/>
            <w:tcMar>
              <w:top w:w="43" w:type="dxa"/>
              <w:left w:w="115" w:type="dxa"/>
              <w:bottom w:w="43" w:type="dxa"/>
              <w:right w:w="115" w:type="dxa"/>
            </w:tcMar>
            <w:vAlign w:val="center"/>
          </w:tcPr>
          <w:p w14:paraId="3D9F1D3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0.528**</w:t>
            </w:r>
          </w:p>
        </w:tc>
      </w:tr>
      <w:tr w:rsidR="0065584C" w14:paraId="185AA556" w14:textId="77777777" w:rsidTr="002B2917">
        <w:trPr>
          <w:trHeight w:val="708"/>
        </w:trPr>
        <w:tc>
          <w:tcPr>
            <w:cnfStyle w:val="001000000000" w:firstRow="0" w:lastRow="0" w:firstColumn="1" w:lastColumn="0" w:oddVBand="0" w:evenVBand="0" w:oddHBand="0" w:evenHBand="0" w:firstRowFirstColumn="0" w:firstRowLastColumn="0" w:lastRowFirstColumn="0" w:lastRowLastColumn="0"/>
            <w:tcW w:w="2097" w:type="dxa"/>
            <w:tcMar>
              <w:top w:w="43" w:type="dxa"/>
              <w:left w:w="115" w:type="dxa"/>
              <w:bottom w:w="43" w:type="dxa"/>
              <w:right w:w="115" w:type="dxa"/>
            </w:tcMar>
            <w:vAlign w:val="center"/>
          </w:tcPr>
          <w:p w14:paraId="1495BBED" w14:textId="327E7A8D" w:rsidR="0065584C" w:rsidRPr="00896FC0" w:rsidRDefault="0065584C" w:rsidP="002B2917">
            <w:pPr>
              <w:spacing w:line="480" w:lineRule="auto"/>
              <w:rPr>
                <w:rFonts w:ascii="Times New Roman" w:hAnsi="Times New Roman" w:cs="Times New Roman"/>
                <w:b w:val="0"/>
                <w:bCs w:val="0"/>
              </w:rPr>
            </w:pPr>
            <w:r w:rsidRPr="00896FC0">
              <w:rPr>
                <w:rFonts w:ascii="Times New Roman" w:hAnsi="Times New Roman" w:cs="Times New Roman"/>
                <w:b w:val="0"/>
                <w:bCs w:val="0"/>
              </w:rPr>
              <w:t xml:space="preserve">Overall </w:t>
            </w:r>
            <w:r w:rsidR="00A2690A">
              <w:rPr>
                <w:rFonts w:ascii="Times New Roman" w:hAnsi="Times New Roman" w:cs="Times New Roman"/>
                <w:b w:val="0"/>
                <w:bCs w:val="0"/>
              </w:rPr>
              <w:t>s</w:t>
            </w:r>
            <w:r>
              <w:rPr>
                <w:rFonts w:ascii="Times New Roman" w:hAnsi="Times New Roman" w:cs="Times New Roman"/>
                <w:b w:val="0"/>
                <w:bCs w:val="0"/>
              </w:rPr>
              <w:t>tress</w:t>
            </w:r>
          </w:p>
        </w:tc>
        <w:tc>
          <w:tcPr>
            <w:tcW w:w="2097" w:type="dxa"/>
            <w:tcMar>
              <w:top w:w="43" w:type="dxa"/>
              <w:left w:w="115" w:type="dxa"/>
              <w:bottom w:w="43" w:type="dxa"/>
              <w:right w:w="115" w:type="dxa"/>
            </w:tcMar>
            <w:vAlign w:val="center"/>
          </w:tcPr>
          <w:p w14:paraId="4F571CD5"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0.494**</w:t>
            </w:r>
          </w:p>
        </w:tc>
        <w:tc>
          <w:tcPr>
            <w:tcW w:w="2097" w:type="dxa"/>
            <w:tcMar>
              <w:top w:w="43" w:type="dxa"/>
              <w:left w:w="115" w:type="dxa"/>
              <w:bottom w:w="43" w:type="dxa"/>
              <w:right w:w="115" w:type="dxa"/>
            </w:tcMar>
            <w:vAlign w:val="center"/>
          </w:tcPr>
          <w:p w14:paraId="5BF9F7E3"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0.463**</w:t>
            </w:r>
          </w:p>
        </w:tc>
        <w:tc>
          <w:tcPr>
            <w:tcW w:w="2097" w:type="dxa"/>
            <w:tcMar>
              <w:top w:w="43" w:type="dxa"/>
              <w:left w:w="115" w:type="dxa"/>
              <w:bottom w:w="43" w:type="dxa"/>
              <w:right w:w="115" w:type="dxa"/>
            </w:tcMar>
            <w:vAlign w:val="center"/>
          </w:tcPr>
          <w:p w14:paraId="1FA79782"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0.514**</w:t>
            </w:r>
          </w:p>
        </w:tc>
        <w:tc>
          <w:tcPr>
            <w:tcW w:w="2097" w:type="dxa"/>
            <w:tcMar>
              <w:top w:w="43" w:type="dxa"/>
              <w:left w:w="115" w:type="dxa"/>
              <w:bottom w:w="43" w:type="dxa"/>
              <w:right w:w="115" w:type="dxa"/>
            </w:tcMar>
            <w:vAlign w:val="center"/>
          </w:tcPr>
          <w:p w14:paraId="7B6C1A1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0.515**</w:t>
            </w:r>
          </w:p>
        </w:tc>
        <w:tc>
          <w:tcPr>
            <w:tcW w:w="2097" w:type="dxa"/>
            <w:tcMar>
              <w:top w:w="43" w:type="dxa"/>
              <w:left w:w="115" w:type="dxa"/>
              <w:bottom w:w="43" w:type="dxa"/>
              <w:right w:w="115" w:type="dxa"/>
            </w:tcMar>
            <w:vAlign w:val="center"/>
          </w:tcPr>
          <w:p w14:paraId="7D3293BD"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0.606**</w:t>
            </w:r>
          </w:p>
        </w:tc>
      </w:tr>
      <w:tr w:rsidR="0065584C" w14:paraId="508A4AC2" w14:textId="77777777" w:rsidTr="002B2917">
        <w:trPr>
          <w:trHeight w:val="708"/>
        </w:trPr>
        <w:tc>
          <w:tcPr>
            <w:cnfStyle w:val="001000000000" w:firstRow="0" w:lastRow="0" w:firstColumn="1" w:lastColumn="0" w:oddVBand="0" w:evenVBand="0" w:oddHBand="0" w:evenHBand="0" w:firstRowFirstColumn="0" w:firstRowLastColumn="0" w:lastRowFirstColumn="0" w:lastRowLastColumn="0"/>
            <w:tcW w:w="2097" w:type="dxa"/>
            <w:tcMar>
              <w:top w:w="43" w:type="dxa"/>
              <w:left w:w="115" w:type="dxa"/>
              <w:bottom w:w="43" w:type="dxa"/>
              <w:right w:w="115" w:type="dxa"/>
            </w:tcMar>
            <w:vAlign w:val="center"/>
          </w:tcPr>
          <w:p w14:paraId="68858877" w14:textId="096E7A00" w:rsidR="0065584C" w:rsidRPr="00896FC0" w:rsidRDefault="0065584C" w:rsidP="002B2917">
            <w:pPr>
              <w:spacing w:line="480" w:lineRule="auto"/>
              <w:rPr>
                <w:rFonts w:ascii="Times New Roman" w:hAnsi="Times New Roman" w:cs="Times New Roman"/>
                <w:b w:val="0"/>
                <w:bCs w:val="0"/>
              </w:rPr>
            </w:pPr>
            <w:r>
              <w:rPr>
                <w:rFonts w:ascii="Times New Roman" w:hAnsi="Times New Roman" w:cs="Times New Roman"/>
                <w:b w:val="0"/>
                <w:bCs w:val="0"/>
              </w:rPr>
              <w:t>Stress</w:t>
            </w:r>
            <w:r w:rsidRPr="00896FC0">
              <w:rPr>
                <w:rFonts w:ascii="Times New Roman" w:hAnsi="Times New Roman" w:cs="Times New Roman"/>
                <w:b w:val="0"/>
                <w:bCs w:val="0"/>
              </w:rPr>
              <w:t xml:space="preserve"> </w:t>
            </w:r>
            <w:r w:rsidR="00A2690A">
              <w:rPr>
                <w:rFonts w:ascii="Times New Roman" w:hAnsi="Times New Roman" w:cs="Times New Roman"/>
                <w:b w:val="0"/>
                <w:bCs w:val="0"/>
              </w:rPr>
              <w:t>c</w:t>
            </w:r>
            <w:r>
              <w:rPr>
                <w:rFonts w:ascii="Times New Roman" w:hAnsi="Times New Roman" w:cs="Times New Roman"/>
                <w:b w:val="0"/>
                <w:bCs w:val="0"/>
              </w:rPr>
              <w:t>omposite</w:t>
            </w:r>
          </w:p>
        </w:tc>
        <w:tc>
          <w:tcPr>
            <w:tcW w:w="2097" w:type="dxa"/>
            <w:tcMar>
              <w:top w:w="43" w:type="dxa"/>
              <w:left w:w="115" w:type="dxa"/>
              <w:bottom w:w="43" w:type="dxa"/>
              <w:right w:w="115" w:type="dxa"/>
            </w:tcMar>
            <w:vAlign w:val="center"/>
          </w:tcPr>
          <w:p w14:paraId="65D12E3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0.549**</w:t>
            </w:r>
          </w:p>
        </w:tc>
        <w:tc>
          <w:tcPr>
            <w:tcW w:w="2097" w:type="dxa"/>
            <w:tcMar>
              <w:top w:w="43" w:type="dxa"/>
              <w:left w:w="115" w:type="dxa"/>
              <w:bottom w:w="43" w:type="dxa"/>
              <w:right w:w="115" w:type="dxa"/>
            </w:tcMar>
            <w:vAlign w:val="center"/>
          </w:tcPr>
          <w:p w14:paraId="24E71740"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0.473**</w:t>
            </w:r>
          </w:p>
        </w:tc>
        <w:tc>
          <w:tcPr>
            <w:tcW w:w="2097" w:type="dxa"/>
            <w:tcMar>
              <w:top w:w="43" w:type="dxa"/>
              <w:left w:w="115" w:type="dxa"/>
              <w:bottom w:w="43" w:type="dxa"/>
              <w:right w:w="115" w:type="dxa"/>
            </w:tcMar>
            <w:vAlign w:val="center"/>
          </w:tcPr>
          <w:p w14:paraId="5073C43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0.586**</w:t>
            </w:r>
          </w:p>
        </w:tc>
        <w:tc>
          <w:tcPr>
            <w:tcW w:w="2097" w:type="dxa"/>
            <w:tcMar>
              <w:top w:w="43" w:type="dxa"/>
              <w:left w:w="115" w:type="dxa"/>
              <w:bottom w:w="43" w:type="dxa"/>
              <w:right w:w="115" w:type="dxa"/>
            </w:tcMar>
            <w:vAlign w:val="center"/>
          </w:tcPr>
          <w:p w14:paraId="043B8D9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0.549**</w:t>
            </w:r>
          </w:p>
        </w:tc>
        <w:tc>
          <w:tcPr>
            <w:tcW w:w="2097" w:type="dxa"/>
            <w:tcMar>
              <w:top w:w="43" w:type="dxa"/>
              <w:left w:w="115" w:type="dxa"/>
              <w:bottom w:w="43" w:type="dxa"/>
              <w:right w:w="115" w:type="dxa"/>
            </w:tcMar>
            <w:vAlign w:val="center"/>
          </w:tcPr>
          <w:p w14:paraId="7BB4576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0.661**</w:t>
            </w:r>
          </w:p>
        </w:tc>
      </w:tr>
    </w:tbl>
    <w:p w14:paraId="3F2438FE" w14:textId="72E836AE" w:rsidR="0065584C" w:rsidRDefault="00EA3BB3" w:rsidP="00EA3BB3">
      <w:pPr>
        <w:rPr>
          <w:rFonts w:ascii="Times New Roman" w:hAnsi="Times New Roman" w:cs="Times New Roman"/>
        </w:rPr>
        <w:sectPr w:rsidR="0065584C" w:rsidSect="0018416C">
          <w:pgSz w:w="15840" w:h="12240" w:orient="landscape"/>
          <w:pgMar w:top="1440" w:right="1440" w:bottom="1440" w:left="1440" w:header="720" w:footer="720" w:gutter="0"/>
          <w:cols w:space="720"/>
          <w:docGrid w:linePitch="360"/>
        </w:sectPr>
      </w:pPr>
      <w:r>
        <w:rPr>
          <w:rFonts w:ascii="Times New Roman" w:hAnsi="Times New Roman" w:cs="Times New Roman"/>
        </w:rPr>
        <w:t>**Denotes statistical significance at the p &lt; 0.001 level, whereas *denotes statistical significance at the p &lt; 0.05 level. SRSS = Short Recovery Stress Scale</w:t>
      </w:r>
      <w:r w:rsidR="003D100F">
        <w:rPr>
          <w:rFonts w:ascii="Times New Roman" w:hAnsi="Times New Roman" w:cs="Times New Roman"/>
        </w:rPr>
        <w:t>, (n=18)</w:t>
      </w:r>
      <w:r w:rsidDel="00EA3BB3">
        <w:rPr>
          <w:rFonts w:ascii="Times New Roman" w:hAnsi="Times New Roman" w:cs="Times New Roman"/>
        </w:rPr>
        <w:t xml:space="preserve"> </w:t>
      </w:r>
    </w:p>
    <w:p w14:paraId="6BAB4029" w14:textId="77777777" w:rsidR="0065584C" w:rsidRPr="0056127E" w:rsidRDefault="0065584C" w:rsidP="0065584C">
      <w:pPr>
        <w:spacing w:after="120"/>
        <w:rPr>
          <w:rFonts w:ascii="Times New Roman" w:hAnsi="Times New Roman" w:cs="Times New Roman"/>
          <w:b/>
          <w:bCs/>
        </w:rPr>
      </w:pPr>
      <w:r w:rsidRPr="0056127E">
        <w:rPr>
          <w:rFonts w:ascii="Times New Roman" w:hAnsi="Times New Roman" w:cs="Times New Roman"/>
          <w:b/>
          <w:bCs/>
        </w:rPr>
        <w:lastRenderedPageBreak/>
        <w:t xml:space="preserve">Table </w:t>
      </w:r>
      <w:r>
        <w:rPr>
          <w:rFonts w:ascii="Times New Roman" w:hAnsi="Times New Roman" w:cs="Times New Roman"/>
          <w:b/>
          <w:bCs/>
        </w:rPr>
        <w:t>10</w:t>
      </w:r>
      <w:r w:rsidRPr="0056127E">
        <w:rPr>
          <w:rFonts w:ascii="Times New Roman" w:hAnsi="Times New Roman" w:cs="Times New Roman"/>
          <w:b/>
          <w:bCs/>
        </w:rPr>
        <w:t xml:space="preserve">.  Correlations between </w:t>
      </w:r>
      <w:r>
        <w:rPr>
          <w:rFonts w:ascii="Times New Roman" w:hAnsi="Times New Roman" w:cs="Times New Roman"/>
          <w:b/>
          <w:bCs/>
        </w:rPr>
        <w:t xml:space="preserve">PL and IMA measures </w:t>
      </w:r>
      <w:r w:rsidRPr="0056127E">
        <w:rPr>
          <w:rFonts w:ascii="Times New Roman" w:hAnsi="Times New Roman" w:cs="Times New Roman"/>
          <w:b/>
          <w:bCs/>
        </w:rPr>
        <w:t xml:space="preserve"> </w:t>
      </w:r>
    </w:p>
    <w:tbl>
      <w:tblPr>
        <w:tblStyle w:val="PlainTable2"/>
        <w:tblW w:w="0" w:type="auto"/>
        <w:tblCellMar>
          <w:top w:w="144" w:type="dxa"/>
          <w:bottom w:w="144" w:type="dxa"/>
        </w:tblCellMar>
        <w:tblLook w:val="06A0" w:firstRow="1" w:lastRow="0" w:firstColumn="1" w:lastColumn="0" w:noHBand="1" w:noVBand="1"/>
      </w:tblPr>
      <w:tblGrid>
        <w:gridCol w:w="2326"/>
        <w:gridCol w:w="104"/>
        <w:gridCol w:w="1086"/>
        <w:gridCol w:w="1442"/>
        <w:gridCol w:w="1475"/>
        <w:gridCol w:w="1442"/>
        <w:gridCol w:w="1485"/>
        <w:gridCol w:w="1485"/>
        <w:gridCol w:w="1485"/>
      </w:tblGrid>
      <w:tr w:rsidR="0065584C" w14:paraId="23CBC7EF" w14:textId="77777777" w:rsidTr="002B2917">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326" w:type="dxa"/>
            <w:tcBorders>
              <w:top w:val="single" w:sz="18" w:space="0" w:color="000000" w:themeColor="text1"/>
              <w:bottom w:val="single" w:sz="18" w:space="0" w:color="000000" w:themeColor="text1"/>
            </w:tcBorders>
          </w:tcPr>
          <w:p w14:paraId="23C96792" w14:textId="77777777" w:rsidR="0065584C" w:rsidRDefault="0065584C" w:rsidP="002B2917">
            <w:pPr>
              <w:jc w:val="center"/>
              <w:rPr>
                <w:rFonts w:ascii="Times New Roman" w:hAnsi="Times New Roman" w:cs="Times New Roman"/>
              </w:rPr>
            </w:pPr>
          </w:p>
        </w:tc>
        <w:tc>
          <w:tcPr>
            <w:tcW w:w="1190" w:type="dxa"/>
            <w:gridSpan w:val="2"/>
            <w:tcBorders>
              <w:top w:val="single" w:sz="18" w:space="0" w:color="000000" w:themeColor="text1"/>
              <w:bottom w:val="single" w:sz="18" w:space="0" w:color="000000" w:themeColor="text1"/>
            </w:tcBorders>
            <w:tcMar>
              <w:left w:w="115" w:type="dxa"/>
              <w:right w:w="115" w:type="dxa"/>
            </w:tcMar>
            <w:vAlign w:val="center"/>
          </w:tcPr>
          <w:p w14:paraId="00971D7E" w14:textId="77777777"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b w:val="0"/>
                <w:bCs w:val="0"/>
              </w:rPr>
              <w:t>PL</w:t>
            </w:r>
          </w:p>
        </w:tc>
        <w:tc>
          <w:tcPr>
            <w:tcW w:w="1442" w:type="dxa"/>
            <w:tcBorders>
              <w:top w:val="single" w:sz="18" w:space="0" w:color="000000" w:themeColor="text1"/>
              <w:bottom w:val="single" w:sz="18" w:space="0" w:color="000000" w:themeColor="text1"/>
            </w:tcBorders>
            <w:tcMar>
              <w:left w:w="115" w:type="dxa"/>
              <w:right w:w="115" w:type="dxa"/>
            </w:tcMar>
            <w:vAlign w:val="center"/>
          </w:tcPr>
          <w:p w14:paraId="405308E5" w14:textId="77777777"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b w:val="0"/>
                <w:bCs w:val="0"/>
              </w:rPr>
              <w:t>PL/min</w:t>
            </w:r>
          </w:p>
        </w:tc>
        <w:tc>
          <w:tcPr>
            <w:tcW w:w="1475" w:type="dxa"/>
            <w:tcBorders>
              <w:top w:val="single" w:sz="18" w:space="0" w:color="000000" w:themeColor="text1"/>
              <w:bottom w:val="single" w:sz="18" w:space="0" w:color="000000" w:themeColor="text1"/>
            </w:tcBorders>
            <w:tcMar>
              <w:left w:w="115" w:type="dxa"/>
              <w:right w:w="115" w:type="dxa"/>
            </w:tcMar>
            <w:vAlign w:val="center"/>
          </w:tcPr>
          <w:p w14:paraId="4C8913C8" w14:textId="77777777"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b w:val="0"/>
                <w:bCs w:val="0"/>
              </w:rPr>
              <w:t>PL 1D Up</w:t>
            </w:r>
          </w:p>
        </w:tc>
        <w:tc>
          <w:tcPr>
            <w:tcW w:w="1442" w:type="dxa"/>
            <w:tcBorders>
              <w:top w:val="single" w:sz="18" w:space="0" w:color="000000" w:themeColor="text1"/>
              <w:bottom w:val="single" w:sz="18" w:space="0" w:color="000000" w:themeColor="text1"/>
            </w:tcBorders>
            <w:tcMar>
              <w:left w:w="115" w:type="dxa"/>
              <w:right w:w="115" w:type="dxa"/>
            </w:tcMar>
            <w:vAlign w:val="center"/>
          </w:tcPr>
          <w:p w14:paraId="41C8B5C0" w14:textId="77777777"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b w:val="0"/>
                <w:bCs w:val="0"/>
              </w:rPr>
              <w:t>IMA High</w:t>
            </w:r>
          </w:p>
        </w:tc>
        <w:tc>
          <w:tcPr>
            <w:tcW w:w="1485" w:type="dxa"/>
            <w:tcBorders>
              <w:top w:val="single" w:sz="18" w:space="0" w:color="000000" w:themeColor="text1"/>
              <w:bottom w:val="single" w:sz="18" w:space="0" w:color="000000" w:themeColor="text1"/>
            </w:tcBorders>
            <w:tcMar>
              <w:left w:w="115" w:type="dxa"/>
              <w:right w:w="115" w:type="dxa"/>
            </w:tcMar>
            <w:vAlign w:val="center"/>
          </w:tcPr>
          <w:p w14:paraId="4BF15546" w14:textId="77777777" w:rsidR="0065584C" w:rsidRPr="00896FC0"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b w:val="0"/>
                <w:bCs w:val="0"/>
              </w:rPr>
              <w:t>IMA Med</w:t>
            </w:r>
          </w:p>
        </w:tc>
        <w:tc>
          <w:tcPr>
            <w:tcW w:w="1485" w:type="dxa"/>
            <w:tcBorders>
              <w:top w:val="single" w:sz="18" w:space="0" w:color="000000" w:themeColor="text1"/>
              <w:bottom w:val="single" w:sz="18" w:space="0" w:color="000000" w:themeColor="text1"/>
            </w:tcBorders>
            <w:vAlign w:val="center"/>
          </w:tcPr>
          <w:p w14:paraId="0461460F" w14:textId="77777777" w:rsidR="0065584C"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b w:val="0"/>
                <w:bCs w:val="0"/>
              </w:rPr>
              <w:t>IMA Low</w:t>
            </w:r>
          </w:p>
        </w:tc>
        <w:tc>
          <w:tcPr>
            <w:tcW w:w="1485" w:type="dxa"/>
            <w:tcBorders>
              <w:top w:val="single" w:sz="18" w:space="0" w:color="000000" w:themeColor="text1"/>
              <w:bottom w:val="single" w:sz="18" w:space="0" w:color="000000" w:themeColor="text1"/>
            </w:tcBorders>
            <w:vAlign w:val="center"/>
          </w:tcPr>
          <w:p w14:paraId="22C968F2" w14:textId="77777777" w:rsidR="0065584C" w:rsidRDefault="0065584C" w:rsidP="002B29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b w:val="0"/>
                <w:bCs w:val="0"/>
              </w:rPr>
              <w:t>Total IMA</w:t>
            </w:r>
          </w:p>
        </w:tc>
      </w:tr>
      <w:tr w:rsidR="0065584C" w14:paraId="226B36B4" w14:textId="77777777" w:rsidTr="002B2917">
        <w:tc>
          <w:tcPr>
            <w:cnfStyle w:val="001000000000" w:firstRow="0" w:lastRow="0" w:firstColumn="1" w:lastColumn="0" w:oddVBand="0" w:evenVBand="0" w:oddHBand="0" w:evenHBand="0" w:firstRowFirstColumn="0" w:firstRowLastColumn="0" w:lastRowFirstColumn="0" w:lastRowLastColumn="0"/>
            <w:tcW w:w="2430" w:type="dxa"/>
            <w:gridSpan w:val="2"/>
            <w:tcBorders>
              <w:top w:val="single" w:sz="18" w:space="0" w:color="000000" w:themeColor="text1"/>
            </w:tcBorders>
            <w:tcMar>
              <w:top w:w="288" w:type="dxa"/>
              <w:left w:w="115" w:type="dxa"/>
              <w:bottom w:w="43" w:type="dxa"/>
              <w:right w:w="115" w:type="dxa"/>
            </w:tcMar>
            <w:vAlign w:val="center"/>
          </w:tcPr>
          <w:p w14:paraId="5BC1E241" w14:textId="77777777" w:rsidR="0065584C" w:rsidRPr="00896FC0" w:rsidRDefault="0065584C" w:rsidP="002B2917">
            <w:pPr>
              <w:spacing w:line="480" w:lineRule="auto"/>
              <w:rPr>
                <w:rFonts w:ascii="Times New Roman" w:hAnsi="Times New Roman" w:cs="Times New Roman"/>
              </w:rPr>
            </w:pPr>
            <w:r>
              <w:rPr>
                <w:rFonts w:ascii="Times New Roman" w:hAnsi="Times New Roman" w:cs="Times New Roman"/>
                <w:b w:val="0"/>
                <w:bCs w:val="0"/>
              </w:rPr>
              <w:t>PL</w:t>
            </w:r>
          </w:p>
        </w:tc>
        <w:tc>
          <w:tcPr>
            <w:tcW w:w="1086" w:type="dxa"/>
            <w:tcBorders>
              <w:top w:val="single" w:sz="18" w:space="0" w:color="000000" w:themeColor="text1"/>
            </w:tcBorders>
            <w:tcMar>
              <w:top w:w="288" w:type="dxa"/>
              <w:left w:w="115" w:type="dxa"/>
              <w:bottom w:w="43" w:type="dxa"/>
              <w:right w:w="115" w:type="dxa"/>
            </w:tcMar>
            <w:vAlign w:val="center"/>
          </w:tcPr>
          <w:p w14:paraId="3811CDED"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442" w:type="dxa"/>
            <w:tcBorders>
              <w:top w:val="single" w:sz="18" w:space="0" w:color="000000" w:themeColor="text1"/>
            </w:tcBorders>
            <w:tcMar>
              <w:top w:w="288" w:type="dxa"/>
              <w:left w:w="115" w:type="dxa"/>
              <w:bottom w:w="43" w:type="dxa"/>
              <w:right w:w="115" w:type="dxa"/>
            </w:tcMar>
            <w:vAlign w:val="center"/>
          </w:tcPr>
          <w:p w14:paraId="1E15CFAC"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0.742**</w:t>
            </w:r>
          </w:p>
        </w:tc>
        <w:tc>
          <w:tcPr>
            <w:tcW w:w="1475" w:type="dxa"/>
            <w:tcBorders>
              <w:top w:val="single" w:sz="18" w:space="0" w:color="000000" w:themeColor="text1"/>
            </w:tcBorders>
            <w:tcMar>
              <w:top w:w="288" w:type="dxa"/>
              <w:left w:w="115" w:type="dxa"/>
              <w:bottom w:w="43" w:type="dxa"/>
              <w:right w:w="115" w:type="dxa"/>
            </w:tcMar>
            <w:vAlign w:val="center"/>
          </w:tcPr>
          <w:p w14:paraId="45CCB367"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0.986**</w:t>
            </w:r>
          </w:p>
        </w:tc>
        <w:tc>
          <w:tcPr>
            <w:tcW w:w="1442" w:type="dxa"/>
            <w:tcBorders>
              <w:top w:val="single" w:sz="18" w:space="0" w:color="000000" w:themeColor="text1"/>
            </w:tcBorders>
            <w:tcMar>
              <w:top w:w="288" w:type="dxa"/>
              <w:left w:w="115" w:type="dxa"/>
              <w:bottom w:w="43" w:type="dxa"/>
              <w:right w:w="115" w:type="dxa"/>
            </w:tcMar>
            <w:vAlign w:val="center"/>
          </w:tcPr>
          <w:p w14:paraId="590B5FEA"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0.361**</w:t>
            </w:r>
          </w:p>
        </w:tc>
        <w:tc>
          <w:tcPr>
            <w:tcW w:w="1485" w:type="dxa"/>
            <w:tcBorders>
              <w:top w:val="single" w:sz="18" w:space="0" w:color="000000" w:themeColor="text1"/>
            </w:tcBorders>
            <w:tcMar>
              <w:top w:w="288" w:type="dxa"/>
              <w:left w:w="115" w:type="dxa"/>
              <w:bottom w:w="43" w:type="dxa"/>
              <w:right w:w="115" w:type="dxa"/>
            </w:tcMar>
            <w:vAlign w:val="center"/>
          </w:tcPr>
          <w:p w14:paraId="246B8A9F"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0.618**</w:t>
            </w:r>
          </w:p>
        </w:tc>
        <w:tc>
          <w:tcPr>
            <w:tcW w:w="1485" w:type="dxa"/>
            <w:tcBorders>
              <w:top w:val="single" w:sz="18" w:space="0" w:color="000000" w:themeColor="text1"/>
            </w:tcBorders>
            <w:vAlign w:val="center"/>
          </w:tcPr>
          <w:p w14:paraId="4CB1BDD8"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0.508**</w:t>
            </w:r>
          </w:p>
        </w:tc>
        <w:tc>
          <w:tcPr>
            <w:tcW w:w="1485" w:type="dxa"/>
            <w:tcBorders>
              <w:top w:val="single" w:sz="18" w:space="0" w:color="000000" w:themeColor="text1"/>
            </w:tcBorders>
            <w:vAlign w:val="center"/>
          </w:tcPr>
          <w:p w14:paraId="59CCD744"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0.553**</w:t>
            </w:r>
          </w:p>
        </w:tc>
      </w:tr>
      <w:tr w:rsidR="0065584C" w14:paraId="4320CE25" w14:textId="77777777" w:rsidTr="002B2917">
        <w:tc>
          <w:tcPr>
            <w:cnfStyle w:val="001000000000" w:firstRow="0" w:lastRow="0" w:firstColumn="1" w:lastColumn="0" w:oddVBand="0" w:evenVBand="0" w:oddHBand="0" w:evenHBand="0" w:firstRowFirstColumn="0" w:firstRowLastColumn="0" w:lastRowFirstColumn="0" w:lastRowLastColumn="0"/>
            <w:tcW w:w="2430" w:type="dxa"/>
            <w:gridSpan w:val="2"/>
            <w:tcMar>
              <w:top w:w="43" w:type="dxa"/>
              <w:left w:w="115" w:type="dxa"/>
              <w:bottom w:w="43" w:type="dxa"/>
              <w:right w:w="115" w:type="dxa"/>
            </w:tcMar>
            <w:vAlign w:val="bottom"/>
          </w:tcPr>
          <w:p w14:paraId="061E598E" w14:textId="77777777" w:rsidR="0065584C" w:rsidRPr="00896FC0" w:rsidRDefault="0065584C" w:rsidP="002B2917">
            <w:pPr>
              <w:spacing w:line="480" w:lineRule="auto"/>
              <w:rPr>
                <w:rFonts w:ascii="Times New Roman" w:hAnsi="Times New Roman" w:cs="Times New Roman"/>
                <w:b w:val="0"/>
                <w:bCs w:val="0"/>
              </w:rPr>
            </w:pPr>
            <w:r>
              <w:rPr>
                <w:rFonts w:ascii="Times New Roman" w:hAnsi="Times New Roman" w:cs="Times New Roman"/>
                <w:b w:val="0"/>
                <w:bCs w:val="0"/>
              </w:rPr>
              <w:t>PL/min</w:t>
            </w:r>
          </w:p>
        </w:tc>
        <w:tc>
          <w:tcPr>
            <w:tcW w:w="1086" w:type="dxa"/>
            <w:tcMar>
              <w:top w:w="43" w:type="dxa"/>
              <w:left w:w="115" w:type="dxa"/>
              <w:bottom w:w="43" w:type="dxa"/>
              <w:right w:w="115" w:type="dxa"/>
            </w:tcMar>
            <w:vAlign w:val="center"/>
          </w:tcPr>
          <w:p w14:paraId="555E5EF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0.742**</w:t>
            </w:r>
          </w:p>
        </w:tc>
        <w:tc>
          <w:tcPr>
            <w:tcW w:w="1442" w:type="dxa"/>
            <w:tcMar>
              <w:top w:w="43" w:type="dxa"/>
              <w:left w:w="115" w:type="dxa"/>
              <w:bottom w:w="43" w:type="dxa"/>
              <w:right w:w="115" w:type="dxa"/>
            </w:tcMar>
            <w:vAlign w:val="center"/>
          </w:tcPr>
          <w:p w14:paraId="206E4DC0"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475" w:type="dxa"/>
            <w:tcMar>
              <w:top w:w="43" w:type="dxa"/>
              <w:left w:w="115" w:type="dxa"/>
              <w:bottom w:w="43" w:type="dxa"/>
              <w:right w:w="115" w:type="dxa"/>
            </w:tcMar>
            <w:vAlign w:val="center"/>
          </w:tcPr>
          <w:p w14:paraId="42A989AE"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0.761**</w:t>
            </w:r>
          </w:p>
        </w:tc>
        <w:tc>
          <w:tcPr>
            <w:tcW w:w="1442" w:type="dxa"/>
            <w:tcMar>
              <w:top w:w="43" w:type="dxa"/>
              <w:left w:w="115" w:type="dxa"/>
              <w:bottom w:w="43" w:type="dxa"/>
              <w:right w:w="115" w:type="dxa"/>
            </w:tcMar>
            <w:vAlign w:val="center"/>
          </w:tcPr>
          <w:p w14:paraId="7D13A442"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0.329**</w:t>
            </w:r>
          </w:p>
        </w:tc>
        <w:tc>
          <w:tcPr>
            <w:tcW w:w="1485" w:type="dxa"/>
            <w:tcMar>
              <w:top w:w="43" w:type="dxa"/>
              <w:left w:w="115" w:type="dxa"/>
              <w:bottom w:w="43" w:type="dxa"/>
              <w:right w:w="115" w:type="dxa"/>
            </w:tcMar>
            <w:vAlign w:val="center"/>
          </w:tcPr>
          <w:p w14:paraId="75918630"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0.464**</w:t>
            </w:r>
          </w:p>
        </w:tc>
        <w:tc>
          <w:tcPr>
            <w:tcW w:w="1485" w:type="dxa"/>
          </w:tcPr>
          <w:p w14:paraId="6AD5D659"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0.284*</w:t>
            </w:r>
          </w:p>
        </w:tc>
        <w:tc>
          <w:tcPr>
            <w:tcW w:w="1485" w:type="dxa"/>
          </w:tcPr>
          <w:p w14:paraId="288CF85D" w14:textId="77777777" w:rsidR="0065584C"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0.437**</w:t>
            </w:r>
          </w:p>
        </w:tc>
      </w:tr>
      <w:tr w:rsidR="0065584C" w:rsidRPr="00A41533" w14:paraId="23B4FBC5" w14:textId="77777777" w:rsidTr="002B2917">
        <w:tc>
          <w:tcPr>
            <w:cnfStyle w:val="001000000000" w:firstRow="0" w:lastRow="0" w:firstColumn="1" w:lastColumn="0" w:oddVBand="0" w:evenVBand="0" w:oddHBand="0" w:evenHBand="0" w:firstRowFirstColumn="0" w:firstRowLastColumn="0" w:lastRowFirstColumn="0" w:lastRowLastColumn="0"/>
            <w:tcW w:w="2430" w:type="dxa"/>
            <w:gridSpan w:val="2"/>
            <w:tcMar>
              <w:top w:w="43" w:type="dxa"/>
              <w:left w:w="115" w:type="dxa"/>
              <w:bottom w:w="43" w:type="dxa"/>
              <w:right w:w="115" w:type="dxa"/>
            </w:tcMar>
            <w:vAlign w:val="center"/>
          </w:tcPr>
          <w:p w14:paraId="5C912A6C" w14:textId="77777777" w:rsidR="0065584C" w:rsidRPr="00896FC0" w:rsidRDefault="0065584C" w:rsidP="002B2917">
            <w:pPr>
              <w:spacing w:line="480" w:lineRule="auto"/>
              <w:rPr>
                <w:rFonts w:ascii="Times New Roman" w:hAnsi="Times New Roman" w:cs="Times New Roman"/>
                <w:b w:val="0"/>
                <w:bCs w:val="0"/>
              </w:rPr>
            </w:pPr>
            <w:r>
              <w:rPr>
                <w:rFonts w:ascii="Times New Roman" w:hAnsi="Times New Roman" w:cs="Times New Roman"/>
                <w:b w:val="0"/>
                <w:bCs w:val="0"/>
              </w:rPr>
              <w:t>PL 1D Up</w:t>
            </w:r>
          </w:p>
        </w:tc>
        <w:tc>
          <w:tcPr>
            <w:tcW w:w="1086" w:type="dxa"/>
            <w:tcMar>
              <w:top w:w="43" w:type="dxa"/>
              <w:left w:w="115" w:type="dxa"/>
              <w:bottom w:w="43" w:type="dxa"/>
              <w:right w:w="115" w:type="dxa"/>
            </w:tcMar>
            <w:vAlign w:val="center"/>
          </w:tcPr>
          <w:p w14:paraId="481547ED"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0.986**</w:t>
            </w:r>
          </w:p>
        </w:tc>
        <w:tc>
          <w:tcPr>
            <w:tcW w:w="1442" w:type="dxa"/>
            <w:tcMar>
              <w:top w:w="43" w:type="dxa"/>
              <w:left w:w="115" w:type="dxa"/>
              <w:bottom w:w="43" w:type="dxa"/>
              <w:right w:w="115" w:type="dxa"/>
            </w:tcMar>
            <w:vAlign w:val="center"/>
          </w:tcPr>
          <w:p w14:paraId="73752F01"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0.761**</w:t>
            </w:r>
          </w:p>
        </w:tc>
        <w:tc>
          <w:tcPr>
            <w:tcW w:w="1475" w:type="dxa"/>
            <w:tcMar>
              <w:top w:w="43" w:type="dxa"/>
              <w:left w:w="115" w:type="dxa"/>
              <w:bottom w:w="43" w:type="dxa"/>
              <w:right w:w="115" w:type="dxa"/>
            </w:tcMar>
            <w:vAlign w:val="center"/>
          </w:tcPr>
          <w:p w14:paraId="71992662"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w:t>
            </w:r>
          </w:p>
        </w:tc>
        <w:tc>
          <w:tcPr>
            <w:tcW w:w="1442" w:type="dxa"/>
            <w:tcMar>
              <w:top w:w="43" w:type="dxa"/>
              <w:left w:w="115" w:type="dxa"/>
              <w:bottom w:w="43" w:type="dxa"/>
              <w:right w:w="115" w:type="dxa"/>
            </w:tcMar>
            <w:vAlign w:val="center"/>
          </w:tcPr>
          <w:p w14:paraId="1B626288"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0.377**</w:t>
            </w:r>
          </w:p>
        </w:tc>
        <w:tc>
          <w:tcPr>
            <w:tcW w:w="1485" w:type="dxa"/>
            <w:tcMar>
              <w:top w:w="43" w:type="dxa"/>
              <w:left w:w="115" w:type="dxa"/>
              <w:bottom w:w="43" w:type="dxa"/>
              <w:right w:w="115" w:type="dxa"/>
            </w:tcMar>
            <w:vAlign w:val="center"/>
          </w:tcPr>
          <w:p w14:paraId="286AC8A9"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0.634**</w:t>
            </w:r>
          </w:p>
        </w:tc>
        <w:tc>
          <w:tcPr>
            <w:tcW w:w="1485" w:type="dxa"/>
          </w:tcPr>
          <w:p w14:paraId="23A0B94A"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0.518**</w:t>
            </w:r>
          </w:p>
        </w:tc>
        <w:tc>
          <w:tcPr>
            <w:tcW w:w="1485" w:type="dxa"/>
          </w:tcPr>
          <w:p w14:paraId="67F100B5"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0.551**</w:t>
            </w:r>
          </w:p>
        </w:tc>
      </w:tr>
      <w:tr w:rsidR="0065584C" w:rsidRPr="00A41533" w14:paraId="5B48FDDC" w14:textId="77777777" w:rsidTr="002B2917">
        <w:tc>
          <w:tcPr>
            <w:cnfStyle w:val="001000000000" w:firstRow="0" w:lastRow="0" w:firstColumn="1" w:lastColumn="0" w:oddVBand="0" w:evenVBand="0" w:oddHBand="0" w:evenHBand="0" w:firstRowFirstColumn="0" w:firstRowLastColumn="0" w:lastRowFirstColumn="0" w:lastRowLastColumn="0"/>
            <w:tcW w:w="2430" w:type="dxa"/>
            <w:gridSpan w:val="2"/>
            <w:tcMar>
              <w:top w:w="43" w:type="dxa"/>
              <w:left w:w="115" w:type="dxa"/>
              <w:bottom w:w="43" w:type="dxa"/>
              <w:right w:w="115" w:type="dxa"/>
            </w:tcMar>
            <w:vAlign w:val="center"/>
          </w:tcPr>
          <w:p w14:paraId="712B6A23" w14:textId="77777777" w:rsidR="0065584C" w:rsidRPr="00896FC0" w:rsidRDefault="0065584C" w:rsidP="002B2917">
            <w:pPr>
              <w:spacing w:line="480" w:lineRule="auto"/>
              <w:rPr>
                <w:rFonts w:ascii="Times New Roman" w:hAnsi="Times New Roman" w:cs="Times New Roman"/>
                <w:b w:val="0"/>
                <w:bCs w:val="0"/>
              </w:rPr>
            </w:pPr>
            <w:r>
              <w:rPr>
                <w:rFonts w:ascii="Times New Roman" w:hAnsi="Times New Roman" w:cs="Times New Roman"/>
                <w:b w:val="0"/>
                <w:bCs w:val="0"/>
              </w:rPr>
              <w:t>IMA High</w:t>
            </w:r>
          </w:p>
        </w:tc>
        <w:tc>
          <w:tcPr>
            <w:tcW w:w="1086" w:type="dxa"/>
            <w:tcMar>
              <w:top w:w="43" w:type="dxa"/>
              <w:left w:w="115" w:type="dxa"/>
              <w:bottom w:w="43" w:type="dxa"/>
              <w:right w:w="115" w:type="dxa"/>
            </w:tcMar>
            <w:vAlign w:val="center"/>
          </w:tcPr>
          <w:p w14:paraId="2993BC0C"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0.361**</w:t>
            </w:r>
          </w:p>
        </w:tc>
        <w:tc>
          <w:tcPr>
            <w:tcW w:w="1442" w:type="dxa"/>
            <w:tcMar>
              <w:top w:w="43" w:type="dxa"/>
              <w:left w:w="115" w:type="dxa"/>
              <w:bottom w:w="43" w:type="dxa"/>
              <w:right w:w="115" w:type="dxa"/>
            </w:tcMar>
            <w:vAlign w:val="center"/>
          </w:tcPr>
          <w:p w14:paraId="23A1F19A"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0.329**</w:t>
            </w:r>
          </w:p>
        </w:tc>
        <w:tc>
          <w:tcPr>
            <w:tcW w:w="1475" w:type="dxa"/>
            <w:tcMar>
              <w:top w:w="43" w:type="dxa"/>
              <w:left w:w="115" w:type="dxa"/>
              <w:bottom w:w="43" w:type="dxa"/>
              <w:right w:w="115" w:type="dxa"/>
            </w:tcMar>
            <w:vAlign w:val="center"/>
          </w:tcPr>
          <w:p w14:paraId="16BE613D"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0.377**</w:t>
            </w:r>
          </w:p>
        </w:tc>
        <w:tc>
          <w:tcPr>
            <w:tcW w:w="1442" w:type="dxa"/>
            <w:tcMar>
              <w:top w:w="43" w:type="dxa"/>
              <w:left w:w="115" w:type="dxa"/>
              <w:bottom w:w="43" w:type="dxa"/>
              <w:right w:w="115" w:type="dxa"/>
            </w:tcMar>
            <w:vAlign w:val="center"/>
          </w:tcPr>
          <w:p w14:paraId="20A50ECB"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w:t>
            </w:r>
          </w:p>
        </w:tc>
        <w:tc>
          <w:tcPr>
            <w:tcW w:w="1485" w:type="dxa"/>
            <w:tcMar>
              <w:top w:w="43" w:type="dxa"/>
              <w:left w:w="115" w:type="dxa"/>
              <w:bottom w:w="43" w:type="dxa"/>
              <w:right w:w="115" w:type="dxa"/>
            </w:tcMar>
            <w:vAlign w:val="center"/>
          </w:tcPr>
          <w:p w14:paraId="77354CF9"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0.502**</w:t>
            </w:r>
          </w:p>
        </w:tc>
        <w:tc>
          <w:tcPr>
            <w:tcW w:w="1485" w:type="dxa"/>
          </w:tcPr>
          <w:p w14:paraId="52D6D462"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0.173*</w:t>
            </w:r>
          </w:p>
        </w:tc>
        <w:tc>
          <w:tcPr>
            <w:tcW w:w="1485" w:type="dxa"/>
          </w:tcPr>
          <w:p w14:paraId="169E8B0C"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0.623**</w:t>
            </w:r>
          </w:p>
        </w:tc>
      </w:tr>
      <w:tr w:rsidR="0065584C" w:rsidRPr="00A41533" w14:paraId="7F9A70FC" w14:textId="77777777" w:rsidTr="002B2917">
        <w:tc>
          <w:tcPr>
            <w:cnfStyle w:val="001000000000" w:firstRow="0" w:lastRow="0" w:firstColumn="1" w:lastColumn="0" w:oddVBand="0" w:evenVBand="0" w:oddHBand="0" w:evenHBand="0" w:firstRowFirstColumn="0" w:firstRowLastColumn="0" w:lastRowFirstColumn="0" w:lastRowLastColumn="0"/>
            <w:tcW w:w="2430" w:type="dxa"/>
            <w:gridSpan w:val="2"/>
            <w:tcMar>
              <w:top w:w="43" w:type="dxa"/>
              <w:left w:w="115" w:type="dxa"/>
              <w:bottom w:w="43" w:type="dxa"/>
              <w:right w:w="115" w:type="dxa"/>
            </w:tcMar>
            <w:vAlign w:val="center"/>
          </w:tcPr>
          <w:p w14:paraId="1A3FCB19" w14:textId="77777777" w:rsidR="0065584C" w:rsidRPr="007009FA" w:rsidRDefault="0065584C" w:rsidP="002B2917">
            <w:pPr>
              <w:spacing w:line="480" w:lineRule="auto"/>
              <w:rPr>
                <w:rFonts w:ascii="Times New Roman" w:hAnsi="Times New Roman" w:cs="Times New Roman"/>
                <w:b w:val="0"/>
                <w:bCs w:val="0"/>
              </w:rPr>
            </w:pPr>
            <w:r w:rsidRPr="007009FA">
              <w:rPr>
                <w:rFonts w:ascii="Times New Roman" w:hAnsi="Times New Roman" w:cs="Times New Roman"/>
                <w:b w:val="0"/>
                <w:bCs w:val="0"/>
              </w:rPr>
              <w:t>IMA Med</w:t>
            </w:r>
          </w:p>
        </w:tc>
        <w:tc>
          <w:tcPr>
            <w:tcW w:w="1086" w:type="dxa"/>
            <w:tcMar>
              <w:top w:w="43" w:type="dxa"/>
              <w:left w:w="115" w:type="dxa"/>
              <w:bottom w:w="43" w:type="dxa"/>
              <w:right w:w="115" w:type="dxa"/>
            </w:tcMar>
            <w:vAlign w:val="center"/>
          </w:tcPr>
          <w:p w14:paraId="1C5F4052"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0.618**</w:t>
            </w:r>
          </w:p>
        </w:tc>
        <w:tc>
          <w:tcPr>
            <w:tcW w:w="1442" w:type="dxa"/>
            <w:tcMar>
              <w:top w:w="43" w:type="dxa"/>
              <w:left w:w="115" w:type="dxa"/>
              <w:bottom w:w="43" w:type="dxa"/>
              <w:right w:w="115" w:type="dxa"/>
            </w:tcMar>
            <w:vAlign w:val="center"/>
          </w:tcPr>
          <w:p w14:paraId="0D335326"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0.464**</w:t>
            </w:r>
          </w:p>
        </w:tc>
        <w:tc>
          <w:tcPr>
            <w:tcW w:w="1475" w:type="dxa"/>
            <w:tcMar>
              <w:top w:w="43" w:type="dxa"/>
              <w:left w:w="115" w:type="dxa"/>
              <w:bottom w:w="43" w:type="dxa"/>
              <w:right w:w="115" w:type="dxa"/>
            </w:tcMar>
            <w:vAlign w:val="center"/>
          </w:tcPr>
          <w:p w14:paraId="0509859E"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0.634**</w:t>
            </w:r>
          </w:p>
        </w:tc>
        <w:tc>
          <w:tcPr>
            <w:tcW w:w="1442" w:type="dxa"/>
            <w:tcMar>
              <w:top w:w="43" w:type="dxa"/>
              <w:left w:w="115" w:type="dxa"/>
              <w:bottom w:w="43" w:type="dxa"/>
              <w:right w:w="115" w:type="dxa"/>
            </w:tcMar>
            <w:vAlign w:val="center"/>
          </w:tcPr>
          <w:p w14:paraId="5957A356"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0.502**</w:t>
            </w:r>
          </w:p>
        </w:tc>
        <w:tc>
          <w:tcPr>
            <w:tcW w:w="1485" w:type="dxa"/>
            <w:tcMar>
              <w:top w:w="43" w:type="dxa"/>
              <w:left w:w="115" w:type="dxa"/>
              <w:bottom w:w="43" w:type="dxa"/>
              <w:right w:w="115" w:type="dxa"/>
            </w:tcMar>
            <w:vAlign w:val="center"/>
          </w:tcPr>
          <w:p w14:paraId="12220924"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w:t>
            </w:r>
          </w:p>
        </w:tc>
        <w:tc>
          <w:tcPr>
            <w:tcW w:w="1485" w:type="dxa"/>
          </w:tcPr>
          <w:p w14:paraId="3EC556F6"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0.622**</w:t>
            </w:r>
          </w:p>
        </w:tc>
        <w:tc>
          <w:tcPr>
            <w:tcW w:w="1485" w:type="dxa"/>
          </w:tcPr>
          <w:p w14:paraId="33A5EDA4"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0.636**</w:t>
            </w:r>
          </w:p>
        </w:tc>
      </w:tr>
      <w:tr w:rsidR="0065584C" w:rsidRPr="00A41533" w14:paraId="16AC0F08" w14:textId="77777777" w:rsidTr="002B2917">
        <w:tc>
          <w:tcPr>
            <w:cnfStyle w:val="001000000000" w:firstRow="0" w:lastRow="0" w:firstColumn="1" w:lastColumn="0" w:oddVBand="0" w:evenVBand="0" w:oddHBand="0" w:evenHBand="0" w:firstRowFirstColumn="0" w:firstRowLastColumn="0" w:lastRowFirstColumn="0" w:lastRowLastColumn="0"/>
            <w:tcW w:w="2430" w:type="dxa"/>
            <w:gridSpan w:val="2"/>
            <w:tcMar>
              <w:top w:w="43" w:type="dxa"/>
              <w:left w:w="115" w:type="dxa"/>
              <w:bottom w:w="43" w:type="dxa"/>
              <w:right w:w="115" w:type="dxa"/>
            </w:tcMar>
            <w:vAlign w:val="center"/>
          </w:tcPr>
          <w:p w14:paraId="62ED6D87" w14:textId="77777777" w:rsidR="0065584C" w:rsidRPr="007009FA" w:rsidRDefault="0065584C" w:rsidP="002B2917">
            <w:pPr>
              <w:spacing w:line="480" w:lineRule="auto"/>
              <w:rPr>
                <w:rFonts w:ascii="Times New Roman" w:hAnsi="Times New Roman" w:cs="Times New Roman"/>
                <w:b w:val="0"/>
                <w:bCs w:val="0"/>
              </w:rPr>
            </w:pPr>
            <w:r w:rsidRPr="007009FA">
              <w:rPr>
                <w:rFonts w:ascii="Times New Roman" w:hAnsi="Times New Roman" w:cs="Times New Roman"/>
                <w:b w:val="0"/>
                <w:bCs w:val="0"/>
              </w:rPr>
              <w:t>IMA Low</w:t>
            </w:r>
          </w:p>
        </w:tc>
        <w:tc>
          <w:tcPr>
            <w:tcW w:w="1086" w:type="dxa"/>
            <w:tcMar>
              <w:top w:w="43" w:type="dxa"/>
              <w:left w:w="115" w:type="dxa"/>
              <w:bottom w:w="43" w:type="dxa"/>
              <w:right w:w="115" w:type="dxa"/>
            </w:tcMar>
            <w:vAlign w:val="center"/>
          </w:tcPr>
          <w:p w14:paraId="498FC928"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0.508**</w:t>
            </w:r>
          </w:p>
        </w:tc>
        <w:tc>
          <w:tcPr>
            <w:tcW w:w="1442" w:type="dxa"/>
            <w:tcMar>
              <w:top w:w="43" w:type="dxa"/>
              <w:left w:w="115" w:type="dxa"/>
              <w:bottom w:w="43" w:type="dxa"/>
              <w:right w:w="115" w:type="dxa"/>
            </w:tcMar>
            <w:vAlign w:val="center"/>
          </w:tcPr>
          <w:p w14:paraId="2C24D9B3"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0.284*</w:t>
            </w:r>
          </w:p>
        </w:tc>
        <w:tc>
          <w:tcPr>
            <w:tcW w:w="1475" w:type="dxa"/>
            <w:tcMar>
              <w:top w:w="43" w:type="dxa"/>
              <w:left w:w="115" w:type="dxa"/>
              <w:bottom w:w="43" w:type="dxa"/>
              <w:right w:w="115" w:type="dxa"/>
            </w:tcMar>
            <w:vAlign w:val="center"/>
          </w:tcPr>
          <w:p w14:paraId="1CC07D86"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0.518**</w:t>
            </w:r>
          </w:p>
        </w:tc>
        <w:tc>
          <w:tcPr>
            <w:tcW w:w="1442" w:type="dxa"/>
            <w:tcMar>
              <w:top w:w="43" w:type="dxa"/>
              <w:left w:w="115" w:type="dxa"/>
              <w:bottom w:w="43" w:type="dxa"/>
              <w:right w:w="115" w:type="dxa"/>
            </w:tcMar>
            <w:vAlign w:val="center"/>
          </w:tcPr>
          <w:p w14:paraId="1F9C3AD3"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0.173*</w:t>
            </w:r>
          </w:p>
        </w:tc>
        <w:tc>
          <w:tcPr>
            <w:tcW w:w="1485" w:type="dxa"/>
            <w:tcMar>
              <w:top w:w="43" w:type="dxa"/>
              <w:left w:w="115" w:type="dxa"/>
              <w:bottom w:w="43" w:type="dxa"/>
              <w:right w:w="115" w:type="dxa"/>
            </w:tcMar>
            <w:vAlign w:val="center"/>
          </w:tcPr>
          <w:p w14:paraId="47896C85"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0.622**</w:t>
            </w:r>
          </w:p>
        </w:tc>
        <w:tc>
          <w:tcPr>
            <w:tcW w:w="1485" w:type="dxa"/>
          </w:tcPr>
          <w:p w14:paraId="7E15092C"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w:t>
            </w:r>
          </w:p>
        </w:tc>
        <w:tc>
          <w:tcPr>
            <w:tcW w:w="1485" w:type="dxa"/>
          </w:tcPr>
          <w:p w14:paraId="080DDB8B" w14:textId="77777777" w:rsidR="0065584C" w:rsidRPr="007009FA"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009FA">
              <w:rPr>
                <w:rFonts w:ascii="Times New Roman" w:hAnsi="Times New Roman" w:cs="Times New Roman"/>
              </w:rPr>
              <w:t>0.337**</w:t>
            </w:r>
          </w:p>
        </w:tc>
      </w:tr>
      <w:tr w:rsidR="0065584C" w:rsidRPr="00A41533" w14:paraId="43DA913C" w14:textId="77777777" w:rsidTr="002B2917">
        <w:tc>
          <w:tcPr>
            <w:cnfStyle w:val="001000000000" w:firstRow="0" w:lastRow="0" w:firstColumn="1" w:lastColumn="0" w:oddVBand="0" w:evenVBand="0" w:oddHBand="0" w:evenHBand="0" w:firstRowFirstColumn="0" w:firstRowLastColumn="0" w:lastRowFirstColumn="0" w:lastRowLastColumn="0"/>
            <w:tcW w:w="2430" w:type="dxa"/>
            <w:gridSpan w:val="2"/>
            <w:tcBorders>
              <w:bottom w:val="single" w:sz="18" w:space="0" w:color="000000" w:themeColor="text1"/>
            </w:tcBorders>
            <w:tcMar>
              <w:top w:w="43" w:type="dxa"/>
              <w:left w:w="115" w:type="dxa"/>
              <w:bottom w:w="43" w:type="dxa"/>
              <w:right w:w="115" w:type="dxa"/>
            </w:tcMar>
            <w:vAlign w:val="center"/>
          </w:tcPr>
          <w:p w14:paraId="61C96DD6" w14:textId="77777777" w:rsidR="0065584C" w:rsidRPr="00693CB2" w:rsidRDefault="0065584C" w:rsidP="002B2917">
            <w:pPr>
              <w:spacing w:line="480" w:lineRule="auto"/>
              <w:rPr>
                <w:rFonts w:ascii="Times New Roman" w:hAnsi="Times New Roman" w:cs="Times New Roman"/>
                <w:b w:val="0"/>
                <w:bCs w:val="0"/>
              </w:rPr>
            </w:pPr>
            <w:r w:rsidRPr="00693CB2">
              <w:rPr>
                <w:rFonts w:ascii="Times New Roman" w:hAnsi="Times New Roman" w:cs="Times New Roman"/>
                <w:b w:val="0"/>
                <w:bCs w:val="0"/>
              </w:rPr>
              <w:t>Total IMA</w:t>
            </w:r>
          </w:p>
        </w:tc>
        <w:tc>
          <w:tcPr>
            <w:tcW w:w="1086" w:type="dxa"/>
            <w:tcBorders>
              <w:bottom w:val="single" w:sz="18" w:space="0" w:color="000000" w:themeColor="text1"/>
            </w:tcBorders>
            <w:tcMar>
              <w:top w:w="43" w:type="dxa"/>
              <w:left w:w="115" w:type="dxa"/>
              <w:bottom w:w="43" w:type="dxa"/>
              <w:right w:w="115" w:type="dxa"/>
            </w:tcMar>
            <w:vAlign w:val="center"/>
          </w:tcPr>
          <w:p w14:paraId="078792F9" w14:textId="77777777" w:rsidR="0065584C" w:rsidRPr="00693CB2"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93CB2">
              <w:rPr>
                <w:rFonts w:ascii="Times New Roman" w:hAnsi="Times New Roman" w:cs="Times New Roman"/>
              </w:rPr>
              <w:t>0.553**</w:t>
            </w:r>
          </w:p>
        </w:tc>
        <w:tc>
          <w:tcPr>
            <w:tcW w:w="1442" w:type="dxa"/>
            <w:tcBorders>
              <w:bottom w:val="single" w:sz="18" w:space="0" w:color="000000" w:themeColor="text1"/>
            </w:tcBorders>
            <w:tcMar>
              <w:top w:w="43" w:type="dxa"/>
              <w:left w:w="115" w:type="dxa"/>
              <w:bottom w:w="43" w:type="dxa"/>
              <w:right w:w="115" w:type="dxa"/>
            </w:tcMar>
            <w:vAlign w:val="center"/>
          </w:tcPr>
          <w:p w14:paraId="771E00F8" w14:textId="77777777" w:rsidR="0065584C" w:rsidRPr="00693CB2"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93CB2">
              <w:rPr>
                <w:rFonts w:ascii="Times New Roman" w:hAnsi="Times New Roman" w:cs="Times New Roman"/>
              </w:rPr>
              <w:t>0.473**</w:t>
            </w:r>
          </w:p>
        </w:tc>
        <w:tc>
          <w:tcPr>
            <w:tcW w:w="1475" w:type="dxa"/>
            <w:tcBorders>
              <w:bottom w:val="single" w:sz="18" w:space="0" w:color="000000" w:themeColor="text1"/>
            </w:tcBorders>
            <w:tcMar>
              <w:top w:w="43" w:type="dxa"/>
              <w:left w:w="115" w:type="dxa"/>
              <w:bottom w:w="43" w:type="dxa"/>
              <w:right w:w="115" w:type="dxa"/>
            </w:tcMar>
            <w:vAlign w:val="center"/>
          </w:tcPr>
          <w:p w14:paraId="551811DE" w14:textId="77777777" w:rsidR="0065584C" w:rsidRPr="00693CB2"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93CB2">
              <w:rPr>
                <w:rFonts w:ascii="Times New Roman" w:hAnsi="Times New Roman" w:cs="Times New Roman"/>
              </w:rPr>
              <w:t>0.551**</w:t>
            </w:r>
          </w:p>
        </w:tc>
        <w:tc>
          <w:tcPr>
            <w:tcW w:w="1442" w:type="dxa"/>
            <w:tcBorders>
              <w:bottom w:val="single" w:sz="18" w:space="0" w:color="000000" w:themeColor="text1"/>
            </w:tcBorders>
            <w:tcMar>
              <w:top w:w="43" w:type="dxa"/>
              <w:left w:w="115" w:type="dxa"/>
              <w:bottom w:w="43" w:type="dxa"/>
              <w:right w:w="115" w:type="dxa"/>
            </w:tcMar>
            <w:vAlign w:val="center"/>
          </w:tcPr>
          <w:p w14:paraId="17726185" w14:textId="77777777" w:rsidR="0065584C" w:rsidRPr="00693CB2"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93CB2">
              <w:rPr>
                <w:rFonts w:ascii="Times New Roman" w:hAnsi="Times New Roman" w:cs="Times New Roman"/>
              </w:rPr>
              <w:t>0.623**</w:t>
            </w:r>
          </w:p>
        </w:tc>
        <w:tc>
          <w:tcPr>
            <w:tcW w:w="1485" w:type="dxa"/>
            <w:tcBorders>
              <w:bottom w:val="single" w:sz="18" w:space="0" w:color="000000" w:themeColor="text1"/>
            </w:tcBorders>
            <w:tcMar>
              <w:top w:w="43" w:type="dxa"/>
              <w:left w:w="115" w:type="dxa"/>
              <w:bottom w:w="43" w:type="dxa"/>
              <w:right w:w="115" w:type="dxa"/>
            </w:tcMar>
            <w:vAlign w:val="center"/>
          </w:tcPr>
          <w:p w14:paraId="1A13E610" w14:textId="77777777" w:rsidR="0065584C" w:rsidRPr="00693CB2"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93CB2">
              <w:rPr>
                <w:rFonts w:ascii="Times New Roman" w:hAnsi="Times New Roman" w:cs="Times New Roman"/>
              </w:rPr>
              <w:t>0.636**</w:t>
            </w:r>
          </w:p>
        </w:tc>
        <w:tc>
          <w:tcPr>
            <w:tcW w:w="1485" w:type="dxa"/>
            <w:tcBorders>
              <w:bottom w:val="single" w:sz="18" w:space="0" w:color="000000" w:themeColor="text1"/>
            </w:tcBorders>
          </w:tcPr>
          <w:p w14:paraId="086DB6E1" w14:textId="77777777" w:rsidR="0065584C" w:rsidRPr="00693CB2"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93CB2">
              <w:rPr>
                <w:rFonts w:ascii="Times New Roman" w:hAnsi="Times New Roman" w:cs="Times New Roman"/>
              </w:rPr>
              <w:t>0.337**</w:t>
            </w:r>
          </w:p>
        </w:tc>
        <w:tc>
          <w:tcPr>
            <w:tcW w:w="1485" w:type="dxa"/>
            <w:tcBorders>
              <w:bottom w:val="single" w:sz="18" w:space="0" w:color="000000" w:themeColor="text1"/>
            </w:tcBorders>
          </w:tcPr>
          <w:p w14:paraId="740D78A7" w14:textId="77777777" w:rsidR="0065584C" w:rsidRPr="00693CB2" w:rsidRDefault="0065584C" w:rsidP="002B2917">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93CB2">
              <w:rPr>
                <w:rFonts w:ascii="Times New Roman" w:hAnsi="Times New Roman" w:cs="Times New Roman"/>
              </w:rPr>
              <w:t>.</w:t>
            </w:r>
          </w:p>
        </w:tc>
      </w:tr>
    </w:tbl>
    <w:p w14:paraId="2BA013D2" w14:textId="23EB2A66" w:rsidR="00EA3BB3" w:rsidRPr="00157F3C" w:rsidRDefault="00EA3BB3" w:rsidP="00EA3BB3">
      <w:pPr>
        <w:rPr>
          <w:rFonts w:ascii="Times New Roman" w:hAnsi="Times New Roman" w:cs="Times New Roman"/>
        </w:rPr>
      </w:pPr>
      <w:r>
        <w:rPr>
          <w:rFonts w:ascii="Times New Roman" w:hAnsi="Times New Roman" w:cs="Times New Roman"/>
        </w:rPr>
        <w:t>**Denotes statistical significance at the p &lt; 0.001 level, whereas *denotes statistical significance at the p &lt; 0.05 level. SRSS = Short Recovery Stress Scale, PL = Player Load, IMA = Inertial Movement Analysis</w:t>
      </w:r>
      <w:r w:rsidR="003D100F">
        <w:rPr>
          <w:rFonts w:ascii="Times New Roman" w:hAnsi="Times New Roman" w:cs="Times New Roman"/>
        </w:rPr>
        <w:t>, (n=8)</w:t>
      </w:r>
      <w:r w:rsidR="00DD6664">
        <w:rPr>
          <w:rFonts w:ascii="Times New Roman" w:hAnsi="Times New Roman" w:cs="Times New Roman"/>
        </w:rPr>
        <w:t>.</w:t>
      </w:r>
    </w:p>
    <w:p w14:paraId="33027A4C" w14:textId="37D263B3" w:rsidR="0065584C" w:rsidRPr="00157F3C" w:rsidRDefault="0065584C" w:rsidP="0065584C">
      <w:pPr>
        <w:spacing w:line="480" w:lineRule="auto"/>
        <w:rPr>
          <w:rFonts w:ascii="Times New Roman" w:hAnsi="Times New Roman" w:cs="Times New Roman"/>
        </w:rPr>
      </w:pPr>
      <w:r>
        <w:rPr>
          <w:rFonts w:ascii="Times New Roman" w:hAnsi="Times New Roman" w:cs="Times New Roman"/>
        </w:rPr>
        <w:t xml:space="preserve"> </w:t>
      </w:r>
    </w:p>
    <w:p w14:paraId="011A84BD" w14:textId="77777777" w:rsidR="0065584C" w:rsidRDefault="0065584C" w:rsidP="0065584C">
      <w:pPr>
        <w:spacing w:line="480" w:lineRule="auto"/>
        <w:rPr>
          <w:rFonts w:ascii="Times New Roman" w:hAnsi="Times New Roman" w:cs="Times New Roman"/>
        </w:rPr>
      </w:pPr>
    </w:p>
    <w:p w14:paraId="7162F2F1" w14:textId="77777777" w:rsidR="0065584C" w:rsidRDefault="0065584C" w:rsidP="0065584C">
      <w:pPr>
        <w:spacing w:line="480" w:lineRule="auto"/>
        <w:rPr>
          <w:rFonts w:ascii="Times New Roman" w:hAnsi="Times New Roman" w:cs="Times New Roman"/>
        </w:rPr>
      </w:pPr>
    </w:p>
    <w:p w14:paraId="7C0EEECD" w14:textId="77777777" w:rsidR="0065584C" w:rsidRDefault="0065584C" w:rsidP="0065584C">
      <w:pPr>
        <w:spacing w:line="480" w:lineRule="auto"/>
        <w:rPr>
          <w:rFonts w:ascii="Times New Roman" w:hAnsi="Times New Roman" w:cs="Times New Roman"/>
        </w:rPr>
        <w:sectPr w:rsidR="0065584C" w:rsidSect="0018416C">
          <w:pgSz w:w="15840" w:h="12240" w:orient="landscape"/>
          <w:pgMar w:top="1440" w:right="1440" w:bottom="1440" w:left="1440" w:header="720" w:footer="720" w:gutter="0"/>
          <w:cols w:space="720"/>
          <w:docGrid w:linePitch="360"/>
        </w:sectPr>
      </w:pPr>
    </w:p>
    <w:p w14:paraId="0223F187" w14:textId="308BA914" w:rsidR="00EE1756" w:rsidRDefault="00EE1756" w:rsidP="005B15BA">
      <w:pPr>
        <w:pStyle w:val="Heading3"/>
      </w:pPr>
      <w:bookmarkStart w:id="26" w:name="_Toc85791412"/>
      <w:r>
        <w:lastRenderedPageBreak/>
        <w:t>Under-recovery</w:t>
      </w:r>
      <w:r w:rsidR="00684861">
        <w:t xml:space="preserve"> and Excess Stress</w:t>
      </w:r>
      <w:bookmarkEnd w:id="26"/>
    </w:p>
    <w:p w14:paraId="59F99BB8" w14:textId="3CB9AAF0" w:rsidR="00EE1756" w:rsidRDefault="00EE1756" w:rsidP="0065584C">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Recovery composite scores were used to determine the incidence of under-recovery throughout the preseason. Recovery composite ranges from 0-24, with 24 being the most recovered. The team showed recovery composite scores under 20 about 97% of the preseason or 689/713 scores. Additionally, recovery composite was under 16 about 80% of the preseason or 572/713 scores.</w:t>
      </w:r>
      <w:r w:rsidR="00684861">
        <w:rPr>
          <w:rFonts w:ascii="Times New Roman" w:hAnsi="Times New Roman" w:cs="Times New Roman"/>
        </w:rPr>
        <w:t xml:space="preserve"> Similarly, stress composite scores were used to determine the incidence of excess stress throughout the preseason. Stress composite ranges from 0-24 with 0 being the least stress and 24 being the most stress. The team showed stress composite scores over </w:t>
      </w:r>
      <w:r w:rsidR="0041418A">
        <w:rPr>
          <w:rFonts w:ascii="Times New Roman" w:hAnsi="Times New Roman" w:cs="Times New Roman"/>
        </w:rPr>
        <w:t>8</w:t>
      </w:r>
      <w:r w:rsidR="00684861">
        <w:rPr>
          <w:rFonts w:ascii="Times New Roman" w:hAnsi="Times New Roman" w:cs="Times New Roman"/>
        </w:rPr>
        <w:t xml:space="preserve"> about </w:t>
      </w:r>
      <w:r w:rsidR="0041418A">
        <w:rPr>
          <w:rFonts w:ascii="Times New Roman" w:hAnsi="Times New Roman" w:cs="Times New Roman"/>
        </w:rPr>
        <w:t>70</w:t>
      </w:r>
      <w:r w:rsidR="00684861">
        <w:rPr>
          <w:rFonts w:ascii="Times New Roman" w:hAnsi="Times New Roman" w:cs="Times New Roman"/>
        </w:rPr>
        <w:t xml:space="preserve">% of the preseason or </w:t>
      </w:r>
      <w:r w:rsidR="0041418A">
        <w:rPr>
          <w:rFonts w:ascii="Times New Roman" w:hAnsi="Times New Roman" w:cs="Times New Roman"/>
        </w:rPr>
        <w:t>499</w:t>
      </w:r>
      <w:r w:rsidR="00684861">
        <w:rPr>
          <w:rFonts w:ascii="Times New Roman" w:hAnsi="Times New Roman" w:cs="Times New Roman"/>
        </w:rPr>
        <w:t xml:space="preserve">/713 scores. Additionally, stress composite was over </w:t>
      </w:r>
      <w:r w:rsidR="0041418A">
        <w:rPr>
          <w:rFonts w:ascii="Times New Roman" w:hAnsi="Times New Roman" w:cs="Times New Roman"/>
        </w:rPr>
        <w:t>12</w:t>
      </w:r>
      <w:r w:rsidR="00684861">
        <w:rPr>
          <w:rFonts w:ascii="Times New Roman" w:hAnsi="Times New Roman" w:cs="Times New Roman"/>
        </w:rPr>
        <w:t xml:space="preserve"> about </w:t>
      </w:r>
      <w:r w:rsidR="0041418A">
        <w:rPr>
          <w:rFonts w:ascii="Times New Roman" w:hAnsi="Times New Roman" w:cs="Times New Roman"/>
        </w:rPr>
        <w:t>34</w:t>
      </w:r>
      <w:r w:rsidR="00684861">
        <w:rPr>
          <w:rFonts w:ascii="Times New Roman" w:hAnsi="Times New Roman" w:cs="Times New Roman"/>
        </w:rPr>
        <w:t xml:space="preserve">% of the preseason or </w:t>
      </w:r>
      <w:r w:rsidR="0041418A">
        <w:rPr>
          <w:rFonts w:ascii="Times New Roman" w:hAnsi="Times New Roman" w:cs="Times New Roman"/>
        </w:rPr>
        <w:t>240</w:t>
      </w:r>
      <w:r w:rsidR="00684861">
        <w:rPr>
          <w:rFonts w:ascii="Times New Roman" w:hAnsi="Times New Roman" w:cs="Times New Roman"/>
        </w:rPr>
        <w:t xml:space="preserve">/713 scores. </w:t>
      </w:r>
    </w:p>
    <w:p w14:paraId="39DF9487" w14:textId="65C39219" w:rsidR="00AF0502" w:rsidRDefault="00AF0502" w:rsidP="005B15BA">
      <w:pPr>
        <w:pStyle w:val="Heading3"/>
      </w:pPr>
      <w:bookmarkStart w:id="27" w:name="_Toc85791413"/>
      <w:r>
        <w:t>Monotony</w:t>
      </w:r>
      <w:bookmarkEnd w:id="27"/>
    </w:p>
    <w:p w14:paraId="1AC8AC84" w14:textId="1A6F4CBA" w:rsidR="00A12DA1" w:rsidRDefault="00A12DA1" w:rsidP="0065584C">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Monotony scores for each training phase (GP2, SP1, and SP2) were calculated using the PL data. Typically, a monotony score &lt;2 is considered desirable. </w:t>
      </w:r>
      <w:r w:rsidR="001436BD">
        <w:rPr>
          <w:rFonts w:ascii="Times New Roman" w:hAnsi="Times New Roman" w:cs="Times New Roman"/>
        </w:rPr>
        <w:t xml:space="preserve">Strain was calculated from monotony scores, with lower scores being more desirable. </w:t>
      </w:r>
      <w:r w:rsidR="00B54AB8">
        <w:rPr>
          <w:rFonts w:ascii="Times New Roman" w:hAnsi="Times New Roman" w:cs="Times New Roman"/>
        </w:rPr>
        <w:t xml:space="preserve">As shown in Figure 1 below, </w:t>
      </w:r>
      <w:r w:rsidR="001436BD">
        <w:rPr>
          <w:rFonts w:ascii="Times New Roman" w:hAnsi="Times New Roman" w:cs="Times New Roman"/>
        </w:rPr>
        <w:t>GP2 and SP1 found very high monotony and strain scores, and SP2, while lower than GP2 and SP1, was still higher than desire</w:t>
      </w:r>
      <w:r w:rsidR="002B2917">
        <w:rPr>
          <w:rFonts w:ascii="Times New Roman" w:hAnsi="Times New Roman" w:cs="Times New Roman"/>
        </w:rPr>
        <w:t>d</w:t>
      </w:r>
      <w:r w:rsidR="001436BD">
        <w:rPr>
          <w:rFonts w:ascii="Times New Roman" w:hAnsi="Times New Roman" w:cs="Times New Roman"/>
        </w:rPr>
        <w:t xml:space="preserve">. </w:t>
      </w:r>
      <w:r>
        <w:rPr>
          <w:rFonts w:ascii="Times New Roman" w:hAnsi="Times New Roman" w:cs="Times New Roman"/>
        </w:rPr>
        <w:t>GP2 showed a monotony score of 8.2 with a strain score of 475.3. SP1 showed a monotony score of 8.5 with a strain of 443.4. Finally, SP2 showed a monotony score of 5.5 with strain of 326.6.</w:t>
      </w:r>
      <w:r w:rsidR="001436BD">
        <w:rPr>
          <w:rFonts w:ascii="Times New Roman" w:hAnsi="Times New Roman" w:cs="Times New Roman"/>
        </w:rPr>
        <w:t xml:space="preserve"> </w:t>
      </w:r>
      <w:r w:rsidR="00F11EA0">
        <w:rPr>
          <w:rFonts w:ascii="Times New Roman" w:hAnsi="Times New Roman" w:cs="Times New Roman"/>
        </w:rPr>
        <w:t xml:space="preserve">SP1 showed the highest monotony and strain levels, </w:t>
      </w:r>
      <w:r w:rsidR="002B2917">
        <w:rPr>
          <w:rFonts w:ascii="Times New Roman" w:hAnsi="Times New Roman" w:cs="Times New Roman"/>
        </w:rPr>
        <w:t>followed closely by</w:t>
      </w:r>
      <w:r w:rsidR="00F11EA0">
        <w:rPr>
          <w:rFonts w:ascii="Times New Roman" w:hAnsi="Times New Roman" w:cs="Times New Roman"/>
        </w:rPr>
        <w:t xml:space="preserve"> GP2. SP2 had lower monotony and strain, but the levels were still </w:t>
      </w:r>
      <w:r w:rsidR="002B2917">
        <w:rPr>
          <w:rFonts w:ascii="Times New Roman" w:hAnsi="Times New Roman" w:cs="Times New Roman"/>
        </w:rPr>
        <w:t>exceeded</w:t>
      </w:r>
      <w:r w:rsidR="00F11EA0">
        <w:rPr>
          <w:rFonts w:ascii="Times New Roman" w:hAnsi="Times New Roman" w:cs="Times New Roman"/>
        </w:rPr>
        <w:t xml:space="preserve"> the desired monotony score of &lt;2. </w:t>
      </w:r>
    </w:p>
    <w:p w14:paraId="38C70D07" w14:textId="6E3E0A2E" w:rsidR="00B54AB8" w:rsidRDefault="00B54AB8" w:rsidP="00992E99">
      <w:pPr>
        <w:rPr>
          <w:rFonts w:ascii="Times New Roman" w:hAnsi="Times New Roman" w:cs="Times New Roman"/>
        </w:rPr>
      </w:pPr>
      <w:r>
        <w:rPr>
          <w:noProof/>
        </w:rPr>
        <w:lastRenderedPageBreak/>
        <w:drawing>
          <wp:inline distT="0" distB="0" distL="0" distR="0" wp14:anchorId="19BC75EA" wp14:editId="18FDB791">
            <wp:extent cx="5029200" cy="3200400"/>
            <wp:effectExtent l="0" t="0" r="0" b="0"/>
            <wp:docPr id="6" name="Picture 1">
              <a:extLst xmlns:a="http://schemas.openxmlformats.org/drawingml/2006/main">
                <a:ext uri="{FF2B5EF4-FFF2-40B4-BE49-F238E27FC236}">
                  <a16:creationId xmlns:a16="http://schemas.microsoft.com/office/drawing/2014/main" id="{A82FD931-2BCC-BB46-A263-8BADBBC4279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82FD931-2BCC-BB46-A263-8BADBBC4279D}"/>
                        </a:ext>
                      </a:extLst>
                    </pic:cNvPr>
                    <pic:cNvPicPr>
                      <a:picLocks noChangeAspect="1"/>
                    </pic:cNvPicPr>
                  </pic:nvPicPr>
                  <pic:blipFill>
                    <a:blip r:embed="rId14"/>
                    <a:stretch>
                      <a:fillRect/>
                    </a:stretch>
                  </pic:blipFill>
                  <pic:spPr>
                    <a:xfrm>
                      <a:off x="0" y="0"/>
                      <a:ext cx="5029200" cy="3200400"/>
                    </a:xfrm>
                    <a:prstGeom prst="rect">
                      <a:avLst/>
                    </a:prstGeom>
                  </pic:spPr>
                </pic:pic>
              </a:graphicData>
            </a:graphic>
          </wp:inline>
        </w:drawing>
      </w:r>
    </w:p>
    <w:p w14:paraId="658FCF4A" w14:textId="4596544D" w:rsidR="0058571E" w:rsidRPr="00A12DA1" w:rsidRDefault="00755134" w:rsidP="0065584C">
      <w:pPr>
        <w:spacing w:line="480" w:lineRule="auto"/>
        <w:rPr>
          <w:rFonts w:ascii="Times New Roman" w:hAnsi="Times New Roman" w:cs="Times New Roman"/>
        </w:rPr>
      </w:pPr>
      <w:r>
        <w:rPr>
          <w:rFonts w:ascii="Times New Roman" w:hAnsi="Times New Roman" w:cs="Times New Roman"/>
          <w:b/>
          <w:bCs/>
        </w:rPr>
        <w:t>Figure 1:</w:t>
      </w:r>
      <w:r>
        <w:rPr>
          <w:rFonts w:ascii="Times New Roman" w:hAnsi="Times New Roman" w:cs="Times New Roman"/>
        </w:rPr>
        <w:t xml:space="preserve"> Monotony and Strain values for GP2, SP1, and SP2</w:t>
      </w:r>
      <w:r w:rsidR="00DD6664">
        <w:rPr>
          <w:rFonts w:ascii="Times New Roman" w:hAnsi="Times New Roman" w:cs="Times New Roman"/>
        </w:rPr>
        <w:t>, (n=8)</w:t>
      </w:r>
      <w:r>
        <w:rPr>
          <w:rFonts w:ascii="Times New Roman" w:hAnsi="Times New Roman" w:cs="Times New Roman"/>
        </w:rPr>
        <w:t xml:space="preserve">. </w:t>
      </w:r>
    </w:p>
    <w:p w14:paraId="63EC1F63" w14:textId="0B27503B" w:rsidR="0065584C" w:rsidRDefault="0065584C" w:rsidP="005B15BA">
      <w:pPr>
        <w:pStyle w:val="Heading3"/>
      </w:pPr>
      <w:bookmarkStart w:id="28" w:name="_Toc85791414"/>
      <w:r>
        <w:t xml:space="preserve">Training Phase </w:t>
      </w:r>
      <w:r w:rsidR="00A222FD">
        <w:t>Patterns</w:t>
      </w:r>
      <w:r w:rsidR="007343A4">
        <w:t xml:space="preserve"> for Recovery, Stress, Sleep, and Soreness</w:t>
      </w:r>
      <w:bookmarkEnd w:id="28"/>
    </w:p>
    <w:p w14:paraId="747D0EF9" w14:textId="2DD596A7" w:rsidR="0065584C" w:rsidRDefault="0065584C" w:rsidP="0065584C">
      <w:pPr>
        <w:spacing w:line="480" w:lineRule="auto"/>
        <w:rPr>
          <w:rFonts w:ascii="Times New Roman" w:hAnsi="Times New Roman" w:cs="Times New Roman"/>
        </w:rPr>
      </w:pPr>
      <w:r>
        <w:rPr>
          <w:rFonts w:ascii="Times New Roman" w:hAnsi="Times New Roman" w:cs="Times New Roman"/>
        </w:rPr>
        <w:tab/>
      </w:r>
      <w:r w:rsidR="00A222FD">
        <w:rPr>
          <w:rFonts w:ascii="Times New Roman" w:hAnsi="Times New Roman" w:cs="Times New Roman"/>
        </w:rPr>
        <w:t xml:space="preserve">Day to day changes within the 4 training phases can be seen in Figures </w:t>
      </w:r>
      <w:r w:rsidR="007D1FF4">
        <w:rPr>
          <w:rFonts w:ascii="Times New Roman" w:hAnsi="Times New Roman" w:cs="Times New Roman"/>
        </w:rPr>
        <w:t>2</w:t>
      </w:r>
      <w:r w:rsidR="00A222FD">
        <w:rPr>
          <w:rFonts w:ascii="Times New Roman" w:hAnsi="Times New Roman" w:cs="Times New Roman"/>
        </w:rPr>
        <w:t>-</w:t>
      </w:r>
      <w:r w:rsidR="007D1FF4">
        <w:rPr>
          <w:rFonts w:ascii="Times New Roman" w:hAnsi="Times New Roman" w:cs="Times New Roman"/>
        </w:rPr>
        <w:t>9</w:t>
      </w:r>
      <w:r w:rsidR="00A222FD">
        <w:rPr>
          <w:rFonts w:ascii="Times New Roman" w:hAnsi="Times New Roman" w:cs="Times New Roman"/>
        </w:rPr>
        <w:t xml:space="preserve"> below</w:t>
      </w:r>
      <w:r>
        <w:rPr>
          <w:rFonts w:ascii="Times New Roman" w:hAnsi="Times New Roman" w:cs="Times New Roman"/>
        </w:rPr>
        <w:t xml:space="preserve">. Signs of monotony and periodization may be seen in the charts. Several days in a row of similar numbers may point to monotony, while increased variations across days may point to proper periodization. Differences may also be seen for the same measures in different phases. Player Load and Player Load per minute are both noticeably lower in SP2 as compared to GP2 and SP1. This supports the previous finding in the Repeated Measures ANOVAs. </w:t>
      </w:r>
    </w:p>
    <w:p w14:paraId="36915B94" w14:textId="5D7979CE" w:rsidR="00880CBE" w:rsidRDefault="00880CBE" w:rsidP="0065584C">
      <w:pPr>
        <w:spacing w:line="480" w:lineRule="auto"/>
        <w:rPr>
          <w:rFonts w:ascii="Times New Roman" w:hAnsi="Times New Roman" w:cs="Times New Roman"/>
        </w:rPr>
      </w:pPr>
      <w:r>
        <w:rPr>
          <w:rFonts w:ascii="Times New Roman" w:hAnsi="Times New Roman" w:cs="Times New Roman"/>
        </w:rPr>
        <w:tab/>
        <w:t>Recovery composite and stress composite scores primarily trend</w:t>
      </w:r>
      <w:r w:rsidR="008E1DC8">
        <w:rPr>
          <w:rFonts w:ascii="Times New Roman" w:hAnsi="Times New Roman" w:cs="Times New Roman"/>
        </w:rPr>
        <w:t>ed</w:t>
      </w:r>
      <w:r>
        <w:rPr>
          <w:rFonts w:ascii="Times New Roman" w:hAnsi="Times New Roman" w:cs="Times New Roman"/>
        </w:rPr>
        <w:t xml:space="preserve"> opposite from one another. One date shows both recovery and stress decreasing from the previous day (9/20) and two dates show both increasing from the previous day (9/26, 10/25).</w:t>
      </w:r>
      <w:r w:rsidR="007E1F4E">
        <w:rPr>
          <w:rFonts w:ascii="Times New Roman" w:hAnsi="Times New Roman" w:cs="Times New Roman"/>
        </w:rPr>
        <w:t xml:space="preserve"> High recovery and low stress scores are seen on each Monday with data shown (9/16, 9/23, 9/30, 10/7, 10/14, 10/21, 10/28, 11/4, 11/11, 11/18, and 11/25).</w:t>
      </w:r>
      <w:r w:rsidR="00607A0B">
        <w:rPr>
          <w:rFonts w:ascii="Times New Roman" w:hAnsi="Times New Roman" w:cs="Times New Roman"/>
        </w:rPr>
        <w:t xml:space="preserve"> To less of a degree but still notable, soreness typically s</w:t>
      </w:r>
      <w:r w:rsidR="008E1DC8">
        <w:rPr>
          <w:rFonts w:ascii="Times New Roman" w:hAnsi="Times New Roman" w:cs="Times New Roman"/>
        </w:rPr>
        <w:t>aw</w:t>
      </w:r>
      <w:r w:rsidR="00607A0B">
        <w:rPr>
          <w:rFonts w:ascii="Times New Roman" w:hAnsi="Times New Roman" w:cs="Times New Roman"/>
        </w:rPr>
        <w:t xml:space="preserve"> a dip on most of these same dates. </w:t>
      </w:r>
    </w:p>
    <w:p w14:paraId="077F9CDC" w14:textId="45B16A5B" w:rsidR="00A2690A" w:rsidRDefault="0065584C" w:rsidP="0065584C">
      <w:pPr>
        <w:rPr>
          <w:rFonts w:ascii="Times New Roman" w:hAnsi="Times New Roman" w:cs="Times New Roman"/>
        </w:rPr>
      </w:pPr>
      <w:r>
        <w:rPr>
          <w:noProof/>
        </w:rPr>
        <w:lastRenderedPageBreak/>
        <w:drawing>
          <wp:inline distT="0" distB="0" distL="0" distR="0" wp14:anchorId="7305B346" wp14:editId="14C3FF34">
            <wp:extent cx="5747655" cy="3657600"/>
            <wp:effectExtent l="0" t="0" r="5715" b="0"/>
            <wp:docPr id="8" name="Picture 7">
              <a:extLst xmlns:a="http://schemas.openxmlformats.org/drawingml/2006/main">
                <a:ext uri="{FF2B5EF4-FFF2-40B4-BE49-F238E27FC236}">
                  <a16:creationId xmlns:a16="http://schemas.microsoft.com/office/drawing/2014/main" id="{6C36EBC9-82B3-624D-BE17-A953C20684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C36EBC9-82B3-624D-BE17-A953C20684DD}"/>
                        </a:ext>
                      </a:extLst>
                    </pic:cNvPr>
                    <pic:cNvPicPr>
                      <a:picLocks noChangeAspect="1"/>
                    </pic:cNvPicPr>
                  </pic:nvPicPr>
                  <pic:blipFill>
                    <a:blip r:embed="rId15"/>
                    <a:stretch>
                      <a:fillRect/>
                    </a:stretch>
                  </pic:blipFill>
                  <pic:spPr>
                    <a:xfrm>
                      <a:off x="0" y="0"/>
                      <a:ext cx="5747655" cy="3657600"/>
                    </a:xfrm>
                    <a:prstGeom prst="rect">
                      <a:avLst/>
                    </a:prstGeom>
                  </pic:spPr>
                </pic:pic>
              </a:graphicData>
            </a:graphic>
          </wp:inline>
        </w:drawing>
      </w:r>
    </w:p>
    <w:p w14:paraId="304ECDA8" w14:textId="01AEDFBA" w:rsidR="0065584C" w:rsidRDefault="007343A4" w:rsidP="0065584C">
      <w:pPr>
        <w:rPr>
          <w:rFonts w:ascii="Times New Roman" w:hAnsi="Times New Roman" w:cs="Times New Roman"/>
        </w:rPr>
      </w:pPr>
      <w:r>
        <w:rPr>
          <w:rFonts w:ascii="Times New Roman" w:hAnsi="Times New Roman" w:cs="Times New Roman"/>
          <w:b/>
          <w:bCs/>
        </w:rPr>
        <w:t>Figure</w:t>
      </w:r>
      <w:r w:rsidR="0065584C">
        <w:rPr>
          <w:rFonts w:ascii="Times New Roman" w:hAnsi="Times New Roman" w:cs="Times New Roman"/>
          <w:b/>
          <w:bCs/>
        </w:rPr>
        <w:t xml:space="preserve"> </w:t>
      </w:r>
      <w:r w:rsidR="007D1FF4">
        <w:rPr>
          <w:rFonts w:ascii="Times New Roman" w:hAnsi="Times New Roman" w:cs="Times New Roman"/>
          <w:b/>
          <w:bCs/>
        </w:rPr>
        <w:t>2</w:t>
      </w:r>
      <w:r w:rsidR="0065584C">
        <w:rPr>
          <w:rFonts w:ascii="Times New Roman" w:hAnsi="Times New Roman" w:cs="Times New Roman"/>
          <w:b/>
          <w:bCs/>
        </w:rPr>
        <w:t xml:space="preserve">: </w:t>
      </w:r>
      <w:r w:rsidR="00094566" w:rsidRPr="00767D30">
        <w:rPr>
          <w:rFonts w:ascii="Times New Roman" w:hAnsi="Times New Roman" w:cs="Times New Roman"/>
        </w:rPr>
        <w:t>Team Avg</w:t>
      </w:r>
      <w:r w:rsidR="00094566">
        <w:rPr>
          <w:rFonts w:ascii="Times New Roman" w:hAnsi="Times New Roman" w:cs="Times New Roman"/>
          <w:b/>
          <w:bCs/>
        </w:rPr>
        <w:t xml:space="preserve"> </w:t>
      </w:r>
      <w:r w:rsidR="00DD6664" w:rsidRPr="00DD6664">
        <w:rPr>
          <w:rFonts w:ascii="Times New Roman" w:hAnsi="Times New Roman" w:cs="Times New Roman"/>
        </w:rPr>
        <w:t>(n=18)</w:t>
      </w:r>
      <w:r w:rsidR="00DD6664">
        <w:rPr>
          <w:rFonts w:ascii="Times New Roman" w:hAnsi="Times New Roman" w:cs="Times New Roman"/>
          <w:b/>
          <w:bCs/>
        </w:rPr>
        <w:t xml:space="preserve"> </w:t>
      </w:r>
      <w:r w:rsidR="0065584C">
        <w:rPr>
          <w:rFonts w:ascii="Times New Roman" w:hAnsi="Times New Roman" w:cs="Times New Roman"/>
        </w:rPr>
        <w:t>Recovery</w:t>
      </w:r>
      <w:r w:rsidR="00094566">
        <w:rPr>
          <w:rFonts w:ascii="Times New Roman" w:hAnsi="Times New Roman" w:cs="Times New Roman"/>
        </w:rPr>
        <w:t xml:space="preserve"> Composite</w:t>
      </w:r>
      <w:r w:rsidR="0065584C">
        <w:rPr>
          <w:rFonts w:ascii="Times New Roman" w:hAnsi="Times New Roman" w:cs="Times New Roman"/>
        </w:rPr>
        <w:t xml:space="preserve"> and Stress </w:t>
      </w:r>
      <w:r w:rsidR="00094566">
        <w:rPr>
          <w:rFonts w:ascii="Times New Roman" w:hAnsi="Times New Roman" w:cs="Times New Roman"/>
        </w:rPr>
        <w:t>Composite scores for</w:t>
      </w:r>
      <w:r w:rsidR="0065584C">
        <w:rPr>
          <w:rFonts w:ascii="Times New Roman" w:hAnsi="Times New Roman" w:cs="Times New Roman"/>
        </w:rPr>
        <w:t xml:space="preserve"> GP1 (9/16 – 10/4). </w:t>
      </w:r>
    </w:p>
    <w:p w14:paraId="2A49204D" w14:textId="77777777" w:rsidR="00A2690A" w:rsidRPr="00187AC5" w:rsidRDefault="00A2690A" w:rsidP="0065584C">
      <w:pPr>
        <w:rPr>
          <w:rFonts w:ascii="Times New Roman" w:hAnsi="Times New Roman" w:cs="Times New Roman"/>
        </w:rPr>
      </w:pPr>
    </w:p>
    <w:p w14:paraId="5A3475AE" w14:textId="77777777" w:rsidR="0065584C" w:rsidRDefault="0065584C" w:rsidP="0065584C">
      <w:pPr>
        <w:rPr>
          <w:rFonts w:ascii="Times New Roman" w:hAnsi="Times New Roman" w:cs="Times New Roman"/>
        </w:rPr>
      </w:pPr>
      <w:r>
        <w:rPr>
          <w:noProof/>
        </w:rPr>
        <w:drawing>
          <wp:inline distT="0" distB="0" distL="0" distR="0" wp14:anchorId="0007562C" wp14:editId="3E18F980">
            <wp:extent cx="5747655" cy="3657600"/>
            <wp:effectExtent l="0" t="0" r="5715" b="0"/>
            <wp:docPr id="10" name="Picture 9">
              <a:extLst xmlns:a="http://schemas.openxmlformats.org/drawingml/2006/main">
                <a:ext uri="{FF2B5EF4-FFF2-40B4-BE49-F238E27FC236}">
                  <a16:creationId xmlns:a16="http://schemas.microsoft.com/office/drawing/2014/main" id="{1B31083D-4234-F748-AF47-FCB468CAA0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1B31083D-4234-F748-AF47-FCB468CAA0FB}"/>
                        </a:ext>
                      </a:extLst>
                    </pic:cNvPr>
                    <pic:cNvPicPr>
                      <a:picLocks noChangeAspect="1"/>
                    </pic:cNvPicPr>
                  </pic:nvPicPr>
                  <pic:blipFill>
                    <a:blip r:embed="rId16"/>
                    <a:stretch>
                      <a:fillRect/>
                    </a:stretch>
                  </pic:blipFill>
                  <pic:spPr>
                    <a:xfrm>
                      <a:off x="0" y="0"/>
                      <a:ext cx="5747655" cy="3657600"/>
                    </a:xfrm>
                    <a:prstGeom prst="rect">
                      <a:avLst/>
                    </a:prstGeom>
                  </pic:spPr>
                </pic:pic>
              </a:graphicData>
            </a:graphic>
          </wp:inline>
        </w:drawing>
      </w:r>
    </w:p>
    <w:p w14:paraId="29937146" w14:textId="3FDCDC19" w:rsidR="0065584C" w:rsidRPr="00187AC5" w:rsidRDefault="007343A4" w:rsidP="0065584C">
      <w:pPr>
        <w:rPr>
          <w:rFonts w:ascii="Times New Roman" w:hAnsi="Times New Roman" w:cs="Times New Roman"/>
        </w:rPr>
      </w:pPr>
      <w:r>
        <w:rPr>
          <w:rFonts w:ascii="Times New Roman" w:hAnsi="Times New Roman" w:cs="Times New Roman"/>
          <w:b/>
          <w:bCs/>
        </w:rPr>
        <w:t>Figure</w:t>
      </w:r>
      <w:r w:rsidR="0065584C">
        <w:rPr>
          <w:rFonts w:ascii="Times New Roman" w:hAnsi="Times New Roman" w:cs="Times New Roman"/>
          <w:b/>
          <w:bCs/>
        </w:rPr>
        <w:t xml:space="preserve"> </w:t>
      </w:r>
      <w:r w:rsidR="007D1FF4">
        <w:rPr>
          <w:rFonts w:ascii="Times New Roman" w:hAnsi="Times New Roman" w:cs="Times New Roman"/>
          <w:b/>
          <w:bCs/>
        </w:rPr>
        <w:t>3</w:t>
      </w:r>
      <w:r w:rsidR="0065584C">
        <w:rPr>
          <w:rFonts w:ascii="Times New Roman" w:hAnsi="Times New Roman" w:cs="Times New Roman"/>
          <w:b/>
          <w:bCs/>
        </w:rPr>
        <w:t xml:space="preserve">: </w:t>
      </w:r>
      <w:r w:rsidR="00094566" w:rsidRPr="00767D30">
        <w:rPr>
          <w:rFonts w:ascii="Times New Roman" w:hAnsi="Times New Roman" w:cs="Times New Roman"/>
        </w:rPr>
        <w:t>Team Avg</w:t>
      </w:r>
      <w:r w:rsidR="00094566">
        <w:rPr>
          <w:rFonts w:ascii="Times New Roman" w:hAnsi="Times New Roman" w:cs="Times New Roman"/>
          <w:b/>
          <w:bCs/>
        </w:rPr>
        <w:t xml:space="preserve"> </w:t>
      </w:r>
      <w:r w:rsidR="00DD6664" w:rsidRPr="00DD6664">
        <w:rPr>
          <w:rFonts w:ascii="Times New Roman" w:hAnsi="Times New Roman" w:cs="Times New Roman"/>
        </w:rPr>
        <w:t>(n=18)</w:t>
      </w:r>
      <w:r w:rsidR="00DD6664">
        <w:rPr>
          <w:rFonts w:ascii="Times New Roman" w:hAnsi="Times New Roman" w:cs="Times New Roman"/>
          <w:b/>
          <w:bCs/>
        </w:rPr>
        <w:t xml:space="preserve"> </w:t>
      </w:r>
      <w:r w:rsidR="0065584C">
        <w:rPr>
          <w:rFonts w:ascii="Times New Roman" w:hAnsi="Times New Roman" w:cs="Times New Roman"/>
        </w:rPr>
        <w:t xml:space="preserve">Soreness </w:t>
      </w:r>
      <w:r w:rsidR="00094566">
        <w:rPr>
          <w:rFonts w:ascii="Times New Roman" w:hAnsi="Times New Roman" w:cs="Times New Roman"/>
        </w:rPr>
        <w:t>C</w:t>
      </w:r>
      <w:r w:rsidR="0065584C">
        <w:rPr>
          <w:rFonts w:ascii="Times New Roman" w:hAnsi="Times New Roman" w:cs="Times New Roman"/>
        </w:rPr>
        <w:t xml:space="preserve">omposite and Sleep </w:t>
      </w:r>
      <w:r w:rsidR="00094566">
        <w:rPr>
          <w:rFonts w:ascii="Times New Roman" w:hAnsi="Times New Roman" w:cs="Times New Roman"/>
        </w:rPr>
        <w:t>Score across</w:t>
      </w:r>
      <w:r w:rsidR="0065584C">
        <w:rPr>
          <w:rFonts w:ascii="Times New Roman" w:hAnsi="Times New Roman" w:cs="Times New Roman"/>
        </w:rPr>
        <w:t xml:space="preserve"> GP1 (9/16 – 10/4). </w:t>
      </w:r>
    </w:p>
    <w:p w14:paraId="001C8F2F" w14:textId="77777777" w:rsidR="0065584C" w:rsidRDefault="0065584C" w:rsidP="0065584C">
      <w:pPr>
        <w:rPr>
          <w:rFonts w:ascii="Times New Roman" w:hAnsi="Times New Roman" w:cs="Times New Roman"/>
        </w:rPr>
      </w:pPr>
    </w:p>
    <w:p w14:paraId="62ADA004" w14:textId="77777777" w:rsidR="0065584C" w:rsidRDefault="0065584C" w:rsidP="0065584C">
      <w:pPr>
        <w:rPr>
          <w:rFonts w:ascii="Times New Roman" w:hAnsi="Times New Roman" w:cs="Times New Roman"/>
        </w:rPr>
      </w:pPr>
      <w:r>
        <w:rPr>
          <w:noProof/>
        </w:rPr>
        <w:lastRenderedPageBreak/>
        <w:drawing>
          <wp:inline distT="0" distB="0" distL="0" distR="0" wp14:anchorId="2F955FBD" wp14:editId="640491ED">
            <wp:extent cx="5747655" cy="3657600"/>
            <wp:effectExtent l="0" t="0" r="5715" b="0"/>
            <wp:docPr id="7" name="Picture 6">
              <a:extLst xmlns:a="http://schemas.openxmlformats.org/drawingml/2006/main">
                <a:ext uri="{FF2B5EF4-FFF2-40B4-BE49-F238E27FC236}">
                  <a16:creationId xmlns:a16="http://schemas.microsoft.com/office/drawing/2014/main" id="{D5419D65-854B-A743-B25A-31B0627C1A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D5419D65-854B-A743-B25A-31B0627C1ADC}"/>
                        </a:ext>
                      </a:extLst>
                    </pic:cNvPr>
                    <pic:cNvPicPr>
                      <a:picLocks noChangeAspect="1"/>
                    </pic:cNvPicPr>
                  </pic:nvPicPr>
                  <pic:blipFill>
                    <a:blip r:embed="rId17"/>
                    <a:stretch>
                      <a:fillRect/>
                    </a:stretch>
                  </pic:blipFill>
                  <pic:spPr>
                    <a:xfrm>
                      <a:off x="0" y="0"/>
                      <a:ext cx="5747655" cy="3657600"/>
                    </a:xfrm>
                    <a:prstGeom prst="rect">
                      <a:avLst/>
                    </a:prstGeom>
                  </pic:spPr>
                </pic:pic>
              </a:graphicData>
            </a:graphic>
          </wp:inline>
        </w:drawing>
      </w:r>
    </w:p>
    <w:p w14:paraId="7920518C" w14:textId="16F4745D" w:rsidR="0065584C" w:rsidRDefault="007343A4" w:rsidP="0065584C">
      <w:pPr>
        <w:rPr>
          <w:rFonts w:ascii="Times New Roman" w:hAnsi="Times New Roman" w:cs="Times New Roman"/>
        </w:rPr>
      </w:pPr>
      <w:r>
        <w:rPr>
          <w:rFonts w:ascii="Times New Roman" w:hAnsi="Times New Roman" w:cs="Times New Roman"/>
          <w:b/>
          <w:bCs/>
        </w:rPr>
        <w:t>Figure</w:t>
      </w:r>
      <w:r w:rsidR="0065584C">
        <w:rPr>
          <w:rFonts w:ascii="Times New Roman" w:hAnsi="Times New Roman" w:cs="Times New Roman"/>
          <w:b/>
          <w:bCs/>
        </w:rPr>
        <w:t xml:space="preserve"> </w:t>
      </w:r>
      <w:r w:rsidR="007D1FF4">
        <w:rPr>
          <w:rFonts w:ascii="Times New Roman" w:hAnsi="Times New Roman" w:cs="Times New Roman"/>
          <w:b/>
          <w:bCs/>
        </w:rPr>
        <w:t>4</w:t>
      </w:r>
      <w:r w:rsidR="0065584C">
        <w:rPr>
          <w:rFonts w:ascii="Times New Roman" w:hAnsi="Times New Roman" w:cs="Times New Roman"/>
          <w:b/>
          <w:bCs/>
        </w:rPr>
        <w:t xml:space="preserve">: </w:t>
      </w:r>
      <w:r w:rsidR="00094566" w:rsidRPr="00767D30">
        <w:rPr>
          <w:rFonts w:ascii="Times New Roman" w:hAnsi="Times New Roman" w:cs="Times New Roman"/>
        </w:rPr>
        <w:t>Team Avg</w:t>
      </w:r>
      <w:r w:rsidR="00094566">
        <w:rPr>
          <w:rFonts w:ascii="Times New Roman" w:hAnsi="Times New Roman" w:cs="Times New Roman"/>
          <w:b/>
          <w:bCs/>
        </w:rPr>
        <w:t xml:space="preserve"> </w:t>
      </w:r>
      <w:r w:rsidR="00DD6664" w:rsidRPr="00DD6664">
        <w:rPr>
          <w:rFonts w:ascii="Times New Roman" w:hAnsi="Times New Roman" w:cs="Times New Roman"/>
        </w:rPr>
        <w:t>(n=18)</w:t>
      </w:r>
      <w:r w:rsidR="00DD6664">
        <w:rPr>
          <w:rFonts w:ascii="Times New Roman" w:hAnsi="Times New Roman" w:cs="Times New Roman"/>
          <w:b/>
          <w:bCs/>
        </w:rPr>
        <w:t xml:space="preserve"> </w:t>
      </w:r>
      <w:r w:rsidR="0065584C">
        <w:rPr>
          <w:rFonts w:ascii="Times New Roman" w:hAnsi="Times New Roman" w:cs="Times New Roman"/>
        </w:rPr>
        <w:t>Recovery</w:t>
      </w:r>
      <w:r w:rsidR="00094566">
        <w:rPr>
          <w:rFonts w:ascii="Times New Roman" w:hAnsi="Times New Roman" w:cs="Times New Roman"/>
        </w:rPr>
        <w:t xml:space="preserve"> Composite </w:t>
      </w:r>
      <w:r w:rsidR="0065584C">
        <w:rPr>
          <w:rFonts w:ascii="Times New Roman" w:hAnsi="Times New Roman" w:cs="Times New Roman"/>
        </w:rPr>
        <w:t xml:space="preserve">and Stress </w:t>
      </w:r>
      <w:r w:rsidR="00094566">
        <w:rPr>
          <w:rFonts w:ascii="Times New Roman" w:hAnsi="Times New Roman" w:cs="Times New Roman"/>
        </w:rPr>
        <w:t>C</w:t>
      </w:r>
      <w:r w:rsidR="0065584C">
        <w:rPr>
          <w:rFonts w:ascii="Times New Roman" w:hAnsi="Times New Roman" w:cs="Times New Roman"/>
        </w:rPr>
        <w:t xml:space="preserve">omposite </w:t>
      </w:r>
      <w:r w:rsidR="00094566">
        <w:rPr>
          <w:rFonts w:ascii="Times New Roman" w:hAnsi="Times New Roman" w:cs="Times New Roman"/>
        </w:rPr>
        <w:t xml:space="preserve">scores </w:t>
      </w:r>
      <w:r w:rsidR="0065584C">
        <w:rPr>
          <w:rFonts w:ascii="Times New Roman" w:hAnsi="Times New Roman" w:cs="Times New Roman"/>
        </w:rPr>
        <w:t>for GP2 (10/7 – 10/25).</w:t>
      </w:r>
    </w:p>
    <w:p w14:paraId="3C799889" w14:textId="77777777" w:rsidR="00992E99" w:rsidRDefault="00992E99" w:rsidP="0065584C">
      <w:pPr>
        <w:rPr>
          <w:rFonts w:ascii="Times New Roman" w:hAnsi="Times New Roman" w:cs="Times New Roman"/>
        </w:rPr>
      </w:pPr>
    </w:p>
    <w:p w14:paraId="67E57313" w14:textId="77777777" w:rsidR="0065584C" w:rsidRDefault="0065584C" w:rsidP="0065584C">
      <w:pPr>
        <w:rPr>
          <w:rFonts w:ascii="Times New Roman" w:hAnsi="Times New Roman" w:cs="Times New Roman"/>
        </w:rPr>
      </w:pPr>
      <w:r>
        <w:rPr>
          <w:noProof/>
        </w:rPr>
        <w:drawing>
          <wp:inline distT="0" distB="0" distL="0" distR="0" wp14:anchorId="170DD572" wp14:editId="407E9F34">
            <wp:extent cx="5747655" cy="3657600"/>
            <wp:effectExtent l="0" t="0" r="5715" b="0"/>
            <wp:docPr id="11" name="Picture 10">
              <a:extLst xmlns:a="http://schemas.openxmlformats.org/drawingml/2006/main">
                <a:ext uri="{FF2B5EF4-FFF2-40B4-BE49-F238E27FC236}">
                  <a16:creationId xmlns:a16="http://schemas.microsoft.com/office/drawing/2014/main" id="{9281202B-5D71-6A4E-9FD5-E32F5A3F59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9281202B-5D71-6A4E-9FD5-E32F5A3F592B}"/>
                        </a:ext>
                      </a:extLst>
                    </pic:cNvPr>
                    <pic:cNvPicPr>
                      <a:picLocks noChangeAspect="1"/>
                    </pic:cNvPicPr>
                  </pic:nvPicPr>
                  <pic:blipFill>
                    <a:blip r:embed="rId18"/>
                    <a:stretch>
                      <a:fillRect/>
                    </a:stretch>
                  </pic:blipFill>
                  <pic:spPr>
                    <a:xfrm>
                      <a:off x="0" y="0"/>
                      <a:ext cx="5747655" cy="3657600"/>
                    </a:xfrm>
                    <a:prstGeom prst="rect">
                      <a:avLst/>
                    </a:prstGeom>
                  </pic:spPr>
                </pic:pic>
              </a:graphicData>
            </a:graphic>
          </wp:inline>
        </w:drawing>
      </w:r>
    </w:p>
    <w:p w14:paraId="700325CD" w14:textId="3B20DFFD" w:rsidR="0065584C" w:rsidRDefault="007343A4" w:rsidP="0065584C">
      <w:pPr>
        <w:rPr>
          <w:rFonts w:ascii="Times New Roman" w:hAnsi="Times New Roman" w:cs="Times New Roman"/>
        </w:rPr>
      </w:pPr>
      <w:r>
        <w:rPr>
          <w:rFonts w:ascii="Times New Roman" w:hAnsi="Times New Roman" w:cs="Times New Roman"/>
          <w:b/>
          <w:bCs/>
        </w:rPr>
        <w:t>Figure</w:t>
      </w:r>
      <w:r w:rsidR="0065584C">
        <w:rPr>
          <w:rFonts w:ascii="Times New Roman" w:hAnsi="Times New Roman" w:cs="Times New Roman"/>
          <w:b/>
          <w:bCs/>
        </w:rPr>
        <w:t xml:space="preserve"> </w:t>
      </w:r>
      <w:r w:rsidR="007D1FF4">
        <w:rPr>
          <w:rFonts w:ascii="Times New Roman" w:hAnsi="Times New Roman" w:cs="Times New Roman"/>
          <w:b/>
          <w:bCs/>
        </w:rPr>
        <w:t>5</w:t>
      </w:r>
      <w:r w:rsidR="0065584C">
        <w:rPr>
          <w:rFonts w:ascii="Times New Roman" w:hAnsi="Times New Roman" w:cs="Times New Roman"/>
          <w:b/>
          <w:bCs/>
        </w:rPr>
        <w:t xml:space="preserve">: </w:t>
      </w:r>
      <w:r w:rsidR="00094566" w:rsidRPr="00767D30">
        <w:rPr>
          <w:rFonts w:ascii="Times New Roman" w:hAnsi="Times New Roman" w:cs="Times New Roman"/>
        </w:rPr>
        <w:t>Team Avg</w:t>
      </w:r>
      <w:r w:rsidR="00094566">
        <w:rPr>
          <w:rFonts w:ascii="Times New Roman" w:hAnsi="Times New Roman" w:cs="Times New Roman"/>
          <w:b/>
          <w:bCs/>
        </w:rPr>
        <w:t xml:space="preserve"> </w:t>
      </w:r>
      <w:r w:rsidR="00DD6664" w:rsidRPr="00DD6664">
        <w:rPr>
          <w:rFonts w:ascii="Times New Roman" w:hAnsi="Times New Roman" w:cs="Times New Roman"/>
        </w:rPr>
        <w:t>(n=18)</w:t>
      </w:r>
      <w:r w:rsidR="00DD6664">
        <w:rPr>
          <w:rFonts w:ascii="Times New Roman" w:hAnsi="Times New Roman" w:cs="Times New Roman"/>
          <w:b/>
          <w:bCs/>
        </w:rPr>
        <w:t xml:space="preserve"> </w:t>
      </w:r>
      <w:r w:rsidR="0065584C">
        <w:rPr>
          <w:rFonts w:ascii="Times New Roman" w:hAnsi="Times New Roman" w:cs="Times New Roman"/>
        </w:rPr>
        <w:t xml:space="preserve">Soreness </w:t>
      </w:r>
      <w:r w:rsidR="00094566">
        <w:rPr>
          <w:rFonts w:ascii="Times New Roman" w:hAnsi="Times New Roman" w:cs="Times New Roman"/>
        </w:rPr>
        <w:t>C</w:t>
      </w:r>
      <w:r w:rsidR="0065584C">
        <w:rPr>
          <w:rFonts w:ascii="Times New Roman" w:hAnsi="Times New Roman" w:cs="Times New Roman"/>
        </w:rPr>
        <w:t xml:space="preserve">omposite and Sleep </w:t>
      </w:r>
      <w:r w:rsidR="00094566">
        <w:rPr>
          <w:rFonts w:ascii="Times New Roman" w:hAnsi="Times New Roman" w:cs="Times New Roman"/>
        </w:rPr>
        <w:t>Score</w:t>
      </w:r>
      <w:r w:rsidR="0065584C">
        <w:rPr>
          <w:rFonts w:ascii="Times New Roman" w:hAnsi="Times New Roman" w:cs="Times New Roman"/>
        </w:rPr>
        <w:t xml:space="preserve"> </w:t>
      </w:r>
      <w:r w:rsidR="00094566">
        <w:rPr>
          <w:rFonts w:ascii="Times New Roman" w:hAnsi="Times New Roman" w:cs="Times New Roman"/>
        </w:rPr>
        <w:t xml:space="preserve">across </w:t>
      </w:r>
      <w:r w:rsidR="0065584C">
        <w:rPr>
          <w:rFonts w:ascii="Times New Roman" w:hAnsi="Times New Roman" w:cs="Times New Roman"/>
        </w:rPr>
        <w:t>GP2 (10/7 – 10/25).</w:t>
      </w:r>
    </w:p>
    <w:p w14:paraId="34530D08" w14:textId="77777777" w:rsidR="00626F68" w:rsidRDefault="00626F68" w:rsidP="0065584C">
      <w:pPr>
        <w:rPr>
          <w:rFonts w:ascii="Times New Roman" w:hAnsi="Times New Roman" w:cs="Times New Roman"/>
        </w:rPr>
      </w:pPr>
    </w:p>
    <w:p w14:paraId="15770ED0" w14:textId="137FFBEF" w:rsidR="00A2690A" w:rsidRDefault="0065584C" w:rsidP="0065584C">
      <w:pPr>
        <w:rPr>
          <w:rFonts w:ascii="Times New Roman" w:hAnsi="Times New Roman" w:cs="Times New Roman"/>
        </w:rPr>
      </w:pPr>
      <w:r>
        <w:rPr>
          <w:noProof/>
        </w:rPr>
        <w:lastRenderedPageBreak/>
        <w:drawing>
          <wp:inline distT="0" distB="0" distL="0" distR="0" wp14:anchorId="6A132C4C" wp14:editId="091D24D0">
            <wp:extent cx="5776134" cy="3657600"/>
            <wp:effectExtent l="0" t="0" r="2540" b="0"/>
            <wp:docPr id="3" name="Picture 17">
              <a:extLst xmlns:a="http://schemas.openxmlformats.org/drawingml/2006/main">
                <a:ext uri="{FF2B5EF4-FFF2-40B4-BE49-F238E27FC236}">
                  <a16:creationId xmlns:a16="http://schemas.microsoft.com/office/drawing/2014/main" id="{75C4783A-8AA6-064E-8A26-3F15C82DD3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75C4783A-8AA6-064E-8A26-3F15C82DD307}"/>
                        </a:ext>
                      </a:extLst>
                    </pic:cNvPr>
                    <pic:cNvPicPr>
                      <a:picLocks noChangeAspect="1"/>
                    </pic:cNvPicPr>
                  </pic:nvPicPr>
                  <pic:blipFill>
                    <a:blip r:embed="rId19"/>
                    <a:stretch>
                      <a:fillRect/>
                    </a:stretch>
                  </pic:blipFill>
                  <pic:spPr>
                    <a:xfrm>
                      <a:off x="0" y="0"/>
                      <a:ext cx="5776134" cy="3657600"/>
                    </a:xfrm>
                    <a:prstGeom prst="rect">
                      <a:avLst/>
                    </a:prstGeom>
                  </pic:spPr>
                </pic:pic>
              </a:graphicData>
            </a:graphic>
          </wp:inline>
        </w:drawing>
      </w:r>
    </w:p>
    <w:p w14:paraId="530872DF" w14:textId="773DBC55" w:rsidR="0065584C" w:rsidRDefault="007343A4" w:rsidP="0065584C">
      <w:pPr>
        <w:rPr>
          <w:rFonts w:ascii="Times New Roman" w:hAnsi="Times New Roman" w:cs="Times New Roman"/>
        </w:rPr>
      </w:pPr>
      <w:r>
        <w:rPr>
          <w:rFonts w:ascii="Times New Roman" w:hAnsi="Times New Roman" w:cs="Times New Roman"/>
          <w:b/>
          <w:bCs/>
        </w:rPr>
        <w:t xml:space="preserve">Figure </w:t>
      </w:r>
      <w:r w:rsidR="007D1FF4">
        <w:rPr>
          <w:rFonts w:ascii="Times New Roman" w:hAnsi="Times New Roman" w:cs="Times New Roman"/>
          <w:b/>
          <w:bCs/>
        </w:rPr>
        <w:t>6</w:t>
      </w:r>
      <w:r w:rsidR="0065584C">
        <w:rPr>
          <w:rFonts w:ascii="Times New Roman" w:hAnsi="Times New Roman" w:cs="Times New Roman"/>
          <w:b/>
          <w:bCs/>
        </w:rPr>
        <w:t xml:space="preserve">: </w:t>
      </w:r>
      <w:r w:rsidR="00094566" w:rsidRPr="00767D30">
        <w:rPr>
          <w:rFonts w:ascii="Times New Roman" w:hAnsi="Times New Roman" w:cs="Times New Roman"/>
        </w:rPr>
        <w:t>Team Avg</w:t>
      </w:r>
      <w:r w:rsidR="00094566">
        <w:rPr>
          <w:rFonts w:ascii="Times New Roman" w:hAnsi="Times New Roman" w:cs="Times New Roman"/>
          <w:b/>
          <w:bCs/>
        </w:rPr>
        <w:t xml:space="preserve"> </w:t>
      </w:r>
      <w:r w:rsidR="00DD6664" w:rsidRPr="00DD6664">
        <w:rPr>
          <w:rFonts w:ascii="Times New Roman" w:hAnsi="Times New Roman" w:cs="Times New Roman"/>
        </w:rPr>
        <w:t>(n=18)</w:t>
      </w:r>
      <w:r w:rsidR="00DD6664">
        <w:rPr>
          <w:rFonts w:ascii="Times New Roman" w:hAnsi="Times New Roman" w:cs="Times New Roman"/>
          <w:b/>
          <w:bCs/>
        </w:rPr>
        <w:t xml:space="preserve"> </w:t>
      </w:r>
      <w:r w:rsidR="0065584C">
        <w:rPr>
          <w:rFonts w:ascii="Times New Roman" w:hAnsi="Times New Roman" w:cs="Times New Roman"/>
        </w:rPr>
        <w:t xml:space="preserve">Recovery </w:t>
      </w:r>
      <w:r w:rsidR="00094566">
        <w:rPr>
          <w:rFonts w:ascii="Times New Roman" w:hAnsi="Times New Roman" w:cs="Times New Roman"/>
        </w:rPr>
        <w:t xml:space="preserve">Composite </w:t>
      </w:r>
      <w:r w:rsidR="0065584C">
        <w:rPr>
          <w:rFonts w:ascii="Times New Roman" w:hAnsi="Times New Roman" w:cs="Times New Roman"/>
        </w:rPr>
        <w:t xml:space="preserve">and Stress </w:t>
      </w:r>
      <w:r w:rsidR="00094566">
        <w:rPr>
          <w:rFonts w:ascii="Times New Roman" w:hAnsi="Times New Roman" w:cs="Times New Roman"/>
        </w:rPr>
        <w:t>C</w:t>
      </w:r>
      <w:r w:rsidR="0065584C">
        <w:rPr>
          <w:rFonts w:ascii="Times New Roman" w:hAnsi="Times New Roman" w:cs="Times New Roman"/>
        </w:rPr>
        <w:t xml:space="preserve">omposite </w:t>
      </w:r>
      <w:r w:rsidR="00094566">
        <w:rPr>
          <w:rFonts w:ascii="Times New Roman" w:hAnsi="Times New Roman" w:cs="Times New Roman"/>
        </w:rPr>
        <w:t xml:space="preserve">scores </w:t>
      </w:r>
      <w:r w:rsidR="0065584C">
        <w:rPr>
          <w:rFonts w:ascii="Times New Roman" w:hAnsi="Times New Roman" w:cs="Times New Roman"/>
        </w:rPr>
        <w:t>for SP1 (10/28 – 11/14).</w:t>
      </w:r>
    </w:p>
    <w:p w14:paraId="42F861AB" w14:textId="77777777" w:rsidR="00A2690A" w:rsidRDefault="00A2690A" w:rsidP="0065584C">
      <w:pPr>
        <w:rPr>
          <w:rFonts w:ascii="Times New Roman" w:hAnsi="Times New Roman" w:cs="Times New Roman"/>
        </w:rPr>
      </w:pPr>
    </w:p>
    <w:p w14:paraId="062BC45C" w14:textId="77777777" w:rsidR="0065584C" w:rsidRDefault="0065584C" w:rsidP="0065584C">
      <w:pPr>
        <w:rPr>
          <w:rFonts w:ascii="Times New Roman" w:hAnsi="Times New Roman" w:cs="Times New Roman"/>
        </w:rPr>
      </w:pPr>
      <w:r>
        <w:rPr>
          <w:noProof/>
        </w:rPr>
        <w:drawing>
          <wp:inline distT="0" distB="0" distL="0" distR="0" wp14:anchorId="51EB1248" wp14:editId="4B4E8F62">
            <wp:extent cx="5747655" cy="3657600"/>
            <wp:effectExtent l="0" t="0" r="5715" b="0"/>
            <wp:docPr id="13" name="Picture 12">
              <a:extLst xmlns:a="http://schemas.openxmlformats.org/drawingml/2006/main">
                <a:ext uri="{FF2B5EF4-FFF2-40B4-BE49-F238E27FC236}">
                  <a16:creationId xmlns:a16="http://schemas.microsoft.com/office/drawing/2014/main" id="{61AB45E1-8B60-0749-B198-80A884C8DB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61AB45E1-8B60-0749-B198-80A884C8DB1E}"/>
                        </a:ext>
                      </a:extLst>
                    </pic:cNvPr>
                    <pic:cNvPicPr>
                      <a:picLocks noChangeAspect="1"/>
                    </pic:cNvPicPr>
                  </pic:nvPicPr>
                  <pic:blipFill>
                    <a:blip r:embed="rId20"/>
                    <a:stretch>
                      <a:fillRect/>
                    </a:stretch>
                  </pic:blipFill>
                  <pic:spPr>
                    <a:xfrm>
                      <a:off x="0" y="0"/>
                      <a:ext cx="5747655" cy="3657600"/>
                    </a:xfrm>
                    <a:prstGeom prst="rect">
                      <a:avLst/>
                    </a:prstGeom>
                  </pic:spPr>
                </pic:pic>
              </a:graphicData>
            </a:graphic>
          </wp:inline>
        </w:drawing>
      </w:r>
    </w:p>
    <w:p w14:paraId="5818ADC0" w14:textId="166EF767" w:rsidR="0065584C" w:rsidRDefault="007343A4" w:rsidP="0065584C">
      <w:pPr>
        <w:rPr>
          <w:rFonts w:ascii="Times New Roman" w:hAnsi="Times New Roman" w:cs="Times New Roman"/>
        </w:rPr>
      </w:pPr>
      <w:r>
        <w:rPr>
          <w:rFonts w:ascii="Times New Roman" w:hAnsi="Times New Roman" w:cs="Times New Roman"/>
          <w:b/>
          <w:bCs/>
        </w:rPr>
        <w:t xml:space="preserve">Figure </w:t>
      </w:r>
      <w:r w:rsidR="007D1FF4">
        <w:rPr>
          <w:rFonts w:ascii="Times New Roman" w:hAnsi="Times New Roman" w:cs="Times New Roman"/>
          <w:b/>
          <w:bCs/>
        </w:rPr>
        <w:t>7</w:t>
      </w:r>
      <w:r w:rsidR="0065584C">
        <w:rPr>
          <w:rFonts w:ascii="Times New Roman" w:hAnsi="Times New Roman" w:cs="Times New Roman"/>
          <w:b/>
          <w:bCs/>
        </w:rPr>
        <w:t xml:space="preserve">: </w:t>
      </w:r>
      <w:r w:rsidR="00094566" w:rsidRPr="00767D30">
        <w:rPr>
          <w:rFonts w:ascii="Times New Roman" w:hAnsi="Times New Roman" w:cs="Times New Roman"/>
        </w:rPr>
        <w:t xml:space="preserve">Team Avg </w:t>
      </w:r>
      <w:r w:rsidR="00DD6664" w:rsidRPr="00DD6664">
        <w:rPr>
          <w:rFonts w:ascii="Times New Roman" w:hAnsi="Times New Roman" w:cs="Times New Roman"/>
        </w:rPr>
        <w:t>(n=18)</w:t>
      </w:r>
      <w:r w:rsidR="00DD6664">
        <w:rPr>
          <w:rFonts w:ascii="Times New Roman" w:hAnsi="Times New Roman" w:cs="Times New Roman"/>
          <w:b/>
          <w:bCs/>
        </w:rPr>
        <w:t xml:space="preserve"> </w:t>
      </w:r>
      <w:r w:rsidR="0065584C">
        <w:rPr>
          <w:rFonts w:ascii="Times New Roman" w:hAnsi="Times New Roman" w:cs="Times New Roman"/>
        </w:rPr>
        <w:t xml:space="preserve">Soreness </w:t>
      </w:r>
      <w:r w:rsidR="00094566">
        <w:rPr>
          <w:rFonts w:ascii="Times New Roman" w:hAnsi="Times New Roman" w:cs="Times New Roman"/>
        </w:rPr>
        <w:t>C</w:t>
      </w:r>
      <w:r w:rsidR="0065584C">
        <w:rPr>
          <w:rFonts w:ascii="Times New Roman" w:hAnsi="Times New Roman" w:cs="Times New Roman"/>
        </w:rPr>
        <w:t xml:space="preserve">omposite and Sleep </w:t>
      </w:r>
      <w:r w:rsidR="00094566">
        <w:rPr>
          <w:rFonts w:ascii="Times New Roman" w:hAnsi="Times New Roman" w:cs="Times New Roman"/>
        </w:rPr>
        <w:t>Score</w:t>
      </w:r>
      <w:r w:rsidR="0065584C">
        <w:rPr>
          <w:rFonts w:ascii="Times New Roman" w:hAnsi="Times New Roman" w:cs="Times New Roman"/>
        </w:rPr>
        <w:t xml:space="preserve"> </w:t>
      </w:r>
      <w:r w:rsidR="00094566">
        <w:rPr>
          <w:rFonts w:ascii="Times New Roman" w:hAnsi="Times New Roman" w:cs="Times New Roman"/>
        </w:rPr>
        <w:t xml:space="preserve">across </w:t>
      </w:r>
      <w:r w:rsidR="0065584C">
        <w:rPr>
          <w:rFonts w:ascii="Times New Roman" w:hAnsi="Times New Roman" w:cs="Times New Roman"/>
        </w:rPr>
        <w:t>SP1 (10/28 – 11/14).</w:t>
      </w:r>
    </w:p>
    <w:p w14:paraId="45CE7EA8" w14:textId="77777777" w:rsidR="0065584C" w:rsidRDefault="0065584C" w:rsidP="0065584C">
      <w:pPr>
        <w:rPr>
          <w:rFonts w:ascii="Times New Roman" w:hAnsi="Times New Roman" w:cs="Times New Roman"/>
        </w:rPr>
      </w:pPr>
    </w:p>
    <w:p w14:paraId="0505EEFA" w14:textId="77777777" w:rsidR="0065584C" w:rsidRDefault="0065584C" w:rsidP="0065584C">
      <w:pPr>
        <w:rPr>
          <w:rFonts w:ascii="Times New Roman" w:hAnsi="Times New Roman" w:cs="Times New Roman"/>
        </w:rPr>
      </w:pPr>
      <w:r>
        <w:rPr>
          <w:noProof/>
        </w:rPr>
        <w:lastRenderedPageBreak/>
        <w:drawing>
          <wp:inline distT="0" distB="0" distL="0" distR="0" wp14:anchorId="5FF193FA" wp14:editId="696EC39E">
            <wp:extent cx="5747655" cy="3657600"/>
            <wp:effectExtent l="0" t="0" r="5715" b="0"/>
            <wp:docPr id="21" name="Picture 20">
              <a:extLst xmlns:a="http://schemas.openxmlformats.org/drawingml/2006/main">
                <a:ext uri="{FF2B5EF4-FFF2-40B4-BE49-F238E27FC236}">
                  <a16:creationId xmlns:a16="http://schemas.microsoft.com/office/drawing/2014/main" id="{D1D497F1-F7C8-8E41-AED9-5409DA3B0E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D1D497F1-F7C8-8E41-AED9-5409DA3B0E85}"/>
                        </a:ext>
                      </a:extLst>
                    </pic:cNvPr>
                    <pic:cNvPicPr>
                      <a:picLocks noChangeAspect="1"/>
                    </pic:cNvPicPr>
                  </pic:nvPicPr>
                  <pic:blipFill>
                    <a:blip r:embed="rId21"/>
                    <a:stretch>
                      <a:fillRect/>
                    </a:stretch>
                  </pic:blipFill>
                  <pic:spPr>
                    <a:xfrm>
                      <a:off x="0" y="0"/>
                      <a:ext cx="5747655" cy="3657600"/>
                    </a:xfrm>
                    <a:prstGeom prst="rect">
                      <a:avLst/>
                    </a:prstGeom>
                  </pic:spPr>
                </pic:pic>
              </a:graphicData>
            </a:graphic>
          </wp:inline>
        </w:drawing>
      </w:r>
    </w:p>
    <w:p w14:paraId="4FADA7DD" w14:textId="3A15DAE6" w:rsidR="0065584C" w:rsidRDefault="007343A4" w:rsidP="0065584C">
      <w:pPr>
        <w:rPr>
          <w:rFonts w:ascii="Times New Roman" w:hAnsi="Times New Roman" w:cs="Times New Roman"/>
        </w:rPr>
      </w:pPr>
      <w:r>
        <w:rPr>
          <w:rFonts w:ascii="Times New Roman" w:hAnsi="Times New Roman" w:cs="Times New Roman"/>
          <w:b/>
          <w:bCs/>
        </w:rPr>
        <w:t xml:space="preserve">Figure </w:t>
      </w:r>
      <w:r w:rsidR="007D1FF4">
        <w:rPr>
          <w:rFonts w:ascii="Times New Roman" w:hAnsi="Times New Roman" w:cs="Times New Roman"/>
          <w:b/>
          <w:bCs/>
        </w:rPr>
        <w:t>8</w:t>
      </w:r>
      <w:r w:rsidR="0065584C">
        <w:rPr>
          <w:rFonts w:ascii="Times New Roman" w:hAnsi="Times New Roman" w:cs="Times New Roman"/>
          <w:b/>
          <w:bCs/>
        </w:rPr>
        <w:t xml:space="preserve">: </w:t>
      </w:r>
      <w:r w:rsidR="00094566" w:rsidRPr="00767D30">
        <w:rPr>
          <w:rFonts w:ascii="Times New Roman" w:hAnsi="Times New Roman" w:cs="Times New Roman"/>
        </w:rPr>
        <w:t>Team Avg</w:t>
      </w:r>
      <w:r w:rsidR="00094566">
        <w:rPr>
          <w:rFonts w:ascii="Times New Roman" w:hAnsi="Times New Roman" w:cs="Times New Roman"/>
          <w:b/>
          <w:bCs/>
        </w:rPr>
        <w:t xml:space="preserve"> </w:t>
      </w:r>
      <w:r w:rsidR="00DD6664" w:rsidRPr="00DD6664">
        <w:rPr>
          <w:rFonts w:ascii="Times New Roman" w:hAnsi="Times New Roman" w:cs="Times New Roman"/>
        </w:rPr>
        <w:t>(n=18)</w:t>
      </w:r>
      <w:r w:rsidR="00DD6664">
        <w:rPr>
          <w:rFonts w:ascii="Times New Roman" w:hAnsi="Times New Roman" w:cs="Times New Roman"/>
          <w:b/>
          <w:bCs/>
        </w:rPr>
        <w:t xml:space="preserve"> </w:t>
      </w:r>
      <w:r w:rsidR="0065584C">
        <w:rPr>
          <w:rFonts w:ascii="Times New Roman" w:hAnsi="Times New Roman" w:cs="Times New Roman"/>
        </w:rPr>
        <w:t xml:space="preserve">Recovery </w:t>
      </w:r>
      <w:r w:rsidR="00094566">
        <w:rPr>
          <w:rFonts w:ascii="Times New Roman" w:hAnsi="Times New Roman" w:cs="Times New Roman"/>
        </w:rPr>
        <w:t xml:space="preserve">Composite </w:t>
      </w:r>
      <w:r w:rsidR="0065584C">
        <w:rPr>
          <w:rFonts w:ascii="Times New Roman" w:hAnsi="Times New Roman" w:cs="Times New Roman"/>
        </w:rPr>
        <w:t xml:space="preserve">and Stress </w:t>
      </w:r>
      <w:r w:rsidR="00094566">
        <w:rPr>
          <w:rFonts w:ascii="Times New Roman" w:hAnsi="Times New Roman" w:cs="Times New Roman"/>
        </w:rPr>
        <w:t>C</w:t>
      </w:r>
      <w:r w:rsidR="0065584C">
        <w:rPr>
          <w:rFonts w:ascii="Times New Roman" w:hAnsi="Times New Roman" w:cs="Times New Roman"/>
        </w:rPr>
        <w:t xml:space="preserve">omposite </w:t>
      </w:r>
      <w:r w:rsidR="00094566">
        <w:rPr>
          <w:rFonts w:ascii="Times New Roman" w:hAnsi="Times New Roman" w:cs="Times New Roman"/>
        </w:rPr>
        <w:t xml:space="preserve">scores for </w:t>
      </w:r>
      <w:r w:rsidR="0065584C">
        <w:rPr>
          <w:rFonts w:ascii="Times New Roman" w:hAnsi="Times New Roman" w:cs="Times New Roman"/>
        </w:rPr>
        <w:t>SP2 (11/18 – 12/19).</w:t>
      </w:r>
    </w:p>
    <w:p w14:paraId="540DA838" w14:textId="77777777" w:rsidR="0065584C" w:rsidRDefault="0065584C" w:rsidP="0065584C">
      <w:pPr>
        <w:rPr>
          <w:rFonts w:ascii="Times New Roman" w:hAnsi="Times New Roman" w:cs="Times New Roman"/>
        </w:rPr>
      </w:pPr>
    </w:p>
    <w:p w14:paraId="2AFB4B81" w14:textId="77777777" w:rsidR="0065584C" w:rsidRDefault="0065584C" w:rsidP="0065584C">
      <w:pPr>
        <w:rPr>
          <w:rFonts w:ascii="Times New Roman" w:hAnsi="Times New Roman" w:cs="Times New Roman"/>
        </w:rPr>
      </w:pPr>
      <w:r>
        <w:rPr>
          <w:noProof/>
        </w:rPr>
        <w:drawing>
          <wp:inline distT="0" distB="0" distL="0" distR="0" wp14:anchorId="50A01322" wp14:editId="23353EF7">
            <wp:extent cx="5747655" cy="3657600"/>
            <wp:effectExtent l="0" t="0" r="5715" b="0"/>
            <wp:docPr id="14" name="Picture 13">
              <a:extLst xmlns:a="http://schemas.openxmlformats.org/drawingml/2006/main">
                <a:ext uri="{FF2B5EF4-FFF2-40B4-BE49-F238E27FC236}">
                  <a16:creationId xmlns:a16="http://schemas.microsoft.com/office/drawing/2014/main" id="{11BD64D7-A9C6-D244-843E-96288646A3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1BD64D7-A9C6-D244-843E-96288646A3D1}"/>
                        </a:ext>
                      </a:extLst>
                    </pic:cNvPr>
                    <pic:cNvPicPr>
                      <a:picLocks noChangeAspect="1"/>
                    </pic:cNvPicPr>
                  </pic:nvPicPr>
                  <pic:blipFill>
                    <a:blip r:embed="rId22"/>
                    <a:stretch>
                      <a:fillRect/>
                    </a:stretch>
                  </pic:blipFill>
                  <pic:spPr>
                    <a:xfrm>
                      <a:off x="0" y="0"/>
                      <a:ext cx="5747655" cy="3657600"/>
                    </a:xfrm>
                    <a:prstGeom prst="rect">
                      <a:avLst/>
                    </a:prstGeom>
                  </pic:spPr>
                </pic:pic>
              </a:graphicData>
            </a:graphic>
          </wp:inline>
        </w:drawing>
      </w:r>
    </w:p>
    <w:p w14:paraId="015F600A" w14:textId="737B7109" w:rsidR="00344DE8" w:rsidRPr="00344DE8" w:rsidRDefault="007343A4" w:rsidP="00344DE8">
      <w:pPr>
        <w:rPr>
          <w:rFonts w:ascii="Times New Roman" w:hAnsi="Times New Roman" w:cs="Times New Roman"/>
        </w:rPr>
      </w:pPr>
      <w:r>
        <w:rPr>
          <w:rFonts w:ascii="Times New Roman" w:hAnsi="Times New Roman" w:cs="Times New Roman"/>
          <w:b/>
          <w:bCs/>
        </w:rPr>
        <w:t xml:space="preserve">Figure </w:t>
      </w:r>
      <w:r w:rsidR="007D1FF4">
        <w:rPr>
          <w:rFonts w:ascii="Times New Roman" w:hAnsi="Times New Roman" w:cs="Times New Roman"/>
          <w:b/>
          <w:bCs/>
        </w:rPr>
        <w:t>9</w:t>
      </w:r>
      <w:r w:rsidR="0065584C">
        <w:rPr>
          <w:rFonts w:ascii="Times New Roman" w:hAnsi="Times New Roman" w:cs="Times New Roman"/>
          <w:b/>
          <w:bCs/>
        </w:rPr>
        <w:t xml:space="preserve">: </w:t>
      </w:r>
      <w:r w:rsidR="00094566" w:rsidRPr="00767D30">
        <w:rPr>
          <w:rFonts w:ascii="Times New Roman" w:hAnsi="Times New Roman" w:cs="Times New Roman"/>
        </w:rPr>
        <w:t>Team Avg</w:t>
      </w:r>
      <w:r w:rsidR="00094566">
        <w:rPr>
          <w:rFonts w:ascii="Times New Roman" w:hAnsi="Times New Roman" w:cs="Times New Roman"/>
          <w:b/>
          <w:bCs/>
        </w:rPr>
        <w:t xml:space="preserve"> </w:t>
      </w:r>
      <w:r w:rsidR="00DD6664" w:rsidRPr="00DD6664">
        <w:rPr>
          <w:rFonts w:ascii="Times New Roman" w:hAnsi="Times New Roman" w:cs="Times New Roman"/>
        </w:rPr>
        <w:t>(n=18)</w:t>
      </w:r>
      <w:r w:rsidR="00DD6664">
        <w:rPr>
          <w:rFonts w:ascii="Times New Roman" w:hAnsi="Times New Roman" w:cs="Times New Roman"/>
          <w:b/>
          <w:bCs/>
        </w:rPr>
        <w:t xml:space="preserve"> </w:t>
      </w:r>
      <w:r w:rsidR="0065584C">
        <w:rPr>
          <w:rFonts w:ascii="Times New Roman" w:hAnsi="Times New Roman" w:cs="Times New Roman"/>
        </w:rPr>
        <w:t xml:space="preserve">Soreness </w:t>
      </w:r>
      <w:r w:rsidR="00094566">
        <w:rPr>
          <w:rFonts w:ascii="Times New Roman" w:hAnsi="Times New Roman" w:cs="Times New Roman"/>
        </w:rPr>
        <w:t>C</w:t>
      </w:r>
      <w:r w:rsidR="0065584C">
        <w:rPr>
          <w:rFonts w:ascii="Times New Roman" w:hAnsi="Times New Roman" w:cs="Times New Roman"/>
        </w:rPr>
        <w:t xml:space="preserve">omposite and Sleep </w:t>
      </w:r>
      <w:r w:rsidR="00094566">
        <w:rPr>
          <w:rFonts w:ascii="Times New Roman" w:hAnsi="Times New Roman" w:cs="Times New Roman"/>
        </w:rPr>
        <w:t>Score</w:t>
      </w:r>
      <w:r w:rsidR="0065584C">
        <w:rPr>
          <w:rFonts w:ascii="Times New Roman" w:hAnsi="Times New Roman" w:cs="Times New Roman"/>
        </w:rPr>
        <w:t xml:space="preserve"> </w:t>
      </w:r>
      <w:r w:rsidR="00094566">
        <w:rPr>
          <w:rFonts w:ascii="Times New Roman" w:hAnsi="Times New Roman" w:cs="Times New Roman"/>
        </w:rPr>
        <w:t>across</w:t>
      </w:r>
      <w:r w:rsidR="0065584C">
        <w:rPr>
          <w:rFonts w:ascii="Times New Roman" w:hAnsi="Times New Roman" w:cs="Times New Roman"/>
        </w:rPr>
        <w:t xml:space="preserve"> SP2 (11/18 – 12/19).</w:t>
      </w:r>
    </w:p>
    <w:p w14:paraId="03D291E7" w14:textId="42F405C5" w:rsidR="007343A4" w:rsidRDefault="007343A4" w:rsidP="005B15BA">
      <w:pPr>
        <w:pStyle w:val="Heading3"/>
      </w:pPr>
      <w:bookmarkStart w:id="29" w:name="_Toc85791415"/>
      <w:r>
        <w:lastRenderedPageBreak/>
        <w:t>Training Phase Team Averages for Recovery, Stress, Sleep, and Soreness</w:t>
      </w:r>
      <w:bookmarkEnd w:id="29"/>
    </w:p>
    <w:p w14:paraId="268E41DE" w14:textId="5606FE3A" w:rsidR="00344DE8" w:rsidRPr="00344DE8" w:rsidRDefault="00344DE8" w:rsidP="0065584C">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Player Load and Player Load per minute</w:t>
      </w:r>
      <w:r w:rsidR="00ED0925">
        <w:rPr>
          <w:rFonts w:ascii="Times New Roman" w:hAnsi="Times New Roman" w:cs="Times New Roman"/>
        </w:rPr>
        <w:t xml:space="preserve"> for GP2, SP1, and SP2</w:t>
      </w:r>
      <w:r>
        <w:rPr>
          <w:rFonts w:ascii="Times New Roman" w:hAnsi="Times New Roman" w:cs="Times New Roman"/>
        </w:rPr>
        <w:t xml:space="preserve"> </w:t>
      </w:r>
      <w:r w:rsidR="00ED0925">
        <w:rPr>
          <w:rFonts w:ascii="Times New Roman" w:hAnsi="Times New Roman" w:cs="Times New Roman"/>
        </w:rPr>
        <w:t>are shown in the following figures (</w:t>
      </w:r>
      <w:r w:rsidR="007D1FF4">
        <w:rPr>
          <w:rFonts w:ascii="Times New Roman" w:hAnsi="Times New Roman" w:cs="Times New Roman"/>
        </w:rPr>
        <w:t>10</w:t>
      </w:r>
      <w:r w:rsidR="00ED0925">
        <w:rPr>
          <w:rFonts w:ascii="Times New Roman" w:hAnsi="Times New Roman" w:cs="Times New Roman"/>
        </w:rPr>
        <w:t>-1</w:t>
      </w:r>
      <w:r w:rsidR="007D1FF4">
        <w:rPr>
          <w:rFonts w:ascii="Times New Roman" w:hAnsi="Times New Roman" w:cs="Times New Roman"/>
        </w:rPr>
        <w:t>2</w:t>
      </w:r>
      <w:r w:rsidR="00ED0925">
        <w:rPr>
          <w:rFonts w:ascii="Times New Roman" w:hAnsi="Times New Roman" w:cs="Times New Roman"/>
        </w:rPr>
        <w:t xml:space="preserve">). PL and PL/min </w:t>
      </w:r>
      <w:r>
        <w:rPr>
          <w:rFonts w:ascii="Times New Roman" w:hAnsi="Times New Roman" w:cs="Times New Roman"/>
        </w:rPr>
        <w:t xml:space="preserve">primarily followed the same trends, which is to be expected as PL/min is a calculation from PL. </w:t>
      </w:r>
      <w:r w:rsidR="00ED0925">
        <w:rPr>
          <w:rFonts w:ascii="Times New Roman" w:hAnsi="Times New Roman" w:cs="Times New Roman"/>
        </w:rPr>
        <w:t>SP2 showed the most variation in PL and PL/min, which is seen in Figure 1</w:t>
      </w:r>
      <w:r w:rsidR="007D1FF4">
        <w:rPr>
          <w:rFonts w:ascii="Times New Roman" w:hAnsi="Times New Roman" w:cs="Times New Roman"/>
        </w:rPr>
        <w:t>2</w:t>
      </w:r>
      <w:r w:rsidR="00ED0925">
        <w:rPr>
          <w:rFonts w:ascii="Times New Roman" w:hAnsi="Times New Roman" w:cs="Times New Roman"/>
        </w:rPr>
        <w:t xml:space="preserve">. </w:t>
      </w:r>
      <w:r w:rsidR="0042162D">
        <w:rPr>
          <w:rFonts w:ascii="Times New Roman" w:hAnsi="Times New Roman" w:cs="Times New Roman"/>
        </w:rPr>
        <w:t>No noticeable trends exist</w:t>
      </w:r>
      <w:r w:rsidR="008E1DC8">
        <w:rPr>
          <w:rFonts w:ascii="Times New Roman" w:hAnsi="Times New Roman" w:cs="Times New Roman"/>
        </w:rPr>
        <w:t>ed</w:t>
      </w:r>
      <w:r w:rsidR="0042162D">
        <w:rPr>
          <w:rFonts w:ascii="Times New Roman" w:hAnsi="Times New Roman" w:cs="Times New Roman"/>
        </w:rPr>
        <w:t xml:space="preserve"> within each training phase.</w:t>
      </w:r>
    </w:p>
    <w:p w14:paraId="69147E82" w14:textId="77777777" w:rsidR="007343A4" w:rsidRDefault="007343A4" w:rsidP="007343A4">
      <w:pPr>
        <w:rPr>
          <w:rFonts w:ascii="Times New Roman" w:hAnsi="Times New Roman" w:cs="Times New Roman"/>
        </w:rPr>
      </w:pPr>
      <w:r>
        <w:rPr>
          <w:noProof/>
        </w:rPr>
        <w:drawing>
          <wp:inline distT="0" distB="0" distL="0" distR="0" wp14:anchorId="6A7CFF53" wp14:editId="07306E2F">
            <wp:extent cx="5747655" cy="3657600"/>
            <wp:effectExtent l="0" t="0" r="5715" b="0"/>
            <wp:docPr id="4" name="Picture 26">
              <a:extLst xmlns:a="http://schemas.openxmlformats.org/drawingml/2006/main">
                <a:ext uri="{FF2B5EF4-FFF2-40B4-BE49-F238E27FC236}">
                  <a16:creationId xmlns:a16="http://schemas.microsoft.com/office/drawing/2014/main" id="{2E0AA5B0-94C5-BD4E-AB1C-63CEB8B987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2E0AA5B0-94C5-BD4E-AB1C-63CEB8B98728}"/>
                        </a:ext>
                      </a:extLst>
                    </pic:cNvPr>
                    <pic:cNvPicPr>
                      <a:picLocks noChangeAspect="1"/>
                    </pic:cNvPicPr>
                  </pic:nvPicPr>
                  <pic:blipFill>
                    <a:blip r:embed="rId23"/>
                    <a:stretch>
                      <a:fillRect/>
                    </a:stretch>
                  </pic:blipFill>
                  <pic:spPr>
                    <a:xfrm>
                      <a:off x="0" y="0"/>
                      <a:ext cx="5747655" cy="3657600"/>
                    </a:xfrm>
                    <a:prstGeom prst="rect">
                      <a:avLst/>
                    </a:prstGeom>
                  </pic:spPr>
                </pic:pic>
              </a:graphicData>
            </a:graphic>
          </wp:inline>
        </w:drawing>
      </w:r>
    </w:p>
    <w:p w14:paraId="46363F12" w14:textId="29C7F10A" w:rsidR="007343A4" w:rsidRDefault="007343A4" w:rsidP="007343A4">
      <w:pPr>
        <w:rPr>
          <w:rFonts w:ascii="Times New Roman" w:hAnsi="Times New Roman" w:cs="Times New Roman"/>
        </w:rPr>
      </w:pPr>
      <w:r>
        <w:rPr>
          <w:rFonts w:ascii="Times New Roman" w:hAnsi="Times New Roman" w:cs="Times New Roman"/>
          <w:b/>
          <w:bCs/>
        </w:rPr>
        <w:t xml:space="preserve">Figure </w:t>
      </w:r>
      <w:r w:rsidR="007D1FF4">
        <w:rPr>
          <w:rFonts w:ascii="Times New Roman" w:hAnsi="Times New Roman" w:cs="Times New Roman"/>
          <w:b/>
          <w:bCs/>
        </w:rPr>
        <w:t>10</w:t>
      </w:r>
      <w:r>
        <w:rPr>
          <w:rFonts w:ascii="Times New Roman" w:hAnsi="Times New Roman" w:cs="Times New Roman"/>
          <w:b/>
          <w:bCs/>
        </w:rPr>
        <w:t xml:space="preserve">: </w:t>
      </w:r>
      <w:r w:rsidR="00094566" w:rsidRPr="00767D30">
        <w:rPr>
          <w:rFonts w:ascii="Times New Roman" w:hAnsi="Times New Roman" w:cs="Times New Roman"/>
        </w:rPr>
        <w:t>Team Avg</w:t>
      </w:r>
      <w:r w:rsidR="00094566">
        <w:rPr>
          <w:rFonts w:ascii="Times New Roman" w:hAnsi="Times New Roman" w:cs="Times New Roman"/>
          <w:b/>
          <w:bCs/>
        </w:rPr>
        <w:t xml:space="preserve"> </w:t>
      </w:r>
      <w:r w:rsidR="00DD6664" w:rsidRPr="00DD6664">
        <w:rPr>
          <w:rFonts w:ascii="Times New Roman" w:hAnsi="Times New Roman" w:cs="Times New Roman"/>
        </w:rPr>
        <w:t>(n=8)</w:t>
      </w:r>
      <w:r w:rsidR="00DD6664">
        <w:rPr>
          <w:rFonts w:ascii="Times New Roman" w:hAnsi="Times New Roman" w:cs="Times New Roman"/>
          <w:b/>
          <w:bCs/>
        </w:rPr>
        <w:t xml:space="preserve"> </w:t>
      </w:r>
      <w:r>
        <w:rPr>
          <w:rFonts w:ascii="Times New Roman" w:hAnsi="Times New Roman" w:cs="Times New Roman"/>
        </w:rPr>
        <w:t xml:space="preserve">Player Load and Player Load per Minute </w:t>
      </w:r>
      <w:r w:rsidR="00094566">
        <w:rPr>
          <w:rFonts w:ascii="Times New Roman" w:hAnsi="Times New Roman" w:cs="Times New Roman"/>
        </w:rPr>
        <w:t>across</w:t>
      </w:r>
      <w:r>
        <w:rPr>
          <w:rFonts w:ascii="Times New Roman" w:hAnsi="Times New Roman" w:cs="Times New Roman"/>
        </w:rPr>
        <w:t xml:space="preserve"> GP2 (10/7 – 10/25).</w:t>
      </w:r>
    </w:p>
    <w:p w14:paraId="474D7ECF" w14:textId="77777777" w:rsidR="007343A4" w:rsidRPr="007343A4" w:rsidRDefault="007343A4" w:rsidP="007343A4">
      <w:pPr>
        <w:rPr>
          <w:rFonts w:ascii="Times New Roman" w:hAnsi="Times New Roman" w:cs="Times New Roman"/>
        </w:rPr>
      </w:pPr>
    </w:p>
    <w:p w14:paraId="1290FCFB" w14:textId="77777777" w:rsidR="007343A4" w:rsidRDefault="007343A4" w:rsidP="007343A4">
      <w:pPr>
        <w:rPr>
          <w:rFonts w:ascii="Times New Roman" w:hAnsi="Times New Roman" w:cs="Times New Roman"/>
        </w:rPr>
      </w:pPr>
      <w:r>
        <w:rPr>
          <w:noProof/>
        </w:rPr>
        <w:lastRenderedPageBreak/>
        <w:drawing>
          <wp:inline distT="0" distB="0" distL="0" distR="0" wp14:anchorId="16D5C991" wp14:editId="24FDFA91">
            <wp:extent cx="5747655" cy="3657600"/>
            <wp:effectExtent l="0" t="0" r="5715" b="0"/>
            <wp:docPr id="2" name="Picture 22">
              <a:extLst xmlns:a="http://schemas.openxmlformats.org/drawingml/2006/main">
                <a:ext uri="{FF2B5EF4-FFF2-40B4-BE49-F238E27FC236}">
                  <a16:creationId xmlns:a16="http://schemas.microsoft.com/office/drawing/2014/main" id="{85DCC0A0-BCB1-694A-B463-A416F1D638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85DCC0A0-BCB1-694A-B463-A416F1D6387A}"/>
                        </a:ext>
                      </a:extLst>
                    </pic:cNvPr>
                    <pic:cNvPicPr>
                      <a:picLocks noChangeAspect="1"/>
                    </pic:cNvPicPr>
                  </pic:nvPicPr>
                  <pic:blipFill>
                    <a:blip r:embed="rId24"/>
                    <a:stretch>
                      <a:fillRect/>
                    </a:stretch>
                  </pic:blipFill>
                  <pic:spPr>
                    <a:xfrm>
                      <a:off x="0" y="0"/>
                      <a:ext cx="5747655" cy="3657600"/>
                    </a:xfrm>
                    <a:prstGeom prst="rect">
                      <a:avLst/>
                    </a:prstGeom>
                  </pic:spPr>
                </pic:pic>
              </a:graphicData>
            </a:graphic>
          </wp:inline>
        </w:drawing>
      </w:r>
    </w:p>
    <w:p w14:paraId="5F45E101" w14:textId="478083A4" w:rsidR="007343A4" w:rsidRDefault="007343A4" w:rsidP="007343A4">
      <w:pPr>
        <w:rPr>
          <w:rFonts w:ascii="Times New Roman" w:hAnsi="Times New Roman" w:cs="Times New Roman"/>
        </w:rPr>
      </w:pPr>
      <w:r>
        <w:rPr>
          <w:rFonts w:ascii="Times New Roman" w:hAnsi="Times New Roman" w:cs="Times New Roman"/>
          <w:b/>
          <w:bCs/>
        </w:rPr>
        <w:t>Figure 1</w:t>
      </w:r>
      <w:r w:rsidR="007D1FF4">
        <w:rPr>
          <w:rFonts w:ascii="Times New Roman" w:hAnsi="Times New Roman" w:cs="Times New Roman"/>
          <w:b/>
          <w:bCs/>
        </w:rPr>
        <w:t>1</w:t>
      </w:r>
      <w:r>
        <w:rPr>
          <w:rFonts w:ascii="Times New Roman" w:hAnsi="Times New Roman" w:cs="Times New Roman"/>
          <w:b/>
          <w:bCs/>
        </w:rPr>
        <w:t xml:space="preserve">: </w:t>
      </w:r>
      <w:r w:rsidR="00094566" w:rsidRPr="00767D30">
        <w:rPr>
          <w:rFonts w:ascii="Times New Roman" w:hAnsi="Times New Roman" w:cs="Times New Roman"/>
        </w:rPr>
        <w:t>Team Avg</w:t>
      </w:r>
      <w:r w:rsidR="00094566">
        <w:rPr>
          <w:rFonts w:ascii="Times New Roman" w:hAnsi="Times New Roman" w:cs="Times New Roman"/>
          <w:b/>
          <w:bCs/>
        </w:rPr>
        <w:t xml:space="preserve"> </w:t>
      </w:r>
      <w:r w:rsidR="00DD6664" w:rsidRPr="00DD6664">
        <w:rPr>
          <w:rFonts w:ascii="Times New Roman" w:hAnsi="Times New Roman" w:cs="Times New Roman"/>
        </w:rPr>
        <w:t>(n=8)</w:t>
      </w:r>
      <w:r w:rsidR="00DD6664">
        <w:rPr>
          <w:rFonts w:ascii="Times New Roman" w:hAnsi="Times New Roman" w:cs="Times New Roman"/>
          <w:b/>
          <w:bCs/>
        </w:rPr>
        <w:t xml:space="preserve"> </w:t>
      </w:r>
      <w:r>
        <w:rPr>
          <w:rFonts w:ascii="Times New Roman" w:hAnsi="Times New Roman" w:cs="Times New Roman"/>
        </w:rPr>
        <w:t xml:space="preserve">Player Load and Player Load per Minute </w:t>
      </w:r>
      <w:r w:rsidR="00094566">
        <w:rPr>
          <w:rFonts w:ascii="Times New Roman" w:hAnsi="Times New Roman" w:cs="Times New Roman"/>
        </w:rPr>
        <w:t>across</w:t>
      </w:r>
      <w:r>
        <w:rPr>
          <w:rFonts w:ascii="Times New Roman" w:hAnsi="Times New Roman" w:cs="Times New Roman"/>
        </w:rPr>
        <w:t xml:space="preserve"> SP1 (10/28 – 11/14).</w:t>
      </w:r>
    </w:p>
    <w:p w14:paraId="0A8871BC" w14:textId="77777777" w:rsidR="00344DE8" w:rsidRDefault="00344DE8" w:rsidP="007343A4">
      <w:pPr>
        <w:rPr>
          <w:rFonts w:ascii="Times New Roman" w:hAnsi="Times New Roman" w:cs="Times New Roman"/>
        </w:rPr>
      </w:pPr>
    </w:p>
    <w:p w14:paraId="61AE11D1" w14:textId="77777777" w:rsidR="007343A4" w:rsidRDefault="007343A4" w:rsidP="007343A4">
      <w:pPr>
        <w:rPr>
          <w:rFonts w:ascii="Times New Roman" w:hAnsi="Times New Roman" w:cs="Times New Roman"/>
        </w:rPr>
      </w:pPr>
      <w:r>
        <w:rPr>
          <w:noProof/>
        </w:rPr>
        <w:drawing>
          <wp:inline distT="0" distB="0" distL="0" distR="0" wp14:anchorId="6E87C993" wp14:editId="71B66169">
            <wp:extent cx="5747655" cy="3657600"/>
            <wp:effectExtent l="0" t="0" r="5715" b="0"/>
            <wp:docPr id="5" name="Picture 24">
              <a:extLst xmlns:a="http://schemas.openxmlformats.org/drawingml/2006/main">
                <a:ext uri="{FF2B5EF4-FFF2-40B4-BE49-F238E27FC236}">
                  <a16:creationId xmlns:a16="http://schemas.microsoft.com/office/drawing/2014/main" id="{00E07C89-5EC9-6341-8005-8B47B0BCCA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00E07C89-5EC9-6341-8005-8B47B0BCCADA}"/>
                        </a:ext>
                      </a:extLst>
                    </pic:cNvPr>
                    <pic:cNvPicPr>
                      <a:picLocks noChangeAspect="1"/>
                    </pic:cNvPicPr>
                  </pic:nvPicPr>
                  <pic:blipFill>
                    <a:blip r:embed="rId25"/>
                    <a:stretch>
                      <a:fillRect/>
                    </a:stretch>
                  </pic:blipFill>
                  <pic:spPr>
                    <a:xfrm>
                      <a:off x="0" y="0"/>
                      <a:ext cx="5747655" cy="3657600"/>
                    </a:xfrm>
                    <a:prstGeom prst="rect">
                      <a:avLst/>
                    </a:prstGeom>
                  </pic:spPr>
                </pic:pic>
              </a:graphicData>
            </a:graphic>
          </wp:inline>
        </w:drawing>
      </w:r>
    </w:p>
    <w:p w14:paraId="60E7FDE9" w14:textId="48E5BE82" w:rsidR="007343A4" w:rsidRDefault="007343A4" w:rsidP="00F119C7">
      <w:pPr>
        <w:rPr>
          <w:rFonts w:ascii="Times New Roman" w:hAnsi="Times New Roman" w:cs="Times New Roman"/>
        </w:rPr>
      </w:pPr>
      <w:r>
        <w:rPr>
          <w:rFonts w:ascii="Times New Roman" w:hAnsi="Times New Roman" w:cs="Times New Roman"/>
          <w:b/>
          <w:bCs/>
        </w:rPr>
        <w:t>Figure 1</w:t>
      </w:r>
      <w:r w:rsidR="007D1FF4">
        <w:rPr>
          <w:rFonts w:ascii="Times New Roman" w:hAnsi="Times New Roman" w:cs="Times New Roman"/>
          <w:b/>
          <w:bCs/>
        </w:rPr>
        <w:t>2</w:t>
      </w:r>
      <w:r>
        <w:rPr>
          <w:rFonts w:ascii="Times New Roman" w:hAnsi="Times New Roman" w:cs="Times New Roman"/>
          <w:b/>
          <w:bCs/>
        </w:rPr>
        <w:t xml:space="preserve">: </w:t>
      </w:r>
      <w:r w:rsidR="00094566" w:rsidRPr="002F6EA0">
        <w:rPr>
          <w:rFonts w:ascii="Times New Roman" w:hAnsi="Times New Roman" w:cs="Times New Roman"/>
        </w:rPr>
        <w:t>Team Avg</w:t>
      </w:r>
      <w:r w:rsidR="00094566">
        <w:rPr>
          <w:rFonts w:ascii="Times New Roman" w:hAnsi="Times New Roman" w:cs="Times New Roman"/>
          <w:b/>
          <w:bCs/>
        </w:rPr>
        <w:t xml:space="preserve"> </w:t>
      </w:r>
      <w:r w:rsidR="00DD6664" w:rsidRPr="00DD6664">
        <w:rPr>
          <w:rFonts w:ascii="Times New Roman" w:hAnsi="Times New Roman" w:cs="Times New Roman"/>
        </w:rPr>
        <w:t>(n=8)</w:t>
      </w:r>
      <w:r w:rsidR="00DD6664">
        <w:rPr>
          <w:rFonts w:ascii="Times New Roman" w:hAnsi="Times New Roman" w:cs="Times New Roman"/>
          <w:b/>
          <w:bCs/>
        </w:rPr>
        <w:t xml:space="preserve"> </w:t>
      </w:r>
      <w:r>
        <w:rPr>
          <w:rFonts w:ascii="Times New Roman" w:hAnsi="Times New Roman" w:cs="Times New Roman"/>
        </w:rPr>
        <w:t xml:space="preserve">Player Load and Player Load per Minute </w:t>
      </w:r>
      <w:r w:rsidR="00094566">
        <w:rPr>
          <w:rFonts w:ascii="Times New Roman" w:hAnsi="Times New Roman" w:cs="Times New Roman"/>
        </w:rPr>
        <w:t>across</w:t>
      </w:r>
      <w:r>
        <w:rPr>
          <w:rFonts w:ascii="Times New Roman" w:hAnsi="Times New Roman" w:cs="Times New Roman"/>
        </w:rPr>
        <w:t xml:space="preserve"> SP2 (11/18 – 12/19).</w:t>
      </w:r>
    </w:p>
    <w:p w14:paraId="7587B903" w14:textId="7F874798" w:rsidR="0065584C" w:rsidRDefault="0065584C" w:rsidP="005B15BA">
      <w:pPr>
        <w:pStyle w:val="Heading3"/>
      </w:pPr>
      <w:bookmarkStart w:id="30" w:name="_Toc85791416"/>
      <w:r>
        <w:lastRenderedPageBreak/>
        <w:t>Discussion</w:t>
      </w:r>
      <w:bookmarkEnd w:id="30"/>
    </w:p>
    <w:p w14:paraId="361EE386" w14:textId="6EE8D4CF" w:rsidR="00A222FD" w:rsidRDefault="0065584C" w:rsidP="0065584C">
      <w:pPr>
        <w:spacing w:line="480" w:lineRule="auto"/>
        <w:rPr>
          <w:rFonts w:ascii="Times New Roman" w:hAnsi="Times New Roman" w:cs="Times New Roman"/>
        </w:rPr>
      </w:pPr>
      <w:r>
        <w:rPr>
          <w:rFonts w:ascii="Times New Roman" w:hAnsi="Times New Roman" w:cs="Times New Roman"/>
        </w:rPr>
        <w:tab/>
        <w:t>The purpose of this study was to determine the utility and effectiveness of internal and external load monitoring in female NCAA Division I gymnasts. Efficacy for load monitoring</w:t>
      </w:r>
      <w:r w:rsidR="00C37D0F">
        <w:rPr>
          <w:rFonts w:ascii="Times New Roman" w:hAnsi="Times New Roman" w:cs="Times New Roman"/>
        </w:rPr>
        <w:t>, as well as feasibility,</w:t>
      </w:r>
      <w:r>
        <w:rPr>
          <w:rFonts w:ascii="Times New Roman" w:hAnsi="Times New Roman" w:cs="Times New Roman"/>
        </w:rPr>
        <w:t xml:space="preserve"> has been previously established in other sports but had yet to be determined </w:t>
      </w:r>
      <w:r w:rsidR="00A222FD">
        <w:rPr>
          <w:rFonts w:ascii="Times New Roman" w:hAnsi="Times New Roman" w:cs="Times New Roman"/>
        </w:rPr>
        <w:t>amongst</w:t>
      </w:r>
      <w:r>
        <w:rPr>
          <w:rFonts w:ascii="Times New Roman" w:hAnsi="Times New Roman" w:cs="Times New Roman"/>
        </w:rPr>
        <w:t xml:space="preserve"> gymnasts. The main findings of this study were: 1) SRSS measures were highly </w:t>
      </w:r>
      <w:r w:rsidR="00A222FD">
        <w:rPr>
          <w:rFonts w:ascii="Times New Roman" w:hAnsi="Times New Roman" w:cs="Times New Roman"/>
        </w:rPr>
        <w:t>correlated</w:t>
      </w:r>
      <w:r>
        <w:rPr>
          <w:rFonts w:ascii="Times New Roman" w:hAnsi="Times New Roman" w:cs="Times New Roman"/>
        </w:rPr>
        <w:t xml:space="preserve"> with one another, 2) </w:t>
      </w:r>
      <w:r w:rsidR="00A222FD">
        <w:rPr>
          <w:rFonts w:ascii="Times New Roman" w:hAnsi="Times New Roman" w:cs="Times New Roman"/>
        </w:rPr>
        <w:t>external load</w:t>
      </w:r>
      <w:r>
        <w:rPr>
          <w:rFonts w:ascii="Times New Roman" w:hAnsi="Times New Roman" w:cs="Times New Roman"/>
        </w:rPr>
        <w:t xml:space="preserve"> measures were highly interrelated with one another, and 3) </w:t>
      </w:r>
      <w:r w:rsidR="00A222FD">
        <w:rPr>
          <w:rFonts w:ascii="Times New Roman" w:hAnsi="Times New Roman" w:cs="Times New Roman"/>
        </w:rPr>
        <w:t>external training loads were significantly different across the preseason training phases.</w:t>
      </w:r>
      <w:r w:rsidR="007B3E94">
        <w:rPr>
          <w:rFonts w:ascii="Times New Roman" w:hAnsi="Times New Roman" w:cs="Times New Roman"/>
        </w:rPr>
        <w:t xml:space="preserve"> </w:t>
      </w:r>
    </w:p>
    <w:p w14:paraId="3210BA48" w14:textId="796CD58E" w:rsidR="002B5824" w:rsidRDefault="0065584C" w:rsidP="00872806">
      <w:pPr>
        <w:spacing w:line="480" w:lineRule="auto"/>
        <w:ind w:firstLine="720"/>
        <w:rPr>
          <w:rFonts w:ascii="Times New Roman" w:hAnsi="Times New Roman" w:cs="Times New Roman"/>
        </w:rPr>
      </w:pPr>
      <w:r>
        <w:rPr>
          <w:rFonts w:ascii="Times New Roman" w:hAnsi="Times New Roman" w:cs="Times New Roman"/>
        </w:rPr>
        <w:t xml:space="preserve">The main findings from the SRSS were that recovery and stress measures were significantly inversely related. Sleep </w:t>
      </w:r>
      <w:r w:rsidR="003066EB">
        <w:rPr>
          <w:rFonts w:ascii="Times New Roman" w:hAnsi="Times New Roman" w:cs="Times New Roman"/>
        </w:rPr>
        <w:t>had a significant and negative</w:t>
      </w:r>
      <w:r>
        <w:rPr>
          <w:rFonts w:ascii="Times New Roman" w:hAnsi="Times New Roman" w:cs="Times New Roman"/>
        </w:rPr>
        <w:t xml:space="preserve"> </w:t>
      </w:r>
      <w:r w:rsidR="003066EB">
        <w:rPr>
          <w:rFonts w:ascii="Times New Roman" w:hAnsi="Times New Roman" w:cs="Times New Roman"/>
        </w:rPr>
        <w:t xml:space="preserve">relationship with </w:t>
      </w:r>
      <w:r>
        <w:rPr>
          <w:rFonts w:ascii="Times New Roman" w:hAnsi="Times New Roman" w:cs="Times New Roman"/>
        </w:rPr>
        <w:t xml:space="preserve">soreness and stress measures, while </w:t>
      </w:r>
      <w:r w:rsidR="003066EB">
        <w:rPr>
          <w:rFonts w:ascii="Times New Roman" w:hAnsi="Times New Roman" w:cs="Times New Roman"/>
        </w:rPr>
        <w:t>also being</w:t>
      </w:r>
      <w:r>
        <w:rPr>
          <w:rFonts w:ascii="Times New Roman" w:hAnsi="Times New Roman" w:cs="Times New Roman"/>
        </w:rPr>
        <w:t xml:space="preserve"> positively </w:t>
      </w:r>
      <w:r w:rsidR="003066EB">
        <w:rPr>
          <w:rFonts w:ascii="Times New Roman" w:hAnsi="Times New Roman" w:cs="Times New Roman"/>
        </w:rPr>
        <w:t xml:space="preserve">and </w:t>
      </w:r>
      <w:r>
        <w:rPr>
          <w:rFonts w:ascii="Times New Roman" w:hAnsi="Times New Roman" w:cs="Times New Roman"/>
        </w:rPr>
        <w:t xml:space="preserve">significantly related to recovery measures. Finally, soreness was positively </w:t>
      </w:r>
      <w:r w:rsidR="003066EB">
        <w:rPr>
          <w:rFonts w:ascii="Times New Roman" w:hAnsi="Times New Roman" w:cs="Times New Roman"/>
        </w:rPr>
        <w:t xml:space="preserve">and </w:t>
      </w:r>
      <w:r>
        <w:rPr>
          <w:rFonts w:ascii="Times New Roman" w:hAnsi="Times New Roman" w:cs="Times New Roman"/>
        </w:rPr>
        <w:t>significantly related to stress measures</w:t>
      </w:r>
      <w:r w:rsidR="003066EB">
        <w:rPr>
          <w:rFonts w:ascii="Times New Roman" w:hAnsi="Times New Roman" w:cs="Times New Roman"/>
        </w:rPr>
        <w:t>, while being</w:t>
      </w:r>
      <w:r>
        <w:rPr>
          <w:rFonts w:ascii="Times New Roman" w:hAnsi="Times New Roman" w:cs="Times New Roman"/>
        </w:rPr>
        <w:t xml:space="preserve"> negatively </w:t>
      </w:r>
      <w:r w:rsidR="003066EB">
        <w:rPr>
          <w:rFonts w:ascii="Times New Roman" w:hAnsi="Times New Roman" w:cs="Times New Roman"/>
        </w:rPr>
        <w:t xml:space="preserve">and </w:t>
      </w:r>
      <w:r>
        <w:rPr>
          <w:rFonts w:ascii="Times New Roman" w:hAnsi="Times New Roman" w:cs="Times New Roman"/>
        </w:rPr>
        <w:t xml:space="preserve">significantly related to recovery measures. </w:t>
      </w:r>
      <w:r w:rsidR="00430931">
        <w:rPr>
          <w:rFonts w:ascii="Times New Roman" w:hAnsi="Times New Roman" w:cs="Times New Roman"/>
        </w:rPr>
        <w:t xml:space="preserve">Tables 7-9 show the strong relationships between the recovery and stress measures. Physical stress and emotional recovery have the weakest negative correlation at </w:t>
      </w:r>
      <w:r w:rsidR="00640E2B">
        <w:rPr>
          <w:rFonts w:ascii="Times New Roman" w:hAnsi="Times New Roman" w:cs="Times New Roman"/>
        </w:rPr>
        <w:t xml:space="preserve">r = </w:t>
      </w:r>
      <w:r w:rsidR="00430931">
        <w:rPr>
          <w:rFonts w:ascii="Times New Roman" w:hAnsi="Times New Roman" w:cs="Times New Roman"/>
        </w:rPr>
        <w:t xml:space="preserve">-0.295, although it is still significant at the p&lt;0.001 level. </w:t>
      </w:r>
      <w:r w:rsidR="002B5824">
        <w:rPr>
          <w:rFonts w:ascii="Times New Roman" w:hAnsi="Times New Roman" w:cs="Times New Roman"/>
        </w:rPr>
        <w:t xml:space="preserve">The strongest correlation is seen between stress composite and overall stress at </w:t>
      </w:r>
      <w:r w:rsidR="00640E2B">
        <w:rPr>
          <w:rFonts w:ascii="Times New Roman" w:hAnsi="Times New Roman" w:cs="Times New Roman"/>
        </w:rPr>
        <w:t xml:space="preserve">r = </w:t>
      </w:r>
      <w:r w:rsidR="002B5824">
        <w:rPr>
          <w:rFonts w:ascii="Times New Roman" w:hAnsi="Times New Roman" w:cs="Times New Roman"/>
        </w:rPr>
        <w:t xml:space="preserve">0.862 also significant at the p&lt;0.001 level. </w:t>
      </w:r>
    </w:p>
    <w:p w14:paraId="6CB13F57" w14:textId="28ABA2C1" w:rsidR="0065584C" w:rsidRPr="000331A7" w:rsidRDefault="00671987" w:rsidP="002B5824">
      <w:pPr>
        <w:spacing w:line="480" w:lineRule="auto"/>
        <w:ind w:firstLine="720"/>
        <w:rPr>
          <w:rFonts w:ascii="Times New Roman" w:hAnsi="Times New Roman" w:cs="Times New Roman"/>
        </w:rPr>
      </w:pPr>
      <w:r w:rsidRPr="000331A7">
        <w:rPr>
          <w:rFonts w:ascii="Times New Roman" w:hAnsi="Times New Roman" w:cs="Times New Roman"/>
        </w:rPr>
        <w:t xml:space="preserve">The SRSS has not been previously used in female elite gymnasts. </w:t>
      </w:r>
      <w:r w:rsidR="00872806">
        <w:rPr>
          <w:rFonts w:ascii="Times New Roman" w:hAnsi="Times New Roman" w:cs="Times New Roman"/>
        </w:rPr>
        <w:t xml:space="preserve">However, </w:t>
      </w:r>
      <w:proofErr w:type="gramStart"/>
      <w:r w:rsidR="00872806">
        <w:rPr>
          <w:rFonts w:ascii="Times New Roman" w:hAnsi="Times New Roman" w:cs="Times New Roman"/>
        </w:rPr>
        <w:t>s</w:t>
      </w:r>
      <w:r w:rsidR="008109E0" w:rsidRPr="000331A7">
        <w:rPr>
          <w:rFonts w:ascii="Times New Roman" w:hAnsi="Times New Roman" w:cs="Times New Roman"/>
        </w:rPr>
        <w:t>imilar to</w:t>
      </w:r>
      <w:proofErr w:type="gramEnd"/>
      <w:r w:rsidR="008109E0" w:rsidRPr="000331A7">
        <w:rPr>
          <w:rFonts w:ascii="Times New Roman" w:hAnsi="Times New Roman" w:cs="Times New Roman"/>
        </w:rPr>
        <w:t xml:space="preserve"> the present study, </w:t>
      </w:r>
      <w:r w:rsidR="0066340F" w:rsidRPr="000331A7">
        <w:rPr>
          <w:rFonts w:ascii="Times New Roman" w:hAnsi="Times New Roman" w:cs="Times New Roman"/>
        </w:rPr>
        <w:t xml:space="preserve">Flynn et </w:t>
      </w:r>
      <w:r w:rsidR="0066340F" w:rsidRPr="000331A7">
        <w:rPr>
          <w:rFonts w:ascii="Times New Roman" w:hAnsi="Times New Roman" w:cs="Times New Roman"/>
          <w:color w:val="000000" w:themeColor="text1"/>
        </w:rPr>
        <w:t>al.</w:t>
      </w:r>
      <w:r w:rsidR="005C64A6" w:rsidRPr="000331A7">
        <w:rPr>
          <w:rFonts w:ascii="Times New Roman" w:hAnsi="Times New Roman" w:cs="Times New Roman"/>
          <w:color w:val="000000" w:themeColor="text1"/>
        </w:rPr>
        <w:t xml:space="preserve"> (2017)</w:t>
      </w:r>
      <w:r w:rsidR="008109E0" w:rsidRPr="000331A7">
        <w:rPr>
          <w:rFonts w:ascii="Times New Roman" w:hAnsi="Times New Roman" w:cs="Times New Roman"/>
          <w:color w:val="000000" w:themeColor="text1"/>
        </w:rPr>
        <w:t xml:space="preserve"> </w:t>
      </w:r>
      <w:r w:rsidR="007B3E94" w:rsidRPr="000331A7">
        <w:rPr>
          <w:rFonts w:ascii="Times New Roman" w:hAnsi="Times New Roman" w:cs="Times New Roman"/>
          <w:color w:val="000000" w:themeColor="text1"/>
        </w:rPr>
        <w:t xml:space="preserve">found </w:t>
      </w:r>
      <w:r w:rsidR="008109E0" w:rsidRPr="000331A7">
        <w:rPr>
          <w:rFonts w:ascii="Times New Roman" w:hAnsi="Times New Roman" w:cs="Times New Roman"/>
        </w:rPr>
        <w:t>strong inverse correlations between stress and recovery</w:t>
      </w:r>
      <w:r w:rsidR="0066340F" w:rsidRPr="000331A7">
        <w:rPr>
          <w:rFonts w:ascii="Times New Roman" w:hAnsi="Times New Roman" w:cs="Times New Roman"/>
        </w:rPr>
        <w:t xml:space="preserve"> (r = -0.833, p &lt; 0.01)</w:t>
      </w:r>
      <w:r w:rsidR="002A3D4A" w:rsidRPr="000331A7">
        <w:rPr>
          <w:rFonts w:ascii="Times New Roman" w:hAnsi="Times New Roman" w:cs="Times New Roman"/>
        </w:rPr>
        <w:t xml:space="preserve"> in elite female volleyball players</w:t>
      </w:r>
      <w:r w:rsidR="008109E0" w:rsidRPr="000331A7">
        <w:rPr>
          <w:rFonts w:ascii="Times New Roman" w:hAnsi="Times New Roman" w:cs="Times New Roman"/>
        </w:rPr>
        <w:t>.</w:t>
      </w:r>
      <w:r w:rsidR="005C64A6" w:rsidRPr="000331A7">
        <w:rPr>
          <w:rFonts w:ascii="Times New Roman" w:hAnsi="Times New Roman" w:cs="Times New Roman"/>
        </w:rPr>
        <w:t xml:space="preserve"> The current study found a correlation of r = -0.611, p</w:t>
      </w:r>
      <w:r w:rsidR="002A3D4A" w:rsidRPr="000331A7">
        <w:rPr>
          <w:rFonts w:ascii="Times New Roman" w:hAnsi="Times New Roman" w:cs="Times New Roman"/>
        </w:rPr>
        <w:t xml:space="preserve"> </w:t>
      </w:r>
      <w:r w:rsidR="005C64A6" w:rsidRPr="000331A7">
        <w:rPr>
          <w:rFonts w:ascii="Times New Roman" w:hAnsi="Times New Roman" w:cs="Times New Roman"/>
        </w:rPr>
        <w:t>&lt;</w:t>
      </w:r>
      <w:r w:rsidR="002A3D4A" w:rsidRPr="000331A7">
        <w:rPr>
          <w:rFonts w:ascii="Times New Roman" w:hAnsi="Times New Roman" w:cs="Times New Roman"/>
        </w:rPr>
        <w:t xml:space="preserve"> </w:t>
      </w:r>
      <w:r w:rsidR="005C64A6" w:rsidRPr="000331A7">
        <w:rPr>
          <w:rFonts w:ascii="Times New Roman" w:hAnsi="Times New Roman" w:cs="Times New Roman"/>
        </w:rPr>
        <w:t xml:space="preserve">0.01 between </w:t>
      </w:r>
      <w:r w:rsidR="00872806">
        <w:rPr>
          <w:rFonts w:ascii="Times New Roman" w:hAnsi="Times New Roman" w:cs="Times New Roman"/>
        </w:rPr>
        <w:t xml:space="preserve">the </w:t>
      </w:r>
      <w:r w:rsidR="005C64A6" w:rsidRPr="000331A7">
        <w:rPr>
          <w:rFonts w:ascii="Times New Roman" w:hAnsi="Times New Roman" w:cs="Times New Roman"/>
        </w:rPr>
        <w:t>stress composite and recovery composite</w:t>
      </w:r>
      <w:r w:rsidR="00872806">
        <w:rPr>
          <w:rFonts w:ascii="Times New Roman" w:hAnsi="Times New Roman" w:cs="Times New Roman"/>
        </w:rPr>
        <w:t xml:space="preserve"> scores</w:t>
      </w:r>
      <w:r w:rsidR="005C64A6" w:rsidRPr="000331A7">
        <w:rPr>
          <w:rFonts w:ascii="Times New Roman" w:hAnsi="Times New Roman" w:cs="Times New Roman"/>
        </w:rPr>
        <w:t xml:space="preserve">. </w:t>
      </w:r>
      <w:r w:rsidR="002A3D4A" w:rsidRPr="000331A7">
        <w:rPr>
          <w:rFonts w:ascii="Times New Roman" w:hAnsi="Times New Roman" w:cs="Times New Roman"/>
        </w:rPr>
        <w:t>Flynn et al. (2017) collected data during the season, while the prese</w:t>
      </w:r>
      <w:r w:rsidR="001E7654" w:rsidRPr="000331A7">
        <w:rPr>
          <w:rFonts w:ascii="Times New Roman" w:hAnsi="Times New Roman" w:cs="Times New Roman"/>
        </w:rPr>
        <w:t>n</w:t>
      </w:r>
      <w:r w:rsidR="002A3D4A" w:rsidRPr="000331A7">
        <w:rPr>
          <w:rFonts w:ascii="Times New Roman" w:hAnsi="Times New Roman" w:cs="Times New Roman"/>
        </w:rPr>
        <w:t xml:space="preserve">t study utilized preseason data, which may be responsible for the slight discrepancy in correlation strength. </w:t>
      </w:r>
      <w:r w:rsidR="00A73B3E" w:rsidRPr="000331A7">
        <w:rPr>
          <w:rFonts w:ascii="Times New Roman" w:hAnsi="Times New Roman" w:cs="Times New Roman"/>
        </w:rPr>
        <w:t>Th</w:t>
      </w:r>
      <w:r w:rsidR="002A3D4A" w:rsidRPr="000331A7">
        <w:rPr>
          <w:rFonts w:ascii="Times New Roman" w:hAnsi="Times New Roman" w:cs="Times New Roman"/>
        </w:rPr>
        <w:t xml:space="preserve">is </w:t>
      </w:r>
      <w:r w:rsidR="00A73B3E" w:rsidRPr="000331A7">
        <w:rPr>
          <w:rFonts w:ascii="Times New Roman" w:hAnsi="Times New Roman" w:cs="Times New Roman"/>
        </w:rPr>
        <w:t xml:space="preserve">finding may </w:t>
      </w:r>
      <w:r w:rsidR="002A3D4A" w:rsidRPr="000331A7">
        <w:rPr>
          <w:rFonts w:ascii="Times New Roman" w:hAnsi="Times New Roman" w:cs="Times New Roman"/>
        </w:rPr>
        <w:t xml:space="preserve">support </w:t>
      </w:r>
      <w:r w:rsidR="00A73B3E" w:rsidRPr="000331A7">
        <w:rPr>
          <w:rFonts w:ascii="Times New Roman" w:hAnsi="Times New Roman" w:cs="Times New Roman"/>
        </w:rPr>
        <w:t xml:space="preserve">the </w:t>
      </w:r>
      <w:r w:rsidR="002A3D4A" w:rsidRPr="000331A7">
        <w:rPr>
          <w:rFonts w:ascii="Times New Roman" w:hAnsi="Times New Roman" w:cs="Times New Roman"/>
        </w:rPr>
        <w:t xml:space="preserve">utility and </w:t>
      </w:r>
      <w:r w:rsidR="001E7654" w:rsidRPr="000331A7">
        <w:rPr>
          <w:rFonts w:ascii="Times New Roman" w:hAnsi="Times New Roman" w:cs="Times New Roman"/>
        </w:rPr>
        <w:t>accuracy</w:t>
      </w:r>
      <w:r w:rsidR="002A3D4A" w:rsidRPr="000331A7">
        <w:rPr>
          <w:rFonts w:ascii="Times New Roman" w:hAnsi="Times New Roman" w:cs="Times New Roman"/>
        </w:rPr>
        <w:t xml:space="preserve"> of the </w:t>
      </w:r>
      <w:r w:rsidR="00A73B3E" w:rsidRPr="000331A7">
        <w:rPr>
          <w:rFonts w:ascii="Times New Roman" w:hAnsi="Times New Roman" w:cs="Times New Roman"/>
        </w:rPr>
        <w:t>SRSS in female elite gymnasts</w:t>
      </w:r>
      <w:r w:rsidR="00872806">
        <w:rPr>
          <w:rFonts w:ascii="Times New Roman" w:hAnsi="Times New Roman" w:cs="Times New Roman"/>
        </w:rPr>
        <w:t xml:space="preserve">, but differences in preseason and competition season relationships between internal and external load metrics would need to be </w:t>
      </w:r>
      <w:r w:rsidR="00872806">
        <w:rPr>
          <w:rFonts w:ascii="Times New Roman" w:hAnsi="Times New Roman" w:cs="Times New Roman"/>
        </w:rPr>
        <w:lastRenderedPageBreak/>
        <w:t>compared across a full season to tease out what metrics offer the best value for determining athlete readiness.</w:t>
      </w:r>
      <w:r w:rsidR="00A73B3E" w:rsidRPr="000331A7">
        <w:rPr>
          <w:rFonts w:ascii="Times New Roman" w:hAnsi="Times New Roman" w:cs="Times New Roman"/>
        </w:rPr>
        <w:t xml:space="preserve"> </w:t>
      </w:r>
    </w:p>
    <w:p w14:paraId="66D7E0D1" w14:textId="38188E30" w:rsidR="0065584C" w:rsidRDefault="0065584C" w:rsidP="00B56D18">
      <w:pPr>
        <w:spacing w:line="480" w:lineRule="auto"/>
        <w:rPr>
          <w:rFonts w:ascii="Times New Roman" w:hAnsi="Times New Roman" w:cs="Times New Roman"/>
        </w:rPr>
      </w:pPr>
      <w:r w:rsidRPr="000331A7">
        <w:rPr>
          <w:rFonts w:ascii="Times New Roman" w:hAnsi="Times New Roman" w:cs="Times New Roman"/>
        </w:rPr>
        <w:tab/>
        <w:t xml:space="preserve">The main findings </w:t>
      </w:r>
      <w:r w:rsidR="007B3E94" w:rsidRPr="000331A7">
        <w:rPr>
          <w:rFonts w:ascii="Times New Roman" w:hAnsi="Times New Roman" w:cs="Times New Roman"/>
        </w:rPr>
        <w:t xml:space="preserve">related to </w:t>
      </w:r>
      <w:r w:rsidRPr="000331A7">
        <w:rPr>
          <w:rFonts w:ascii="Times New Roman" w:hAnsi="Times New Roman" w:cs="Times New Roman"/>
        </w:rPr>
        <w:t xml:space="preserve">soreness and sleep measures were </w:t>
      </w:r>
      <w:r w:rsidR="00C37D0F">
        <w:rPr>
          <w:rFonts w:ascii="Times New Roman" w:hAnsi="Times New Roman" w:cs="Times New Roman"/>
        </w:rPr>
        <w:t xml:space="preserve">that </w:t>
      </w:r>
      <w:r w:rsidRPr="000331A7">
        <w:rPr>
          <w:rFonts w:ascii="Times New Roman" w:hAnsi="Times New Roman" w:cs="Times New Roman"/>
        </w:rPr>
        <w:t>soreness was positively correlated with stress measures and negatively correlated with recovery measures whereas sleep was positively correlated with recovery measures and negatively correlated with stress measures</w:t>
      </w:r>
      <w:r w:rsidR="007461BC" w:rsidRPr="000331A7">
        <w:rPr>
          <w:rFonts w:ascii="Times New Roman" w:hAnsi="Times New Roman" w:cs="Times New Roman"/>
        </w:rPr>
        <w:t>, shown in Tables 7 and 8</w:t>
      </w:r>
      <w:r w:rsidRPr="000331A7">
        <w:rPr>
          <w:rFonts w:ascii="Times New Roman" w:hAnsi="Times New Roman" w:cs="Times New Roman"/>
        </w:rPr>
        <w:t xml:space="preserve">. </w:t>
      </w:r>
      <w:r w:rsidR="00FF392E" w:rsidRPr="000331A7">
        <w:rPr>
          <w:rFonts w:ascii="Times New Roman" w:hAnsi="Times New Roman" w:cs="Times New Roman"/>
        </w:rPr>
        <w:t xml:space="preserve">The correlations were weak but still </w:t>
      </w:r>
      <w:r w:rsidR="00473B44" w:rsidRPr="000331A7">
        <w:rPr>
          <w:rFonts w:ascii="Times New Roman" w:hAnsi="Times New Roman" w:cs="Times New Roman"/>
        </w:rPr>
        <w:t xml:space="preserve">highly </w:t>
      </w:r>
      <w:r w:rsidR="00FF392E" w:rsidRPr="000331A7">
        <w:rPr>
          <w:rFonts w:ascii="Times New Roman" w:hAnsi="Times New Roman" w:cs="Times New Roman"/>
        </w:rPr>
        <w:t>significant at the p</w:t>
      </w:r>
      <w:r w:rsidR="005F4305">
        <w:rPr>
          <w:rFonts w:ascii="Times New Roman" w:hAnsi="Times New Roman" w:cs="Times New Roman"/>
        </w:rPr>
        <w:t xml:space="preserve"> </w:t>
      </w:r>
      <w:r w:rsidR="00FF392E" w:rsidRPr="000331A7">
        <w:rPr>
          <w:rFonts w:ascii="Times New Roman" w:hAnsi="Times New Roman" w:cs="Times New Roman"/>
        </w:rPr>
        <w:t>&lt;</w:t>
      </w:r>
      <w:r w:rsidR="005F4305">
        <w:rPr>
          <w:rFonts w:ascii="Times New Roman" w:hAnsi="Times New Roman" w:cs="Times New Roman"/>
        </w:rPr>
        <w:t xml:space="preserve"> </w:t>
      </w:r>
      <w:r w:rsidR="00FF392E" w:rsidRPr="000331A7">
        <w:rPr>
          <w:rFonts w:ascii="Times New Roman" w:hAnsi="Times New Roman" w:cs="Times New Roman"/>
        </w:rPr>
        <w:t xml:space="preserve">0.001 level. </w:t>
      </w:r>
      <w:r w:rsidR="007461BC" w:rsidRPr="000331A7">
        <w:rPr>
          <w:rFonts w:ascii="Times New Roman" w:hAnsi="Times New Roman" w:cs="Times New Roman"/>
        </w:rPr>
        <w:t>Sleep and soreness</w:t>
      </w:r>
      <w:r w:rsidR="00473B44" w:rsidRPr="000331A7">
        <w:rPr>
          <w:rFonts w:ascii="Times New Roman" w:hAnsi="Times New Roman" w:cs="Times New Roman"/>
        </w:rPr>
        <w:t xml:space="preserve">, as expected, </w:t>
      </w:r>
      <w:r w:rsidR="007461BC" w:rsidRPr="000331A7">
        <w:rPr>
          <w:rFonts w:ascii="Times New Roman" w:hAnsi="Times New Roman" w:cs="Times New Roman"/>
        </w:rPr>
        <w:t>were found to be inversely related with one another</w:t>
      </w:r>
      <w:r w:rsidR="00FF392E" w:rsidRPr="000331A7">
        <w:rPr>
          <w:rFonts w:ascii="Times New Roman" w:hAnsi="Times New Roman" w:cs="Times New Roman"/>
        </w:rPr>
        <w:t>, r = -0.114</w:t>
      </w:r>
      <w:r w:rsidR="00872806">
        <w:rPr>
          <w:rFonts w:ascii="Times New Roman" w:hAnsi="Times New Roman" w:cs="Times New Roman"/>
        </w:rPr>
        <w:t xml:space="preserve"> </w:t>
      </w:r>
      <w:r w:rsidR="00FF392E" w:rsidRPr="000331A7">
        <w:rPr>
          <w:rFonts w:ascii="Times New Roman" w:hAnsi="Times New Roman" w:cs="Times New Roman"/>
        </w:rPr>
        <w:t>at the p</w:t>
      </w:r>
      <w:r w:rsidR="005F4305">
        <w:rPr>
          <w:rFonts w:ascii="Times New Roman" w:hAnsi="Times New Roman" w:cs="Times New Roman"/>
        </w:rPr>
        <w:t xml:space="preserve"> </w:t>
      </w:r>
      <w:r w:rsidR="00FF392E" w:rsidRPr="000331A7">
        <w:rPr>
          <w:rFonts w:ascii="Times New Roman" w:hAnsi="Times New Roman" w:cs="Times New Roman"/>
        </w:rPr>
        <w:t>&lt;</w:t>
      </w:r>
      <w:r w:rsidR="005F4305">
        <w:rPr>
          <w:rFonts w:ascii="Times New Roman" w:hAnsi="Times New Roman" w:cs="Times New Roman"/>
        </w:rPr>
        <w:t xml:space="preserve"> </w:t>
      </w:r>
      <w:r w:rsidR="00FF392E" w:rsidRPr="000331A7">
        <w:rPr>
          <w:rFonts w:ascii="Times New Roman" w:hAnsi="Times New Roman" w:cs="Times New Roman"/>
        </w:rPr>
        <w:t>0.001 level</w:t>
      </w:r>
      <w:r w:rsidR="007461BC" w:rsidRPr="000331A7">
        <w:rPr>
          <w:rFonts w:ascii="Times New Roman" w:hAnsi="Times New Roman" w:cs="Times New Roman"/>
        </w:rPr>
        <w:t xml:space="preserve">. </w:t>
      </w:r>
      <w:r w:rsidR="00473B44" w:rsidRPr="000331A7">
        <w:rPr>
          <w:rFonts w:ascii="Times New Roman" w:hAnsi="Times New Roman" w:cs="Times New Roman"/>
        </w:rPr>
        <w:t>Conversely, s</w:t>
      </w:r>
      <w:r w:rsidRPr="000331A7">
        <w:rPr>
          <w:rFonts w:ascii="Times New Roman" w:hAnsi="Times New Roman" w:cs="Times New Roman"/>
        </w:rPr>
        <w:t>leep and soreness were not significantly correlated with external load measure</w:t>
      </w:r>
      <w:r w:rsidR="00B24753" w:rsidRPr="000331A7">
        <w:rPr>
          <w:rFonts w:ascii="Times New Roman" w:hAnsi="Times New Roman" w:cs="Times New Roman"/>
        </w:rPr>
        <w:t>s</w:t>
      </w:r>
      <w:r w:rsidR="007B3E94" w:rsidRPr="000331A7">
        <w:rPr>
          <w:rFonts w:ascii="Times New Roman" w:hAnsi="Times New Roman" w:cs="Times New Roman"/>
        </w:rPr>
        <w:t xml:space="preserve"> such as PL and PL/min</w:t>
      </w:r>
      <w:r w:rsidRPr="000331A7">
        <w:rPr>
          <w:rFonts w:ascii="Times New Roman" w:hAnsi="Times New Roman" w:cs="Times New Roman"/>
        </w:rPr>
        <w:t xml:space="preserve">. Similar findings </w:t>
      </w:r>
      <w:r w:rsidR="00872806">
        <w:rPr>
          <w:rFonts w:ascii="Times New Roman" w:hAnsi="Times New Roman" w:cs="Times New Roman"/>
        </w:rPr>
        <w:t xml:space="preserve">to our own </w:t>
      </w:r>
      <w:r w:rsidRPr="000331A7">
        <w:rPr>
          <w:rFonts w:ascii="Times New Roman" w:hAnsi="Times New Roman" w:cs="Times New Roman"/>
        </w:rPr>
        <w:t>have been shown in NCAA football players,</w:t>
      </w:r>
      <w:r>
        <w:rPr>
          <w:rFonts w:ascii="Times New Roman" w:hAnsi="Times New Roman" w:cs="Times New Roman"/>
        </w:rPr>
        <w:t xml:space="preserve"> </w:t>
      </w:r>
      <w:r w:rsidR="00473B44">
        <w:rPr>
          <w:rFonts w:ascii="Times New Roman" w:hAnsi="Times New Roman" w:cs="Times New Roman"/>
        </w:rPr>
        <w:t>however</w:t>
      </w:r>
      <w:r>
        <w:rPr>
          <w:rFonts w:ascii="Times New Roman" w:hAnsi="Times New Roman" w:cs="Times New Roman"/>
        </w:rPr>
        <w:t xml:space="preserve"> data </w:t>
      </w:r>
      <w:r w:rsidR="00872806">
        <w:rPr>
          <w:rFonts w:ascii="Times New Roman" w:hAnsi="Times New Roman" w:cs="Times New Roman"/>
        </w:rPr>
        <w:t xml:space="preserve">from another investigation did reveal </w:t>
      </w:r>
      <w:r>
        <w:rPr>
          <w:rFonts w:ascii="Times New Roman" w:hAnsi="Times New Roman" w:cs="Times New Roman"/>
        </w:rPr>
        <w:t>sleep ha</w:t>
      </w:r>
      <w:r w:rsidR="00872806">
        <w:rPr>
          <w:rFonts w:ascii="Times New Roman" w:hAnsi="Times New Roman" w:cs="Times New Roman"/>
        </w:rPr>
        <w:t>d</w:t>
      </w:r>
      <w:r>
        <w:rPr>
          <w:rFonts w:ascii="Times New Roman" w:hAnsi="Times New Roman" w:cs="Times New Roman"/>
        </w:rPr>
        <w:t xml:space="preserve"> an </w:t>
      </w:r>
      <w:r w:rsidR="00473B44">
        <w:rPr>
          <w:rFonts w:ascii="Times New Roman" w:hAnsi="Times New Roman" w:cs="Times New Roman"/>
        </w:rPr>
        <w:t xml:space="preserve">association </w:t>
      </w:r>
      <w:r>
        <w:rPr>
          <w:rFonts w:ascii="Times New Roman" w:hAnsi="Times New Roman" w:cs="Times New Roman"/>
        </w:rPr>
        <w:t xml:space="preserve">with physical performance in gymnasts up to 18 years of age </w:t>
      </w:r>
      <w:r>
        <w:rPr>
          <w:rFonts w:ascii="Times New Roman" w:hAnsi="Times New Roman" w:cs="Times New Roman"/>
        </w:rPr>
        <w:fldChar w:fldCharType="begin"/>
      </w:r>
      <w:r>
        <w:rPr>
          <w:rFonts w:ascii="Times New Roman" w:hAnsi="Times New Roman" w:cs="Times New Roman"/>
        </w:rPr>
        <w:instrText xml:space="preserve"> ADDIN ZOTERO_ITEM CSL_CITATION {"citationID":"Q8BbxGKE","properties":{"formattedCitation":"(Dumortier et al., 2018; Govus et al., 2018)","plainCitation":"(Dumortier et al., 2018; Govus et al., 2018)","noteIndex":0},"citationItems":[{"id":146,"uris":["http://zotero.org/users/6375206/items/PMENMA3P"],"uri":["http://zotero.org/users/6375206/items/PMENMA3P"],"itemData":{"id":146,"type":"article-journal","abstract":"Training load (TL) and recovery should be in optimal balance to obtain maximal performance gains. We aimed to study sleep as a recovery technique and its relationship with TL and performance in elite athletes. Twenty-six elite female artistic gymnasts were divided into an under 13 (n = 6), an under 14 (n = 6), a junior (n = 7; 14-15y) and a senior (=World Championship (WC) competitors, n = 7; ≥16y) category. Sleep, through sleep logs, and training parameters, using the session Rate of Perceived Exertion (sRPE) scale, were monitored to calculate total sleep time (TST), sleep efficiency (SE), TL, monotony and strain. Performance of WC competitors was evaluated through coach and WC qualification ranking. For the entire group, TST (effect sizes (ES) = -1.12, confidence intervals (CI) = -60:-47, P&lt; .05) and SE (ES = -0.13, CI = -1.40:-0.10, P =.022) were shorter during week than weekend nights. TST and SE were highest in youngest gymnasts (P&lt; .05). TL was lowest in under 13 and senior gymnasts (P&lt; .05), while TL, monotony and strain were highest in junior gymnasts (P&lt; .05). A negative regression was found between TST and TL the day after, while higher TL also led to lower TST the following night (P&lt; .001). For the WC competitors, TST the night before the qualifications was shorter than the mean TST of the WC period (ES = -0.95, CI = -170:24, P =.030). TST correlated with coach ranking (r = -0.857, P = .014). Higher TL correlated with worse WC (r = 0.829, P = .042) and coach (r = 0.893, P = .007) ranking. This research in elite gymnasts indicated associations between decreased TST, augmented TL and inferior performance. Optimizing sleep and TL may therefore represent strategies to enhance performance. ABSTRACT FROM AUTHOR","container-title":"European Journal of Sport Science","ISSN":"17461391","issue":"2","journalAbbreviation":"European Journal of Sport Science","page":"151-161","source":"EBSCOhost","title":"Sleep, training load and performance in elite female gymnasts","volume":"18","author":[{"family":"Dumortier","given":"J."},{"family":"Mariman","given":"A."},{"family":"Boone","given":"J."},{"family":"Delesie","given":"L."},{"family":"Tobback","given":"E."},{"family":"Vogelaers","given":"D."},{"family":"Bourgois","given":"J. G."}],"issued":{"date-parts":[["2018",3]]}}},{"id":127,"uris":["http://zotero.org/users/6375206/items/UPR2YK8G"],"uri":["http://zotero.org/users/6375206/items/UPR2YK8G"],"itemData":{"id":127,"type":"article-journal","abstract":"&lt;section class=\"abstract\"&gt;&lt;p&gt;&lt;em&gt;&lt;strong&gt;Context&lt;/strong&gt;:&lt;/em&gt; The relationship between pretraining subjective wellness and external and internal training load in American college football is unclear. &lt;strong&gt;&lt;em&gt;Purpose&lt;/em&gt;&lt;/strong&gt;&lt;em&gt;:&lt;/em&gt; To examine the relationship of pretraining subjective wellness (sleep quality, muscle soreness, energy, wellness Z score) with player load and session rating of perceived exertion (s-RPE-TL) in American college football players. &lt;em&gt;&lt;strong&gt;Methods&lt;/strong&gt;:&lt;/em&gt; Subjective wellness (measured using 5-point, Likert-scale questionnaires), external load (derived from GPS and accelerometry), and s-RPE-TL were collected during 3 typical training sessions per week for the second half of an American college football season (8 wk). The relationship of pretraining subjective wellness with player load and s-RPE training load was analyzed using linear mixed models with a random intercept for athlete and a random slope for training session. Standardized mean differences (SMDs) denote the effect magnitude. &lt;em&gt;&lt;strong&gt;Results&lt;/strong&gt;:&lt;/em&gt; A 1-unit increase in wellness &lt;em&gt;Z&lt;/em&gt; score and energy was associated with trivial 2.3% (90% confidence interval [CI] 0.5, 4.2; SMD 0.12) and 2.6% (90% CI 0.1, 5.2; SMD 0.13) increases in player load, respectively. A 1-unit increase in muscle soreness (players felt less sore) corresponded to a trivial 4.4% (90% CI −8.4, −0.3; SMD −0.05) decrease in s-RPE training load. &lt;em&gt;&lt;strong&gt;Conclusion&lt;/strong&gt;:&lt;/em&gt; Measuring pretraining subjective wellness may provide information about players’ capacity to perform in a training session and could be a key determinant of their response to the imposed training demands American college football. Hence, monitoring subjective wellness may aid in the individualization of training prescription in American college football players.&lt;/p&gt;&lt;/section&gt;","container-title":"International Journal of Sports Physiology and Performance","DOI":"10.1123/ijspp.2016-0714","ISSN":"1555-0273, 1555-0265","issue":"1","language":"en_US","note":"publisher: Human Kinetics\nsection: International Journal of Sports Physiology and Performance","page":"95-101","source":"journals-humankinetics-com.ezproxy.lib.ou.edu","title":"Relationship Between Pretraining Subjective Wellness Measures, Player Load, and Rating-of-Perceived-Exertion Training Load in American College Football","volume":"13","author":[{"family":"Govus","given":"Andrew D."},{"family":"Coutts","given":"Aaron"},{"family":"Duffield","given":"Rob"},{"family":"Murray","given":"Andrew"},{"family":"Fullagar","given":"Hugh"}],"issued":{"date-parts":[["2018",1,1]]}}}],"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(Dumortier et al., 2018; Govus et al., 2018)</w:t>
      </w:r>
      <w:r>
        <w:rPr>
          <w:rFonts w:ascii="Times New Roman" w:hAnsi="Times New Roman" w:cs="Times New Roman"/>
        </w:rPr>
        <w:fldChar w:fldCharType="end"/>
      </w:r>
      <w:r>
        <w:rPr>
          <w:rFonts w:ascii="Times New Roman" w:hAnsi="Times New Roman" w:cs="Times New Roman"/>
        </w:rPr>
        <w:t xml:space="preserve">. </w:t>
      </w:r>
      <w:r w:rsidR="006A5FF9">
        <w:rPr>
          <w:rFonts w:ascii="Times New Roman" w:hAnsi="Times New Roman" w:cs="Times New Roman"/>
        </w:rPr>
        <w:t xml:space="preserve">Dumortier et al. </w:t>
      </w:r>
      <w:r w:rsidR="008838F6">
        <w:rPr>
          <w:rFonts w:ascii="Times New Roman" w:hAnsi="Times New Roman" w:cs="Times New Roman"/>
        </w:rPr>
        <w:t xml:space="preserve">(2018) </w:t>
      </w:r>
      <w:r w:rsidR="006A5FF9">
        <w:rPr>
          <w:rFonts w:ascii="Times New Roman" w:hAnsi="Times New Roman" w:cs="Times New Roman"/>
        </w:rPr>
        <w:t xml:space="preserve">found that increased total sleep time correlated </w:t>
      </w:r>
      <w:r w:rsidR="007B3E94">
        <w:rPr>
          <w:rFonts w:ascii="Times New Roman" w:hAnsi="Times New Roman" w:cs="Times New Roman"/>
        </w:rPr>
        <w:t xml:space="preserve">strongly </w:t>
      </w:r>
      <w:r w:rsidR="006A5FF9">
        <w:rPr>
          <w:rFonts w:ascii="Times New Roman" w:hAnsi="Times New Roman" w:cs="Times New Roman"/>
        </w:rPr>
        <w:t xml:space="preserve">with better player rank by </w:t>
      </w:r>
      <w:r w:rsidR="007B3E94">
        <w:rPr>
          <w:rFonts w:ascii="Times New Roman" w:hAnsi="Times New Roman" w:cs="Times New Roman"/>
        </w:rPr>
        <w:t xml:space="preserve">the </w:t>
      </w:r>
      <w:r w:rsidR="006A5FF9">
        <w:rPr>
          <w:rFonts w:ascii="Times New Roman" w:hAnsi="Times New Roman" w:cs="Times New Roman"/>
        </w:rPr>
        <w:t>coaching staff, r = -0.857, p = 0.014</w:t>
      </w:r>
      <w:r w:rsidR="00B56D18">
        <w:rPr>
          <w:rFonts w:ascii="Times New Roman" w:hAnsi="Times New Roman" w:cs="Times New Roman"/>
        </w:rPr>
        <w:t xml:space="preserve">. In relation to internal load and sleep, </w:t>
      </w:r>
      <w:proofErr w:type="spellStart"/>
      <w:r w:rsidR="00612530">
        <w:rPr>
          <w:rFonts w:ascii="Times New Roman" w:hAnsi="Times New Roman" w:cs="Times New Roman"/>
        </w:rPr>
        <w:t>Govus</w:t>
      </w:r>
      <w:proofErr w:type="spellEnd"/>
      <w:r w:rsidR="00612530">
        <w:rPr>
          <w:rFonts w:ascii="Times New Roman" w:hAnsi="Times New Roman" w:cs="Times New Roman"/>
        </w:rPr>
        <w:t xml:space="preserve"> et al. </w:t>
      </w:r>
      <w:r w:rsidR="007B3E94">
        <w:rPr>
          <w:rFonts w:ascii="Times New Roman" w:hAnsi="Times New Roman" w:cs="Times New Roman"/>
        </w:rPr>
        <w:t xml:space="preserve">(2018) </w:t>
      </w:r>
      <w:r w:rsidR="00612530">
        <w:rPr>
          <w:rFonts w:ascii="Times New Roman" w:hAnsi="Times New Roman" w:cs="Times New Roman"/>
        </w:rPr>
        <w:t xml:space="preserve">found that sleep and </w:t>
      </w:r>
      <w:proofErr w:type="spellStart"/>
      <w:r w:rsidR="00612530">
        <w:rPr>
          <w:rFonts w:ascii="Times New Roman" w:hAnsi="Times New Roman" w:cs="Times New Roman"/>
        </w:rPr>
        <w:t>sRPE</w:t>
      </w:r>
      <w:proofErr w:type="spellEnd"/>
      <w:r w:rsidR="00612530">
        <w:rPr>
          <w:rFonts w:ascii="Times New Roman" w:hAnsi="Times New Roman" w:cs="Times New Roman"/>
        </w:rPr>
        <w:t xml:space="preserve"> were not related (p = 0.99)</w:t>
      </w:r>
      <w:r w:rsidR="00010F33">
        <w:rPr>
          <w:rFonts w:ascii="Times New Roman" w:hAnsi="Times New Roman" w:cs="Times New Roman"/>
        </w:rPr>
        <w:t xml:space="preserve">. </w:t>
      </w:r>
      <w:r>
        <w:rPr>
          <w:rFonts w:ascii="Times New Roman" w:hAnsi="Times New Roman" w:cs="Times New Roman"/>
        </w:rPr>
        <w:t>This discrepancy may point to sleep and performance</w:t>
      </w:r>
      <w:r w:rsidR="00B56D18">
        <w:rPr>
          <w:rFonts w:ascii="Times New Roman" w:hAnsi="Times New Roman" w:cs="Times New Roman"/>
        </w:rPr>
        <w:t>/perception of effort</w:t>
      </w:r>
      <w:r>
        <w:rPr>
          <w:rFonts w:ascii="Times New Roman" w:hAnsi="Times New Roman" w:cs="Times New Roman"/>
        </w:rPr>
        <w:t xml:space="preserve"> being more dependent on age rather than sport. Additionally, it could show a </w:t>
      </w:r>
      <w:r w:rsidR="00E74038">
        <w:rPr>
          <w:rFonts w:ascii="Times New Roman" w:hAnsi="Times New Roman" w:cs="Times New Roman"/>
        </w:rPr>
        <w:t>discrepancy</w:t>
      </w:r>
      <w:r>
        <w:rPr>
          <w:rFonts w:ascii="Times New Roman" w:hAnsi="Times New Roman" w:cs="Times New Roman"/>
        </w:rPr>
        <w:t xml:space="preserve"> </w:t>
      </w:r>
      <w:r w:rsidR="00E74038">
        <w:rPr>
          <w:rFonts w:ascii="Times New Roman" w:hAnsi="Times New Roman" w:cs="Times New Roman"/>
        </w:rPr>
        <w:t>between</w:t>
      </w:r>
      <w:r>
        <w:rPr>
          <w:rFonts w:ascii="Times New Roman" w:hAnsi="Times New Roman" w:cs="Times New Roman"/>
        </w:rPr>
        <w:t xml:space="preserve"> measure</w:t>
      </w:r>
      <w:r w:rsidR="00D627EF">
        <w:rPr>
          <w:rFonts w:ascii="Times New Roman" w:hAnsi="Times New Roman" w:cs="Times New Roman"/>
        </w:rPr>
        <w:t>ment tools</w:t>
      </w:r>
      <w:r>
        <w:rPr>
          <w:rFonts w:ascii="Times New Roman" w:hAnsi="Times New Roman" w:cs="Times New Roman"/>
        </w:rPr>
        <w:t xml:space="preserve"> of sleep and </w:t>
      </w:r>
      <w:r w:rsidR="00010F33">
        <w:rPr>
          <w:rFonts w:ascii="Times New Roman" w:hAnsi="Times New Roman" w:cs="Times New Roman"/>
        </w:rPr>
        <w:t>external</w:t>
      </w:r>
      <w:r w:rsidR="00B56D18">
        <w:rPr>
          <w:rFonts w:ascii="Times New Roman" w:hAnsi="Times New Roman" w:cs="Times New Roman"/>
        </w:rPr>
        <w:t>/internal</w:t>
      </w:r>
      <w:r w:rsidR="00010F33">
        <w:rPr>
          <w:rFonts w:ascii="Times New Roman" w:hAnsi="Times New Roman" w:cs="Times New Roman"/>
        </w:rPr>
        <w:t xml:space="preserve"> load</w:t>
      </w:r>
      <w:r>
        <w:rPr>
          <w:rFonts w:ascii="Times New Roman" w:hAnsi="Times New Roman" w:cs="Times New Roman"/>
        </w:rPr>
        <w:t>.</w:t>
      </w:r>
      <w:r w:rsidR="00A73B3E">
        <w:rPr>
          <w:rFonts w:ascii="Times New Roman" w:hAnsi="Times New Roman" w:cs="Times New Roman"/>
        </w:rPr>
        <w:t xml:space="preserve"> Contrary to the present study, </w:t>
      </w:r>
      <w:r w:rsidR="00872806">
        <w:rPr>
          <w:rFonts w:ascii="Times New Roman" w:hAnsi="Times New Roman" w:cs="Times New Roman"/>
        </w:rPr>
        <w:t xml:space="preserve">a </w:t>
      </w:r>
      <w:r w:rsidR="00A73B3E">
        <w:rPr>
          <w:rFonts w:ascii="Times New Roman" w:hAnsi="Times New Roman" w:cs="Times New Roman"/>
        </w:rPr>
        <w:t xml:space="preserve">previous </w:t>
      </w:r>
      <w:r w:rsidR="00872806">
        <w:rPr>
          <w:rFonts w:ascii="Times New Roman" w:hAnsi="Times New Roman" w:cs="Times New Roman"/>
        </w:rPr>
        <w:t>investigation showed no significant</w:t>
      </w:r>
      <w:r w:rsidR="00A73B3E">
        <w:rPr>
          <w:rFonts w:ascii="Times New Roman" w:hAnsi="Times New Roman" w:cs="Times New Roman"/>
        </w:rPr>
        <w:t xml:space="preserve"> correlation between sleep and soreness </w:t>
      </w:r>
      <w:r w:rsidR="00A73B3E">
        <w:rPr>
          <w:rFonts w:ascii="Times New Roman" w:hAnsi="Times New Roman" w:cs="Times New Roman"/>
        </w:rPr>
        <w:fldChar w:fldCharType="begin"/>
      </w:r>
      <w:r w:rsidR="00A73B3E">
        <w:rPr>
          <w:rFonts w:ascii="Times New Roman" w:hAnsi="Times New Roman" w:cs="Times New Roman"/>
        </w:rPr>
        <w:instrText xml:space="preserve"> ADDIN ZOTERO_ITEM CSL_CITATION {"citationID":"WLV6LjkH","properties":{"formattedCitation":"(Sawczuk et al., 2021)","plainCitation":"(Sawczuk et al., 2021)","noteIndex":0},"citationItems":[{"id":245,"uris":["http://zotero.org/users/6375206/items/8JBK2T7K"],"uri":["http://zotero.org/users/6375206/items/8JBK2T7K"],"itemData":{"id":245,"type":"article-journal","abstract":"Sawczuk, T, Jones, B, Scantlebury, S, and Till, K. Influence of perceptions of sleep on well-being in youth athletes. J Strength Cond Res 35(4): 1066–1073, 2021—To date, most research considering well-being questionnaires has only considered the training stress imposed on the athlete, without evaluating the questionnaire's relationship with a measure of recovery (e.g., sleep). This study aimed to assess the influence of sleep duration (Sduration), sleep quality (Squality), and sleep index (Sindex; Sduration × Squality) on well-being in youth athletes, while accounting for the known training stressors of training load and exposure to match play. Forty-eight youth athletes (age 17.3 ± 0.5 years) completed a daily questionnaire including well-being (DWBno-sleep; fatigue, muscle soreness, stress, and mood) measures, Perceived Recovery Status Scale (PRS), the previous day's training loads, Sduration, and Squality every day for 13 weeks. Linear mixed models assessed the impact of Sduration, Squality, and Sindex on DWBno-sleep, its individual subscales, and PRS. Sduration had a small effect on DWBno-sleep (d = 0.31; ±0.09), fatigue (d = 0.42; ±0.11), and PRS (d = 0.25; ±0.09). Squality had a small effect on DWBno-sleep (d = 0.47; ±0.08), fatigue (d = 0.53; ±0.11), stress (d = 0.35; ±0.07), mood (d = 0.41; ±0.09), and PRS (d = 0.37; ±0.08). Sindex had a small effect on DWBno-sleep (d = 0.44; ±0.08), fatigue (d = 0.55; ±0.11), stress (d = 0.29; ±0.07), mood (d = 0.37; ±0.09), and PRS (d = 0.36; ±0.09). The results indicate that an athlete's perceptions of sleep are associated with deviations in well-being measures and should be used as an input to the monitoring process rather than as part of the outcome well-being score. The sleep index is suggested as a potential input because it provides information on both the duration and quality of the sleep experienced.","container-title":"The Journal of Strength &amp; Conditioning Research","DOI":"10.1519/JSC.0000000000002857","ISSN":"1064-8011","issue":"4","language":"en-US","page":"1066–1073","source":"journals.lww.com","title":"Influence of Perceptions of Sleep on Well-Being in Youth Athletes","volume":"35","author":[{"family":"Sawczuk","given":"Thomas"},{"family":"Jones","given":"Ben"},{"family":"Scantlebury","given":"Sean"},{"family":"Till","given":"Kevin"}],"issued":{"date-parts":[["2021",4]]}}}],"schema":"https://github.com/citation-style-language/schema/raw/master/csl-citation.json"} </w:instrText>
      </w:r>
      <w:r w:rsidR="00A73B3E">
        <w:rPr>
          <w:rFonts w:ascii="Times New Roman" w:hAnsi="Times New Roman" w:cs="Times New Roman"/>
        </w:rPr>
        <w:fldChar w:fldCharType="separate"/>
      </w:r>
      <w:r w:rsidR="00A73B3E">
        <w:rPr>
          <w:rFonts w:ascii="Times New Roman" w:hAnsi="Times New Roman" w:cs="Times New Roman"/>
          <w:noProof/>
        </w:rPr>
        <w:t>(Sawczuk et al., 2021)</w:t>
      </w:r>
      <w:r w:rsidR="00A73B3E">
        <w:rPr>
          <w:rFonts w:ascii="Times New Roman" w:hAnsi="Times New Roman" w:cs="Times New Roman"/>
        </w:rPr>
        <w:fldChar w:fldCharType="end"/>
      </w:r>
      <w:r w:rsidR="00A73B3E">
        <w:rPr>
          <w:rFonts w:ascii="Times New Roman" w:hAnsi="Times New Roman" w:cs="Times New Roman"/>
        </w:rPr>
        <w:t>. This could be due to a slight difference in age,</w:t>
      </w:r>
      <w:r w:rsidR="008E013E">
        <w:rPr>
          <w:rFonts w:ascii="Times New Roman" w:hAnsi="Times New Roman" w:cs="Times New Roman"/>
        </w:rPr>
        <w:t xml:space="preserve"> as</w:t>
      </w:r>
      <w:r w:rsidR="00A73B3E">
        <w:rPr>
          <w:rFonts w:ascii="Times New Roman" w:hAnsi="Times New Roman" w:cs="Times New Roman"/>
        </w:rPr>
        <w:t xml:space="preserve"> </w:t>
      </w:r>
      <w:proofErr w:type="spellStart"/>
      <w:r w:rsidR="00A73B3E">
        <w:rPr>
          <w:rFonts w:ascii="Times New Roman" w:hAnsi="Times New Roman" w:cs="Times New Roman"/>
        </w:rPr>
        <w:t>Sawczuck</w:t>
      </w:r>
      <w:proofErr w:type="spellEnd"/>
      <w:r w:rsidR="00A73B3E">
        <w:rPr>
          <w:rFonts w:ascii="Times New Roman" w:hAnsi="Times New Roman" w:cs="Times New Roman"/>
        </w:rPr>
        <w:t xml:space="preserve"> et al. used athletes 16-18 years old while </w:t>
      </w:r>
      <w:r w:rsidR="008838F6">
        <w:rPr>
          <w:rFonts w:ascii="Times New Roman" w:hAnsi="Times New Roman" w:cs="Times New Roman"/>
        </w:rPr>
        <w:t xml:space="preserve">participants in </w:t>
      </w:r>
      <w:r w:rsidR="00A73B3E">
        <w:rPr>
          <w:rFonts w:ascii="Times New Roman" w:hAnsi="Times New Roman" w:cs="Times New Roman"/>
        </w:rPr>
        <w:t xml:space="preserve">the present study </w:t>
      </w:r>
      <w:r w:rsidR="008838F6">
        <w:rPr>
          <w:rFonts w:ascii="Times New Roman" w:hAnsi="Times New Roman" w:cs="Times New Roman"/>
        </w:rPr>
        <w:t xml:space="preserve">ranged from </w:t>
      </w:r>
      <w:r w:rsidR="00A73B3E">
        <w:rPr>
          <w:rFonts w:ascii="Times New Roman" w:hAnsi="Times New Roman" w:cs="Times New Roman"/>
        </w:rPr>
        <w:t xml:space="preserve">18-22 years old, or a difference in sport or sex, with the previous study consisting of a variety of sports and both male and female participants </w:t>
      </w:r>
      <w:r w:rsidR="00A73B3E">
        <w:rPr>
          <w:rFonts w:ascii="Times New Roman" w:hAnsi="Times New Roman" w:cs="Times New Roman"/>
        </w:rPr>
        <w:fldChar w:fldCharType="begin"/>
      </w:r>
      <w:r w:rsidR="00A73B3E">
        <w:rPr>
          <w:rFonts w:ascii="Times New Roman" w:hAnsi="Times New Roman" w:cs="Times New Roman"/>
        </w:rPr>
        <w:instrText xml:space="preserve"> ADDIN ZOTERO_ITEM CSL_CITATION {"citationID":"ZpZX6Ojd","properties":{"formattedCitation":"(2021)","plainCitation":"(2021)","noteIndex":0},"citationItems":[{"id":245,"uris":["http://zotero.org/users/6375206/items/8JBK2T7K"],"uri":["http://zotero.org/users/6375206/items/8JBK2T7K"],"itemData":{"id":245,"type":"article-journal","abstract":"Sawczuk, T, Jones, B, Scantlebury, S, and Till, K. Influence of perceptions of sleep on well-being in youth athletes. J Strength Cond Res 35(4): 1066–1073, 2021—To date, most research considering well-being questionnaires has only considered the training stress imposed on the athlete, without evaluating the questionnaire's relationship with a measure of recovery (e.g., sleep). This study aimed to assess the influence of sleep duration (Sduration), sleep quality (Squality), and sleep index (Sindex; Sduration × Squality) on well-being in youth athletes, while accounting for the known training stressors of training load and exposure to match play. Forty-eight youth athletes (age 17.3 ± 0.5 years) completed a daily questionnaire including well-being (DWBno-sleep; fatigue, muscle soreness, stress, and mood) measures, Perceived Recovery Status Scale (PRS), the previous day's training loads, Sduration, and Squality every day for 13 weeks. Linear mixed models assessed the impact of Sduration, Squality, and Sindex on DWBno-sleep, its individual subscales, and PRS. Sduration had a small effect on DWBno-sleep (d = 0.31; ±0.09), fatigue (d = 0.42; ±0.11), and PRS (d = 0.25; ±0.09). Squality had a small effect on DWBno-sleep (d = 0.47; ±0.08), fatigue (d = 0.53; ±0.11), stress (d = 0.35; ±0.07), mood (d = 0.41; ±0.09), and PRS (d = 0.37; ±0.08). Sindex had a small effect on DWBno-sleep (d = 0.44; ±0.08), fatigue (d = 0.55; ±0.11), stress (d = 0.29; ±0.07), mood (d = 0.37; ±0.09), and PRS (d = 0.36; ±0.09). The results indicate that an athlete's perceptions of sleep are associated with deviations in well-being measures and should be used as an input to the monitoring process rather than as part of the outcome well-being score. The sleep index is suggested as a potential input because it provides information on both the duration and quality of the sleep experienced.","container-title":"The Journal of Strength &amp; Conditioning Research","DOI":"10.1519/JSC.0000000000002857","ISSN":"1064-8011","issue":"4","language":"en-US","page":"1066–1073","source":"journals.lww.com","title":"Influence of Perceptions of Sleep on Well-Being in Youth Athletes","volume":"35","author":[{"family":"Sawczuk","given":"Thomas"},{"family":"Jones","given":"Ben"},{"family":"Scantlebury","given":"Sean"},{"family":"Till","given":"Kevin"}],"issued":{"date-parts":[["2021",4]]}},"suppress-author":true}],"schema":"https://github.com/citation-style-language/schema/raw/master/csl-citation.json"} </w:instrText>
      </w:r>
      <w:r w:rsidR="00A73B3E">
        <w:rPr>
          <w:rFonts w:ascii="Times New Roman" w:hAnsi="Times New Roman" w:cs="Times New Roman"/>
        </w:rPr>
        <w:fldChar w:fldCharType="separate"/>
      </w:r>
      <w:r w:rsidR="00A73B3E">
        <w:rPr>
          <w:rFonts w:ascii="Times New Roman" w:hAnsi="Times New Roman" w:cs="Times New Roman"/>
          <w:noProof/>
        </w:rPr>
        <w:t>(2021)</w:t>
      </w:r>
      <w:r w:rsidR="00A73B3E">
        <w:rPr>
          <w:rFonts w:ascii="Times New Roman" w:hAnsi="Times New Roman" w:cs="Times New Roman"/>
        </w:rPr>
        <w:fldChar w:fldCharType="end"/>
      </w:r>
      <w:r w:rsidR="00A73B3E">
        <w:rPr>
          <w:rFonts w:ascii="Times New Roman" w:hAnsi="Times New Roman" w:cs="Times New Roman"/>
        </w:rPr>
        <w:t xml:space="preserve">. Overall, the present study points to sleep being important for increases in recovery and decreases in soreness and stress. </w:t>
      </w:r>
      <w:r w:rsidR="00B24753">
        <w:rPr>
          <w:rFonts w:ascii="Times New Roman" w:hAnsi="Times New Roman" w:cs="Times New Roman"/>
        </w:rPr>
        <w:t xml:space="preserve">Although it may be expected that external load </w:t>
      </w:r>
      <w:r w:rsidR="00B24753">
        <w:rPr>
          <w:rFonts w:ascii="Times New Roman" w:hAnsi="Times New Roman" w:cs="Times New Roman"/>
        </w:rPr>
        <w:lastRenderedPageBreak/>
        <w:t>correlates with sleep and soreness, no such finding exist</w:t>
      </w:r>
      <w:r w:rsidR="00DD3C6E">
        <w:rPr>
          <w:rFonts w:ascii="Times New Roman" w:hAnsi="Times New Roman" w:cs="Times New Roman"/>
        </w:rPr>
        <w:t>ed</w:t>
      </w:r>
      <w:r w:rsidR="00B24753">
        <w:rPr>
          <w:rFonts w:ascii="Times New Roman" w:hAnsi="Times New Roman" w:cs="Times New Roman"/>
        </w:rPr>
        <w:t xml:space="preserve"> in </w:t>
      </w:r>
      <w:r w:rsidR="00DD3C6E">
        <w:rPr>
          <w:rFonts w:ascii="Times New Roman" w:hAnsi="Times New Roman" w:cs="Times New Roman"/>
        </w:rPr>
        <w:t>the present</w:t>
      </w:r>
      <w:r w:rsidR="00B24753">
        <w:rPr>
          <w:rFonts w:ascii="Times New Roman" w:hAnsi="Times New Roman" w:cs="Times New Roman"/>
        </w:rPr>
        <w:t xml:space="preserve"> study. </w:t>
      </w:r>
      <w:r w:rsidR="00A73B3E">
        <w:rPr>
          <w:rFonts w:ascii="Times New Roman" w:hAnsi="Times New Roman" w:cs="Times New Roman"/>
        </w:rPr>
        <w:t xml:space="preserve">It may </w:t>
      </w:r>
      <w:r w:rsidR="008E013E">
        <w:rPr>
          <w:rFonts w:ascii="Times New Roman" w:hAnsi="Times New Roman" w:cs="Times New Roman"/>
        </w:rPr>
        <w:t xml:space="preserve">still </w:t>
      </w:r>
      <w:r w:rsidR="00A73B3E">
        <w:rPr>
          <w:rFonts w:ascii="Times New Roman" w:hAnsi="Times New Roman" w:cs="Times New Roman"/>
        </w:rPr>
        <w:t xml:space="preserve">be important to monitor sleep in athletes </w:t>
      </w:r>
      <w:r w:rsidR="00DD3C6E">
        <w:rPr>
          <w:rFonts w:ascii="Times New Roman" w:hAnsi="Times New Roman" w:cs="Times New Roman"/>
        </w:rPr>
        <w:t>to</w:t>
      </w:r>
      <w:r w:rsidR="00A73B3E">
        <w:rPr>
          <w:rFonts w:ascii="Times New Roman" w:hAnsi="Times New Roman" w:cs="Times New Roman"/>
        </w:rPr>
        <w:t xml:space="preserve"> ensure optimal conditions for recovery</w:t>
      </w:r>
      <w:r w:rsidR="008838F6">
        <w:rPr>
          <w:rFonts w:ascii="Times New Roman" w:hAnsi="Times New Roman" w:cs="Times New Roman"/>
        </w:rPr>
        <w:t xml:space="preserve"> despite its inability to predict expected work volume and intensity in a subsequent workout</w:t>
      </w:r>
      <w:r w:rsidR="00A73B3E">
        <w:rPr>
          <w:rFonts w:ascii="Times New Roman" w:hAnsi="Times New Roman" w:cs="Times New Roman"/>
        </w:rPr>
        <w:t>.</w:t>
      </w:r>
    </w:p>
    <w:p w14:paraId="7B8FCB82" w14:textId="3B4D3FAB" w:rsidR="00D23C52" w:rsidRDefault="00D23C52" w:rsidP="00D23C52">
      <w:pPr>
        <w:spacing w:line="480" w:lineRule="auto"/>
        <w:ind w:firstLine="720"/>
        <w:rPr>
          <w:rFonts w:ascii="Times New Roman" w:hAnsi="Times New Roman" w:cs="Times New Roman"/>
        </w:rPr>
      </w:pPr>
      <w:r>
        <w:rPr>
          <w:rFonts w:ascii="Times New Roman" w:hAnsi="Times New Roman" w:cs="Times New Roman"/>
        </w:rPr>
        <w:t xml:space="preserve">All external load measures were shown to be positively correlated with one another, suggesting that the measures are </w:t>
      </w:r>
      <w:r w:rsidR="008838F6">
        <w:rPr>
          <w:rFonts w:ascii="Times New Roman" w:hAnsi="Times New Roman" w:cs="Times New Roman"/>
        </w:rPr>
        <w:t>dependent</w:t>
      </w:r>
      <w:r>
        <w:rPr>
          <w:rFonts w:ascii="Times New Roman" w:hAnsi="Times New Roman" w:cs="Times New Roman"/>
        </w:rPr>
        <w:t>. This finding was to be expected, as external load measures</w:t>
      </w:r>
      <w:r w:rsidR="00C55037">
        <w:rPr>
          <w:rFonts w:ascii="Times New Roman" w:hAnsi="Times New Roman" w:cs="Times New Roman"/>
        </w:rPr>
        <w:t xml:space="preserve"> (distance, load, </w:t>
      </w:r>
      <w:r w:rsidR="00FC5352">
        <w:rPr>
          <w:rFonts w:ascii="Times New Roman" w:hAnsi="Times New Roman" w:cs="Times New Roman"/>
        </w:rPr>
        <w:t xml:space="preserve">acceleration, </w:t>
      </w:r>
      <w:r w:rsidR="00C55037">
        <w:rPr>
          <w:rFonts w:ascii="Times New Roman" w:hAnsi="Times New Roman" w:cs="Times New Roman"/>
        </w:rPr>
        <w:t>and jump counts)</w:t>
      </w:r>
      <w:r>
        <w:rPr>
          <w:rFonts w:ascii="Times New Roman" w:hAnsi="Times New Roman" w:cs="Times New Roman"/>
        </w:rPr>
        <w:t xml:space="preserve"> have been shown to </w:t>
      </w:r>
      <w:r w:rsidR="008838F6">
        <w:rPr>
          <w:rFonts w:ascii="Times New Roman" w:hAnsi="Times New Roman" w:cs="Times New Roman"/>
        </w:rPr>
        <w:t>move reliably</w:t>
      </w:r>
      <w:r w:rsidR="00B4746B">
        <w:rPr>
          <w:rFonts w:ascii="Times New Roman" w:hAnsi="Times New Roman" w:cs="Times New Roman"/>
        </w:rPr>
        <w:t>/predictably</w:t>
      </w:r>
      <w:r w:rsidR="008838F6">
        <w:rPr>
          <w:rFonts w:ascii="Times New Roman" w:hAnsi="Times New Roman" w:cs="Times New Roman"/>
        </w:rPr>
        <w:t xml:space="preserve"> with each other</w:t>
      </w:r>
      <w:r>
        <w:rPr>
          <w:rFonts w:ascii="Times New Roman" w:hAnsi="Times New Roman" w:cs="Times New Roman"/>
        </w:rPr>
        <w:t xml:space="preserve"> </w:t>
      </w:r>
      <w:r w:rsidR="00C55037">
        <w:rPr>
          <w:rFonts w:ascii="Times New Roman" w:hAnsi="Times New Roman" w:cs="Times New Roman"/>
        </w:rPr>
        <w:t>in soccer, team handball, and hockey players,</w:t>
      </w:r>
      <w:r>
        <w:rPr>
          <w:rFonts w:ascii="Times New Roman" w:hAnsi="Times New Roman" w:cs="Times New Roman"/>
        </w:rPr>
        <w:t xml:space="preserve"> </w:t>
      </w:r>
      <w:r>
        <w:rPr>
          <w:rFonts w:ascii="Times New Roman" w:hAnsi="Times New Roman" w:cs="Times New Roman"/>
        </w:rPr>
        <w:fldChar w:fldCharType="begin"/>
      </w:r>
      <w:r w:rsidR="00C55037">
        <w:rPr>
          <w:rFonts w:ascii="Times New Roman" w:hAnsi="Times New Roman" w:cs="Times New Roman"/>
        </w:rPr>
        <w:instrText xml:space="preserve"> ADDIN ZOTERO_ITEM CSL_CITATION {"citationID":"FZugsKYv","properties":{"formattedCitation":"(Luteberget et al., 2018; Ruddy et al., 2018; Spangler et al., 2018; Van Iterson et al., 2017)","plainCitation":"(Luteberget et al., 2018; Ruddy et al., 2018; Spangler et al., 2018; Van Iterson et al., 2017)","noteIndex":0},"citationItems":[{"id":217,"uris":["http://zotero.org/users/6375206/items/98D3V9NJ"],"uri":["http://zotero.org/users/6375206/items/98D3V9NJ"],"itemData":{"id":217,"type":"article-journal","abstract":"Purpose: To assess the reliability and sensitivity of commercially available inertial measurement units to measure physical activity in team handball. Method: Twenty-two handball players were instrumented with 2 inertial measurement units (OptimEye S5; Catapult Sports, Melbourne, Australia) taped together. They participated in either a laboratory assessment (n = 10) consisting of 7 team handball--specific tasks or field assessment (n = 12) conducted in 12 training sessions. Variables, including PlayerLoad™and inertial movement analysis (IMA) magnitude and counts, were extracted from the manufacturers' software. IMA counts were divided into intensity bands of low (1.5-2.5m</w:instrText>
      </w:r>
      <w:r w:rsidR="00C55037">
        <w:rPr>
          <w:rFonts w:ascii="Cambria Math" w:hAnsi="Cambria Math" w:cs="Cambria Math"/>
        </w:rPr>
        <w:instrText>⋅</w:instrText>
      </w:r>
      <w:r w:rsidR="00C55037">
        <w:rPr>
          <w:rFonts w:ascii="Times New Roman" w:hAnsi="Times New Roman" w:cs="Times New Roman"/>
        </w:rPr>
        <w:instrText>s-1),medium(2.5-3.5m</w:instrText>
      </w:r>
      <w:r w:rsidR="00C55037">
        <w:rPr>
          <w:rFonts w:ascii="Cambria Math" w:hAnsi="Cambria Math" w:cs="Cambria Math"/>
        </w:rPr>
        <w:instrText>⋅</w:instrText>
      </w:r>
      <w:r w:rsidR="00C55037">
        <w:rPr>
          <w:rFonts w:ascii="Times New Roman" w:hAnsi="Times New Roman" w:cs="Times New Roman"/>
        </w:rPr>
        <w:instrText>s-1), high (&gt;3.5m</w:instrText>
      </w:r>
      <w:r w:rsidR="00C55037">
        <w:rPr>
          <w:rFonts w:ascii="Cambria Math" w:hAnsi="Cambria Math" w:cs="Cambria Math"/>
        </w:rPr>
        <w:instrText>⋅</w:instrText>
      </w:r>
      <w:r w:rsidR="00C55037">
        <w:rPr>
          <w:rFonts w:ascii="Times New Roman" w:hAnsi="Times New Roman" w:cs="Times New Roman"/>
        </w:rPr>
        <w:instrText>s-1),medium/high (&gt;2.5m</w:instrText>
      </w:r>
      <w:r w:rsidR="00C55037">
        <w:rPr>
          <w:rFonts w:ascii="Cambria Math" w:hAnsi="Cambria Math" w:cs="Cambria Math"/>
        </w:rPr>
        <w:instrText>⋅</w:instrText>
      </w:r>
      <w:r w:rsidR="00C55037">
        <w:rPr>
          <w:rFonts w:ascii="Times New Roman" w:hAnsi="Times New Roman" w:cs="Times New Roman"/>
        </w:rPr>
        <w:instrText>s-1), and total (&gt;1.5m</w:instrText>
      </w:r>
      <w:r w:rsidR="00C55037">
        <w:rPr>
          <w:rFonts w:ascii="Cambria Math" w:hAnsi="Cambria Math" w:cs="Cambria Math"/>
        </w:rPr>
        <w:instrText>⋅</w:instrText>
      </w:r>
      <w:r w:rsidR="00C55037">
        <w:rPr>
          <w:rFonts w:ascii="Times New Roman" w:hAnsi="Times New Roman" w:cs="Times New Roman"/>
        </w:rPr>
        <w:instrText xml:space="preserve">s-1). Reliability between devices and sensitivity was established using coefficient of variation (CV) and smallest worthwhile difference (SWD). Results: Laboratory assessment: IMA magnitude showed a good reliability (CV= 3.1%) in well-controlled tasks. CV increased (4.4-6.7%) in more-complex tasks. Field assessment: Total IMA counts (CV = 1.8% and SWD= 2.5%), PlayerLoad (CV= 0.9% and SWD= 2.1%), and their associated variables (CV= 0.4-1.7%) showed a good reliability, well below the SWD. However, the CV of IMA increased when categorized into intensity bands (2.9-5.6%). Conclusion: The reliability of IMA counts was good when data were displayed as total, high, ormedium/high counts. A good reliability for PlayerLoad and associated variables was evident. The CV of the previously mentioned variables was well below the SWD, suggesting that OptimEye's inertial measurement unit and its software are sensitive for use in team handball. ABSTRACT FROM AUTHOR","container-title":"International Journal of Sports Physiology &amp; Performance","ISSN":"15550265","issue":"4","journalAbbreviation":"International Journal of Sports Physiology &amp; Performance","page":"467-473","source":"EBSCOhost","title":"Reliability of Wearable Inertial Measurement Units to Measure Physical Activity in Team Handball","volume":"13","author":[{"family":"Luteberget","given":"Live S."},{"family":"Holme","given":"Benjamin R."},{"family":"Spencer","given":"Matt"}],"issued":{"date-parts":[["2018",4]]}}},{"id":59,"uris":["http://zotero.org/users/6375206/items/2H5P8VWE"],"uri":["http://zotero.org/users/6375206/items/2H5P8VWE"],"itemData":{"id":59,"type":"article-journal","abstract":"Background To investigate the association between running exposure and the risk of hamstring strain injury (HSI) in elite Australian footballers.\nMethods Elite Australian footballers (n=220) from 5 different teams participated. Global positioning system (GPS) data were provided for every athlete for each training session and match for the entire 2015 season. The occurrences of HSIs throughout the study period were reported. Receiver operator characteristic curve analyses were performed and the relative risk (RR) of subsequent HSI was calculated for absolute and relative running exposure variables related to distance covered above 10 and 24 km/hour in the preceding week/s.\nResults 30 prospective HSIs occurred. For the absolute running exposure variables, weekly distance covered above 24 km/hour (&gt;653 m, RR=3.4, 95% CI 1.6 to 7.2, sensitivity=0.52, specificity=0.76, area under the curve (AUC)=0.63) had the largest influence on the risk of HSI in the following week. For the relative running exposure variables, distance covered above 24 km/hour as a percentage of distance covered above 10 km/hour (&gt;2.5%, RR=6.3, 95% CI 1.5 to 26.7, sensitivity=0.93, specificity=0.34, AUC=0.63) had the largest influence on the risk of HSI in the following week. Despite significant increases in the RR of HSI, the predictive capacity of these variables was limited.\nConclusions An association exists between absolute and relative running exposure variables and elite Australian footballers' risk of subsequent HSI, with the association strongest when examining data within 7–14 days. Despite this, the use of running exposure variables displayed limited clinical utility to predict HSI at the individual level.","container-title":"British Journal of Sports Medicine","DOI":"10.1136/bjsports-2016-096777","ISSN":"0306-3674, 1473-0480","issue":"14","journalAbbreviation":"Br J Sports Med","language":"en","note":"publisher: BMJ Publishing Group Ltd and British Association of Sport and Exercise Medicine\nsection: Original article\nPMID: 27884865","page":"919-928","source":"bjsm.bmj.com","title":"Running exposure is associated with the risk of hamstring strain injury in elite Australian footballers","volume":"52","author":[{"family":"Ruddy","given":"Joshua D."},{"family":"Pollard","given":"Christopher W."},{"family":"Timmins","given":"Ryan G."},{"family":"Williams","given":"Morgan D."},{"family":"Shield","given":"Anthony J."},{"family":"Opar","given":"David A."}],"issued":{"date-parts":[["2018",7,1]]}}},{"id":260,"uris":["http://zotero.org/users/6375206/items/BHMP54KW"],"uri":["http://zotero.org/users/6375206/items/BHMP54KW"],"itemData":{"id":260,"type":"article-journal","abstract":"Considering the large and repetitive loads associated with jumping in team sports, automatic detection and quantification of jumping may show promise in reducing injury risks. The aim of this study was to validate commercially available inertial-movement analysis software to detect and quantify jumping in team sports. In addition, the test-retest reliability of the software to quantify jumping was assessed. Seventy-six healthy male participants completed a team sport circuit six times containing seven common movements (including three countermovement and two single-leg jumps) whilst wearing an inertial sensor (Catapult Sports, Australia). Jump detection accuracy was assessed by comparing the known number of jumps to the number recorded by the inertial movement analysis software. A further 27 participants separately performed countermovement and single-leg jumps at 33%, 66% and 100% of maximal jump height over two sessions. Jump height quantification accuracy was assessed by comparing criterion three-dimensional motion analysis-derived heights to that recorded by the inertial movement analysis software. Test-retest reliability was assessed by comparing recorded jump heights between both testing sessions. Catapult’s inertial movement analysis software displayed excellent jump detection accuracy (96.9%) and test-retest jump height quantification reliability (ICC: 0.86 [countermovement jump], 0.88 [single-leg jump]). However, significant mean bias (–2.74 cm [95% LoA –10.44 – 4.96]) was observed for jump height quantification. Overall, Catapult’s inertial movement analysis software appears to be a suitable method of automatically detecting jumping in team sports, and although reliable, caution is advised when using the IMA software to quantify jump height.","container-title":"International Journal of Sports Medicine","DOI":"10.1055/s-0044-100793","ISSN":"0172-4622, 1439-3964","issue":"10","journalAbbreviation":"Int J Sports Med","language":"en","note":"publisher: © Georg Thieme Verlag KG","page":"802-808","source":"www.thieme-connect.com","title":"Inertial Sensors are a Valid Tool to Detect and Consistently Quantify Jumping","volume":"39","author":[{"family":"Spangler","given":"Rhys"},{"family":"Rantalainen","given":"Timo"},{"family":"Gastin","given":"Paul B."},{"family":"Wundersitz","given":"Daniel"}],"issued":{"date-parts":[["2018",10]]}}},{"id":262,"uris":["http://zotero.org/users/6375206/items/FUWPWEAG"],"uri":["http://zotero.org/users/6375206/items/FUWPWEAG"],"itemData":{"id":262,"type":"article-journal","abstract":"Wearable microsensor technology incorporating triaxial accelerometry is used to quantify an index of mechanical stress associated with sport-specific movements termed PlayerLoad. The test-retest reliability of PlayerLoad in the environmental setting of ice hockey is unknown. The primary aim of this study was to quantify the test-retest reliability of PlayerLoad in ice hockey players during performance of tasks simulating game conditions. Division I collegiate male ice hockey players (N = 8) wore Catapult Optimeye S5 monitors during repeat performance of 9 ice hockey tasks simulating game conditions. Ordered ice hockey tasks during repeated bouts included acceleration (forward or backward), 60% top-speed, top-speed (forward or backward), repeated shift circuit, ice coasting, slap shot, and bench sitting. Coefficient of variation (CV), intraclass correlation coefficient (ICC), and minimum difference (MD) were used to assess PlayerLoad reliability. Test- retest CVs and ICCs of PlayerLoad were as follows: 8.6% and 0.54 for forward acceleration, 13.8% and 0.78 for backward acceleration, 2.2% and 0.96 for 60% top-speed, 7.5% and 0.79 for forward top-speed, 2.8% and 0.96 for backward top- speed, 26.6% and 0.95 for repeated shift test, 3.9% and 0.68 for slap shot, 3.7% and 0.98 for coasting, and 4.1% and 0.98 for bench sitting, respectively. Raw differences between bouts were not significant for ice hockey tasks (p &gt; 0.05). For each task, between-bout raw differences were lower vs. MD: 0.06 vs. 0.35 (forward acceleration), 0.07 vs. 0.36 (backward acceleration), 0.00 vs. 0.06 (60% top-speed), 0.03 vs. 0.20 (forward top-speed), 0.02 vs. 0.09 (backward top-speed), 0.18 vs. 0.64 (repeated shift test), 0.02 vs. 0.10 (slap shot), 0.00 vs. 0.10 (coasting), and 0.01 vs. 0.11 (bench sitting), respectively. These data suggest that PlayerLoad demonstrates moderate-to-large test-retest reliability in the environmental setting of male Division I collegiate ice hockey. Without previously testing reliability, these data are important as PlayerLoad is routinely quantified in male collegiate ice hockey to assess on ice physical activity. ABSTRACT FROM AUTHOR","container-title":"Journal of Strength &amp; Conditioning Research","ISSN":"10648011","issue":"5","page":"1305-1312","source":"EBSCOhost","title":"Reliability of Triaxial Accelerometry for Measuring Load in Men's Collegiate Ice Hockey","volume":"31","author":[{"family":"Van Iterson","given":"Erik H."},{"family":"Fitzgerald","given":"John S."},{"family":"Dietz","given":"Calvin C."},{"family":"Snyder","given":"Eric M."},{"family":"Peterson","given":"Ben J."}],"issued":{"date-parts":[["2017",5]]}}}],"schema":"https://github.com/citation-style-language/schema/raw/master/csl-citation.json"} </w:instrText>
      </w:r>
      <w:r>
        <w:rPr>
          <w:rFonts w:ascii="Times New Roman" w:hAnsi="Times New Roman" w:cs="Times New Roman"/>
        </w:rPr>
        <w:fldChar w:fldCharType="separate"/>
      </w:r>
      <w:r w:rsidR="00C55037">
        <w:rPr>
          <w:rFonts w:ascii="Times New Roman" w:hAnsi="Times New Roman" w:cs="Times New Roman"/>
          <w:noProof/>
        </w:rPr>
        <w:t>(Luteberget et al., 2018; Ruddy et al., 2018; Spangler et al., 2018; Van Iterson et al., 2017)</w:t>
      </w:r>
      <w:r>
        <w:rPr>
          <w:rFonts w:ascii="Times New Roman" w:hAnsi="Times New Roman" w:cs="Times New Roman"/>
        </w:rPr>
        <w:fldChar w:fldCharType="end"/>
      </w:r>
      <w:r>
        <w:rPr>
          <w:rFonts w:ascii="Times New Roman" w:hAnsi="Times New Roman" w:cs="Times New Roman"/>
        </w:rPr>
        <w:t>. As accelerometry measures have not been used in female collegiate gymnasts, this may be significant for load monitoring in the present population</w:t>
      </w:r>
      <w:r w:rsidR="00B4746B">
        <w:rPr>
          <w:rFonts w:ascii="Times New Roman" w:hAnsi="Times New Roman" w:cs="Times New Roman"/>
        </w:rPr>
        <w:t>. Accelerometry may allow for a more “nuanced” examination of a sport involving primarily vertical bounding movements but also spinning around the mediolateral and superoinferior axes during flipping and twisting.</w:t>
      </w:r>
    </w:p>
    <w:p w14:paraId="687EE6A3" w14:textId="5D94CF3E" w:rsidR="003A3401" w:rsidRDefault="0065584C" w:rsidP="0065584C">
      <w:pPr>
        <w:spacing w:line="480" w:lineRule="auto"/>
        <w:rPr>
          <w:rFonts w:ascii="Times New Roman" w:hAnsi="Times New Roman" w:cs="Times New Roman"/>
        </w:rPr>
      </w:pPr>
      <w:r>
        <w:rPr>
          <w:rFonts w:ascii="Times New Roman" w:hAnsi="Times New Roman" w:cs="Times New Roman"/>
          <w:i/>
          <w:iCs/>
        </w:rPr>
        <w:tab/>
      </w:r>
      <w:r>
        <w:rPr>
          <w:rFonts w:ascii="Times New Roman" w:hAnsi="Times New Roman" w:cs="Times New Roman"/>
        </w:rPr>
        <w:t xml:space="preserve">The main findings from the </w:t>
      </w:r>
      <w:r w:rsidR="00161197">
        <w:rPr>
          <w:rFonts w:ascii="Times New Roman" w:hAnsi="Times New Roman" w:cs="Times New Roman"/>
        </w:rPr>
        <w:t>external load</w:t>
      </w:r>
      <w:r>
        <w:rPr>
          <w:rFonts w:ascii="Times New Roman" w:hAnsi="Times New Roman" w:cs="Times New Roman"/>
        </w:rPr>
        <w:t xml:space="preserve"> measures were the differences between training phases. </w:t>
      </w:r>
      <w:r w:rsidR="00161197">
        <w:rPr>
          <w:rFonts w:ascii="Times New Roman" w:hAnsi="Times New Roman" w:cs="Times New Roman"/>
        </w:rPr>
        <w:t xml:space="preserve">Throughout the preseason, PL, PL per minute, PL 1D Up, IMA high, IMA medium, IMA low, and IMA total all showed significant differences between training blocks. </w:t>
      </w:r>
      <w:r w:rsidR="00C03C8F">
        <w:rPr>
          <w:rFonts w:ascii="Times New Roman" w:hAnsi="Times New Roman" w:cs="Times New Roman"/>
        </w:rPr>
        <w:t xml:space="preserve">Typically, each measure significantly decreased over the progression of the preseason (GP2&gt;SP1&gt;SP2) although some only showed significant differences between GP2 and SP2. </w:t>
      </w:r>
      <w:r w:rsidR="00DA6C8D">
        <w:rPr>
          <w:rFonts w:ascii="Times New Roman" w:hAnsi="Times New Roman" w:cs="Times New Roman"/>
        </w:rPr>
        <w:t xml:space="preserve">The general methodology </w:t>
      </w:r>
      <w:r w:rsidR="00DD3C6E">
        <w:rPr>
          <w:rFonts w:ascii="Times New Roman" w:hAnsi="Times New Roman" w:cs="Times New Roman"/>
        </w:rPr>
        <w:t xml:space="preserve">utilized in most </w:t>
      </w:r>
      <w:r w:rsidR="00DA6C8D">
        <w:rPr>
          <w:rFonts w:ascii="Times New Roman" w:hAnsi="Times New Roman" w:cs="Times New Roman"/>
        </w:rPr>
        <w:t>sport</w:t>
      </w:r>
      <w:r w:rsidR="008838F6">
        <w:rPr>
          <w:rFonts w:ascii="Times New Roman" w:hAnsi="Times New Roman" w:cs="Times New Roman"/>
        </w:rPr>
        <w:t xml:space="preserve"> team</w:t>
      </w:r>
      <w:r w:rsidR="00DA6C8D">
        <w:rPr>
          <w:rFonts w:ascii="Times New Roman" w:hAnsi="Times New Roman" w:cs="Times New Roman"/>
        </w:rPr>
        <w:t xml:space="preserve"> training</w:t>
      </w:r>
      <w:r w:rsidR="00DD3C6E">
        <w:rPr>
          <w:rFonts w:ascii="Times New Roman" w:hAnsi="Times New Roman" w:cs="Times New Roman"/>
        </w:rPr>
        <w:t xml:space="preserve">, is a diminishment in </w:t>
      </w:r>
      <w:r w:rsidR="00B4746B">
        <w:rPr>
          <w:rFonts w:ascii="Times New Roman" w:hAnsi="Times New Roman" w:cs="Times New Roman"/>
        </w:rPr>
        <w:t xml:space="preserve">preseason </w:t>
      </w:r>
      <w:r w:rsidR="00DD3C6E">
        <w:rPr>
          <w:rFonts w:ascii="Times New Roman" w:hAnsi="Times New Roman" w:cs="Times New Roman"/>
        </w:rPr>
        <w:t>volume of training</w:t>
      </w:r>
      <w:r w:rsidR="00DA6C8D">
        <w:rPr>
          <w:rFonts w:ascii="Times New Roman" w:hAnsi="Times New Roman" w:cs="Times New Roman"/>
        </w:rPr>
        <w:t xml:space="preserve"> as </w:t>
      </w:r>
      <w:r w:rsidR="00DD3C6E">
        <w:rPr>
          <w:rFonts w:ascii="Times New Roman" w:hAnsi="Times New Roman" w:cs="Times New Roman"/>
        </w:rPr>
        <w:t xml:space="preserve">the </w:t>
      </w:r>
      <w:r w:rsidR="00DA6C8D">
        <w:rPr>
          <w:rFonts w:ascii="Times New Roman" w:hAnsi="Times New Roman" w:cs="Times New Roman"/>
        </w:rPr>
        <w:t>competit</w:t>
      </w:r>
      <w:r w:rsidR="00DD3C6E">
        <w:rPr>
          <w:rFonts w:ascii="Times New Roman" w:hAnsi="Times New Roman" w:cs="Times New Roman"/>
        </w:rPr>
        <w:t>ive season</w:t>
      </w:r>
      <w:r w:rsidR="00DA6C8D">
        <w:rPr>
          <w:rFonts w:ascii="Times New Roman" w:hAnsi="Times New Roman" w:cs="Times New Roman"/>
        </w:rPr>
        <w:t xml:space="preserve"> gets closer</w:t>
      </w:r>
      <w:r w:rsidR="00DD3C6E">
        <w:rPr>
          <w:rFonts w:ascii="Times New Roman" w:hAnsi="Times New Roman" w:cs="Times New Roman"/>
        </w:rPr>
        <w:t xml:space="preserve">, across the week and </w:t>
      </w:r>
      <w:r w:rsidR="00B4746B">
        <w:rPr>
          <w:rFonts w:ascii="Times New Roman" w:hAnsi="Times New Roman" w:cs="Times New Roman"/>
        </w:rPr>
        <w:t>then a maintenance volume that is held steady through the end of championship season</w:t>
      </w:r>
      <w:r w:rsidR="00DA6C8D">
        <w:rPr>
          <w:rFonts w:ascii="Times New Roman" w:hAnsi="Times New Roman" w:cs="Times New Roman"/>
        </w:rPr>
        <w:t xml:space="preserve">. </w:t>
      </w:r>
    </w:p>
    <w:p w14:paraId="4CA3FFC4" w14:textId="4184B4D3" w:rsidR="0065584C" w:rsidRDefault="0065584C" w:rsidP="00161197">
      <w:pPr>
        <w:spacing w:line="480" w:lineRule="auto"/>
        <w:ind w:firstLine="720"/>
        <w:rPr>
          <w:rFonts w:ascii="Times New Roman" w:hAnsi="Times New Roman" w:cs="Times New Roman"/>
        </w:rPr>
      </w:pPr>
      <w:r>
        <w:rPr>
          <w:rFonts w:ascii="Times New Roman" w:hAnsi="Times New Roman" w:cs="Times New Roman"/>
        </w:rPr>
        <w:t xml:space="preserve">This finding </w:t>
      </w:r>
      <w:r w:rsidR="00B4746B">
        <w:rPr>
          <w:rFonts w:ascii="Times New Roman" w:hAnsi="Times New Roman" w:cs="Times New Roman"/>
        </w:rPr>
        <w:t>indicates</w:t>
      </w:r>
      <w:r>
        <w:rPr>
          <w:rFonts w:ascii="Times New Roman" w:hAnsi="Times New Roman" w:cs="Times New Roman"/>
        </w:rPr>
        <w:t xml:space="preserve"> that despite </w:t>
      </w:r>
      <w:r w:rsidR="00B4746B">
        <w:rPr>
          <w:rFonts w:ascii="Times New Roman" w:hAnsi="Times New Roman" w:cs="Times New Roman"/>
        </w:rPr>
        <w:t>suggestions by others from earlier</w:t>
      </w:r>
      <w:r>
        <w:rPr>
          <w:rFonts w:ascii="Times New Roman" w:hAnsi="Times New Roman" w:cs="Times New Roman"/>
        </w:rPr>
        <w:t xml:space="preserve"> research</w:t>
      </w:r>
      <w:r w:rsidR="00C37D0F">
        <w:rPr>
          <w:rFonts w:ascii="Times New Roman" w:hAnsi="Times New Roman" w:cs="Times New Roman"/>
        </w:rPr>
        <w:t xml:space="preserve"> </w:t>
      </w:r>
      <w:r w:rsidR="00C37D0F">
        <w:rPr>
          <w:rFonts w:ascii="Times New Roman" w:hAnsi="Times New Roman" w:cs="Times New Roman"/>
        </w:rPr>
        <w:fldChar w:fldCharType="begin"/>
      </w:r>
      <w:r w:rsidR="00C37D0F">
        <w:rPr>
          <w:rFonts w:ascii="Times New Roman" w:hAnsi="Times New Roman" w:cs="Times New Roman"/>
        </w:rPr>
        <w:instrText xml:space="preserve"> ADDIN ZOTERO_ITEM CSL_CITATION {"citationID":"Ymzod0qi","properties":{"formattedCitation":"(Sands, 2000)","plainCitation":"(Sands, 2000)","noteIndex":0},"citationItems":[{"id":236,"uris":["http://zotero.org/users/6375206/items/2FSBZZRX"],"uri":["http://zotero.org/users/6375206/items/2FSBZZRX"],"itemData":{"id":236,"type":"article-journal","abstract":"The most serious problem faced by contemporary gymnasts is injury. Given that prevention is superior to treatment, can the gymnastics community and the scientific and medical community do a better job at injury prevention? Most research in gymnastics has been descriptive in nature. Injury prevention ultimately requires that one can predict the outcome of certain activities and their injurious nature. Making such predictions requires a knowledge of the scientific and medical aspects of injury, but more than that, one must have an intimate knowledge of the sport. Injury prevention efforts must be firmly grounded in science and medicine while making pragmatic linkages to gymnastics as it exists and is practiced. This article attempts to bridge the gap between the scientific and medical community and what actually happens in gymnastics.","container-title":"Sports Medicine","DOI":"10.2165/00007256-200030050-00004","ISSN":"1179-2035","issue":"5","journalAbbreviation":"Sports Med","language":"en","page":"359-373","source":"Springer Link","title":"Injury Prevention in Women’s Gymnastics","volume":"30","author":[{"family":"Sands","given":"William A."}],"issued":{"date-parts":[["2000",11,1]]}}}],"schema":"https://github.com/citation-style-language/schema/raw/master/csl-citation.json"} </w:instrText>
      </w:r>
      <w:r w:rsidR="00C37D0F">
        <w:rPr>
          <w:rFonts w:ascii="Times New Roman" w:hAnsi="Times New Roman" w:cs="Times New Roman"/>
        </w:rPr>
        <w:fldChar w:fldCharType="separate"/>
      </w:r>
      <w:r w:rsidR="00C37D0F">
        <w:rPr>
          <w:rFonts w:ascii="Times New Roman" w:hAnsi="Times New Roman" w:cs="Times New Roman"/>
          <w:noProof/>
        </w:rPr>
        <w:t>(Sands, 2000)</w:t>
      </w:r>
      <w:r w:rsidR="00C37D0F">
        <w:rPr>
          <w:rFonts w:ascii="Times New Roman" w:hAnsi="Times New Roman" w:cs="Times New Roman"/>
        </w:rPr>
        <w:fldChar w:fldCharType="end"/>
      </w:r>
      <w:r>
        <w:rPr>
          <w:rFonts w:ascii="Times New Roman" w:hAnsi="Times New Roman" w:cs="Times New Roman"/>
        </w:rPr>
        <w:t xml:space="preserve">, collegiate gymnastics </w:t>
      </w:r>
      <w:r w:rsidR="00C37D0F">
        <w:rPr>
          <w:rFonts w:ascii="Times New Roman" w:hAnsi="Times New Roman" w:cs="Times New Roman"/>
        </w:rPr>
        <w:t xml:space="preserve">coaches/trainers </w:t>
      </w:r>
      <w:r>
        <w:rPr>
          <w:rFonts w:ascii="Times New Roman" w:hAnsi="Times New Roman" w:cs="Times New Roman"/>
        </w:rPr>
        <w:t xml:space="preserve">may </w:t>
      </w:r>
      <w:r w:rsidR="00B4746B">
        <w:rPr>
          <w:rFonts w:ascii="Times New Roman" w:hAnsi="Times New Roman" w:cs="Times New Roman"/>
        </w:rPr>
        <w:t xml:space="preserve">employ </w:t>
      </w:r>
      <w:r>
        <w:rPr>
          <w:rFonts w:ascii="Times New Roman" w:hAnsi="Times New Roman" w:cs="Times New Roman"/>
        </w:rPr>
        <w:t xml:space="preserve">effective periodization </w:t>
      </w:r>
      <w:r w:rsidR="00B4746B">
        <w:rPr>
          <w:rFonts w:ascii="Times New Roman" w:hAnsi="Times New Roman" w:cs="Times New Roman"/>
        </w:rPr>
        <w:t xml:space="preserve">strategies </w:t>
      </w:r>
      <w:r>
        <w:rPr>
          <w:rFonts w:ascii="Times New Roman" w:hAnsi="Times New Roman" w:cs="Times New Roman"/>
        </w:rPr>
        <w:t xml:space="preserve">during training. </w:t>
      </w:r>
      <w:r w:rsidR="00161197">
        <w:rPr>
          <w:rFonts w:ascii="Times New Roman" w:hAnsi="Times New Roman" w:cs="Times New Roman"/>
        </w:rPr>
        <w:t>It has been believed that most gymnastics teams do not properly periodize</w:t>
      </w:r>
      <w:r w:rsidR="008838F6">
        <w:rPr>
          <w:rFonts w:ascii="Times New Roman" w:hAnsi="Times New Roman" w:cs="Times New Roman"/>
        </w:rPr>
        <w:t xml:space="preserve"> their </w:t>
      </w:r>
      <w:r w:rsidR="008838F6">
        <w:rPr>
          <w:rFonts w:ascii="Times New Roman" w:hAnsi="Times New Roman" w:cs="Times New Roman"/>
        </w:rPr>
        <w:lastRenderedPageBreak/>
        <w:t>training programs</w:t>
      </w:r>
      <w:r w:rsidR="00161197">
        <w:rPr>
          <w:rFonts w:ascii="Times New Roman" w:hAnsi="Times New Roman" w:cs="Times New Roman"/>
        </w:rPr>
        <w:t xml:space="preserve">, </w:t>
      </w:r>
      <w:r w:rsidR="00C37D0F">
        <w:rPr>
          <w:rFonts w:ascii="Times New Roman" w:hAnsi="Times New Roman" w:cs="Times New Roman"/>
        </w:rPr>
        <w:t xml:space="preserve">however this </w:t>
      </w:r>
      <w:r w:rsidR="008838F6">
        <w:rPr>
          <w:rFonts w:ascii="Times New Roman" w:hAnsi="Times New Roman" w:cs="Times New Roman"/>
        </w:rPr>
        <w:t xml:space="preserve">was </w:t>
      </w:r>
      <w:r w:rsidR="00161197">
        <w:rPr>
          <w:rFonts w:ascii="Times New Roman" w:hAnsi="Times New Roman" w:cs="Times New Roman"/>
        </w:rPr>
        <w:t xml:space="preserve">not shown in </w:t>
      </w:r>
      <w:r w:rsidR="006A5FF9">
        <w:rPr>
          <w:rFonts w:ascii="Times New Roman" w:hAnsi="Times New Roman" w:cs="Times New Roman"/>
        </w:rPr>
        <w:t xml:space="preserve">the </w:t>
      </w:r>
      <w:r w:rsidR="00C37D0F">
        <w:rPr>
          <w:rFonts w:ascii="Times New Roman" w:hAnsi="Times New Roman" w:cs="Times New Roman"/>
        </w:rPr>
        <w:t xml:space="preserve">current study’s </w:t>
      </w:r>
      <w:r w:rsidR="006A5FF9">
        <w:rPr>
          <w:rFonts w:ascii="Times New Roman" w:hAnsi="Times New Roman" w:cs="Times New Roman"/>
        </w:rPr>
        <w:t>PL findings</w:t>
      </w:r>
      <w:r w:rsidR="008838F6">
        <w:rPr>
          <w:rFonts w:ascii="Times New Roman" w:hAnsi="Times New Roman" w:cs="Times New Roman"/>
        </w:rPr>
        <w:t>.</w:t>
      </w:r>
      <w:r w:rsidR="00161197">
        <w:rPr>
          <w:rFonts w:ascii="Times New Roman" w:hAnsi="Times New Roman" w:cs="Times New Roman"/>
        </w:rPr>
        <w:t xml:space="preserve"> The cited reasons for a lack of periodization is an absence of relevant training and education in gymnastics coaches </w:t>
      </w:r>
      <w:r w:rsidR="00161197">
        <w:rPr>
          <w:rFonts w:ascii="Times New Roman" w:hAnsi="Times New Roman" w:cs="Times New Roman"/>
        </w:rPr>
        <w:fldChar w:fldCharType="begin"/>
      </w:r>
      <w:r w:rsidR="00161197">
        <w:rPr>
          <w:rFonts w:ascii="Times New Roman" w:hAnsi="Times New Roman" w:cs="Times New Roman"/>
        </w:rPr>
        <w:instrText xml:space="preserve"> ADDIN ZOTERO_ITEM CSL_CITATION {"citationID":"x5XsVgBx","properties":{"formattedCitation":"(Sands, 2000)","plainCitation":"(Sands, 2000)","noteIndex":0},"citationItems":[{"id":236,"uris":["http://zotero.org/users/6375206/items/2FSBZZRX"],"uri":["http://zotero.org/users/6375206/items/2FSBZZRX"],"itemData":{"id":236,"type":"article-journal","abstract":"The most serious problem faced by contemporary gymnasts is injury. Given that prevention is superior to treatment, can the gymnastics community and the scientific and medical community do a better job at injury prevention? Most research in gymnastics has been descriptive in nature. Injury prevention ultimately requires that one can predict the outcome of certain activities and their injurious nature. Making such predictions requires a knowledge of the scientific and medical aspects of injury, but more than that, one must have an intimate knowledge of the sport. Injury prevention efforts must be firmly grounded in science and medicine while making pragmatic linkages to gymnastics as it exists and is practiced. This article attempts to bridge the gap between the scientific and medical community and what actually happens in gymnastics.","container-title":"Sports Medicine","DOI":"10.2165/00007256-200030050-00004","ISSN":"1179-2035","issue":"5","journalAbbreviation":"Sports Med","language":"en","page":"359-373","source":"Springer Link","title":"Injury Prevention in Women’s Gymnastics","volume":"30","author":[{"family":"Sands","given":"William A."}],"issued":{"date-parts":[["2000",11,1]]}}}],"schema":"https://github.com/citation-style-language/schema/raw/master/csl-citation.json"} </w:instrText>
      </w:r>
      <w:r w:rsidR="00161197">
        <w:rPr>
          <w:rFonts w:ascii="Times New Roman" w:hAnsi="Times New Roman" w:cs="Times New Roman"/>
        </w:rPr>
        <w:fldChar w:fldCharType="separate"/>
      </w:r>
      <w:r w:rsidR="00161197">
        <w:rPr>
          <w:rFonts w:ascii="Times New Roman" w:hAnsi="Times New Roman" w:cs="Times New Roman"/>
          <w:noProof/>
        </w:rPr>
        <w:t>(Sands, 2000)</w:t>
      </w:r>
      <w:r w:rsidR="00161197">
        <w:rPr>
          <w:rFonts w:ascii="Times New Roman" w:hAnsi="Times New Roman" w:cs="Times New Roman"/>
        </w:rPr>
        <w:fldChar w:fldCharType="end"/>
      </w:r>
      <w:r w:rsidR="00161197">
        <w:rPr>
          <w:rFonts w:ascii="Times New Roman" w:hAnsi="Times New Roman" w:cs="Times New Roman"/>
        </w:rPr>
        <w:t xml:space="preserve">. </w:t>
      </w:r>
      <w:r>
        <w:rPr>
          <w:rFonts w:ascii="Times New Roman" w:hAnsi="Times New Roman" w:cs="Times New Roman"/>
        </w:rPr>
        <w:t xml:space="preserve">Previously, it was believed that gymnastics coaches did not have any adaptive load monitoring or injury prevention procedures </w:t>
      </w:r>
      <w:r>
        <w:rPr>
          <w:rFonts w:ascii="Times New Roman" w:hAnsi="Times New Roman" w:cs="Times New Roman"/>
        </w:rPr>
        <w:fldChar w:fldCharType="begin"/>
      </w:r>
      <w:r>
        <w:rPr>
          <w:rFonts w:ascii="Times New Roman" w:hAnsi="Times New Roman" w:cs="Times New Roman"/>
        </w:rPr>
        <w:instrText xml:space="preserve"> ADDIN ZOTERO_ITEM CSL_CITATION {"citationID":"029cZeYV","properties":{"formattedCitation":"(Daly et al., 2001; Lanese et al., 1990)","plainCitation":"(Daly et al., 2001; Lanese et al., 1990)","noteIndex":0},"citationItems":[{"id":121,"uris":["http://zotero.org/users/6375206/items/AZU9LERE"],"uri":["http://zotero.org/users/6375206/items/AZU9LERE"],"itemData":{"id":121,"type":"article-journal","abstract":"Background—To minimise injury risk and maximise gymnastics performance, coaches, parents, and health professionals working with young gymnasts need to understand and practise safe gymnastics. , Aims—To (a) identify the various injury counter measures specific to gymnastics, (b) critically review the literature describing each injury prevention measure, and (c) assess, using available risk factor and injury data, the weight of evidence to support each of these counter measures. Specific recommendations for further research and implementation strategies to prevent injury and improve safety are also given. , Methods—The relevant literature was identified through the use of Medline (1966 to May 1998) and SPORT Discus (1975 to May 1998) searches, hand searching of journals and reference lists, and discussions with key Australian gymnastics organisations. , Results—The key gymnastics injury counter measures identified in this review include coaching (physical preparation, education, spotting, and performance technique), equipment, and the health support system (medical screening, treatment, and rehabilitation). Categorisation of the type of evidence for the effectiveness of each of these counter measures in preventing injury showed that most of it is based on informal opinion/anecdotal evidence, uncontrolled data based studies, and several prospective epidemiological studies. There is no evidence from formally controlled trials or specific evaluation studies of counter measures for gymnastics. , Conclusions—Although gymnastics is a sport associated with young participants and frequent high volume, high impact training, there is a paucity of information on injury risk factors and the effectiveness of injury practices. Further controlled trials are needed to examine the extent to which injury prevention counter measures can prevent or reduce the occurrence of injury and re-injury. Particular attention should be devoted to improving training facilities, the design and testing of apparatus and personal equipment used by gymnasts, and coaching and the role of spotting in preventing injury. , Key Words: gymnastics; injury prevention; counter measures; effectiveness; coaching; equipment","container-title":"British Journal of Sports Medicine","DOI":"10.1136/bjsm.35.1.8","ISSN":"0306-3674","issue":"1","journalAbbreviation":"Br J Sports Med","note":"PMID: 11157456\nPMCID: PMC1724280","page":"8-19","source":"PubMed Central","title":"Balancing the risk of injury to gymnasts: how effective are the counter measures?","title-short":"Balancing the risk of injury to gymnasts","volume":"35","author":[{"family":"Daly","given":"R"},{"family":"Bass","given":"S"},{"family":"Finch","given":"C"}],"issued":{"date-parts":[["2001",2]]}}},{"id":143,"uris":["http://zotero.org/users/6375206/items/8YCL958E"],"uri":["http://zotero.org/users/6375206/items/8YCL958E"],"itemData":{"id":143,"type":"article-journal","abstract":"Eight matched men's and women's intercollegiate varsity teams were studied prospectively for one academic year to determine the incidence of athletic injury and resulting disability. Sports in which both men and women participated in a comparable manner were chosen: basketball, fencing, gymnastics, swimming, tennis, indoor track, outdoor track, and volleyball. Men (232) and women (150) were injured at comparable rates, 42 percent versus 39 percent. When adjusted for exposure time, seven of the eight sports continued to show similar injury rates. Women gymnasts, however, experienced .82 injuries per 100 person-hours or exposure as compared to .21 injuries for the men (p = .0001). Disability was greater in women gymnasts, 7.44 days per 100 person-hours versus 1.15 days for men (p = .0004). Percent of season lost to injury was also greater for women gymnasts. Types and sites of injury were similar for men and women, with sprains and strains accounting for over half of all injuries. We found no evidence for gender differences in matched sports except for gymnastics, in which technically diverse events may have accounted for the differences observed. ABSTRACT FROM AUTHOR","container-title":"American Journal of Public Health","ISSN":"00900036","issue":"12","journalAbbreviation":"American Journal of Public Health","page":"1459-1462","source":"EBSCOhost","title":"Injury and Disability in Matched Men's and Women's Intercollegiate Sports","volume":"80","author":[{"family":"Lanese","given":"Richard R."},{"family":"Strauss","given":"Richard H."},{"family":"Leizman","given":"Daniel J."},{"family":"Rotondi","given":"Marie"}],"issued":{"date-parts":[["1990",12]]}}}],"schema":"https://github.com/citation-style-language/schema/raw/master/csl-citation.json"}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(Daly et al., 2001; Lanese et al., 1990)</w:t>
      </w:r>
      <w:r>
        <w:rPr>
          <w:rFonts w:ascii="Times New Roman" w:hAnsi="Times New Roman" w:cs="Times New Roman"/>
        </w:rPr>
        <w:fldChar w:fldCharType="end"/>
      </w:r>
      <w:r>
        <w:rPr>
          <w:rFonts w:ascii="Times New Roman" w:hAnsi="Times New Roman" w:cs="Times New Roman"/>
        </w:rPr>
        <w:t xml:space="preserve">. </w:t>
      </w:r>
      <w:r w:rsidR="004E60A0">
        <w:rPr>
          <w:rFonts w:ascii="Times New Roman" w:hAnsi="Times New Roman" w:cs="Times New Roman"/>
        </w:rPr>
        <w:t xml:space="preserve">There could have been an increase in coaches with relevant training and/or degrees, or the coaches of the present study could have such experience. </w:t>
      </w:r>
      <w:r>
        <w:rPr>
          <w:rFonts w:ascii="Times New Roman" w:hAnsi="Times New Roman" w:cs="Times New Roman"/>
        </w:rPr>
        <w:t xml:space="preserve">The lack of a similar pattern in the internal load measures </w:t>
      </w:r>
      <w:r w:rsidR="008A4241">
        <w:rPr>
          <w:rFonts w:ascii="Times New Roman" w:hAnsi="Times New Roman" w:cs="Times New Roman"/>
        </w:rPr>
        <w:t xml:space="preserve">was an interesting finding and </w:t>
      </w:r>
      <w:r>
        <w:rPr>
          <w:rFonts w:ascii="Times New Roman" w:hAnsi="Times New Roman" w:cs="Times New Roman"/>
        </w:rPr>
        <w:t xml:space="preserve">may be a result of </w:t>
      </w:r>
      <w:r w:rsidR="003A7814">
        <w:rPr>
          <w:rFonts w:ascii="Times New Roman" w:hAnsi="Times New Roman" w:cs="Times New Roman"/>
        </w:rPr>
        <w:t xml:space="preserve">the </w:t>
      </w:r>
      <w:r w:rsidR="008A4241">
        <w:rPr>
          <w:rFonts w:ascii="Times New Roman" w:hAnsi="Times New Roman" w:cs="Times New Roman"/>
        </w:rPr>
        <w:t xml:space="preserve">physical, </w:t>
      </w:r>
      <w:r w:rsidR="003A7814">
        <w:rPr>
          <w:rFonts w:ascii="Times New Roman" w:hAnsi="Times New Roman" w:cs="Times New Roman"/>
        </w:rPr>
        <w:t>mental</w:t>
      </w:r>
      <w:r w:rsidR="008A4241">
        <w:rPr>
          <w:rFonts w:ascii="Times New Roman" w:hAnsi="Times New Roman" w:cs="Times New Roman"/>
        </w:rPr>
        <w:t>,</w:t>
      </w:r>
      <w:r w:rsidR="003A7814">
        <w:rPr>
          <w:rFonts w:ascii="Times New Roman" w:hAnsi="Times New Roman" w:cs="Times New Roman"/>
        </w:rPr>
        <w:t xml:space="preserve"> and emotional intensity of gymnastics </w:t>
      </w:r>
      <w:r w:rsidR="008A4241">
        <w:rPr>
          <w:rFonts w:ascii="Times New Roman" w:hAnsi="Times New Roman" w:cs="Times New Roman"/>
        </w:rPr>
        <w:t xml:space="preserve">(high volume of work, injury risk awareness, being judged, aesthetic pressure, </w:t>
      </w:r>
      <w:r w:rsidR="00C37D0F">
        <w:rPr>
          <w:rFonts w:ascii="Times New Roman" w:hAnsi="Times New Roman" w:cs="Times New Roman"/>
        </w:rPr>
        <w:t>etc.</w:t>
      </w:r>
      <w:r w:rsidR="008A4241">
        <w:rPr>
          <w:rFonts w:ascii="Times New Roman" w:hAnsi="Times New Roman" w:cs="Times New Roman"/>
        </w:rPr>
        <w:t>)</w:t>
      </w:r>
      <w:r>
        <w:rPr>
          <w:rFonts w:ascii="Times New Roman" w:hAnsi="Times New Roman" w:cs="Times New Roman"/>
        </w:rPr>
        <w:t xml:space="preserve"> and other factors outside of gymnastics, as various stressors</w:t>
      </w:r>
      <w:r w:rsidR="006A5FF9">
        <w:rPr>
          <w:rFonts w:ascii="Times New Roman" w:hAnsi="Times New Roman" w:cs="Times New Roman"/>
        </w:rPr>
        <w:t xml:space="preserve"> such as academics, campus social life, </w:t>
      </w:r>
      <w:r w:rsidR="008A4241">
        <w:rPr>
          <w:rFonts w:ascii="Times New Roman" w:hAnsi="Times New Roman" w:cs="Times New Roman"/>
        </w:rPr>
        <w:t xml:space="preserve">and </w:t>
      </w:r>
      <w:r w:rsidR="006A5FF9">
        <w:rPr>
          <w:rFonts w:ascii="Times New Roman" w:hAnsi="Times New Roman" w:cs="Times New Roman"/>
        </w:rPr>
        <w:t>family life,</w:t>
      </w:r>
      <w:r>
        <w:rPr>
          <w:rFonts w:ascii="Times New Roman" w:hAnsi="Times New Roman" w:cs="Times New Roman"/>
        </w:rPr>
        <w:t xml:space="preserve"> </w:t>
      </w:r>
      <w:r w:rsidR="008A4241">
        <w:rPr>
          <w:rFonts w:ascii="Times New Roman" w:hAnsi="Times New Roman" w:cs="Times New Roman"/>
        </w:rPr>
        <w:t xml:space="preserve">have been shown to strongly </w:t>
      </w:r>
      <w:r>
        <w:rPr>
          <w:rFonts w:ascii="Times New Roman" w:hAnsi="Times New Roman" w:cs="Times New Roman"/>
        </w:rPr>
        <w:t>contribute to recovery and stress scores</w:t>
      </w:r>
      <w:r w:rsidR="003A7814">
        <w:rPr>
          <w:rFonts w:ascii="Times New Roman" w:hAnsi="Times New Roman" w:cs="Times New Roman"/>
        </w:rPr>
        <w:t xml:space="preserve"> </w:t>
      </w:r>
      <w:r w:rsidR="003A7814">
        <w:rPr>
          <w:rFonts w:ascii="Times New Roman" w:hAnsi="Times New Roman" w:cs="Times New Roman"/>
        </w:rPr>
        <w:fldChar w:fldCharType="begin"/>
      </w:r>
      <w:r w:rsidR="005F0B4C">
        <w:rPr>
          <w:rFonts w:ascii="Times New Roman" w:hAnsi="Times New Roman" w:cs="Times New Roman"/>
        </w:rPr>
        <w:instrText xml:space="preserve"> ADDIN ZOTERO_ITEM CSL_CITATION {"citationID":"Lv5JyTDE","properties":{"formattedCitation":"(Cavallerio et al., 2016; Hwang &amp; Choi, 2016; Marcora et al., 2009)","plainCitation":"(Cavallerio et al., 2016; Hwang &amp; Choi, 2016; Marcora et al., 2009)","noteIndex":0},"citationItems":[{"id":129,"uris":["http://zotero.org/users/6375206/items/UJVLIH5Z"],"uri":["http://zotero.org/users/6375206/items/UJVLIH5Z"],"itemData":{"id":129,"type":"article-journal","abstract":"Objectives: This study aimed to gain an in-depth understanding of overuse injuries in rhythmic gymnastics from a psychosocial perspective. More speciﬁcally, it examined how sport culture impacts overuse injuries. Design: To develop an understanding of the culture of rhythmic gymnastics and gymnasts’ behaviour within the context of this culture, ethnography was the chosen method and written product of this research.\nMethod: A 12-month ethnography was conducted in an elite rhythmic gymnastics club in Italy, with 43 participants, consisting of 16 gymnasts, three female coaches, one physiotherapist, 22 parents, and the club’s president. Eight qualitative methods of data collection were used to provide rigor and depth. Following data transcription, a thematic analysis was conducted to identify the emergent themes. Findings are presented using ethnographic creative nonﬁction for ethical, theoretical and practical reasons.\nResults: Two stories were created portraying the same training session through the eyes of a gymnast and her coach. The stories reﬂect the differences in the interpretation of the same situations and the cultural norms, values and behaviours that inﬂuenced the occurrence and experience of overuse injuries.\nConclusions: This study extends research on overuse injuries in three ways: (a) it honours athletes as social agents by exploring the intersection between psychology and sociology, (b) it uses a rigorous methodology to elicit a more in-depth understanding of overuse injuries, and (c) it adopts an innovative form of representation to increase the accessibility of the ﬁndings to non-academic audiences.","container-title":"Psychology of Sport and Exercise","DOI":"10.1016/j.psychsport.2016.05.002","ISSN":"14690292","journalAbbreviation":"Psychology of Sport and Exercise","language":"en","page":"100-109","source":"DOI.org (Crossref)","title":"Understanding overuse injuries in rhythmic gymnastics: A 12-month ethnographic study","title-short":"Understanding overuse injuries in rhythmic gymnastics","volume":"25","author":[{"family":"Cavallerio","given":"Francesca"},{"family":"Wadey","given":"Ross"},{"family":"Wagstaff","given":"Christopher R.D."}],"issued":{"date-parts":[["2016",7]]}}},{"id":139,"uris":["http://zotero.org/users/6375206/items/EM95GFPP"],"uri":["http://zotero.org/users/6375206/items/EM95GFPP"],"itemData":{"id":139,"type":"article-journal","abstract":"Collegiate student athletes face psychological stressors in adjusting to campus life. This study used preexisting, nationally representative data administered by the National Collegiate Athletic Association for student athletes in 2010 to explore the conjunctive relationships among demographics, personal characteristics, social contexts, and physical condition in predicting perceived stress. The number of valid samples was 19,967 from 609 member institutions. A data mining methodology (i.e., SEARCH) was applied to model the distribution of the perceived stress. Results showed that significant stressors included the variables related to academics, physical well-being, and social contexts. Academic anxiety was the most important predictor, and its interactions with abusive coaching behavior and an inclusive team environment were shown to reduce perceived stress. Sufficient sleep was also found as a moderator in the positive relationship between perceived stress and academic anxiety.","container-title":"Psychological Reports","DOI":"10.1177/0033294116674776","ISSN":"0033-2941","issue":"3","journalAbbreviation":"Psychol Rep","language":"en","note":"publisher: SAGE Publications Inc","page":"787-803","source":"SAGE Journals","title":"Data Mining in the Exploration of Stressors Among NCAA Student Athletes","volume":"119","author":[{"family":"Hwang","given":"Seunghyun"},{"family":"Choi","given":"Youngjun"}],"issued":{"date-parts":[["2016",12,1]]}}},{"id":173,"uris":["http://zotero.org/users/6375206/items/CRGWLK7I"],"uri":["http://zotero.org/users/6375206/items/CRGWLK7I"],"itemData":{"id":173,"type":"article-journal","abstract":"Mental fatigue is a psychobiological state caused by prolonged periods of demanding cognitive activity. Although the impact of mental fatigue on cognitive and skilled performance is well known, its effect on physical performance has not been thoroughly investigated. In this randomized crossover study, 16 subjects cycled to exhaustion at 80% of their peak power output after 90 min of a demanding cognitive task (mental fatigue) or 90 min of watching emotionally neutral documentaries (control). After experimental treatment, a mood questionnaire revealed a state of mental fatigue (P = 0.005) that significantly reduced time to exhaustion (640 ± 316 s) compared with the control condition (754 ± 339 s) (P = 0.003). This negative effect was not mediated by cardiorespiratory and musculoenergetic factors as physiological responses to intense exercise remained largely unaffected. Self-reported success and intrinsic motivation related to the physical task were also unaffected by prior cognitive activity. However, mentally fatigued subjects rated perception of effort during exercise to be significantly higher compared with the control condition (P = 0.007). As ratings of perceived exertion increased similarly over time in both conditions (P &lt; 0.001), mentally fatigued subjects reached their maximal level of perceived exertion and disengaged from the physical task earlier than in the control condition. In conclusion, our study provides experimental evidence that mental fatigue limits exercise tolerance in humans through higher perception of effort rather than cardiorespiratory and musculoenergetic mechanisms. Future research in this area should investigate the common neurocognitive resources shared by physical and mental activity.","container-title":"Journal of Applied Physiology","DOI":"10.1152/japplphysiol.91324.2008","ISSN":"8750-7587","issue":"3","note":"publisher: American Physiological Society","page":"857-864","source":"journals-physiology-org.ezproxy.lib.ou.edu (Atypon)","title":"Mental fatigue impairs physical performance in humans","volume":"106","author":[{"family":"Marcora","given":"Samuele M."},{"family":"Staiano","given":"Walter"},{"family":"Manning","given":"Victoria"}],"issued":{"date-parts":[["2009",3,1]]}}}],"schema":"https://github.com/citation-style-language/schema/raw/master/csl-citation.json"} </w:instrText>
      </w:r>
      <w:r w:rsidR="003A7814">
        <w:rPr>
          <w:rFonts w:ascii="Times New Roman" w:hAnsi="Times New Roman" w:cs="Times New Roman"/>
        </w:rPr>
        <w:fldChar w:fldCharType="separate"/>
      </w:r>
      <w:r w:rsidR="005F0B4C">
        <w:rPr>
          <w:rFonts w:ascii="Times New Roman" w:hAnsi="Times New Roman" w:cs="Times New Roman"/>
          <w:noProof/>
        </w:rPr>
        <w:t>(Cavallerio et al., 2016; Hwang &amp; Choi, 2016; Marcora et al., 2009)</w:t>
      </w:r>
      <w:r w:rsidR="003A7814">
        <w:rPr>
          <w:rFonts w:ascii="Times New Roman" w:hAnsi="Times New Roman" w:cs="Times New Roman"/>
        </w:rPr>
        <w:fldChar w:fldCharType="end"/>
      </w:r>
      <w:r>
        <w:rPr>
          <w:rFonts w:ascii="Times New Roman" w:hAnsi="Times New Roman" w:cs="Times New Roman"/>
        </w:rPr>
        <w:t xml:space="preserve">. </w:t>
      </w:r>
    </w:p>
    <w:p w14:paraId="4A97DD18" w14:textId="5A46A210" w:rsidR="0065584C" w:rsidRDefault="0065584C" w:rsidP="0065584C">
      <w:pPr>
        <w:spacing w:line="480" w:lineRule="auto"/>
        <w:rPr>
          <w:rFonts w:ascii="Times New Roman" w:hAnsi="Times New Roman" w:cs="Times New Roman"/>
        </w:rPr>
      </w:pPr>
      <w:r>
        <w:rPr>
          <w:rFonts w:ascii="Times New Roman" w:hAnsi="Times New Roman" w:cs="Times New Roman"/>
        </w:rPr>
        <w:tab/>
        <w:t>The external load and internal load data showed no correlations. Previous studies have shown correlations between internal and external load measures</w:t>
      </w:r>
      <w:r w:rsidR="00B90850">
        <w:rPr>
          <w:rFonts w:ascii="Times New Roman" w:hAnsi="Times New Roman" w:cs="Times New Roman"/>
        </w:rPr>
        <w:t xml:space="preserve"> in </w:t>
      </w:r>
      <w:r w:rsidR="008F588A">
        <w:rPr>
          <w:rFonts w:ascii="Times New Roman" w:hAnsi="Times New Roman" w:cs="Times New Roman"/>
        </w:rPr>
        <w:t>collegiate male basketball players, elite female swimmers,</w:t>
      </w:r>
      <w:r>
        <w:rPr>
          <w:rFonts w:ascii="Times New Roman" w:hAnsi="Times New Roman" w:cs="Times New Roman"/>
        </w:rPr>
        <w:t xml:space="preserve"> </w:t>
      </w:r>
      <w:r w:rsidR="008F588A">
        <w:rPr>
          <w:rFonts w:ascii="Times New Roman" w:hAnsi="Times New Roman" w:cs="Times New Roman"/>
        </w:rPr>
        <w:t xml:space="preserve">and elite female soccer players </w:t>
      </w:r>
      <w:r>
        <w:rPr>
          <w:rFonts w:ascii="Times New Roman" w:hAnsi="Times New Roman" w:cs="Times New Roman"/>
        </w:rPr>
        <w:fldChar w:fldCharType="begin"/>
      </w:r>
      <w:r w:rsidR="001D6CFC">
        <w:rPr>
          <w:rFonts w:ascii="Times New Roman" w:hAnsi="Times New Roman" w:cs="Times New Roman"/>
        </w:rPr>
        <w:instrText xml:space="preserve"> ADDIN ZOTERO_ITEM CSL_CITATION {"citationID":"FNbuXnkE","properties":{"formattedCitation":"(Alexiou &amp; Coutts, 2008; Collette et al., 2018; Heishman et al., 2018; Raeder et al., 2016)","plainCitation":"(Alexiou &amp; Coutts, 2008; Collette et al., 2018; Heishman et al., 2018; Raeder et al., 2016)","noteIndex":0},"citationItems":[{"id":176,"uris":["http://zotero.org/users/6375206/items/7RQTETCF"],"uri":["http://zotero.org/users/6375206/items/7RQTETCF"],"itemData":{"id":176,"type":"article-journal","abstract":"Purpose:\n              The purpose of this study was to compare the session-RPE method for quantifying internal training load (TL) with various HR-based TL quantification methods in a variety of training modes with women soccer players.\n            \n            \n              Methods:\n              \n                Fifteen elite women soccer players took part in the study (age: 19.3 ± 2.0 y and V\n                O2max\n                : 50.8 ± 2.7 mL·kg\n                −1\n                ·min\n                −1\n                ). Session-RPE, heart rate, and duration were recorded for 735 individual training sessions and matches over a period of 16 wk. Correlation analysis was used to compare session-RPE TLs with three commonly used HR-based methods for assessing TL.\n              \n            \n            \n              Results:\n              \n                The mean correlation for session-RPE TL with Banister’s TRIMP, LT\n                zone\n                TL and Edwards’s TL were (\n                r\n                = 0.84, 0.83, and 0.85, all\n                P\n                &lt; .01, respectively). Correlations for session-RPE TL and three HR-based methods separated by session type were all significant (all\n                P\n                &lt; .05). The strongest correlations were reported for technical (\n                r\n                = 0.68 to 0.82), conditioning (\n                r\n                = 0.60 to 0.79), and speed sessions (\n                r\n                = 0.61 to 0.79).\n              \n            \n            \n              Conclusion:\n              The session-RPE TL showed a significant correlation with all training types common to soccer. Higher correlations were found with less intermittent, aerobic-based training sessions and suggest that HR-based TLs relate better to session-RPE TLs in less intermittent training activities. These results support previous findings showing that the session-RPE TL compares favorably with HR-based methods for quantifying internal TL in a variety of soccer training activities.","container-title":"International Journal of Sports Physiology and Performance","DOI":"10.1123/ijspp.3.3.320","ISSN":"1555-0265, 1555-0273","issue":"3","language":"en","page":"320-330","source":"DOI.org (Crossref)","title":"A Comparison of Methods Used for Quantifying Internal Training Load in Women Soccer Players","volume":"3","author":[{"family":"Alexiou","given":"Helen"},{"family":"Coutts","given":"Aaron J."}],"issued":{"date-parts":[["2008",9]]}}},{"id":227,"uris":["http://zotero.org/users/6375206/items/GNMF2D7G"],"uri":["http://zotero.org/users/6375206/items/GNMF2D7G"],"itemData":{"id":227,"type":"article-journal","abstract":"The aim of this study was to analyze the individual time-delayed linear effect relationship between training load and recovery-stress state with single case time series methods. Session-RPE (sRPE) and Acute:Chronic-Workload-Ratio (ACWR) were used to compare different methods for quantifying the internal training load with regard to their interrelationship with the recovery-stress state. Internal load and recovery-stress state of five highly-trained female swimmers (training frequency 13.6 ± 0.8 sessions per week) were daily documented over 17 weeks. Two different types of sRPE were applied: RPE*duration (sRPEh) and RPE*volume (sRPEkm). Subsequently, we calculated the ratios ACWRh and ACWRkm (sRPE last-week: 4-week exponentially-weighted-moving-average). The recovery-stress state was measured by using the Acute Recovery and Stress Scale (ARSS), consisting of eight scales, [recovery: Physical-Performance-Capability (PPC), Mental-Performance-Capability (MPC), Emotional-Balance (EB), Overall-Recovery (OR), stress: Muscular-Stress (MS), Lack-of-Activation (LA), Negative-Emotional-State (NES), Overall-Stress (OS)]. To examine the relation between training load and recovery-stress state a cross correlation (Rcc) was conducted. A large variation of training load can be observed in the individual week-to-week fluctuations. Rcc individually reaches values above 0.3, especially with sRPEkm as lead variable. Overall, there is a large range with significant differences between the recovery and stress dimensions of the ARSS and between the training load methods, with sRPEkm having the largest span of R = 1.16. High inter-individual differences between the athletes lie in strength and direction of the correlation |0.66| ≤ Rcc ≥ |-0.50|. The time delayed effects (lags 0-7) are highly individual, however, clear patterns can be observed. The ARSS, especially PPC, OR, MS and OS, is a suitable tool for monitoring the acute recovery-stress state in swimmers. MPC, EB, LA and NES are less affected by training induced changes. Comparably high Rcc and Ranges result from the internal load methods, whereby sRPE, especially sRPEkm, shows a stronger relation to recovery-stress state than ACWR. Based on these results and the individual differences in terms of time delay in training response, we recommend for swimming to use session RPE to monitor the internal training load and to use the ARSS, with a focus at the physical and overall-scales, to monitor the recovery-stress state.","container-title":"Frontiers in Physiology","DOI":"10.3389/fphys.2018.00845","ISSN":"1664-042X","journalAbbreviation":"Front. Physiol.","language":"English","note":"publisher: Frontiers","source":"Frontiers","title":"Relation Between Training Load and Recovery-Stress State in High-Performance Swimming","URL":"https://www.frontiersin.org/articles/10.3389/fphys.2018.00845/full","volume":"9","author":[{"family":"Collette","given":"Robert"},{"family":"Kellmann","given":"Michael"},{"family":"Ferrauti","given":"Alexander"},{"family":"Meyer","given":"Tim"},{"family":"Pfeiffer","given":"Mark"}],"accessed":{"date-parts":[["2021",2,9]]},"issued":{"date-parts":[["2018"]]}}},{"id":6,"uris":["http://zotero.org/users/6375206/items/ESK264I8"],"uri":["http://zotero.org/users/6375206/items/ESK264I8"],"itemData":{"id":6,"type":"article-journal","language":"en","page":"8","source":"Zotero","title":"Noninvasive Assessment of Internal and External Player Load: Implications for Optimizing Athletic Performance","author":[{"family":"Heishman","given":"Aaron D"},{"family":"Curtis","given":"Michael A"},{"family":"Saliba","given":"Ethan"},{"family":"Hornett","given":"Robert J"},{"family":"Malin","given":"Steven K"},{"family":"Weltman","given":"Arthur L"}],"issued":{"date-parts":[["2018"]]}}},{"id":4,"uris":["http://zotero.org/users/6375206/items/KKZVJ58M"],"uri":["http://zotero.org/users/6375206/items/KKZVJ58M"],"itemData":{"id":4,"type":"article-journal","container-title":"Journal of Strength and Conditioning Research","DOI":"10.1519/JSC.0000000000001427","ISSN":"1064-8011","issue":"12","journalAbbreviation":"Journal of Strength and Conditioning Research","language":"en","page":"3412-3427","source":"DOI.org (Crossref)","title":"Assessment of Fatigue and Recovery in Male and Female Athletes After 6 Days of Intensified Strength Training:","title-short":"Assessment of Fatigue and Recovery in Male and Female Athletes After 6 Days of Intensified Strength Training","volume":"30","author":[{"family":"Raeder","given":"Christian"},{"family":"Wiewelhove","given":"Thimo"},{"family":"Simola","given":"Rauno Álvaro De Paula"},{"family":"Kellmann","given":"Michael"},{"family":"Meyer","given":"Tim"},{"family":"Pfeiffer","given":"Mark"},{"family":"Ferrauti","given":"Alexander"}],"issued":{"date-parts":[["2016",12]]}}}],"schema":"https://github.com/citation-style-language/schema/raw/master/csl-citation.json"} </w:instrText>
      </w:r>
      <w:r>
        <w:rPr>
          <w:rFonts w:ascii="Times New Roman" w:hAnsi="Times New Roman" w:cs="Times New Roman"/>
        </w:rPr>
        <w:fldChar w:fldCharType="separate"/>
      </w:r>
      <w:r w:rsidR="001D6CFC">
        <w:rPr>
          <w:rFonts w:ascii="Times New Roman" w:hAnsi="Times New Roman" w:cs="Times New Roman"/>
          <w:noProof/>
        </w:rPr>
        <w:t>(Alexiou &amp; Coutts, 2008; Collette et al., 2018; Heishman et al., 2018; Raeder et al., 2016)</w:t>
      </w:r>
      <w:r>
        <w:rPr>
          <w:rFonts w:ascii="Times New Roman" w:hAnsi="Times New Roman" w:cs="Times New Roman"/>
        </w:rPr>
        <w:fldChar w:fldCharType="end"/>
      </w:r>
      <w:r>
        <w:rPr>
          <w:rFonts w:ascii="Times New Roman" w:hAnsi="Times New Roman" w:cs="Times New Roman"/>
        </w:rPr>
        <w:t xml:space="preserve">. </w:t>
      </w:r>
      <w:proofErr w:type="spellStart"/>
      <w:r w:rsidR="00B90850">
        <w:rPr>
          <w:rFonts w:ascii="Times New Roman" w:hAnsi="Times New Roman" w:cs="Times New Roman"/>
        </w:rPr>
        <w:t>Debien</w:t>
      </w:r>
      <w:proofErr w:type="spellEnd"/>
      <w:r w:rsidR="00B90850">
        <w:rPr>
          <w:rFonts w:ascii="Times New Roman" w:hAnsi="Times New Roman" w:cs="Times New Roman"/>
        </w:rPr>
        <w:t xml:space="preserve"> et al. </w:t>
      </w:r>
      <w:r w:rsidR="008A4241">
        <w:rPr>
          <w:rFonts w:ascii="Times New Roman" w:hAnsi="Times New Roman" w:cs="Times New Roman"/>
        </w:rPr>
        <w:t xml:space="preserve">(2020) </w:t>
      </w:r>
      <w:r w:rsidR="00B90850">
        <w:rPr>
          <w:rFonts w:ascii="Times New Roman" w:hAnsi="Times New Roman" w:cs="Times New Roman"/>
        </w:rPr>
        <w:t>found a negative correlation between recovery (measured with TQR) and training load (measured with RPE) in gymnasts</w:t>
      </w:r>
      <w:r w:rsidR="00553906">
        <w:rPr>
          <w:rFonts w:ascii="Times New Roman" w:hAnsi="Times New Roman" w:cs="Times New Roman"/>
        </w:rPr>
        <w:t xml:space="preserve"> (r = -0.32, p &lt; 0.001)</w:t>
      </w:r>
      <w:r w:rsidR="00B90850">
        <w:rPr>
          <w:rFonts w:ascii="Times New Roman" w:hAnsi="Times New Roman" w:cs="Times New Roman"/>
        </w:rPr>
        <w:t xml:space="preserve">. </w:t>
      </w:r>
      <w:r w:rsidR="008A4241">
        <w:rPr>
          <w:rFonts w:ascii="Times New Roman" w:hAnsi="Times New Roman" w:cs="Times New Roman"/>
        </w:rPr>
        <w:t>Others have</w:t>
      </w:r>
      <w:r>
        <w:rPr>
          <w:rFonts w:ascii="Times New Roman" w:hAnsi="Times New Roman" w:cs="Times New Roman"/>
        </w:rPr>
        <w:t xml:space="preserve"> pointed to </w:t>
      </w:r>
      <w:r w:rsidR="00842318">
        <w:rPr>
          <w:rFonts w:ascii="Times New Roman" w:hAnsi="Times New Roman" w:cs="Times New Roman"/>
        </w:rPr>
        <w:t>inaccuracies in generalizations of</w:t>
      </w:r>
      <w:r>
        <w:rPr>
          <w:rFonts w:ascii="Times New Roman" w:hAnsi="Times New Roman" w:cs="Times New Roman"/>
        </w:rPr>
        <w:t xml:space="preserve"> a simple correlation between internal and external load as a result of the many intricacies of each </w:t>
      </w:r>
      <w:r>
        <w:rPr>
          <w:rFonts w:ascii="Times New Roman" w:hAnsi="Times New Roman" w:cs="Times New Roman"/>
        </w:rPr>
        <w:fldChar w:fldCharType="begin"/>
      </w:r>
      <w:r>
        <w:rPr>
          <w:rFonts w:ascii="Times New Roman" w:hAnsi="Times New Roman" w:cs="Times New Roman"/>
        </w:rPr>
        <w:instrText xml:space="preserve"> ADDIN ZOTERO_ITEM CSL_CITATION {"citationID":"seyP5C6H","properties":{"formattedCitation":"(Collette et al., 2018)","plainCitation":"(Collette et al., 2018)","noteIndex":0},"citationItems":[{"id":227,"uris":["http://zotero.org/users/6375206/items/GNMF2D7G"],"uri":["http://zotero.org/users/6375206/items/GNMF2D7G"],"itemData":{"id":227,"type":"article-journal","abstract":"The aim of this study was to analyze the individual time-delayed linear effect relationship between training load and recovery-stress state with single case time series methods. Session-RPE (sRPE) and Acute:Chronic-Workload-Ratio (ACWR) were used to compare different methods for quantifying the internal training load with regard to their interrelationship with the recovery-stress state. Internal load and recovery-stress state of five highly-trained female swimmers (training frequency 13.6 ± 0.8 sessions per week) were daily documented over 17 weeks. Two different types of sRPE were applied: RPE*duration (sRPEh) and RPE*volume (sRPEkm). Subsequently, we calculated the ratios ACWRh and ACWRkm (sRPE last-week: 4-week exponentially-weighted-moving-average). The recovery-stress state was measured by using the Acute Recovery and Stress Scale (ARSS), consisting of eight scales, [recovery: Physical-Performance-Capability (PPC), Mental-Performance-Capability (MPC), Emotional-Balance (EB), Overall-Recovery (OR), stress: Muscular-Stress (MS), Lack-of-Activation (LA), Negative-Emotional-State (NES), Overall-Stress (OS)]. To examine the relation between training load and recovery-stress state a cross correlation (Rcc) was conducted. A large variation of training load can be observed in the individual week-to-week fluctuations. Rcc individually reaches values above 0.3, especially with sRPEkm as lead variable. Overall, there is a large range with significant differences between the recovery and stress dimensions of the ARSS and between the training load methods, with sRPEkm having the largest span of R = 1.16. High inter-individual differences between the athletes lie in strength and direction of the correlation |0.66| ≤ Rcc ≥ |-0.50|. The time delayed effects (lags 0-7) are highly individual, however, clear patterns can be observed. The ARSS, especially PPC, OR, MS and OS, is a suitable tool for monitoring the acute recovery-stress state in swimmers. MPC, EB, LA and NES are less affected by training induced changes. Comparably high Rcc and Ranges result from the internal load methods, whereby sRPE, especially sRPEkm, shows a stronger relation to recovery-stress state than ACWR. Based on these results and the individual differences in terms of time delay in training response, we recommend for swimming to use session RPE to monitor the internal training load and to use the ARSS, with a focus at the physical and overall-scales, to monitor the recovery-stress state.","container-title":"Frontiers in Physiology","DOI":"10.3389/fphys.2018.00845","ISSN":"1664-042X","journalAbbreviation":"Front. Physiol.","language":"English","note":"publisher: Frontiers","source":"Frontiers","title":"Relation Between Training Load and Recovery-Stress State in High-Performance Swimming","URL":"https://www.frontiersin.org/articles/10.3389/fphys.2018.00845/full","volume":"9","author":[{"family":"Collette","given":"Robert"},{"family":"Kellmann","given":"Michael"},{"family":"Ferrauti","given":"Alexander"},{"family":"Meyer","given":"Tim"},{"family":"Pfeiffer","given":"Mark"}],"accessed":{"date-parts":[["2021",2,9]]},"issued":{"date-parts":[["2018"]]}}}],"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(Collette et al., 2018)</w:t>
      </w:r>
      <w:r>
        <w:rPr>
          <w:rFonts w:ascii="Times New Roman" w:hAnsi="Times New Roman" w:cs="Times New Roman"/>
        </w:rPr>
        <w:fldChar w:fldCharType="end"/>
      </w:r>
      <w:r>
        <w:rPr>
          <w:rFonts w:ascii="Times New Roman" w:hAnsi="Times New Roman" w:cs="Times New Roman"/>
        </w:rPr>
        <w:t xml:space="preserve">. Saw et al. </w:t>
      </w:r>
      <w:r w:rsidR="008A4241">
        <w:rPr>
          <w:rFonts w:ascii="Times New Roman" w:hAnsi="Times New Roman" w:cs="Times New Roman"/>
        </w:rPr>
        <w:t xml:space="preserve">(2016) </w:t>
      </w:r>
      <w:r>
        <w:rPr>
          <w:rFonts w:ascii="Times New Roman" w:hAnsi="Times New Roman" w:cs="Times New Roman"/>
        </w:rPr>
        <w:t>showed in a systematic review that subjective measures may demonstrate well-being better than objective measures. Some studies have also pointed to a time effect between training load and internal load</w:t>
      </w:r>
      <w:r w:rsidR="008D3FDB">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ZOTERO_ITEM CSL_CITATION {"citationID":"9wnMINpn","properties":{"formattedCitation":"(Collette et al., 2018)","plainCitation":"(Collette et al., 2018)","noteIndex":0},"citationItems":[{"id":227,"uris":["http://zotero.org/users/6375206/items/GNMF2D7G"],"uri":["http://zotero.org/users/6375206/items/GNMF2D7G"],"itemData":{"id":227,"type":"article-journal","abstract":"The aim of this study was to analyze the individual time-delayed linear effect relationship between training load and recovery-stress state with single case time series methods. Session-RPE (sRPE) and Acute:Chronic-Workload-Ratio (ACWR) were used to compare different methods for quantifying the internal training load with regard to their interrelationship with the recovery-stress state. Internal load and recovery-stress state of five highly-trained female swimmers (training frequency 13.6 ± 0.8 sessions per week) were daily documented over 17 weeks. Two different types of sRPE were applied: RPE*duration (sRPEh) and RPE*volume (sRPEkm). Subsequently, we calculated the ratios ACWRh and ACWRkm (sRPE last-week: 4-week exponentially-weighted-moving-average). The recovery-stress state was measured by using the Acute Recovery and Stress Scale (ARSS), consisting of eight scales, [recovery: Physical-Performance-Capability (PPC), Mental-Performance-Capability (MPC), Emotional-Balance (EB), Overall-Recovery (OR), stress: Muscular-Stress (MS), Lack-of-Activation (LA), Negative-Emotional-State (NES), Overall-Stress (OS)]. To examine the relation between training load and recovery-stress state a cross correlation (Rcc) was conducted. A large variation of training load can be observed in the individual week-to-week fluctuations. Rcc individually reaches values above 0.3, especially with sRPEkm as lead variable. Overall, there is a large range with significant differences between the recovery and stress dimensions of the ARSS and between the training load methods, with sRPEkm having the largest span of R = 1.16. High inter-individual differences between the athletes lie in strength and direction of the correlation |0.66| ≤ Rcc ≥ |-0.50|. The time delayed effects (lags 0-7) are highly individual, however, clear patterns can be observed. The ARSS, especially PPC, OR, MS and OS, is a suitable tool for monitoring the acute recovery-stress state in swimmers. MPC, EB, LA and NES are less affected by training induced changes. Comparably high Rcc and Ranges result from the internal load methods, whereby sRPE, especially sRPEkm, shows a stronger relation to recovery-stress state than ACWR. Based on these results and the individual differences in terms of time delay in training response, we recommend for swimming to use session RPE to monitor the internal training load and to use the ARSS, with a focus at the physical and overall-scales, to monitor the recovery-stress state.","container-title":"Frontiers in Physiology","DOI":"10.3389/fphys.2018.00845","ISSN":"1664-042X","journalAbbreviation":"Front. Physiol.","language":"English","note":"publisher: Frontiers","source":"Frontiers","title":"Relation Between Training Load and Recovery-Stress State in High-Performance Swimming","URL":"https://www.frontiersin.org/articles/10.3389/fphys.2018.00845/full","volume":"9","author":[{"family":"Collette","given":"Robert"},{"family":"Kellmann","given":"Michael"},{"family":"Ferrauti","given":"Alexander"},{"family":"Meyer","given":"Tim"},{"family":"Pfeiffer","given":"Mark"}],"accessed":{"date-parts":[["2021",2,9]]},"issued":{"date-parts":[["2018"]]}}}],"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(Collette et al., 2018)</w:t>
      </w:r>
      <w:r>
        <w:rPr>
          <w:rFonts w:ascii="Times New Roman" w:hAnsi="Times New Roman" w:cs="Times New Roman"/>
        </w:rPr>
        <w:fldChar w:fldCharType="end"/>
      </w:r>
      <w:r>
        <w:rPr>
          <w:rFonts w:ascii="Times New Roman" w:hAnsi="Times New Roman" w:cs="Times New Roman"/>
        </w:rPr>
        <w:t>.</w:t>
      </w:r>
      <w:r w:rsidR="00B566F8">
        <w:rPr>
          <w:rFonts w:ascii="Times New Roman" w:hAnsi="Times New Roman" w:cs="Times New Roman"/>
        </w:rPr>
        <w:t xml:space="preserve"> </w:t>
      </w:r>
      <w:r w:rsidR="00E74E1A">
        <w:rPr>
          <w:rFonts w:ascii="Times New Roman" w:hAnsi="Times New Roman" w:cs="Times New Roman"/>
        </w:rPr>
        <w:t xml:space="preserve">Collette et al. </w:t>
      </w:r>
      <w:r w:rsidR="008A4241">
        <w:rPr>
          <w:rFonts w:ascii="Times New Roman" w:hAnsi="Times New Roman" w:cs="Times New Roman"/>
        </w:rPr>
        <w:t>(2018)</w:t>
      </w:r>
      <w:r w:rsidR="00BE7146">
        <w:rPr>
          <w:rFonts w:ascii="Times New Roman" w:hAnsi="Times New Roman" w:cs="Times New Roman"/>
        </w:rPr>
        <w:t xml:space="preserve"> </w:t>
      </w:r>
      <w:r w:rsidR="00E74E1A">
        <w:rPr>
          <w:rFonts w:ascii="Times New Roman" w:hAnsi="Times New Roman" w:cs="Times New Roman"/>
        </w:rPr>
        <w:t xml:space="preserve">found </w:t>
      </w:r>
      <w:r w:rsidR="00BE7146">
        <w:rPr>
          <w:rFonts w:ascii="Times New Roman" w:hAnsi="Times New Roman" w:cs="Times New Roman"/>
        </w:rPr>
        <w:t>that individuals may experience a</w:t>
      </w:r>
      <w:r w:rsidR="00E74E1A">
        <w:rPr>
          <w:rFonts w:ascii="Times New Roman" w:hAnsi="Times New Roman" w:cs="Times New Roman"/>
        </w:rPr>
        <w:t xml:space="preserve"> time delay between training and </w:t>
      </w:r>
      <w:r w:rsidR="00BE7146">
        <w:rPr>
          <w:rFonts w:ascii="Times New Roman" w:hAnsi="Times New Roman" w:cs="Times New Roman"/>
        </w:rPr>
        <w:t xml:space="preserve">the </w:t>
      </w:r>
      <w:r w:rsidR="00E74E1A">
        <w:rPr>
          <w:rFonts w:ascii="Times New Roman" w:hAnsi="Times New Roman" w:cs="Times New Roman"/>
        </w:rPr>
        <w:t xml:space="preserve">effects </w:t>
      </w:r>
      <w:r w:rsidR="00BE7146">
        <w:rPr>
          <w:rFonts w:ascii="Times New Roman" w:hAnsi="Times New Roman" w:cs="Times New Roman"/>
        </w:rPr>
        <w:t>of that training on responses within the</w:t>
      </w:r>
      <w:r w:rsidR="00E74E1A">
        <w:rPr>
          <w:rFonts w:ascii="Times New Roman" w:hAnsi="Times New Roman" w:cs="Times New Roman"/>
        </w:rPr>
        <w:t xml:space="preserve"> ARSS, </w:t>
      </w:r>
      <w:r w:rsidR="00BE7146">
        <w:rPr>
          <w:rFonts w:ascii="Times New Roman" w:hAnsi="Times New Roman" w:cs="Times New Roman"/>
        </w:rPr>
        <w:t>ranging from</w:t>
      </w:r>
      <w:r w:rsidR="00E74E1A">
        <w:rPr>
          <w:rFonts w:ascii="Times New Roman" w:hAnsi="Times New Roman" w:cs="Times New Roman"/>
        </w:rPr>
        <w:t xml:space="preserve"> 0-7 days for </w:t>
      </w:r>
      <w:proofErr w:type="spellStart"/>
      <w:r w:rsidR="00E74E1A">
        <w:rPr>
          <w:rFonts w:ascii="Times New Roman" w:hAnsi="Times New Roman" w:cs="Times New Roman"/>
        </w:rPr>
        <w:t>sRPE</w:t>
      </w:r>
      <w:proofErr w:type="spellEnd"/>
      <w:r w:rsidR="00E74E1A">
        <w:rPr>
          <w:rFonts w:ascii="Times New Roman" w:hAnsi="Times New Roman" w:cs="Times New Roman"/>
        </w:rPr>
        <w:t xml:space="preserve"> and ACWR. </w:t>
      </w:r>
      <w:r w:rsidR="008D3FDB">
        <w:rPr>
          <w:rFonts w:ascii="Times New Roman" w:hAnsi="Times New Roman" w:cs="Times New Roman"/>
        </w:rPr>
        <w:t xml:space="preserve">The </w:t>
      </w:r>
      <w:r w:rsidR="00E422A4">
        <w:rPr>
          <w:rFonts w:ascii="Times New Roman" w:hAnsi="Times New Roman" w:cs="Times New Roman"/>
        </w:rPr>
        <w:lastRenderedPageBreak/>
        <w:t xml:space="preserve">current investigation </w:t>
      </w:r>
      <w:r w:rsidR="008D3FDB">
        <w:rPr>
          <w:rFonts w:ascii="Times New Roman" w:hAnsi="Times New Roman" w:cs="Times New Roman"/>
        </w:rPr>
        <w:t>used each day’s external load and the proceeding day’s interna</w:t>
      </w:r>
      <w:r w:rsidR="00B566F8">
        <w:rPr>
          <w:rFonts w:ascii="Times New Roman" w:hAnsi="Times New Roman" w:cs="Times New Roman"/>
        </w:rPr>
        <w:t>l</w:t>
      </w:r>
      <w:r w:rsidR="008D3FDB">
        <w:rPr>
          <w:rFonts w:ascii="Times New Roman" w:hAnsi="Times New Roman" w:cs="Times New Roman"/>
        </w:rPr>
        <w:t xml:space="preserve"> load</w:t>
      </w:r>
      <w:r w:rsidR="008A4241">
        <w:rPr>
          <w:rFonts w:ascii="Times New Roman" w:hAnsi="Times New Roman" w:cs="Times New Roman"/>
        </w:rPr>
        <w:t xml:space="preserve"> (evaluated each morning at 6:00am CST)</w:t>
      </w:r>
      <w:r w:rsidR="008D3FDB">
        <w:rPr>
          <w:rFonts w:ascii="Times New Roman" w:hAnsi="Times New Roman" w:cs="Times New Roman"/>
        </w:rPr>
        <w:t xml:space="preserve">, </w:t>
      </w:r>
      <w:r w:rsidR="00BE7146">
        <w:rPr>
          <w:rFonts w:ascii="Times New Roman" w:hAnsi="Times New Roman" w:cs="Times New Roman"/>
        </w:rPr>
        <w:t xml:space="preserve">thus it is possible </w:t>
      </w:r>
      <w:r w:rsidR="008D3FDB">
        <w:rPr>
          <w:rFonts w:ascii="Times New Roman" w:hAnsi="Times New Roman" w:cs="Times New Roman"/>
        </w:rPr>
        <w:t xml:space="preserve">gymnasts and/or collegiate athletes may </w:t>
      </w:r>
      <w:r w:rsidR="00BE7146">
        <w:rPr>
          <w:rFonts w:ascii="Times New Roman" w:hAnsi="Times New Roman" w:cs="Times New Roman"/>
        </w:rPr>
        <w:t xml:space="preserve">also </w:t>
      </w:r>
      <w:r w:rsidR="008D3FDB">
        <w:rPr>
          <w:rFonts w:ascii="Times New Roman" w:hAnsi="Times New Roman" w:cs="Times New Roman"/>
        </w:rPr>
        <w:t xml:space="preserve">experience </w:t>
      </w:r>
      <w:r w:rsidR="00BE7146">
        <w:rPr>
          <w:rFonts w:ascii="Times New Roman" w:hAnsi="Times New Roman" w:cs="Times New Roman"/>
        </w:rPr>
        <w:t xml:space="preserve">time delays that resulted in </w:t>
      </w:r>
      <w:r w:rsidR="00E422A4">
        <w:rPr>
          <w:rFonts w:ascii="Times New Roman" w:hAnsi="Times New Roman" w:cs="Times New Roman"/>
        </w:rPr>
        <w:t>a lack of association between internal and external loads in the present study</w:t>
      </w:r>
      <w:r w:rsidR="008D3FDB">
        <w:rPr>
          <w:rFonts w:ascii="Times New Roman" w:hAnsi="Times New Roman" w:cs="Times New Roman"/>
        </w:rPr>
        <w:t>.</w:t>
      </w:r>
      <w:r w:rsidR="000331A7">
        <w:rPr>
          <w:rFonts w:ascii="Times New Roman" w:hAnsi="Times New Roman" w:cs="Times New Roman"/>
        </w:rPr>
        <w:t xml:space="preserve"> </w:t>
      </w:r>
      <w:r w:rsidR="002F6EA0">
        <w:rPr>
          <w:rFonts w:ascii="Times New Roman" w:hAnsi="Times New Roman" w:cs="Times New Roman"/>
        </w:rPr>
        <w:t>This may be analogous to the pattern observed with</w:t>
      </w:r>
      <w:r w:rsidR="000331A7">
        <w:rPr>
          <w:rFonts w:ascii="Times New Roman" w:hAnsi="Times New Roman" w:cs="Times New Roman"/>
        </w:rPr>
        <w:t xml:space="preserve"> delayed onset muscle soreness (DOMS</w:t>
      </w:r>
      <w:proofErr w:type="gramStart"/>
      <w:r w:rsidR="000331A7">
        <w:rPr>
          <w:rFonts w:ascii="Times New Roman" w:hAnsi="Times New Roman" w:cs="Times New Roman"/>
        </w:rPr>
        <w:t>),</w:t>
      </w:r>
      <w:proofErr w:type="gramEnd"/>
      <w:r w:rsidR="000331A7">
        <w:rPr>
          <w:rFonts w:ascii="Times New Roman" w:hAnsi="Times New Roman" w:cs="Times New Roman"/>
        </w:rPr>
        <w:t xml:space="preserve"> therefore it is </w:t>
      </w:r>
      <w:r w:rsidR="002F6EA0">
        <w:rPr>
          <w:rFonts w:ascii="Times New Roman" w:hAnsi="Times New Roman" w:cs="Times New Roman"/>
        </w:rPr>
        <w:t>plausible</w:t>
      </w:r>
      <w:r w:rsidR="000331A7">
        <w:rPr>
          <w:rFonts w:ascii="Times New Roman" w:hAnsi="Times New Roman" w:cs="Times New Roman"/>
        </w:rPr>
        <w:t xml:space="preserve"> </w:t>
      </w:r>
      <w:r w:rsidR="002F6EA0">
        <w:rPr>
          <w:rFonts w:ascii="Times New Roman" w:hAnsi="Times New Roman" w:cs="Times New Roman"/>
        </w:rPr>
        <w:t>that measures of</w:t>
      </w:r>
      <w:r w:rsidR="000331A7">
        <w:rPr>
          <w:rFonts w:ascii="Times New Roman" w:hAnsi="Times New Roman" w:cs="Times New Roman"/>
        </w:rPr>
        <w:t xml:space="preserve"> internal load </w:t>
      </w:r>
      <w:r w:rsidR="002F6EA0">
        <w:rPr>
          <w:rFonts w:ascii="Times New Roman" w:hAnsi="Times New Roman" w:cs="Times New Roman"/>
        </w:rPr>
        <w:t>may manifest changes in a similar fashion</w:t>
      </w:r>
      <w:r w:rsidR="000331A7">
        <w:rPr>
          <w:rFonts w:ascii="Times New Roman" w:hAnsi="Times New Roman" w:cs="Times New Roman"/>
        </w:rPr>
        <w:t xml:space="preserve">. </w:t>
      </w:r>
      <w:r>
        <w:rPr>
          <w:rFonts w:ascii="Times New Roman" w:hAnsi="Times New Roman" w:cs="Times New Roman"/>
        </w:rPr>
        <w:t>A lack of correlation in the present study may be due the intricacies of gymnastics, or an increased sensitivity to change in subjective measures over objective measures</w:t>
      </w:r>
      <w:r w:rsidR="00E422A4">
        <w:rPr>
          <w:rFonts w:ascii="Times New Roman" w:hAnsi="Times New Roman" w:cs="Times New Roman"/>
        </w:rPr>
        <w:t>. Additional assessments are needed to determine the consistency of this finding.</w:t>
      </w:r>
    </w:p>
    <w:p w14:paraId="74FA3770" w14:textId="36F3743B" w:rsidR="005D441A" w:rsidRDefault="005D441A" w:rsidP="0065584C">
      <w:pPr>
        <w:spacing w:line="480" w:lineRule="auto"/>
        <w:rPr>
          <w:rFonts w:ascii="Times New Roman" w:hAnsi="Times New Roman" w:cs="Times New Roman"/>
        </w:rPr>
      </w:pPr>
      <w:r>
        <w:rPr>
          <w:rFonts w:ascii="Times New Roman" w:hAnsi="Times New Roman" w:cs="Times New Roman"/>
        </w:rPr>
        <w:tab/>
        <w:t xml:space="preserve">Recovery composite was higher than average on each Monday that data was present throughout the preseason. Stress composite and soreness typically showed lower than average numbers on Mondays. These trends could be due to decreased academic and training loads over the weekend, increasing preparedness each Monday. Despite these findings, sleep did not show noticeable differences after weekends or throughout the week. This could be due to changes in sleep and wake times over the weekend or possible lower sleep quality on weekends. </w:t>
      </w:r>
      <w:r w:rsidR="00E130D2">
        <w:rPr>
          <w:rFonts w:ascii="Times New Roman" w:hAnsi="Times New Roman" w:cs="Times New Roman"/>
        </w:rPr>
        <w:t xml:space="preserve">As high recovery and low stress and soreness are present on Mondays, that may be useful to coaches in planning properly periodized workouts. </w:t>
      </w:r>
      <w:r w:rsidR="001078F8">
        <w:rPr>
          <w:rFonts w:ascii="Times New Roman" w:hAnsi="Times New Roman" w:cs="Times New Roman"/>
        </w:rPr>
        <w:t xml:space="preserve">Most other days did not show a consistent pattern throughout the preseason. Some Mondays showed increased PL values, however any consequences from these values were not seen on the internal load measures on </w:t>
      </w:r>
      <w:r w:rsidR="00553906">
        <w:rPr>
          <w:rFonts w:ascii="Times New Roman" w:hAnsi="Times New Roman" w:cs="Times New Roman"/>
        </w:rPr>
        <w:t>Tuesdays</w:t>
      </w:r>
      <w:r w:rsidR="001078F8">
        <w:rPr>
          <w:rFonts w:ascii="Times New Roman" w:hAnsi="Times New Roman" w:cs="Times New Roman"/>
        </w:rPr>
        <w:t xml:space="preserve">. </w:t>
      </w:r>
    </w:p>
    <w:p w14:paraId="7A02FA11" w14:textId="46367F80" w:rsidR="003B2D12" w:rsidRDefault="003B2D12" w:rsidP="0065584C">
      <w:pPr>
        <w:spacing w:line="480" w:lineRule="auto"/>
        <w:rPr>
          <w:rFonts w:ascii="Times New Roman" w:hAnsi="Times New Roman" w:cs="Times New Roman"/>
        </w:rPr>
      </w:pPr>
      <w:r>
        <w:rPr>
          <w:rFonts w:ascii="Times New Roman" w:hAnsi="Times New Roman" w:cs="Times New Roman"/>
        </w:rPr>
        <w:tab/>
        <w:t xml:space="preserve">The present population experienced high rates of under-recovery. About 97% of the preseason the team showed recovery composite scores under 20 and under 16 about 80% of the preseason. Previous studies have shown that gymnasts present as under-recovered about 51% of the season </w:t>
      </w:r>
      <w:r>
        <w:rPr>
          <w:rFonts w:ascii="Times New Roman" w:hAnsi="Times New Roman" w:cs="Times New Roman"/>
        </w:rPr>
        <w:fldChar w:fldCharType="begin"/>
      </w:r>
      <w:r>
        <w:rPr>
          <w:rFonts w:ascii="Times New Roman" w:hAnsi="Times New Roman" w:cs="Times New Roman"/>
        </w:rPr>
        <w:instrText xml:space="preserve"> ADDIN ZOTERO_ITEM CSL_CITATION {"citationID":"LhdUvr7W","properties":{"formattedCitation":"(Debien et al., 2020)","plainCitation":"(Debien et al., 2020)","noteIndex":0},"citationItems":[{"id":209,"uris":["http://zotero.org/users/6375206/items/9V32EDLN"],"uri":["http://zotero.org/users/6375206/items/9V32EDLN"],"itemData":{"id":209,"type":"article-journal","abstract":"Rhythmic gymnastics requires a high level of complexity and perfection of technical gestures, associated with well-developed physical and artistic capacities. The training-load and recovery profiles of rhythmic gymnasts across a season are unknown.To analyze the training load and recovery of professional rhythmic gymnasts during 1 season.Cohort study.Brazilian National Training Center of Rhythmic Gymnastics and competition facilities.Eight gymnasts from the Brazilian national senior rhythmic gymnastics group.Session rating of perceived exertion (session-RPE) and total quality recovery (TQR) scores were collected daily for 43 weeks. We obtained the session-RPE after each session and TQR score before the first session of the day. Performances during 5 competitions were also recorded. The season was divided into 8 periods. Total weekly internal training load (wITL), training intensity, frequency, duration, recovery, and acute : chronic workload ratio were calculated for analysis.The season mean wITL was 10 381 ± 4894 arbitrary units, mean session-RPE score was 5.0 ± 1.6, and mean TQR score was 12.8 ± 1.3. The gymnasts trained an average of 8.7 ± 2.9 sessions per week, with a mean duration of 219 ± 36 minutes. Each competitive period showed increased wITL compared with the previous period. Training-load variables (wITL and session-RPE) and recovery were inversely correlated. Gymnasts were poorly recovered (TQR &amp;lt; 13) during 50.9% of the season (n = 167 times), especially during competitive weeks. Spikes in load (acute : chronic workload ratio ≥ 1.5) occurred across 18.1% of the season (n = 55 times).The training-load variables and recovery changed throughout a professional rhythmic gymnastics group season, mainly during competitive periods. The correct distribution of training load is critical to ensure that gymnasts are entering competitions in a recovered state.","container-title":"Journal of Athletic Training","DOI":"10.4085/1062-6050-402.19","ISSN":"1062-6050","issue":"9","journalAbbreviation":"Journal of Athletic Training","page":"977-983","source":"Silverchair","title":"Training Load and Recovery During a Pre-Olympic Season in Professional Rhythmic Gymnasts","volume":"55","author":[{"family":"Debien","given":"Paula Barreiros"},{"family":"Miloski","given":"Bernardo"},{"family":"Werneck","given":"Francisco Zacaron"},{"family":"Timoteo","given":"Thiago Ferreira"},{"family":"Ferezin","given":"Camila"},{"family":"Filho","given":"Maurício Gattás Bara"},{"family":"Gabbett","given":"Tim J."}],"issued":{"date-parts":[["2020",7,30]]}}}],"schema":"https://github.com/citation-style-language/schema/raw/master/csl-citation.json"}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(Debien et al., 2020)</w:t>
      </w:r>
      <w:r>
        <w:rPr>
          <w:rFonts w:ascii="Times New Roman" w:hAnsi="Times New Roman" w:cs="Times New Roman"/>
        </w:rPr>
        <w:fldChar w:fldCharType="end"/>
      </w:r>
      <w:r>
        <w:rPr>
          <w:rFonts w:ascii="Times New Roman" w:hAnsi="Times New Roman" w:cs="Times New Roman"/>
        </w:rPr>
        <w:t xml:space="preserve">. </w:t>
      </w:r>
      <w:proofErr w:type="spellStart"/>
      <w:r>
        <w:rPr>
          <w:rFonts w:ascii="Times New Roman" w:hAnsi="Times New Roman" w:cs="Times New Roman"/>
        </w:rPr>
        <w:t>Debien</w:t>
      </w:r>
      <w:proofErr w:type="spellEnd"/>
      <w:r>
        <w:rPr>
          <w:rFonts w:ascii="Times New Roman" w:hAnsi="Times New Roman" w:cs="Times New Roman"/>
        </w:rPr>
        <w:t xml:space="preserve"> et al. used TQR to determine recovery and determined </w:t>
      </w:r>
      <w:r>
        <w:rPr>
          <w:rFonts w:ascii="Times New Roman" w:hAnsi="Times New Roman" w:cs="Times New Roman"/>
        </w:rPr>
        <w:lastRenderedPageBreak/>
        <w:t>that 13/20 (65%</w:t>
      </w:r>
      <w:r w:rsidR="00010317">
        <w:rPr>
          <w:rFonts w:ascii="Times New Roman" w:hAnsi="Times New Roman" w:cs="Times New Roman"/>
        </w:rPr>
        <w:t xml:space="preserve"> recovered</w:t>
      </w:r>
      <w:r>
        <w:rPr>
          <w:rFonts w:ascii="Times New Roman" w:hAnsi="Times New Roman" w:cs="Times New Roman"/>
        </w:rPr>
        <w:t xml:space="preserve">) was considered under-recovered </w:t>
      </w:r>
      <w:r>
        <w:rPr>
          <w:rFonts w:ascii="Times New Roman" w:hAnsi="Times New Roman" w:cs="Times New Roman"/>
        </w:rPr>
        <w:fldChar w:fldCharType="begin"/>
      </w:r>
      <w:r>
        <w:rPr>
          <w:rFonts w:ascii="Times New Roman" w:hAnsi="Times New Roman" w:cs="Times New Roman"/>
        </w:rPr>
        <w:instrText xml:space="preserve"> ADDIN ZOTERO_ITEM CSL_CITATION {"citationID":"Zuj56yEN","properties":{"formattedCitation":"(2020)","plainCitation":"(2020)","noteIndex":0},"citationItems":[{"id":209,"uris":["http://zotero.org/users/6375206/items/9V32EDLN"],"uri":["http://zotero.org/users/6375206/items/9V32EDLN"],"itemData":{"id":209,"type":"article-journal","abstract":"Rhythmic gymnastics requires a high level of complexity and perfection of technical gestures, associated with well-developed physical and artistic capacities. The training-load and recovery profiles of rhythmic gymnasts across a season are unknown.To analyze the training load and recovery of professional rhythmic gymnasts during 1 season.Cohort study.Brazilian National Training Center of Rhythmic Gymnastics and competition facilities.Eight gymnasts from the Brazilian national senior rhythmic gymnastics group.Session rating of perceived exertion (session-RPE) and total quality recovery (TQR) scores were collected daily for 43 weeks. We obtained the session-RPE after each session and TQR score before the first session of the day. Performances during 5 competitions were also recorded. The season was divided into 8 periods. Total weekly internal training load (wITL), training intensity, frequency, duration, recovery, and acute : chronic workload ratio were calculated for analysis.The season mean wITL was 10 381 ± 4894 arbitrary units, mean session-RPE score was 5.0 ± 1.6, and mean TQR score was 12.8 ± 1.3. The gymnasts trained an average of 8.7 ± 2.9 sessions per week, with a mean duration of 219 ± 36 minutes. Each competitive period showed increased wITL compared with the previous period. Training-load variables (wITL and session-RPE) and recovery were inversely correlated. Gymnasts were poorly recovered (TQR &amp;lt; 13) during 50.9% of the season (n = 167 times), especially during competitive weeks. Spikes in load (acute : chronic workload ratio ≥ 1.5) occurred across 18.1% of the season (n = 55 times).The training-load variables and recovery changed throughout a professional rhythmic gymnastics group season, mainly during competitive periods. The correct distribution of training load is critical to ensure that gymnasts are entering competitions in a recovered state.","container-title":"Journal of Athletic Training","DOI":"10.4085/1062-6050-402.19","ISSN":"1062-6050","issue":"9","journalAbbreviation":"Journal of Athletic Training","page":"977-983","source":"Silverchair","title":"Training Load and Recovery During a Pre-Olympic Season in Professional Rhythmic Gymnasts","volume":"55","author":[{"family":"Debien","given":"Paula Barreiros"},{"family":"Miloski","given":"Bernardo"},{"family":"Werneck","given":"Francisco Zacaron"},{"family":"Timoteo","given":"Thiago Ferreira"},{"family":"Ferezin","given":"Camila"},{"family":"Filho","given":"Maurício Gattás Bara"},{"family":"Gabbett","given":"Tim J."}],"issued":{"date-parts":[["2020",7,30]]}},"suppress-author":true}],"schema":"https://github.com/citation-style-language/schema/raw/master/csl-citation.json"}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(2020)</w:t>
      </w:r>
      <w:r>
        <w:rPr>
          <w:rFonts w:ascii="Times New Roman" w:hAnsi="Times New Roman" w:cs="Times New Roman"/>
        </w:rPr>
        <w:fldChar w:fldCharType="end"/>
      </w:r>
      <w:r>
        <w:rPr>
          <w:rFonts w:ascii="Times New Roman" w:hAnsi="Times New Roman" w:cs="Times New Roman"/>
        </w:rPr>
        <w:t>. The present study used 20/24 (83%</w:t>
      </w:r>
      <w:r w:rsidR="00010317">
        <w:rPr>
          <w:rFonts w:ascii="Times New Roman" w:hAnsi="Times New Roman" w:cs="Times New Roman"/>
        </w:rPr>
        <w:t xml:space="preserve"> recovered</w:t>
      </w:r>
      <w:r>
        <w:rPr>
          <w:rFonts w:ascii="Times New Roman" w:hAnsi="Times New Roman" w:cs="Times New Roman"/>
        </w:rPr>
        <w:t>) and 16/24 (66%</w:t>
      </w:r>
      <w:r w:rsidR="00010317">
        <w:rPr>
          <w:rFonts w:ascii="Times New Roman" w:hAnsi="Times New Roman" w:cs="Times New Roman"/>
        </w:rPr>
        <w:t xml:space="preserve"> recovered</w:t>
      </w:r>
      <w:r>
        <w:rPr>
          <w:rFonts w:ascii="Times New Roman" w:hAnsi="Times New Roman" w:cs="Times New Roman"/>
        </w:rPr>
        <w:t xml:space="preserve">) as two markers for a state of under-recovery. Despite a similar age group, the previous study does not specify whether the elite gymnasts are enrolled in any academic program, which could be the reason </w:t>
      </w:r>
      <w:r w:rsidR="00B24641">
        <w:rPr>
          <w:rFonts w:ascii="Times New Roman" w:hAnsi="Times New Roman" w:cs="Times New Roman"/>
        </w:rPr>
        <w:t>the current</w:t>
      </w:r>
      <w:r>
        <w:rPr>
          <w:rFonts w:ascii="Times New Roman" w:hAnsi="Times New Roman" w:cs="Times New Roman"/>
        </w:rPr>
        <w:t xml:space="preserve"> study found </w:t>
      </w:r>
      <w:r w:rsidR="00B24641">
        <w:rPr>
          <w:rFonts w:ascii="Times New Roman" w:hAnsi="Times New Roman" w:cs="Times New Roman"/>
        </w:rPr>
        <w:t xml:space="preserve">a higher incidence of </w:t>
      </w:r>
      <w:r>
        <w:rPr>
          <w:rFonts w:ascii="Times New Roman" w:hAnsi="Times New Roman" w:cs="Times New Roman"/>
        </w:rPr>
        <w:t>under-recovery</w:t>
      </w:r>
      <w:r w:rsidR="00B24641">
        <w:rPr>
          <w:rFonts w:ascii="Times New Roman" w:hAnsi="Times New Roman" w:cs="Times New Roman"/>
        </w:rPr>
        <w:t xml:space="preserve"> among the participants</w:t>
      </w:r>
      <w:r>
        <w:rPr>
          <w:rFonts w:ascii="Times New Roman" w:hAnsi="Times New Roman" w:cs="Times New Roman"/>
        </w:rPr>
        <w:t xml:space="preserve">. </w:t>
      </w:r>
      <w:r w:rsidR="00776DAB">
        <w:rPr>
          <w:rFonts w:ascii="Times New Roman" w:hAnsi="Times New Roman" w:cs="Times New Roman"/>
        </w:rPr>
        <w:t>This may point to the impact of academics on recovery in collegiate athletes</w:t>
      </w:r>
      <w:r w:rsidR="002478AB">
        <w:rPr>
          <w:rFonts w:ascii="Times New Roman" w:hAnsi="Times New Roman" w:cs="Times New Roman"/>
        </w:rPr>
        <w:t xml:space="preserve"> and therefore the importance of individualized monitoring</w:t>
      </w:r>
      <w:r w:rsidR="00142BDE">
        <w:rPr>
          <w:rFonts w:ascii="Times New Roman" w:hAnsi="Times New Roman" w:cs="Times New Roman"/>
        </w:rPr>
        <w:t xml:space="preserve"> and enhanced academic support measures.</w:t>
      </w:r>
      <w:r w:rsidR="002478AB">
        <w:rPr>
          <w:rFonts w:ascii="Times New Roman" w:hAnsi="Times New Roman" w:cs="Times New Roman"/>
        </w:rPr>
        <w:t xml:space="preserve"> </w:t>
      </w:r>
      <w:r w:rsidR="003F26FE">
        <w:rPr>
          <w:rFonts w:ascii="Times New Roman" w:hAnsi="Times New Roman" w:cs="Times New Roman"/>
        </w:rPr>
        <w:t xml:space="preserve">Stress composite scores showed increased values of 8/24 (33% stressed) 499/713 scores or about 70% of the preseason and 12/24 (50% stressed) 240/713 scores or about 34% of the preseason. </w:t>
      </w:r>
      <w:r w:rsidR="00A251AC">
        <w:rPr>
          <w:rFonts w:ascii="Times New Roman" w:hAnsi="Times New Roman" w:cs="Times New Roman"/>
        </w:rPr>
        <w:t xml:space="preserve">Increased stress scores throughout the preseason may point to even higher stress scores during the season </w:t>
      </w:r>
      <w:r w:rsidR="00B24641">
        <w:rPr>
          <w:rFonts w:ascii="Times New Roman" w:hAnsi="Times New Roman" w:cs="Times New Roman"/>
        </w:rPr>
        <w:t>because of</w:t>
      </w:r>
      <w:r w:rsidR="00A251AC">
        <w:rPr>
          <w:rFonts w:ascii="Times New Roman" w:hAnsi="Times New Roman" w:cs="Times New Roman"/>
        </w:rPr>
        <w:t xml:space="preserve"> competition and travel stress. This, again, may point to a necessity of individual internal load monitoring in female collegiate gymnasts</w:t>
      </w:r>
      <w:r w:rsidR="002F6EA0">
        <w:rPr>
          <w:rFonts w:ascii="Times New Roman" w:hAnsi="Times New Roman" w:cs="Times New Roman"/>
        </w:rPr>
        <w:t>, particularly to assess if differences in controllable factors such as the travel mode used to attend competitions (</w:t>
      </w:r>
      <w:r w:rsidR="00C37D0F">
        <w:rPr>
          <w:rFonts w:ascii="Times New Roman" w:hAnsi="Times New Roman" w:cs="Times New Roman"/>
        </w:rPr>
        <w:t>i.e.,</w:t>
      </w:r>
      <w:r w:rsidR="002F6EA0">
        <w:rPr>
          <w:rFonts w:ascii="Times New Roman" w:hAnsi="Times New Roman" w:cs="Times New Roman"/>
        </w:rPr>
        <w:t xml:space="preserve"> bus vs. air vs. no travel) result in negative consequences.</w:t>
      </w:r>
    </w:p>
    <w:p w14:paraId="0FD5628E" w14:textId="1FE2711A" w:rsidR="009D4EBD" w:rsidRDefault="005D441A" w:rsidP="00245568">
      <w:pPr>
        <w:spacing w:line="480" w:lineRule="auto"/>
        <w:rPr>
          <w:rFonts w:ascii="Times New Roman" w:hAnsi="Times New Roman" w:cs="Times New Roman"/>
        </w:rPr>
      </w:pPr>
      <w:r>
        <w:rPr>
          <w:rFonts w:ascii="Times New Roman" w:hAnsi="Times New Roman" w:cs="Times New Roman"/>
        </w:rPr>
        <w:tab/>
        <w:t>Monotony</w:t>
      </w:r>
      <w:r w:rsidR="00A12DA1">
        <w:rPr>
          <w:rFonts w:ascii="Times New Roman" w:hAnsi="Times New Roman" w:cs="Times New Roman"/>
        </w:rPr>
        <w:t xml:space="preserve"> </w:t>
      </w:r>
      <w:r w:rsidR="005042A9">
        <w:rPr>
          <w:rFonts w:ascii="Times New Roman" w:hAnsi="Times New Roman" w:cs="Times New Roman"/>
        </w:rPr>
        <w:t xml:space="preserve">and strain showed extremely high scores, especially in GP2 and SP1. </w:t>
      </w:r>
      <w:r w:rsidR="00B329E4">
        <w:rPr>
          <w:rFonts w:ascii="Times New Roman" w:hAnsi="Times New Roman" w:cs="Times New Roman"/>
        </w:rPr>
        <w:t xml:space="preserve">With the </w:t>
      </w:r>
      <w:r w:rsidR="00E76226">
        <w:rPr>
          <w:rFonts w:ascii="Times New Roman" w:hAnsi="Times New Roman" w:cs="Times New Roman"/>
        </w:rPr>
        <w:t>demanding</w:t>
      </w:r>
      <w:r w:rsidR="00B329E4">
        <w:rPr>
          <w:rFonts w:ascii="Times New Roman" w:hAnsi="Times New Roman" w:cs="Times New Roman"/>
        </w:rPr>
        <w:t xml:space="preserve"> training hours and repeated movements in practice, high scores of </w:t>
      </w:r>
      <w:proofErr w:type="gramStart"/>
      <w:r w:rsidR="00B329E4">
        <w:rPr>
          <w:rFonts w:ascii="Times New Roman" w:hAnsi="Times New Roman" w:cs="Times New Roman"/>
        </w:rPr>
        <w:t>monotony</w:t>
      </w:r>
      <w:proofErr w:type="gramEnd"/>
      <w:r w:rsidR="00B329E4">
        <w:rPr>
          <w:rFonts w:ascii="Times New Roman" w:hAnsi="Times New Roman" w:cs="Times New Roman"/>
        </w:rPr>
        <w:t xml:space="preserve"> are not unexpected. </w:t>
      </w:r>
      <w:r w:rsidR="004B2DEF">
        <w:rPr>
          <w:rFonts w:ascii="Times New Roman" w:hAnsi="Times New Roman" w:cs="Times New Roman"/>
        </w:rPr>
        <w:t>A previous study has</w:t>
      </w:r>
      <w:r w:rsidR="00B329E4">
        <w:rPr>
          <w:rFonts w:ascii="Times New Roman" w:hAnsi="Times New Roman" w:cs="Times New Roman"/>
        </w:rPr>
        <w:t xml:space="preserve"> pointed to the high monotony levels </w:t>
      </w:r>
      <w:r w:rsidR="004B2DEF">
        <w:rPr>
          <w:rFonts w:ascii="Times New Roman" w:hAnsi="Times New Roman" w:cs="Times New Roman"/>
        </w:rPr>
        <w:t xml:space="preserve">that female </w:t>
      </w:r>
      <w:r w:rsidR="00B329E4">
        <w:rPr>
          <w:rFonts w:ascii="Times New Roman" w:hAnsi="Times New Roman" w:cs="Times New Roman"/>
        </w:rPr>
        <w:t xml:space="preserve">gymnasts withstand </w:t>
      </w:r>
      <w:r w:rsidR="00B329E4">
        <w:rPr>
          <w:rFonts w:ascii="Times New Roman" w:hAnsi="Times New Roman" w:cs="Times New Roman"/>
        </w:rPr>
        <w:fldChar w:fldCharType="begin"/>
      </w:r>
      <w:r w:rsidR="00E834D8">
        <w:rPr>
          <w:rFonts w:ascii="Times New Roman" w:hAnsi="Times New Roman" w:cs="Times New Roman"/>
        </w:rPr>
        <w:instrText xml:space="preserve"> ADDIN ZOTERO_ITEM CSL_CITATION {"citationID":"E89lyAn9","properties":{"formattedCitation":"(Dumortier et al., 2018)","plainCitation":"(Dumortier et al., 2018)","noteIndex":0},"citationItems":[{"id":146,"uris":["http://zotero.org/users/6375206/items/PMENMA3P"],"uri":["http://zotero.org/users/6375206/items/PMENMA3P"],"itemData":{"id":146,"type":"article-journal","abstract":"Training load (TL) and recovery should be in optimal balance to obtain maximal performance gains. We aimed to study sleep as a recovery technique and its relationship with TL and performance in elite athletes. Twenty-six elite female artistic gymnasts were divided into an under 13 (n = 6), an under 14 (n = 6), a junior (n = 7; 14-15y) and a senior (=World Championship (WC) competitors, n = 7; ≥16y) category. Sleep, through sleep logs, and training parameters, using the session Rate of Perceived Exertion (sRPE) scale, were monitored to calculate total sleep time (TST), sleep efficiency (SE), TL, monotony and strain. Performance of WC competitors was evaluated through coach and WC qualification ranking. For the entire group, TST (effect sizes (ES) = -1.12, confidence intervals (CI) = -60:-47, P&lt; .05) and SE (ES = -0.13, CI = -1.40:-0.10, P =.022) were shorter during week than weekend nights. TST and SE were highest in youngest gymnasts (P&lt; .05). TL was lowest in under 13 and senior gymnasts (P&lt; .05), while TL, monotony and strain were highest in junior gymnasts (P&lt; .05). A negative regression was found between TST and TL the day after, while higher TL also led to lower TST the following night (P&lt; .001). For the WC competitors, TST the night before the qualifications was shorter than the mean TST of the WC period (ES = -0.95, CI = -170:24, P =.030). TST correlated with coach ranking (r = -0.857, P = .014). Higher TL correlated with worse WC (r = 0.829, P = .042) and coach (r = 0.893, P = .007) ranking. This research in elite gymnasts indicated associations between decreased TST, augmented TL and inferior performance. Optimizing sleep and TL may therefore represent strategies to enhance performance. ABSTRACT FROM AUTHOR","container-title":"European Journal of Sport Science","ISSN":"17461391","issue":"2","journalAbbreviation":"European Journal of Sport Science","page":"151-161","source":"EBSCOhost","title":"Sleep, training load and performance in elite female gymnasts","volume":"18","author":[{"family":"Dumortier","given":"J."},{"family":"Mariman","given":"A."},{"family":"Boone","given":"J."},{"family":"Delesie","given":"L."},{"family":"Tobback","given":"E."},{"family":"Vogelaers","given":"D."},{"family":"Bourgois","given":"J. G."}],"issued":{"date-parts":[["2018",3]]}}}],"schema":"https://github.com/citation-style-language/schema/raw/master/csl-citation.json"} </w:instrText>
      </w:r>
      <w:r w:rsidR="00B329E4">
        <w:rPr>
          <w:rFonts w:ascii="Times New Roman" w:hAnsi="Times New Roman" w:cs="Times New Roman"/>
        </w:rPr>
        <w:fldChar w:fldCharType="separate"/>
      </w:r>
      <w:r w:rsidR="00E834D8">
        <w:rPr>
          <w:rFonts w:ascii="Times New Roman" w:hAnsi="Times New Roman" w:cs="Times New Roman"/>
          <w:noProof/>
        </w:rPr>
        <w:t>(Dumortier et al., 2018)</w:t>
      </w:r>
      <w:r w:rsidR="00B329E4">
        <w:rPr>
          <w:rFonts w:ascii="Times New Roman" w:hAnsi="Times New Roman" w:cs="Times New Roman"/>
        </w:rPr>
        <w:fldChar w:fldCharType="end"/>
      </w:r>
      <w:r w:rsidR="00B329E4">
        <w:rPr>
          <w:rFonts w:ascii="Times New Roman" w:hAnsi="Times New Roman" w:cs="Times New Roman"/>
        </w:rPr>
        <w:t xml:space="preserve">. </w:t>
      </w:r>
      <w:r w:rsidR="0088108A">
        <w:rPr>
          <w:rFonts w:ascii="Times New Roman" w:hAnsi="Times New Roman" w:cs="Times New Roman"/>
        </w:rPr>
        <w:t xml:space="preserve">Dumortier et al. found a weekly training monotony of 2.33 </w:t>
      </w:r>
      <w:r w:rsidR="0088108A">
        <w:rPr>
          <w:rFonts w:ascii="Times New Roman" w:hAnsi="Times New Roman" w:cs="Times New Roman"/>
        </w:rPr>
        <w:sym w:font="Symbol" w:char="F0B1"/>
      </w:r>
      <w:r w:rsidR="0088108A">
        <w:rPr>
          <w:rFonts w:ascii="Times New Roman" w:hAnsi="Times New Roman" w:cs="Times New Roman"/>
        </w:rPr>
        <w:t xml:space="preserve"> 0.66 AU; </w:t>
      </w:r>
      <w:r w:rsidR="00E834D8">
        <w:rPr>
          <w:rFonts w:ascii="Times New Roman" w:hAnsi="Times New Roman" w:cs="Times New Roman"/>
        </w:rPr>
        <w:t xml:space="preserve">the present study found </w:t>
      </w:r>
      <w:r w:rsidR="004C2B7D">
        <w:rPr>
          <w:rFonts w:ascii="Times New Roman" w:hAnsi="Times New Roman" w:cs="Times New Roman"/>
        </w:rPr>
        <w:t>monotony scores of 8.2, 8.5, and 5.5 AU throughout the training phases</w:t>
      </w:r>
      <w:r w:rsidR="00290E14">
        <w:rPr>
          <w:rFonts w:ascii="Times New Roman" w:hAnsi="Times New Roman" w:cs="Times New Roman"/>
        </w:rPr>
        <w:t>, GP2, SP1, and SP2, respectively</w:t>
      </w:r>
      <w:r w:rsidR="004C2B7D">
        <w:rPr>
          <w:rFonts w:ascii="Times New Roman" w:hAnsi="Times New Roman" w:cs="Times New Roman"/>
        </w:rPr>
        <w:t>.</w:t>
      </w:r>
      <w:r w:rsidR="0088108A">
        <w:rPr>
          <w:rFonts w:ascii="Times New Roman" w:hAnsi="Times New Roman" w:cs="Times New Roman"/>
        </w:rPr>
        <w:t xml:space="preserve"> </w:t>
      </w:r>
      <w:r w:rsidR="005A3A51">
        <w:rPr>
          <w:rFonts w:ascii="Times New Roman" w:hAnsi="Times New Roman" w:cs="Times New Roman"/>
        </w:rPr>
        <w:t xml:space="preserve">The discrepancies found between the two could be a result of competition level, Dumortier et al. </w:t>
      </w:r>
      <w:r w:rsidR="00290E14">
        <w:rPr>
          <w:rFonts w:ascii="Times New Roman" w:hAnsi="Times New Roman" w:cs="Times New Roman"/>
        </w:rPr>
        <w:t xml:space="preserve">(2018) </w:t>
      </w:r>
      <w:r w:rsidR="005A3A51">
        <w:rPr>
          <w:rFonts w:ascii="Times New Roman" w:hAnsi="Times New Roman" w:cs="Times New Roman"/>
        </w:rPr>
        <w:t xml:space="preserve">studied gymnasts from under 13 to seniors in high school. </w:t>
      </w:r>
      <w:r w:rsidR="00E76226">
        <w:rPr>
          <w:rFonts w:ascii="Times New Roman" w:hAnsi="Times New Roman" w:cs="Times New Roman"/>
        </w:rPr>
        <w:t>Several</w:t>
      </w:r>
      <w:r w:rsidR="009A31C0">
        <w:rPr>
          <w:rFonts w:ascii="Times New Roman" w:hAnsi="Times New Roman" w:cs="Times New Roman"/>
        </w:rPr>
        <w:t xml:space="preserve"> other studies have also found high levels of monotony in collegiate and elite athletes</w:t>
      </w:r>
      <w:r w:rsidR="005E3271">
        <w:rPr>
          <w:rFonts w:ascii="Times New Roman" w:hAnsi="Times New Roman" w:cs="Times New Roman"/>
        </w:rPr>
        <w:t>, with most of them showing that such levels may lead to overtraining and injury</w:t>
      </w:r>
      <w:r w:rsidR="009A31C0">
        <w:rPr>
          <w:rFonts w:ascii="Times New Roman" w:hAnsi="Times New Roman" w:cs="Times New Roman"/>
        </w:rPr>
        <w:t xml:space="preserve"> </w:t>
      </w:r>
      <w:r w:rsidR="009A31C0">
        <w:rPr>
          <w:rFonts w:ascii="Times New Roman" w:hAnsi="Times New Roman" w:cs="Times New Roman"/>
        </w:rPr>
        <w:fldChar w:fldCharType="begin"/>
      </w:r>
      <w:r w:rsidR="009A31C0">
        <w:rPr>
          <w:rFonts w:ascii="Times New Roman" w:hAnsi="Times New Roman" w:cs="Times New Roman"/>
        </w:rPr>
        <w:instrText xml:space="preserve"> ADDIN ZOTERO_ITEM CSL_CITATION {"citationID":"qRTjAaT4","properties":{"formattedCitation":"(Clemente et al., 2020; Debien et al., 2018; Delecroix et al., 2019; Fessi et al., 2016)","plainCitation":"(Clemente et al., 2020; Debien et al., 2018; Delecroix et al., 2019; Fessi et al., 2016)","noteIndex":0},"citationItems":[{"id":255,"uris":["http://zotero.org/users/6375206/items/CFWATXGM"],"uri":["http://zotero.org/users/6375206/items/CFWATXGM"],"itemData":{"id":255,"type":"article-journal","abstract":"The aim of this study was to provide reference data of variation in external training loads for weekly periods within the annual season. Specifically, we aimed to compare the weekly acute load, monotony, and training strain of accelerometry-based measures across a professional soccer season (pre-season, first and second halves of the season) according to players' positions. Nineteen professional players were monitored daily for 45 weeks using an 18-Hz global positioning system to obtain measures of high metabolic load distance (HMLD), impacts, and high intensity accelerations and decelerations. Workload indices of acute load, training monotony, and training strain were calculated weekly for each of the measures. The HMLD had greater training strain values in the pre-season than in the first (p &lt; 0.001; d = 0.793) and second halves of the season (p &lt; 0.001; d = 0.858). Comparisons between playing positions showed that midfielders had the highest weekly acute load of HMLD (6901 arbitrary units [AU]), while central defenders had the lowest (4986 AU). The pre-season period was associated with the highest acute and strain load of HMLD and number of impacts, with a progressive decrease seen during the season. In conclusion, coaches should consider paying greater attention to variations in HMLD and impacts between periods of the season and between players to individualize training accordingly. ABSTRACT FROM AUTHOR","container-title":"Biology of Sport","ISSN":"0860021X","issue":"4","journalAbbreviation":"Biology of Sport","page":"389-403","source":"EBSCOhost","title":"Accelerometry-based variables in professional soccer players: comparisons between periods of the season and playing positions","title-short":"Accelerometry-based variables in professional soccer players","volume":"37","author":[{"family":"Clemente","given":"Filipe Manuel"},{"family":"Silva","given":"Rui"},{"family":"Ramirez-Campillo","given":"Rodrigo"},{"family":"Afonso","given":"José"},{"family":"Mendes","given":"Bruno"},{"literal":"Yung-Sheng Chen"}],"issued":{"date-parts":[["2020",10]]}}},{"id":256,"uris":["http://zotero.org/users/6375206/items/8XJ8ICIU"],"uri":["http://zotero.org/users/6375206/items/8XJ8ICIU"],"itemData":{"id":256,"type":"article-journal","abstract":"Purpose: To describe and analyze the distribution of internal training load (ITL), recovery, and physical performance of professional volleyball players throughout 1 season. Methods: Fifteen male professional Brazilian volleyball players participated in this study. The session rating of perceived exertion (s-RPE) and Total Quality Recovery (TQR) score were collected daily for 36 wk. s-RPE was collected after each training session, and TQR, before the first session of the day. The sum of the ITL of each session during the week, training monotony, strain, acute</w:instrText>
      </w:r>
      <w:r w:rsidR="009A31C0">
        <w:rPr>
          <w:rFonts w:ascii="Cambria Math" w:hAnsi="Cambria Math" w:cs="Cambria Math"/>
        </w:rPr>
        <w:instrText>∶</w:instrText>
      </w:r>
      <w:r w:rsidR="009A31C0">
        <w:rPr>
          <w:rFonts w:ascii="Times New Roman" w:hAnsi="Times New Roman" w:cs="Times New Roman"/>
        </w:rPr>
        <w:instrText xml:space="preserve">chronic workload ratio, match difficulty score, and average of the TQR scores were recorded for the analysis. In addition, the athletes performed countermovement-jump (CMJ) tests with and without the use of the arms 4 times over the season. Results: The season mean weekly ITL was 3733 (1228) AU and the TQR was 15.02 (0.71). The ITL and recovery demonstrated undulating dynamics over the 36 wk, with higher weekly ITL in the preparatory periods (F = 50.32; P &lt;.001) and worse recovery during the main competition (F = 6.47; P =.004). Negative correlations were found between TQR and ITL variables (P &lt;.05). There was improvement and maintenance in CMJ tests without (F = 11.88; P &lt;.001) and with (F = 16.02; P &lt;.001) the use of the arms after the preparatory periods. Conclusions: The ITL variables, recovery, and physical performance changed significantly throughout a professional volleyball season. Despite the decrease in ITL during the main competitive period, the correct distribution of weekly ITL seems to be very important to guarantee the best recovery of athletes. ABSTRACT FROM AUTHOR","container-title":"International Journal of Sports Physiology &amp; Performance","ISSN":"15550265","issue":"9","journalAbbreviation":"International Journal of Sports Physiology &amp; Performance","page":"1182-1189","source":"EBSCOhost","title":"Monitoring Training Load, Recovery, and Performance of Brazilian Professional Volleyball Players During a Season","volume":"13","author":[{"family":"Debien","given":"Paula B."},{"family":"Mancini","given":"Marcelly"},{"family":"Coimbra","given":"Danilo R."},{"family":"Freitas","given":"Daniel G.S.","non-dropping-particle":"de"},{"family":"Miranda","given":"Renato"},{"family":"Bara Filho","given":"Maurício G."}],"issued":{"date-parts":[["2018",10]]}}},{"id":252,"uris":["http://zotero.org/users/6375206/items/FV59P8ZE"],"uri":["http://zotero.org/users/6375206/items/FV59P8ZE"],"itemData":{"id":252,"type":"article-journal","abstract":"Objectives: The purpose of this study was to analyse the association of the workload monotony and workload strain with the injury incidence with professional football players taking part in European football competitions. Methods: A total of 130 elite football players, from 5 teams playing European competitions, have been followed during a season. The internal workload was calculated using the Session Rate of Perceived Exertion method and the injuries were recorded. The 4-weeks, 3-weeks, 2-weeks and 1-week monotony (mean workload divided by workload standard deviation) and strain (absolute workload multiplied by monotony) were calculated on a daily basis, using a rolling days method. Results: The 4-weeks monotony was related to injury incidence. The relative risk (RR) of injury is decreased with an increase in 4-weeks monotony (RR = 0.72, 95% confidence interval [CI] 0.58–0.90; P = 0.004). The injury incidence was related to the 4-weeks strain. The RR of injury is increased with an increase 4-weeks strain (RR = 1.50, 95% CI 1.14–1.97; P = 0.004). Conclusions: The links between a high 4-weeks monotony and the injury incidence, and the links between a high 4-weeks strain and the injury incidence indicate that monotony and strain were associated with injury incidence in elite football players and require to be monitored. ABSTRACT FROM AUTHOR","container-title":"Science &amp; Medicine in Football","ISSN":"24734446","issue":"2","journalAbbreviation":"Science &amp; Medicine in Football","page":"105-108","source":"EBSCOhost","title":"Workload monotony, strain and non-contact injury incidence in professional football players","volume":"3","author":[{"family":"Delecroix","given":"Barthélémy"},{"family":"Mccall","given":"Alan"},{"family":"Dawson","given":"Brian"},{"family":"Berthoin","given":"Serge"},{"family":"Dupont","given":"Gregory"}],"issued":{"date-parts":[["2019",5]]}}},{"id":257,"uris":["http://zotero.org/users/6375206/items/9EY27I4B"],"uri":["http://zotero.org/users/6375206/items/9EY27I4B"],"itemData":{"id":257,"type":"article-journal","abstract":"Perceived changes due to training monotony, strain, sleep, stress, fatigue, muscle soreness and the influence of specific training sessions on the affective valence were explored in professional soccer players. Seventeen players completed the Hooper questionnaire, the ratings of perceived exertion and feeling scale (FS) every training/match day before and during the soccer season. Higher players' training loads were recorded during pre-season when compared with in-season period (2558.1 ± 262.4 vs. 1642.8 ± 169.3 a.u., p &lt; 0.01; respectively). The ratings of sleep, stress, fatigue and muscle soreness in pre-season were higher than those observed during in-season (p &lt; 0.01) whereas the feeling score was lower (p &lt; 0.01). Furthermore, training sessions, including technical/tactical work, induced an improved feeling score but linked with a lower training load when compared with sessions focus on physical emphasis (p &lt; 0.01). Pre-season period of training induces a significantly more strenuous and exhausting demands on professional soccer players compared with the in-season period at the elite level. ABSTRACT FROM AUTHOR","container-title":"Research in Sports Medicine","ISSN":"15438627","issue":"4","journalAbbreviation":"Research in Sports Medicine","page":"375-386","source":"EBSCOhost","title":"Changes of the psychophysical state and feeling of wellness of professional soccer players during pre-season and in-season periods","volume":"24","author":[{"family":"Fessi","given":"Mohamed Saifeddin"},{"family":"Nouira","given":"Sabeur"},{"family":"Dellal","given":"Alexandre"},{"family":"Owen","given":"Adam"},{"family":"Elloumi","given":"Mohamed"},{"family":"Moalla","given":"Wassim"}],"issued":{"date-parts":[["2016",10]]}}}],"schema":"https://github.com/citation-style-language/schema/raw/master/csl-citation.json"} </w:instrText>
      </w:r>
      <w:r w:rsidR="009A31C0">
        <w:rPr>
          <w:rFonts w:ascii="Times New Roman" w:hAnsi="Times New Roman" w:cs="Times New Roman"/>
        </w:rPr>
        <w:fldChar w:fldCharType="separate"/>
      </w:r>
      <w:r w:rsidR="009A31C0">
        <w:rPr>
          <w:rFonts w:ascii="Times New Roman" w:hAnsi="Times New Roman" w:cs="Times New Roman"/>
          <w:noProof/>
        </w:rPr>
        <w:t>(Clemente et al., 2020; Debien et al., 2018; Delecroix et al., 2019; Fessi et al., 2016)</w:t>
      </w:r>
      <w:r w:rsidR="009A31C0">
        <w:rPr>
          <w:rFonts w:ascii="Times New Roman" w:hAnsi="Times New Roman" w:cs="Times New Roman"/>
        </w:rPr>
        <w:fldChar w:fldCharType="end"/>
      </w:r>
      <w:r w:rsidR="009A31C0">
        <w:rPr>
          <w:rFonts w:ascii="Times New Roman" w:hAnsi="Times New Roman" w:cs="Times New Roman"/>
        </w:rPr>
        <w:t xml:space="preserve">. </w:t>
      </w:r>
      <w:r w:rsidR="005E3271">
        <w:rPr>
          <w:rFonts w:ascii="Times New Roman" w:hAnsi="Times New Roman" w:cs="Times New Roman"/>
        </w:rPr>
        <w:lastRenderedPageBreak/>
        <w:t>One</w:t>
      </w:r>
      <w:r w:rsidR="00E27C83">
        <w:rPr>
          <w:rFonts w:ascii="Times New Roman" w:hAnsi="Times New Roman" w:cs="Times New Roman"/>
        </w:rPr>
        <w:t xml:space="preserve"> study lacked conclusive findings in preseason studies in elite gymnasts </w:t>
      </w:r>
      <w:r w:rsidR="00E27C83">
        <w:rPr>
          <w:rFonts w:ascii="Times New Roman" w:hAnsi="Times New Roman" w:cs="Times New Roman"/>
        </w:rPr>
        <w:fldChar w:fldCharType="begin"/>
      </w:r>
      <w:r w:rsidR="00E27C83">
        <w:rPr>
          <w:rFonts w:ascii="Times New Roman" w:hAnsi="Times New Roman" w:cs="Times New Roman"/>
        </w:rPr>
        <w:instrText xml:space="preserve"> ADDIN ZOTERO_ITEM CSL_CITATION {"citationID":"utxxpB5O","properties":{"formattedCitation":"(Debien et al., 2020)","plainCitation":"(Debien et al., 2020)","noteIndex":0},"citationItems":[{"id":209,"uris":["http://zotero.org/users/6375206/items/9V32EDLN"],"uri":["http://zotero.org/users/6375206/items/9V32EDLN"],"itemData":{"id":209,"type":"article-journal","abstract":"Rhythmic gymnastics requires a high level of complexity and perfection of technical gestures, associated with well-developed physical and artistic capacities. The training-load and recovery profiles of rhythmic gymnasts across a season are unknown.To analyze the training load and recovery of professional rhythmic gymnasts during 1 season.Cohort study.Brazilian National Training Center of Rhythmic Gymnastics and competition facilities.Eight gymnasts from the Brazilian national senior rhythmic gymnastics group.Session rating of perceived exertion (session-RPE) and total quality recovery (TQR) scores were collected daily for 43 weeks. We obtained the session-RPE after each session and TQR score before the first session of the day. Performances during 5 competitions were also recorded. The season was divided into 8 periods. Total weekly internal training load (wITL), training intensity, frequency, duration, recovery, and acute : chronic workload ratio were calculated for analysis.The season mean wITL was 10 381 ± 4894 arbitrary units, mean session-RPE score was 5.0 ± 1.6, and mean TQR score was 12.8 ± 1.3. The gymnasts trained an average of 8.7 ± 2.9 sessions per week, with a mean duration of 219 ± 36 minutes. Each competitive period showed increased wITL compared with the previous period. Training-load variables (wITL and session-RPE) and recovery were inversely correlated. Gymnasts were poorly recovered (TQR &amp;lt; 13) during 50.9% of the season (n = 167 times), especially during competitive weeks. Spikes in load (acute : chronic workload ratio ≥ 1.5) occurred across 18.1% of the season (n = 55 times).The training-load variables and recovery changed throughout a professional rhythmic gymnastics group season, mainly during competitive periods. The correct distribution of training load is critical to ensure that gymnasts are entering competitions in a recovered state.","container-title":"Journal of Athletic Training","DOI":"10.4085/1062-6050-402.19","ISSN":"1062-6050","issue":"9","journalAbbreviation":"Journal of Athletic Training","page":"977-983","source":"Silverchair","title":"Training Load and Recovery During a Pre-Olympic Season in Professional Rhythmic Gymnasts","volume":"55","author":[{"family":"Debien","given":"Paula Barreiros"},{"family":"Miloski","given":"Bernardo"},{"family":"Werneck","given":"Francisco Zacaron"},{"family":"Timoteo","given":"Thiago Ferreira"},{"family":"Ferezin","given":"Camila"},{"family":"Filho","given":"Maurício Gattás Bara"},{"family":"Gabbett","given":"Tim J."}],"issued":{"date-parts":[["2020",7,30]]}}}],"schema":"https://github.com/citation-style-language/schema/raw/master/csl-citation.json"} </w:instrText>
      </w:r>
      <w:r w:rsidR="00E27C83">
        <w:rPr>
          <w:rFonts w:ascii="Times New Roman" w:hAnsi="Times New Roman" w:cs="Times New Roman"/>
        </w:rPr>
        <w:fldChar w:fldCharType="separate"/>
      </w:r>
      <w:r w:rsidR="00E27C83">
        <w:rPr>
          <w:rFonts w:ascii="Times New Roman" w:hAnsi="Times New Roman" w:cs="Times New Roman"/>
          <w:noProof/>
        </w:rPr>
        <w:t>(Debien et al., 2020)</w:t>
      </w:r>
      <w:r w:rsidR="00E27C83">
        <w:rPr>
          <w:rFonts w:ascii="Times New Roman" w:hAnsi="Times New Roman" w:cs="Times New Roman"/>
        </w:rPr>
        <w:fldChar w:fldCharType="end"/>
      </w:r>
      <w:r w:rsidR="002E4C43">
        <w:rPr>
          <w:rFonts w:ascii="Times New Roman" w:hAnsi="Times New Roman" w:cs="Times New Roman"/>
        </w:rPr>
        <w:t>. In the present study, monotony and strain scores were the lowest in SP2, which could be due to an intended tapering</w:t>
      </w:r>
      <w:r w:rsidR="00290E14">
        <w:rPr>
          <w:rFonts w:ascii="Times New Roman" w:hAnsi="Times New Roman" w:cs="Times New Roman"/>
        </w:rPr>
        <w:t xml:space="preserve"> and/or increased presence of reciprocating high/low training days</w:t>
      </w:r>
      <w:r w:rsidR="002E4C43">
        <w:rPr>
          <w:rFonts w:ascii="Times New Roman" w:hAnsi="Times New Roman" w:cs="Times New Roman"/>
        </w:rPr>
        <w:t xml:space="preserve"> as the season was approaching. </w:t>
      </w:r>
      <w:r w:rsidR="001866C5">
        <w:rPr>
          <w:rFonts w:ascii="Times New Roman" w:hAnsi="Times New Roman" w:cs="Times New Roman"/>
        </w:rPr>
        <w:t xml:space="preserve">Similarly, </w:t>
      </w:r>
      <w:r w:rsidR="006621BD">
        <w:rPr>
          <w:rFonts w:ascii="Times New Roman" w:hAnsi="Times New Roman" w:cs="Times New Roman"/>
        </w:rPr>
        <w:t>a few studies have</w:t>
      </w:r>
      <w:r w:rsidR="001866C5">
        <w:rPr>
          <w:rFonts w:ascii="Times New Roman" w:hAnsi="Times New Roman" w:cs="Times New Roman"/>
        </w:rPr>
        <w:t xml:space="preserve"> found that monotony scores were higher in the preseason than in season </w:t>
      </w:r>
      <w:r w:rsidR="001866C5">
        <w:rPr>
          <w:rFonts w:ascii="Times New Roman" w:hAnsi="Times New Roman" w:cs="Times New Roman"/>
        </w:rPr>
        <w:fldChar w:fldCharType="begin"/>
      </w:r>
      <w:r w:rsidR="006621BD">
        <w:rPr>
          <w:rFonts w:ascii="Times New Roman" w:hAnsi="Times New Roman" w:cs="Times New Roman"/>
        </w:rPr>
        <w:instrText xml:space="preserve"> ADDIN ZOTERO_ITEM CSL_CITATION {"citationID":"YaXdUW9Q","properties":{"formattedCitation":"(Clemente et al., 2020; Fessi et al., 2016)","plainCitation":"(Clemente et al., 2020; Fessi et al., 2016)","noteIndex":0},"citationItems":[{"id":255,"uris":["http://zotero.org/users/6375206/items/CFWATXGM"],"uri":["http://zotero.org/users/6375206/items/CFWATXGM"],"itemData":{"id":255,"type":"article-journal","abstract":"The aim of this study was to provide reference data of variation in external training loads for weekly periods within the annual season. Specifically, we aimed to compare the weekly acute load, monotony, and training strain of accelerometry-based measures across a professional soccer season (pre-season, first and second halves of the season) according to players' positions. Nineteen professional players were monitored daily for 45 weeks using an 18-Hz global positioning system to obtain measures of high metabolic load distance (HMLD), impacts, and high intensity accelerations and decelerations. Workload indices of acute load, training monotony, and training strain were calculated weekly for each of the measures. The HMLD had greater training strain values in the pre-season than in the first (p &lt; 0.001; d = 0.793) and second halves of the season (p &lt; 0.001; d = 0.858). Comparisons between playing positions showed that midfielders had the highest weekly acute load of HMLD (6901 arbitrary units [AU]), while central defenders had the lowest (4986 AU). The pre-season period was associated with the highest acute and strain load of HMLD and number of impacts, with a progressive decrease seen during the season. In conclusion, coaches should consider paying greater attention to variations in HMLD and impacts between periods of the season and between players to individualize training accordingly. ABSTRACT FROM AUTHOR","container-title":"Biology of Sport","ISSN":"0860021X","issue":"4","journalAbbreviation":"Biology of Sport","page":"389-403","source":"EBSCOhost","title":"Accelerometry-based variables in professional soccer players: comparisons between periods of the season and playing positions","title-short":"Accelerometry-based variables in professional soccer players","volume":"37","author":[{"family":"Clemente","given":"Filipe Manuel"},{"family":"Silva","given":"Rui"},{"family":"Ramirez-Campillo","given":"Rodrigo"},{"family":"Afonso","given":"José"},{"family":"Mendes","given":"Bruno"},{"literal":"Yung-Sheng Chen"}],"issued":{"date-parts":[["2020",10]]}}},{"id":257,"uris":["http://zotero.org/users/6375206/items/9EY27I4B"],"uri":["http://zotero.org/users/6375206/items/9EY27I4B"],"itemData":{"id":257,"type":"article-journal","abstract":"Perceived changes due to training monotony, strain, sleep, stress, fatigue, muscle soreness and the influence of specific training sessions on the affective valence were explored in professional soccer players. Seventeen players completed the Hooper questionnaire, the ratings of perceived exertion and feeling scale (FS) every training/match day before and during the soccer season. Higher players' training loads were recorded during pre-season when compared with in-season period (2558.1 ± 262.4 vs. 1642.8 ± 169.3 a.u., p &lt; 0.01; respectively). The ratings of sleep, stress, fatigue and muscle soreness in pre-season were higher than those observed during in-season (p &lt; 0.01) whereas the feeling score was lower (p &lt; 0.01). Furthermore, training sessions, including technical/tactical work, induced an improved feeling score but linked with a lower training load when compared with sessions focus on physical emphasis (p &lt; 0.01). Pre-season period of training induces a significantly more strenuous and exhausting demands on professional soccer players compared with the in-season period at the elite level. ABSTRACT FROM AUTHOR","container-title":"Research in Sports Medicine","ISSN":"15438627","issue":"4","journalAbbreviation":"Research in Sports Medicine","page":"375-386","source":"EBSCOhost","title":"Changes of the psychophysical state and feeling of wellness of professional soccer players during pre-season and in-season periods","volume":"24","author":[{"family":"Fessi","given":"Mohamed Saifeddin"},{"family":"Nouira","given":"Sabeur"},{"family":"Dellal","given":"Alexandre"},{"family":"Owen","given":"Adam"},{"family":"Elloumi","given":"Mohamed"},{"family":"Moalla","given":"Wassim"}],"issued":{"date-parts":[["2016",10]]}}}],"schema":"https://github.com/citation-style-language/schema/raw/master/csl-citation.json"} </w:instrText>
      </w:r>
      <w:r w:rsidR="001866C5">
        <w:rPr>
          <w:rFonts w:ascii="Times New Roman" w:hAnsi="Times New Roman" w:cs="Times New Roman"/>
        </w:rPr>
        <w:fldChar w:fldCharType="separate"/>
      </w:r>
      <w:r w:rsidR="006621BD">
        <w:rPr>
          <w:rFonts w:ascii="Times New Roman" w:hAnsi="Times New Roman" w:cs="Times New Roman"/>
          <w:noProof/>
        </w:rPr>
        <w:t>(Clemente et al., 2020; Fessi et al., 2016)</w:t>
      </w:r>
      <w:r w:rsidR="001866C5">
        <w:rPr>
          <w:rFonts w:ascii="Times New Roman" w:hAnsi="Times New Roman" w:cs="Times New Roman"/>
        </w:rPr>
        <w:fldChar w:fldCharType="end"/>
      </w:r>
      <w:r w:rsidR="001866C5">
        <w:rPr>
          <w:rFonts w:ascii="Times New Roman" w:hAnsi="Times New Roman" w:cs="Times New Roman"/>
        </w:rPr>
        <w:t xml:space="preserve">. </w:t>
      </w:r>
      <w:r w:rsidR="00A776DE">
        <w:rPr>
          <w:rFonts w:ascii="Times New Roman" w:hAnsi="Times New Roman" w:cs="Times New Roman"/>
        </w:rPr>
        <w:t>Clemente et al.</w:t>
      </w:r>
      <w:r w:rsidR="00ED75BB">
        <w:rPr>
          <w:rFonts w:ascii="Times New Roman" w:hAnsi="Times New Roman" w:cs="Times New Roman"/>
        </w:rPr>
        <w:t xml:space="preserve"> </w:t>
      </w:r>
      <w:r w:rsidR="00ED75BB">
        <w:rPr>
          <w:rFonts w:ascii="Times New Roman" w:hAnsi="Times New Roman" w:cs="Times New Roman"/>
        </w:rPr>
        <w:fldChar w:fldCharType="begin"/>
      </w:r>
      <w:r w:rsidR="00ED75BB">
        <w:rPr>
          <w:rFonts w:ascii="Times New Roman" w:hAnsi="Times New Roman" w:cs="Times New Roman"/>
        </w:rPr>
        <w:instrText xml:space="preserve"> ADDIN ZOTERO_ITEM CSL_CITATION {"citationID":"MzrebBJ5","properties":{"formattedCitation":"(2020)","plainCitation":"(2020)","noteIndex":0},"citationItems":[{"id":255,"uris":["http://zotero.org/users/6375206/items/CFWATXGM"],"uri":["http://zotero.org/users/6375206/items/CFWATXGM"],"itemData":{"id":255,"type":"article-journal","abstract":"The aim of this study was to provide reference data of variation in external training loads for weekly periods within the annual season. Specifically, we aimed to compare the weekly acute load, monotony, and training strain of accelerometry-based measures across a professional soccer season (pre-season, first and second halves of the season) according to players' positions. Nineteen professional players were monitored daily for 45 weeks using an 18-Hz global positioning system to obtain measures of high metabolic load distance (HMLD), impacts, and high intensity accelerations and decelerations. Workload indices of acute load, training monotony, and training strain were calculated weekly for each of the measures. The HMLD had greater training strain values in the pre-season than in the first (p &lt; 0.001; d = 0.793) and second halves of the season (p &lt; 0.001; d = 0.858). Comparisons between playing positions showed that midfielders had the highest weekly acute load of HMLD (6901 arbitrary units [AU]), while central defenders had the lowest (4986 AU). The pre-season period was associated with the highest acute and strain load of HMLD and number of impacts, with a progressive decrease seen during the season. In conclusion, coaches should consider paying greater attention to variations in HMLD and impacts between periods of the season and between players to individualize training accordingly. ABSTRACT FROM AUTHOR","container-title":"Biology of Sport","ISSN":"0860021X","issue":"4","journalAbbreviation":"Biology of Sport","page":"389-403","source":"EBSCOhost","title":"Accelerometry-based variables in professional soccer players: comparisons between periods of the season and playing positions","title-short":"Accelerometry-based variables in professional soccer players","volume":"37","author":[{"family":"Clemente","given":"Filipe Manuel"},{"family":"Silva","given":"Rui"},{"family":"Ramirez-Campillo","given":"Rodrigo"},{"family":"Afonso","given":"José"},{"family":"Mendes","given":"Bruno"},{"literal":"Yung-Sheng Chen"}],"issued":{"date-parts":[["2020",10]]}},"suppress-author":true}],"schema":"https://github.com/citation-style-language/schema/raw/master/csl-citation.json"} </w:instrText>
      </w:r>
      <w:r w:rsidR="00ED75BB">
        <w:rPr>
          <w:rFonts w:ascii="Times New Roman" w:hAnsi="Times New Roman" w:cs="Times New Roman"/>
        </w:rPr>
        <w:fldChar w:fldCharType="separate"/>
      </w:r>
      <w:r w:rsidR="00ED75BB">
        <w:rPr>
          <w:rFonts w:ascii="Times New Roman" w:hAnsi="Times New Roman" w:cs="Times New Roman"/>
          <w:noProof/>
        </w:rPr>
        <w:t>(2020)</w:t>
      </w:r>
      <w:r w:rsidR="00ED75BB">
        <w:rPr>
          <w:rFonts w:ascii="Times New Roman" w:hAnsi="Times New Roman" w:cs="Times New Roman"/>
        </w:rPr>
        <w:fldChar w:fldCharType="end"/>
      </w:r>
      <w:r w:rsidR="00ED75BB">
        <w:rPr>
          <w:rFonts w:ascii="Times New Roman" w:hAnsi="Times New Roman" w:cs="Times New Roman"/>
        </w:rPr>
        <w:t xml:space="preserve"> </w:t>
      </w:r>
      <w:r w:rsidR="00A776DE">
        <w:rPr>
          <w:rFonts w:ascii="Times New Roman" w:hAnsi="Times New Roman" w:cs="Times New Roman"/>
        </w:rPr>
        <w:t xml:space="preserve">found that preseason monotony was significantly higher (p &gt; 0.001) </w:t>
      </w:r>
      <w:r w:rsidR="00290E14">
        <w:rPr>
          <w:rFonts w:ascii="Times New Roman" w:hAnsi="Times New Roman" w:cs="Times New Roman"/>
        </w:rPr>
        <w:t xml:space="preserve">in </w:t>
      </w:r>
      <w:r w:rsidR="00A776DE">
        <w:rPr>
          <w:rFonts w:ascii="Times New Roman" w:hAnsi="Times New Roman" w:cs="Times New Roman"/>
        </w:rPr>
        <w:t xml:space="preserve">the first and second halves of the </w:t>
      </w:r>
      <w:r w:rsidR="00290E14">
        <w:rPr>
          <w:rFonts w:ascii="Times New Roman" w:hAnsi="Times New Roman" w:cs="Times New Roman"/>
        </w:rPr>
        <w:t>pre</w:t>
      </w:r>
      <w:r w:rsidR="00A776DE">
        <w:rPr>
          <w:rFonts w:ascii="Times New Roman" w:hAnsi="Times New Roman" w:cs="Times New Roman"/>
        </w:rPr>
        <w:t xml:space="preserve">season, with no significant differences (p = 0.990) between the first and second half of the </w:t>
      </w:r>
      <w:r w:rsidR="00ED75BB">
        <w:rPr>
          <w:rFonts w:ascii="Times New Roman" w:hAnsi="Times New Roman" w:cs="Times New Roman"/>
        </w:rPr>
        <w:t xml:space="preserve">competitive </w:t>
      </w:r>
      <w:r w:rsidR="00A776DE">
        <w:rPr>
          <w:rFonts w:ascii="Times New Roman" w:hAnsi="Times New Roman" w:cs="Times New Roman"/>
        </w:rPr>
        <w:t xml:space="preserve">season. </w:t>
      </w:r>
      <w:proofErr w:type="spellStart"/>
      <w:r w:rsidR="00A776DE">
        <w:rPr>
          <w:rFonts w:ascii="Times New Roman" w:hAnsi="Times New Roman" w:cs="Times New Roman"/>
        </w:rPr>
        <w:t>Fessi</w:t>
      </w:r>
      <w:proofErr w:type="spellEnd"/>
      <w:r w:rsidR="00A776DE">
        <w:rPr>
          <w:rFonts w:ascii="Times New Roman" w:hAnsi="Times New Roman" w:cs="Times New Roman"/>
        </w:rPr>
        <w:t xml:space="preserve"> et al. </w:t>
      </w:r>
      <w:r w:rsidR="00ED75BB">
        <w:rPr>
          <w:rFonts w:ascii="Times New Roman" w:hAnsi="Times New Roman" w:cs="Times New Roman"/>
        </w:rPr>
        <w:t xml:space="preserve">(2016) </w:t>
      </w:r>
      <w:r w:rsidR="00A776DE">
        <w:rPr>
          <w:rFonts w:ascii="Times New Roman" w:hAnsi="Times New Roman" w:cs="Times New Roman"/>
        </w:rPr>
        <w:t xml:space="preserve">had similar findings with a significant difference between preseason and in season monotony (p &gt; 0.01). </w:t>
      </w:r>
      <w:r w:rsidR="00905E0C">
        <w:rPr>
          <w:rFonts w:ascii="Times New Roman" w:hAnsi="Times New Roman" w:cs="Times New Roman"/>
        </w:rPr>
        <w:t xml:space="preserve">Differences between preseason and in season </w:t>
      </w:r>
      <w:r w:rsidR="00ED75BB">
        <w:rPr>
          <w:rFonts w:ascii="Times New Roman" w:hAnsi="Times New Roman" w:cs="Times New Roman"/>
        </w:rPr>
        <w:t xml:space="preserve">monotony </w:t>
      </w:r>
      <w:r w:rsidR="00905E0C">
        <w:rPr>
          <w:rFonts w:ascii="Times New Roman" w:hAnsi="Times New Roman" w:cs="Times New Roman"/>
        </w:rPr>
        <w:t xml:space="preserve">could be due to increased intensity during competition as compared to practice, which might decrease weekly monotony. </w:t>
      </w:r>
      <w:r w:rsidR="005E3271">
        <w:rPr>
          <w:rFonts w:ascii="Times New Roman" w:hAnsi="Times New Roman" w:cs="Times New Roman"/>
        </w:rPr>
        <w:t xml:space="preserve">It seems that monitoring monotony may </w:t>
      </w:r>
      <w:r w:rsidR="00B24641">
        <w:rPr>
          <w:rFonts w:ascii="Times New Roman" w:hAnsi="Times New Roman" w:cs="Times New Roman"/>
        </w:rPr>
        <w:t>be an important piece of information to consider for avoidance of</w:t>
      </w:r>
      <w:r w:rsidR="005E3271">
        <w:rPr>
          <w:rFonts w:ascii="Times New Roman" w:hAnsi="Times New Roman" w:cs="Times New Roman"/>
        </w:rPr>
        <w:t xml:space="preserve"> overtraining and injury in collegiate and elite athletes.</w:t>
      </w:r>
      <w:r w:rsidR="00E76226">
        <w:rPr>
          <w:rFonts w:ascii="Times New Roman" w:hAnsi="Times New Roman" w:cs="Times New Roman"/>
        </w:rPr>
        <w:t xml:space="preserve"> </w:t>
      </w:r>
      <w:r w:rsidR="00100E75">
        <w:rPr>
          <w:rFonts w:ascii="Times New Roman" w:hAnsi="Times New Roman" w:cs="Times New Roman"/>
        </w:rPr>
        <w:t>Overall, t</w:t>
      </w:r>
      <w:r w:rsidR="006621BD">
        <w:rPr>
          <w:rFonts w:ascii="Times New Roman" w:hAnsi="Times New Roman" w:cs="Times New Roman"/>
        </w:rPr>
        <w:t>he present findings in monotony patterns</w:t>
      </w:r>
      <w:r w:rsidR="00ED75BB">
        <w:rPr>
          <w:rFonts w:ascii="Times New Roman" w:hAnsi="Times New Roman" w:cs="Times New Roman"/>
        </w:rPr>
        <w:t xml:space="preserve">, despite being concerning, </w:t>
      </w:r>
      <w:r w:rsidR="006621BD">
        <w:rPr>
          <w:rFonts w:ascii="Times New Roman" w:hAnsi="Times New Roman" w:cs="Times New Roman"/>
        </w:rPr>
        <w:t xml:space="preserve">are congruent with </w:t>
      </w:r>
      <w:r w:rsidR="00ED75BB">
        <w:rPr>
          <w:rFonts w:ascii="Times New Roman" w:hAnsi="Times New Roman" w:cs="Times New Roman"/>
        </w:rPr>
        <w:t>most of the</w:t>
      </w:r>
      <w:r w:rsidR="006621BD">
        <w:rPr>
          <w:rFonts w:ascii="Times New Roman" w:hAnsi="Times New Roman" w:cs="Times New Roman"/>
        </w:rPr>
        <w:t xml:space="preserve"> previous literature. </w:t>
      </w:r>
    </w:p>
    <w:p w14:paraId="6178DE7F" w14:textId="3E3B3BA8" w:rsidR="00245568" w:rsidRDefault="00245568" w:rsidP="00245568">
      <w:pPr>
        <w:spacing w:line="480" w:lineRule="auto"/>
        <w:rPr>
          <w:rFonts w:ascii="Times New Roman" w:hAnsi="Times New Roman" w:cs="Times New Roman"/>
        </w:rPr>
      </w:pPr>
      <w:r>
        <w:rPr>
          <w:rFonts w:ascii="Times New Roman" w:hAnsi="Times New Roman" w:cs="Times New Roman"/>
        </w:rPr>
        <w:tab/>
        <w:t>The</w:t>
      </w:r>
      <w:r w:rsidR="00CE6111">
        <w:rPr>
          <w:rFonts w:ascii="Times New Roman" w:hAnsi="Times New Roman" w:cs="Times New Roman"/>
        </w:rPr>
        <w:t xml:space="preserve"> high</w:t>
      </w:r>
      <w:r>
        <w:rPr>
          <w:rFonts w:ascii="Times New Roman" w:hAnsi="Times New Roman" w:cs="Times New Roman"/>
        </w:rPr>
        <w:t xml:space="preserve"> monotony and strain findings seem contrary to the seemingly periodized external load measures in figures </w:t>
      </w:r>
      <w:r w:rsidR="007D1FF4">
        <w:rPr>
          <w:rFonts w:ascii="Times New Roman" w:hAnsi="Times New Roman" w:cs="Times New Roman"/>
        </w:rPr>
        <w:t>10</w:t>
      </w:r>
      <w:r>
        <w:rPr>
          <w:rFonts w:ascii="Times New Roman" w:hAnsi="Times New Roman" w:cs="Times New Roman"/>
        </w:rPr>
        <w:t>-1</w:t>
      </w:r>
      <w:r w:rsidR="007D1FF4">
        <w:rPr>
          <w:rFonts w:ascii="Times New Roman" w:hAnsi="Times New Roman" w:cs="Times New Roman"/>
        </w:rPr>
        <w:t>2</w:t>
      </w:r>
      <w:r>
        <w:rPr>
          <w:rFonts w:ascii="Times New Roman" w:hAnsi="Times New Roman" w:cs="Times New Roman"/>
        </w:rPr>
        <w:t xml:space="preserve">. However, monotony and strain findings are </w:t>
      </w:r>
      <w:proofErr w:type="gramStart"/>
      <w:r>
        <w:rPr>
          <w:rFonts w:ascii="Times New Roman" w:hAnsi="Times New Roman" w:cs="Times New Roman"/>
        </w:rPr>
        <w:t>fairly congruent</w:t>
      </w:r>
      <w:proofErr w:type="gramEnd"/>
      <w:r>
        <w:rPr>
          <w:rFonts w:ascii="Times New Roman" w:hAnsi="Times New Roman" w:cs="Times New Roman"/>
        </w:rPr>
        <w:t xml:space="preserve"> with changes in external load between training phases. </w:t>
      </w:r>
      <w:r w:rsidR="00440ADF">
        <w:rPr>
          <w:rFonts w:ascii="Times New Roman" w:hAnsi="Times New Roman" w:cs="Times New Roman"/>
        </w:rPr>
        <w:t xml:space="preserve">Monitoring internal and external load specifically for periodization may provide more insight into whether gymnastics coaching staffs have proper periodization strategies, if any. </w:t>
      </w:r>
    </w:p>
    <w:p w14:paraId="66731DB0" w14:textId="4FBBF87B" w:rsidR="00CE6111" w:rsidRPr="005B15BA" w:rsidRDefault="000738B9" w:rsidP="0065584C">
      <w:pPr>
        <w:spacing w:line="480" w:lineRule="auto"/>
        <w:rPr>
          <w:rFonts w:ascii="Times New Roman" w:hAnsi="Times New Roman" w:cs="Times New Roman"/>
        </w:rPr>
      </w:pPr>
      <w:r>
        <w:rPr>
          <w:rFonts w:ascii="Times New Roman" w:hAnsi="Times New Roman" w:cs="Times New Roman"/>
        </w:rPr>
        <w:tab/>
        <w:t xml:space="preserve">Internal and external load measures, sleep, soreness, monotony, and strain measures may be valuable in elite female gymnasts. The present study showed similar findings to previous studies in other </w:t>
      </w:r>
      <w:r w:rsidR="001126F0">
        <w:rPr>
          <w:rFonts w:ascii="Times New Roman" w:hAnsi="Times New Roman" w:cs="Times New Roman"/>
        </w:rPr>
        <w:t xml:space="preserve">age and sport </w:t>
      </w:r>
      <w:r>
        <w:rPr>
          <w:rFonts w:ascii="Times New Roman" w:hAnsi="Times New Roman" w:cs="Times New Roman"/>
        </w:rPr>
        <w:t xml:space="preserve">populations. If such measures could be used to prevent or predict injury and overtraining in gymnasts, it would be </w:t>
      </w:r>
      <w:r w:rsidR="001126F0">
        <w:rPr>
          <w:rFonts w:ascii="Times New Roman" w:hAnsi="Times New Roman" w:cs="Times New Roman"/>
        </w:rPr>
        <w:t>vital</w:t>
      </w:r>
      <w:r>
        <w:rPr>
          <w:rFonts w:ascii="Times New Roman" w:hAnsi="Times New Roman" w:cs="Times New Roman"/>
        </w:rPr>
        <w:t xml:space="preserve"> for coaching staff</w:t>
      </w:r>
      <w:r w:rsidR="00ED75BB">
        <w:rPr>
          <w:rFonts w:ascii="Times New Roman" w:hAnsi="Times New Roman" w:cs="Times New Roman"/>
        </w:rPr>
        <w:t>s</w:t>
      </w:r>
      <w:r>
        <w:rPr>
          <w:rFonts w:ascii="Times New Roman" w:hAnsi="Times New Roman" w:cs="Times New Roman"/>
        </w:rPr>
        <w:t xml:space="preserve"> to </w:t>
      </w:r>
      <w:r w:rsidR="00075B64">
        <w:rPr>
          <w:rFonts w:ascii="Times New Roman" w:hAnsi="Times New Roman" w:cs="Times New Roman"/>
        </w:rPr>
        <w:t xml:space="preserve">do so. </w:t>
      </w:r>
      <w:r w:rsidR="0040511B">
        <w:rPr>
          <w:rFonts w:ascii="Times New Roman" w:hAnsi="Times New Roman" w:cs="Times New Roman"/>
        </w:rPr>
        <w:t xml:space="preserve">Increasing </w:t>
      </w:r>
      <w:r w:rsidR="0040511B">
        <w:rPr>
          <w:rFonts w:ascii="Times New Roman" w:hAnsi="Times New Roman" w:cs="Times New Roman"/>
        </w:rPr>
        <w:lastRenderedPageBreak/>
        <w:t>performance cannot be accomplished in a state of under</w:t>
      </w:r>
      <w:r w:rsidR="00ED75BB">
        <w:rPr>
          <w:rFonts w:ascii="Times New Roman" w:hAnsi="Times New Roman" w:cs="Times New Roman"/>
        </w:rPr>
        <w:t>-</w:t>
      </w:r>
      <w:r w:rsidR="0040511B">
        <w:rPr>
          <w:rFonts w:ascii="Times New Roman" w:hAnsi="Times New Roman" w:cs="Times New Roman"/>
        </w:rPr>
        <w:t>recovery, over</w:t>
      </w:r>
      <w:r w:rsidR="00ED75BB">
        <w:rPr>
          <w:rFonts w:ascii="Times New Roman" w:hAnsi="Times New Roman" w:cs="Times New Roman"/>
        </w:rPr>
        <w:t>-</w:t>
      </w:r>
      <w:r w:rsidR="0040511B">
        <w:rPr>
          <w:rFonts w:ascii="Times New Roman" w:hAnsi="Times New Roman" w:cs="Times New Roman"/>
        </w:rPr>
        <w:t>reaching, over</w:t>
      </w:r>
      <w:r w:rsidR="00ED75BB">
        <w:rPr>
          <w:rFonts w:ascii="Times New Roman" w:hAnsi="Times New Roman" w:cs="Times New Roman"/>
        </w:rPr>
        <w:t>-</w:t>
      </w:r>
      <w:r w:rsidR="0040511B">
        <w:rPr>
          <w:rFonts w:ascii="Times New Roman" w:hAnsi="Times New Roman" w:cs="Times New Roman"/>
        </w:rPr>
        <w:t xml:space="preserve">training, or injury. </w:t>
      </w:r>
    </w:p>
    <w:p w14:paraId="0CEF350F" w14:textId="6EF920FB" w:rsidR="002715C0" w:rsidRPr="002715C0" w:rsidRDefault="002715C0" w:rsidP="005B15BA">
      <w:pPr>
        <w:pStyle w:val="Heading3"/>
      </w:pPr>
      <w:bookmarkStart w:id="31" w:name="_Toc85791417"/>
      <w:r>
        <w:t>Limitations</w:t>
      </w:r>
      <w:bookmarkEnd w:id="31"/>
    </w:p>
    <w:p w14:paraId="3AB3E178" w14:textId="7FA2F820" w:rsidR="0008460C" w:rsidRDefault="004C6903" w:rsidP="0065584C">
      <w:pPr>
        <w:spacing w:line="480" w:lineRule="auto"/>
        <w:rPr>
          <w:rFonts w:ascii="Times New Roman" w:hAnsi="Times New Roman" w:cs="Times New Roman"/>
        </w:rPr>
      </w:pPr>
      <w:r>
        <w:rPr>
          <w:rFonts w:ascii="Times New Roman" w:hAnsi="Times New Roman" w:cs="Times New Roman"/>
        </w:rPr>
        <w:tab/>
        <w:t>As a retrospective study, several limitations exist</w:t>
      </w:r>
      <w:r w:rsidR="009D4EBD">
        <w:rPr>
          <w:rFonts w:ascii="Times New Roman" w:hAnsi="Times New Roman" w:cs="Times New Roman"/>
        </w:rPr>
        <w:t xml:space="preserve"> that may inhibit the fullest understanding of recovery and performance in elite female gymnasts</w:t>
      </w:r>
      <w:r>
        <w:rPr>
          <w:rFonts w:ascii="Times New Roman" w:hAnsi="Times New Roman" w:cs="Times New Roman"/>
        </w:rPr>
        <w:t>. Injury, individual academic schedules, and menstrual cycle data were unavailable</w:t>
      </w:r>
      <w:r w:rsidR="00514D2D">
        <w:rPr>
          <w:rFonts w:ascii="Times New Roman" w:hAnsi="Times New Roman" w:cs="Times New Roman"/>
        </w:rPr>
        <w:t xml:space="preserve">. </w:t>
      </w:r>
      <w:r w:rsidR="00655558">
        <w:rPr>
          <w:rFonts w:ascii="Times New Roman" w:hAnsi="Times New Roman" w:cs="Times New Roman"/>
        </w:rPr>
        <w:t xml:space="preserve">As studies have shown that high external load factors can contribute to injury, mental stress contributes to decreases in performance, and </w:t>
      </w:r>
      <w:r w:rsidR="00314A10">
        <w:rPr>
          <w:rFonts w:ascii="Times New Roman" w:hAnsi="Times New Roman" w:cs="Times New Roman"/>
        </w:rPr>
        <w:t xml:space="preserve">the </w:t>
      </w:r>
      <w:r w:rsidR="00655558">
        <w:rPr>
          <w:rFonts w:ascii="Times New Roman" w:hAnsi="Times New Roman" w:cs="Times New Roman"/>
        </w:rPr>
        <w:t>menstrual cycle</w:t>
      </w:r>
      <w:r w:rsidR="00314A10">
        <w:rPr>
          <w:rFonts w:ascii="Times New Roman" w:hAnsi="Times New Roman" w:cs="Times New Roman"/>
        </w:rPr>
        <w:t xml:space="preserve"> has </w:t>
      </w:r>
      <w:r w:rsidR="00ED75BB">
        <w:rPr>
          <w:rFonts w:ascii="Times New Roman" w:hAnsi="Times New Roman" w:cs="Times New Roman"/>
        </w:rPr>
        <w:t xml:space="preserve">been shown to </w:t>
      </w:r>
      <w:r w:rsidR="00655558">
        <w:rPr>
          <w:rFonts w:ascii="Times New Roman" w:hAnsi="Times New Roman" w:cs="Times New Roman"/>
        </w:rPr>
        <w:t xml:space="preserve">affect many </w:t>
      </w:r>
      <w:r w:rsidR="0008460C">
        <w:rPr>
          <w:rFonts w:ascii="Times New Roman" w:hAnsi="Times New Roman" w:cs="Times New Roman"/>
        </w:rPr>
        <w:t>measures</w:t>
      </w:r>
      <w:r w:rsidR="00ED75BB">
        <w:rPr>
          <w:rFonts w:ascii="Times New Roman" w:hAnsi="Times New Roman" w:cs="Times New Roman"/>
        </w:rPr>
        <w:t xml:space="preserve"> in female athletes </w:t>
      </w:r>
      <w:r w:rsidR="00314A10">
        <w:rPr>
          <w:rFonts w:ascii="Times New Roman" w:hAnsi="Times New Roman" w:cs="Times New Roman"/>
        </w:rPr>
        <w:t>s</w:t>
      </w:r>
      <w:r w:rsidR="00ED75BB">
        <w:rPr>
          <w:rFonts w:ascii="Times New Roman" w:hAnsi="Times New Roman" w:cs="Times New Roman"/>
        </w:rPr>
        <w:t xml:space="preserve">pecifically </w:t>
      </w:r>
      <w:r w:rsidR="00E87B27">
        <w:rPr>
          <w:rFonts w:ascii="Times New Roman" w:hAnsi="Times New Roman" w:cs="Times New Roman"/>
        </w:rPr>
        <w:fldChar w:fldCharType="begin"/>
      </w:r>
      <w:r w:rsidR="00C11CD7">
        <w:rPr>
          <w:rFonts w:ascii="Times New Roman" w:hAnsi="Times New Roman" w:cs="Times New Roman"/>
        </w:rPr>
        <w:instrText xml:space="preserve"> ADDIN ZOTERO_ITEM CSL_CITATION {"citationID":"lGAQsRXE","properties":{"formattedCitation":"(Cristina-Souza et al., 2019; Freemas et al., 2021)","plainCitation":"(Cristina-Souza et al., 2019; Freemas et al., 2021)","noteIndex":0},"citationItems":[{"id":271,"uris":["http://zotero.org/users/6375206/items/J4FQXB6H"],"uri":["http://zotero.org/users/6375206/items/J4FQXB6H"],"itemData":{"id":271,"type":"article-journal","abstract":"The menstrual cycle (MC) phases carry to several psychophysiological alterations; however, no study has investigated the impact of MC phases on training load or technical training. In the present study, we investigated the effect of the follicular phase (FP), ovulatory phase (OP), and luteal phase (LP) on training load and technical training in young athletes. Twelve female athletes performed regular daily training sessions with the rating of perceived exertion (RPE) and duration being registered every session. Training impulse (TRIMP), monotony and strain were calculated. MC symptoms, RPE, and duration were also measured during technical training, which was carried out on a specific day during each phase. The TRIMP was not affected by MC phases during regular training (p &gt;.05), but training monotony and strain were higher in FP compared to OP (p &lt;.05). During the technical training, MC phases did not affect RPE (p &gt;.05), but the session was longer in both FP and LP, compared to OP (p &lt;.05). MC symptoms were exacerbated in FP compared to both OP and LP (p &lt;.05). These findings suggest that MC disorders were elevated during FP, which indicate that monitoring MC phases might provide important feedbacks for programming training and expected results during competitions. ABSTRACT FROM AUTHOR","container-title":"Journal of Sports Sciences","ISSN":"02640414","issue":"16","page":"1824-1830","source":"EBSCOhost","title":"Menstrual cycle alters training strain, monotony, and technical training length in young","volume":"37","author":[{"family":"Cristina-Souza","given":"Gislaine"},{"family":"Santos-Mariano","given":"Ana C."},{"family":"Souza-Rodrigues","given":"Carla C."},{"family":"Osiecki","given":"Raul"},{"family":"Silva","given":"Sandro F."},{"family":"Lima-Silva","given":"Adriano E."},{"family":"De Oliveira","given":"Fernando R."}],"issued":{"date-parts":[["2019",8,15]]}}},{"id":273,"uris":["http://zotero.org/users/6375206/items/HHW79A26"],"uri":["http://zotero.org/users/6375206/items/HHW79A26"],"itemData":{"id":273,"type":"article-journal","container-title":"Medicine &amp; Science in Sports &amp; Exercise","DOI":"10.1249/MSS.0000000000002464","ISSN":"1530-0315, 0195-9131","issue":"2","language":"en","page":"442-452","source":"DOI.org (Crossref)","title":"Exercise Performance Is Impaired during the Midluteal Phase of the Menstrual Cycle","volume":"53","author":[{"family":"Freemas","given":"Jessica A."},{"family":"Baranauskas","given":"Marissa N."},{"family":"Constantini","given":"Keren"},{"family":"Constantini","given":"Naama"},{"family":"Greenshields","given":"Joel T."},{"family":"Mickleborough","given":"Timothy D."},{"family":"Raglin","given":"John S."},{"family":"Schlader","given":"Zachary J."}],"issued":{"date-parts":[["2021",2]]}}}],"schema":"https://github.com/citation-style-language/schema/raw/master/csl-citation.json"} </w:instrText>
      </w:r>
      <w:r w:rsidR="00E87B27">
        <w:rPr>
          <w:rFonts w:ascii="Times New Roman" w:hAnsi="Times New Roman" w:cs="Times New Roman"/>
        </w:rPr>
        <w:fldChar w:fldCharType="separate"/>
      </w:r>
      <w:r w:rsidR="00C11CD7">
        <w:rPr>
          <w:rFonts w:ascii="Times New Roman" w:hAnsi="Times New Roman" w:cs="Times New Roman"/>
          <w:noProof/>
        </w:rPr>
        <w:t>(Cristina-Souza et al., 2019; Freemas et al., 2021)</w:t>
      </w:r>
      <w:r w:rsidR="00E87B27">
        <w:rPr>
          <w:rFonts w:ascii="Times New Roman" w:hAnsi="Times New Roman" w:cs="Times New Roman"/>
        </w:rPr>
        <w:fldChar w:fldCharType="end"/>
      </w:r>
      <w:r w:rsidR="00E87B27">
        <w:rPr>
          <w:rFonts w:ascii="Times New Roman" w:hAnsi="Times New Roman" w:cs="Times New Roman"/>
        </w:rPr>
        <w:t xml:space="preserve">. Monotony and strain have both been found to be </w:t>
      </w:r>
      <w:r w:rsidR="00C12047">
        <w:rPr>
          <w:rFonts w:ascii="Times New Roman" w:hAnsi="Times New Roman" w:cs="Times New Roman"/>
        </w:rPr>
        <w:t>higher during the follicular phase vs. the ovulatory phase</w:t>
      </w:r>
      <w:r w:rsidR="00E87B27">
        <w:rPr>
          <w:rFonts w:ascii="Times New Roman" w:hAnsi="Times New Roman" w:cs="Times New Roman"/>
        </w:rPr>
        <w:t xml:space="preserve"> </w:t>
      </w:r>
      <w:r w:rsidR="00B95D75">
        <w:rPr>
          <w:rFonts w:ascii="Times New Roman" w:hAnsi="Times New Roman" w:cs="Times New Roman"/>
        </w:rPr>
        <w:t xml:space="preserve">demonstrating consideration is warranted to determine </w:t>
      </w:r>
      <w:r w:rsidR="005439D8">
        <w:rPr>
          <w:rFonts w:ascii="Times New Roman" w:hAnsi="Times New Roman" w:cs="Times New Roman"/>
        </w:rPr>
        <w:t xml:space="preserve">the </w:t>
      </w:r>
      <w:r w:rsidR="00B95D75">
        <w:rPr>
          <w:rFonts w:ascii="Times New Roman" w:hAnsi="Times New Roman" w:cs="Times New Roman"/>
        </w:rPr>
        <w:t xml:space="preserve">net effect of training vs. menstrual cycle phase </w:t>
      </w:r>
      <w:r w:rsidR="00E87B27">
        <w:rPr>
          <w:rFonts w:ascii="Times New Roman" w:hAnsi="Times New Roman" w:cs="Times New Roman"/>
        </w:rPr>
        <w:fldChar w:fldCharType="begin"/>
      </w:r>
      <w:r w:rsidR="00E87B27">
        <w:rPr>
          <w:rFonts w:ascii="Times New Roman" w:hAnsi="Times New Roman" w:cs="Times New Roman"/>
        </w:rPr>
        <w:instrText xml:space="preserve"> ADDIN ZOTERO_ITEM CSL_CITATION {"citationID":"Bmrydeg8","properties":{"formattedCitation":"(Cristina-Souza et al., 2019)","plainCitation":"(Cristina-Souza et al., 2019)","noteIndex":0},"citationItems":[{"id":271,"uris":["http://zotero.org/users/6375206/items/J4FQXB6H"],"uri":["http://zotero.org/users/6375206/items/J4FQXB6H"],"itemData":{"id":271,"type":"article-journal","abstract":"The menstrual cycle (MC) phases carry to several psychophysiological alterations; however, no study has investigated the impact of MC phases on training load or technical training. In the present study, we investigated the effect of the follicular phase (FP), ovulatory phase (OP), and luteal phase (LP) on training load and technical training in young athletes. Twelve female athletes performed regular daily training sessions with the rating of perceived exertion (RPE) and duration being registered every session. Training impulse (TRIMP), monotony and strain were calculated. MC symptoms, RPE, and duration were also measured during technical training, which was carried out on a specific day during each phase. The TRIMP was not affected by MC phases during regular training (p &gt;.05), but training monotony and strain were higher in FP compared to OP (p &lt;.05). During the technical training, MC phases did not affect RPE (p &gt;.05), but the session was longer in both FP and LP, compared to OP (p &lt;.05). MC symptoms were exacerbated in FP compared to both OP and LP (p &lt;.05). These findings suggest that MC disorders were elevated during FP, which indicate that monitoring MC phases might provide important feedbacks for programming training and expected results during competitions. ABSTRACT FROM AUTHOR","container-title":"Journal of Sports Sciences","ISSN":"02640414","issue":"16","page":"1824-1830","source":"EBSCOhost","title":"Menstrual cycle alters training strain, monotony, and technical training length in young","volume":"37","author":[{"family":"Cristina-Souza","given":"Gislaine"},{"family":"Santos-Mariano","given":"Ana C."},{"family":"Souza-Rodrigues","given":"Carla C."},{"family":"Osiecki","given":"Raul"},{"family":"Silva","given":"Sandro F."},{"family":"Lima-Silva","given":"Adriano E."},{"family":"De Oliveira","given":"Fernando R."}],"issued":{"date-parts":[["2019",8,15]]}}}],"schema":"https://github.com/citation-style-language/schema/raw/master/csl-citation.json"} </w:instrText>
      </w:r>
      <w:r w:rsidR="00E87B27">
        <w:rPr>
          <w:rFonts w:ascii="Times New Roman" w:hAnsi="Times New Roman" w:cs="Times New Roman"/>
        </w:rPr>
        <w:fldChar w:fldCharType="separate"/>
      </w:r>
      <w:r w:rsidR="00E87B27">
        <w:rPr>
          <w:rFonts w:ascii="Times New Roman" w:hAnsi="Times New Roman" w:cs="Times New Roman"/>
          <w:noProof/>
        </w:rPr>
        <w:t>(Cristina-Souza et al., 2019)</w:t>
      </w:r>
      <w:r w:rsidR="00E87B27">
        <w:rPr>
          <w:rFonts w:ascii="Times New Roman" w:hAnsi="Times New Roman" w:cs="Times New Roman"/>
        </w:rPr>
        <w:fldChar w:fldCharType="end"/>
      </w:r>
      <w:r w:rsidR="00E87B27">
        <w:rPr>
          <w:rFonts w:ascii="Times New Roman" w:hAnsi="Times New Roman" w:cs="Times New Roman"/>
        </w:rPr>
        <w:t>.</w:t>
      </w:r>
      <w:r w:rsidR="00ED75BB">
        <w:rPr>
          <w:rFonts w:ascii="Times New Roman" w:hAnsi="Times New Roman" w:cs="Times New Roman"/>
        </w:rPr>
        <w:t xml:space="preserve"> </w:t>
      </w:r>
      <w:r w:rsidR="00C11CD7">
        <w:rPr>
          <w:rFonts w:ascii="Times New Roman" w:hAnsi="Times New Roman" w:cs="Times New Roman"/>
        </w:rPr>
        <w:t xml:space="preserve">Additionally, Freemas et al. (2021) found total mood disturbance (POMS) and fatigue to be increased during the midluteal phase, although no significant difference was found for RPE. </w:t>
      </w:r>
      <w:r w:rsidR="00ED75BB">
        <w:rPr>
          <w:rFonts w:ascii="Times New Roman" w:hAnsi="Times New Roman" w:cs="Times New Roman"/>
        </w:rPr>
        <w:t>Thus</w:t>
      </w:r>
      <w:r w:rsidR="00655558">
        <w:rPr>
          <w:rFonts w:ascii="Times New Roman" w:hAnsi="Times New Roman" w:cs="Times New Roman"/>
        </w:rPr>
        <w:t>, t</w:t>
      </w:r>
      <w:r w:rsidR="00BC0AA8">
        <w:rPr>
          <w:rFonts w:ascii="Times New Roman" w:hAnsi="Times New Roman" w:cs="Times New Roman"/>
        </w:rPr>
        <w:t>hese factors may play a role in internal and external loads or help further explain patterns in the data.</w:t>
      </w:r>
    </w:p>
    <w:p w14:paraId="063196F1" w14:textId="4FE5B1A0" w:rsidR="0058571E" w:rsidRDefault="003F2348" w:rsidP="00E708A6">
      <w:pPr>
        <w:spacing w:line="480" w:lineRule="auto"/>
        <w:ind w:firstLine="720"/>
        <w:rPr>
          <w:rFonts w:ascii="Times New Roman" w:hAnsi="Times New Roman" w:cs="Times New Roman"/>
        </w:rPr>
      </w:pPr>
      <w:r>
        <w:rPr>
          <w:rFonts w:ascii="Times New Roman" w:hAnsi="Times New Roman" w:cs="Times New Roman"/>
        </w:rPr>
        <w:t xml:space="preserve">The small sample size of one collegiate team </w:t>
      </w:r>
      <w:r w:rsidR="004924D5">
        <w:rPr>
          <w:rFonts w:ascii="Times New Roman" w:hAnsi="Times New Roman" w:cs="Times New Roman"/>
        </w:rPr>
        <w:t>is</w:t>
      </w:r>
      <w:r>
        <w:rPr>
          <w:rFonts w:ascii="Times New Roman" w:hAnsi="Times New Roman" w:cs="Times New Roman"/>
        </w:rPr>
        <w:t xml:space="preserve"> </w:t>
      </w:r>
      <w:r w:rsidR="00517AAD">
        <w:rPr>
          <w:rFonts w:ascii="Times New Roman" w:hAnsi="Times New Roman" w:cs="Times New Roman"/>
        </w:rPr>
        <w:t>restrictive</w:t>
      </w:r>
      <w:r>
        <w:rPr>
          <w:rFonts w:ascii="Times New Roman" w:hAnsi="Times New Roman" w:cs="Times New Roman"/>
        </w:rPr>
        <w:t xml:space="preserve">, and a larger </w:t>
      </w:r>
      <w:r w:rsidR="004E7066">
        <w:rPr>
          <w:rFonts w:ascii="Times New Roman" w:hAnsi="Times New Roman" w:cs="Times New Roman"/>
        </w:rPr>
        <w:t xml:space="preserve">and more diverse </w:t>
      </w:r>
      <w:r>
        <w:rPr>
          <w:rFonts w:ascii="Times New Roman" w:hAnsi="Times New Roman" w:cs="Times New Roman"/>
        </w:rPr>
        <w:t xml:space="preserve">sample in the future would give more power to the data. </w:t>
      </w:r>
      <w:r w:rsidR="00BD3713">
        <w:rPr>
          <w:rFonts w:ascii="Times New Roman" w:hAnsi="Times New Roman" w:cs="Times New Roman"/>
        </w:rPr>
        <w:t xml:space="preserve">As each participant was from the same team, </w:t>
      </w:r>
      <w:r w:rsidR="00ED75BB">
        <w:rPr>
          <w:rFonts w:ascii="Times New Roman" w:hAnsi="Times New Roman" w:cs="Times New Roman"/>
        </w:rPr>
        <w:t xml:space="preserve">trained by the same coaching staff, </w:t>
      </w:r>
      <w:r w:rsidR="00BD3713">
        <w:rPr>
          <w:rFonts w:ascii="Times New Roman" w:hAnsi="Times New Roman" w:cs="Times New Roman"/>
        </w:rPr>
        <w:t xml:space="preserve">any evidence of periodization or injury prevention can only be attributed to that team, and cannot be assumed for the entire sport or NCAA Division I Women’s Gymnastics. </w:t>
      </w:r>
      <w:r w:rsidR="00517AAD">
        <w:rPr>
          <w:rFonts w:ascii="Times New Roman" w:hAnsi="Times New Roman" w:cs="Times New Roman"/>
        </w:rPr>
        <w:t xml:space="preserve">However, looking at one team helped control, in part, for differences in the athlete/coach relationship, the day-to-variability in coaching methods across multiple teams, as well as talent differences that may affect the physical, mental, and emotional capacities for training and stress resiliency. </w:t>
      </w:r>
      <w:r w:rsidR="002715C0">
        <w:rPr>
          <w:rFonts w:ascii="Times New Roman" w:hAnsi="Times New Roman" w:cs="Times New Roman"/>
        </w:rPr>
        <w:t>The Catapult</w:t>
      </w:r>
      <w:r w:rsidR="004E7066">
        <w:rPr>
          <w:rFonts w:ascii="Times New Roman" w:hAnsi="Times New Roman" w:cs="Times New Roman"/>
        </w:rPr>
        <w:t xml:space="preserve"> trackers</w:t>
      </w:r>
      <w:r w:rsidR="002715C0">
        <w:rPr>
          <w:rFonts w:ascii="Times New Roman" w:hAnsi="Times New Roman" w:cs="Times New Roman"/>
        </w:rPr>
        <w:t xml:space="preserve"> were donned by the athletes and checked by </w:t>
      </w:r>
      <w:r w:rsidR="002715C0">
        <w:rPr>
          <w:rFonts w:ascii="Times New Roman" w:hAnsi="Times New Roman" w:cs="Times New Roman"/>
        </w:rPr>
        <w:lastRenderedPageBreak/>
        <w:t xml:space="preserve">the team’s coaching staff and the collection of the external load data was performed by </w:t>
      </w:r>
      <w:r w:rsidR="00ED75BB">
        <w:rPr>
          <w:rFonts w:ascii="Times New Roman" w:hAnsi="Times New Roman" w:cs="Times New Roman"/>
        </w:rPr>
        <w:t>the athletic trainer each day</w:t>
      </w:r>
      <w:r w:rsidR="002715C0">
        <w:rPr>
          <w:rFonts w:ascii="Times New Roman" w:hAnsi="Times New Roman" w:cs="Times New Roman"/>
        </w:rPr>
        <w:t xml:space="preserve">. </w:t>
      </w:r>
      <w:r w:rsidR="004E7066">
        <w:rPr>
          <w:rFonts w:ascii="Times New Roman" w:hAnsi="Times New Roman" w:cs="Times New Roman"/>
        </w:rPr>
        <w:t xml:space="preserve">Although </w:t>
      </w:r>
      <w:r w:rsidR="00ED75BB">
        <w:rPr>
          <w:rFonts w:ascii="Times New Roman" w:hAnsi="Times New Roman" w:cs="Times New Roman"/>
        </w:rPr>
        <w:t>the athletic trainer</w:t>
      </w:r>
      <w:r w:rsidR="004E7066">
        <w:rPr>
          <w:rFonts w:ascii="Times New Roman" w:hAnsi="Times New Roman" w:cs="Times New Roman"/>
        </w:rPr>
        <w:t xml:space="preserve"> and gymnasts were trained on the proper procedures, mistakes that disrupt data accuracy may have occurred.</w:t>
      </w:r>
      <w:r w:rsidR="00517AAD">
        <w:rPr>
          <w:rFonts w:ascii="Times New Roman" w:hAnsi="Times New Roman" w:cs="Times New Roman"/>
        </w:rPr>
        <w:t xml:space="preserve"> Nevertheless, there were no reported malfunctions with trackers, uploading of data, or timing related to their use.</w:t>
      </w:r>
    </w:p>
    <w:p w14:paraId="5AEE041F" w14:textId="7820EDB4" w:rsidR="001B5D86" w:rsidRDefault="001B5D86" w:rsidP="00E708A6">
      <w:pPr>
        <w:spacing w:line="480" w:lineRule="auto"/>
        <w:ind w:firstLine="720"/>
        <w:rPr>
          <w:rFonts w:ascii="Times New Roman" w:hAnsi="Times New Roman" w:cs="Times New Roman"/>
        </w:rPr>
      </w:pPr>
    </w:p>
    <w:p w14:paraId="224C076E" w14:textId="549A7E23" w:rsidR="001B5D86" w:rsidRDefault="001B5D86" w:rsidP="00E708A6">
      <w:pPr>
        <w:spacing w:line="480" w:lineRule="auto"/>
        <w:ind w:firstLine="720"/>
        <w:rPr>
          <w:rFonts w:ascii="Times New Roman" w:hAnsi="Times New Roman" w:cs="Times New Roman"/>
        </w:rPr>
      </w:pPr>
    </w:p>
    <w:p w14:paraId="45E5EB37" w14:textId="0DF476A5" w:rsidR="001B5D86" w:rsidRDefault="001B5D86" w:rsidP="00E708A6">
      <w:pPr>
        <w:spacing w:line="480" w:lineRule="auto"/>
        <w:ind w:firstLine="720"/>
        <w:rPr>
          <w:rFonts w:ascii="Times New Roman" w:hAnsi="Times New Roman" w:cs="Times New Roman"/>
        </w:rPr>
      </w:pPr>
    </w:p>
    <w:p w14:paraId="76784FFC" w14:textId="17D548EF" w:rsidR="001B5D86" w:rsidRDefault="001B5D86" w:rsidP="00E708A6">
      <w:pPr>
        <w:spacing w:line="480" w:lineRule="auto"/>
        <w:ind w:firstLine="720"/>
        <w:rPr>
          <w:rFonts w:ascii="Times New Roman" w:hAnsi="Times New Roman" w:cs="Times New Roman"/>
        </w:rPr>
      </w:pPr>
    </w:p>
    <w:p w14:paraId="6C5BB4EA" w14:textId="2D55A84B" w:rsidR="001B5D86" w:rsidRDefault="001B5D86" w:rsidP="00E708A6">
      <w:pPr>
        <w:spacing w:line="480" w:lineRule="auto"/>
        <w:ind w:firstLine="720"/>
        <w:rPr>
          <w:rFonts w:ascii="Times New Roman" w:hAnsi="Times New Roman" w:cs="Times New Roman"/>
        </w:rPr>
      </w:pPr>
    </w:p>
    <w:p w14:paraId="4A261DE3" w14:textId="039203CA" w:rsidR="001B5D86" w:rsidRDefault="001B5D86" w:rsidP="00E708A6">
      <w:pPr>
        <w:spacing w:line="480" w:lineRule="auto"/>
        <w:ind w:firstLine="720"/>
        <w:rPr>
          <w:rFonts w:ascii="Times New Roman" w:hAnsi="Times New Roman" w:cs="Times New Roman"/>
        </w:rPr>
      </w:pPr>
    </w:p>
    <w:p w14:paraId="13A813C2" w14:textId="12ADB572" w:rsidR="001B5D86" w:rsidRDefault="001B5D86" w:rsidP="00E708A6">
      <w:pPr>
        <w:spacing w:line="480" w:lineRule="auto"/>
        <w:ind w:firstLine="720"/>
        <w:rPr>
          <w:rFonts w:ascii="Times New Roman" w:hAnsi="Times New Roman" w:cs="Times New Roman"/>
        </w:rPr>
      </w:pPr>
    </w:p>
    <w:p w14:paraId="2D16847F" w14:textId="3CCD7E74" w:rsidR="001B5D86" w:rsidRDefault="001B5D86" w:rsidP="00E708A6">
      <w:pPr>
        <w:spacing w:line="480" w:lineRule="auto"/>
        <w:ind w:firstLine="720"/>
        <w:rPr>
          <w:rFonts w:ascii="Times New Roman" w:hAnsi="Times New Roman" w:cs="Times New Roman"/>
        </w:rPr>
      </w:pPr>
    </w:p>
    <w:p w14:paraId="32790B46" w14:textId="5AEE36A5" w:rsidR="001B5D86" w:rsidRDefault="001B5D86" w:rsidP="00E708A6">
      <w:pPr>
        <w:spacing w:line="480" w:lineRule="auto"/>
        <w:ind w:firstLine="720"/>
        <w:rPr>
          <w:rFonts w:ascii="Times New Roman" w:hAnsi="Times New Roman" w:cs="Times New Roman"/>
        </w:rPr>
      </w:pPr>
    </w:p>
    <w:p w14:paraId="7FB33B5E" w14:textId="61974E33" w:rsidR="001B5D86" w:rsidRDefault="001B5D86" w:rsidP="00E708A6">
      <w:pPr>
        <w:spacing w:line="480" w:lineRule="auto"/>
        <w:ind w:firstLine="720"/>
        <w:rPr>
          <w:rFonts w:ascii="Times New Roman" w:hAnsi="Times New Roman" w:cs="Times New Roman"/>
        </w:rPr>
      </w:pPr>
    </w:p>
    <w:p w14:paraId="049FEDFF" w14:textId="24A2F6C9" w:rsidR="001B5D86" w:rsidRDefault="001B5D86" w:rsidP="00E708A6">
      <w:pPr>
        <w:spacing w:line="480" w:lineRule="auto"/>
        <w:ind w:firstLine="720"/>
        <w:rPr>
          <w:rFonts w:ascii="Times New Roman" w:hAnsi="Times New Roman" w:cs="Times New Roman"/>
        </w:rPr>
      </w:pPr>
    </w:p>
    <w:p w14:paraId="1AE239A4" w14:textId="11869EE5" w:rsidR="001B5D86" w:rsidRDefault="001B5D86" w:rsidP="00E708A6">
      <w:pPr>
        <w:spacing w:line="480" w:lineRule="auto"/>
        <w:ind w:firstLine="720"/>
        <w:rPr>
          <w:rFonts w:ascii="Times New Roman" w:hAnsi="Times New Roman" w:cs="Times New Roman"/>
        </w:rPr>
      </w:pPr>
    </w:p>
    <w:p w14:paraId="748A8244" w14:textId="3E1178AF" w:rsidR="001B5D86" w:rsidRDefault="001B5D86" w:rsidP="00E708A6">
      <w:pPr>
        <w:spacing w:line="480" w:lineRule="auto"/>
        <w:ind w:firstLine="720"/>
        <w:rPr>
          <w:rFonts w:ascii="Times New Roman" w:hAnsi="Times New Roman" w:cs="Times New Roman"/>
        </w:rPr>
      </w:pPr>
    </w:p>
    <w:p w14:paraId="3F4FA7EE" w14:textId="6ECB0842" w:rsidR="001B5D86" w:rsidRDefault="001B5D86" w:rsidP="00E708A6">
      <w:pPr>
        <w:spacing w:line="480" w:lineRule="auto"/>
        <w:ind w:firstLine="720"/>
        <w:rPr>
          <w:rFonts w:ascii="Times New Roman" w:hAnsi="Times New Roman" w:cs="Times New Roman"/>
        </w:rPr>
      </w:pPr>
    </w:p>
    <w:p w14:paraId="7E08CF8C" w14:textId="3234217F" w:rsidR="001B5D86" w:rsidRDefault="001B5D86" w:rsidP="00E708A6">
      <w:pPr>
        <w:spacing w:line="480" w:lineRule="auto"/>
        <w:ind w:firstLine="720"/>
        <w:rPr>
          <w:rFonts w:ascii="Times New Roman" w:hAnsi="Times New Roman" w:cs="Times New Roman"/>
        </w:rPr>
      </w:pPr>
    </w:p>
    <w:p w14:paraId="14F5C7C0" w14:textId="56D2C7A0" w:rsidR="001B5D86" w:rsidRDefault="001B5D86" w:rsidP="00E708A6">
      <w:pPr>
        <w:spacing w:line="480" w:lineRule="auto"/>
        <w:ind w:firstLine="720"/>
        <w:rPr>
          <w:rFonts w:ascii="Times New Roman" w:hAnsi="Times New Roman" w:cs="Times New Roman"/>
        </w:rPr>
      </w:pPr>
    </w:p>
    <w:p w14:paraId="6F412268" w14:textId="13EF37C1" w:rsidR="001B5D86" w:rsidRDefault="001B5D86" w:rsidP="00E708A6">
      <w:pPr>
        <w:spacing w:line="480" w:lineRule="auto"/>
        <w:ind w:firstLine="720"/>
        <w:rPr>
          <w:rFonts w:ascii="Times New Roman" w:hAnsi="Times New Roman" w:cs="Times New Roman"/>
        </w:rPr>
      </w:pPr>
    </w:p>
    <w:p w14:paraId="5B3AAA53" w14:textId="77777777" w:rsidR="001B5D86" w:rsidRDefault="001B5D86" w:rsidP="00E708A6">
      <w:pPr>
        <w:spacing w:line="480" w:lineRule="auto"/>
        <w:ind w:firstLine="720"/>
        <w:rPr>
          <w:rFonts w:ascii="Times New Roman" w:hAnsi="Times New Roman" w:cs="Times New Roman"/>
        </w:rPr>
      </w:pPr>
    </w:p>
    <w:p w14:paraId="2F77124C" w14:textId="4F40D232" w:rsidR="0065584C" w:rsidRPr="0065584C" w:rsidRDefault="0065584C" w:rsidP="005B15BA">
      <w:pPr>
        <w:pStyle w:val="Heading1"/>
      </w:pPr>
      <w:bookmarkStart w:id="32" w:name="_Toc85791418"/>
      <w:r w:rsidRPr="0065584C">
        <w:lastRenderedPageBreak/>
        <w:t>Chapter V - Conclusions</w:t>
      </w:r>
      <w:bookmarkEnd w:id="32"/>
    </w:p>
    <w:p w14:paraId="0605AFB3" w14:textId="77777777" w:rsidR="0065584C" w:rsidRDefault="0065584C" w:rsidP="0065584C">
      <w:pPr>
        <w:spacing w:line="480" w:lineRule="auto"/>
        <w:rPr>
          <w:rFonts w:ascii="Times New Roman" w:hAnsi="Times New Roman" w:cs="Times New Roman"/>
        </w:rPr>
      </w:pPr>
      <w:r>
        <w:rPr>
          <w:rFonts w:ascii="Times New Roman" w:hAnsi="Times New Roman" w:cs="Times New Roman"/>
        </w:rPr>
        <w:tab/>
        <w:t>The purpose of this study was to determine whether internal and external load monitoring are effective in female collegiate gymnasts. The main hypotheses were:</w:t>
      </w:r>
    </w:p>
    <w:p w14:paraId="23322173" w14:textId="7F848117" w:rsidR="0065584C" w:rsidRDefault="0065584C" w:rsidP="0065584C">
      <w:pPr>
        <w:pStyle w:val="ListParagraph"/>
        <w:numPr>
          <w:ilvl w:val="0"/>
          <w:numId w:val="21"/>
        </w:numPr>
        <w:spacing w:line="480" w:lineRule="auto"/>
        <w:rPr>
          <w:rFonts w:ascii="Times New Roman" w:hAnsi="Times New Roman" w:cs="Times New Roman"/>
        </w:rPr>
      </w:pPr>
      <w:r>
        <w:rPr>
          <w:rFonts w:ascii="Times New Roman" w:hAnsi="Times New Roman" w:cs="Times New Roman"/>
        </w:rPr>
        <w:t xml:space="preserve">Accelerometry-based external load measures </w:t>
      </w:r>
      <w:r w:rsidR="00ED75BB">
        <w:rPr>
          <w:rFonts w:ascii="Times New Roman" w:hAnsi="Times New Roman" w:cs="Times New Roman"/>
        </w:rPr>
        <w:t xml:space="preserve">will </w:t>
      </w:r>
      <w:r>
        <w:rPr>
          <w:rFonts w:ascii="Times New Roman" w:hAnsi="Times New Roman" w:cs="Times New Roman"/>
        </w:rPr>
        <w:t>differ across preseason training phases, with Skills/General Prep 1 being higher than Combinations/General Prep 2 and Practice Routines/Special Prep 1 being higher than Competitive Routines/Special Prep 2</w:t>
      </w:r>
      <w:r w:rsidRPr="00890E95">
        <w:rPr>
          <w:rFonts w:ascii="Times New Roman" w:hAnsi="Times New Roman" w:cs="Times New Roman"/>
        </w:rPr>
        <w:t xml:space="preserve">. </w:t>
      </w:r>
    </w:p>
    <w:p w14:paraId="5539EDD3" w14:textId="56E5E4F2" w:rsidR="0065584C" w:rsidRPr="006371C3" w:rsidRDefault="0065584C" w:rsidP="0065584C">
      <w:pPr>
        <w:spacing w:line="480" w:lineRule="auto"/>
        <w:rPr>
          <w:rFonts w:ascii="Times New Roman" w:hAnsi="Times New Roman" w:cs="Times New Roman"/>
        </w:rPr>
      </w:pPr>
      <w:r>
        <w:rPr>
          <w:rFonts w:ascii="Times New Roman" w:hAnsi="Times New Roman" w:cs="Times New Roman"/>
        </w:rPr>
        <w:t xml:space="preserve">All accelerometry-based measures did differ across training phases, showing a general trend of decreasing </w:t>
      </w:r>
      <w:r w:rsidR="00ED75BB">
        <w:rPr>
          <w:rFonts w:ascii="Times New Roman" w:hAnsi="Times New Roman" w:cs="Times New Roman"/>
        </w:rPr>
        <w:t xml:space="preserve">external </w:t>
      </w:r>
      <w:r>
        <w:rPr>
          <w:rFonts w:ascii="Times New Roman" w:hAnsi="Times New Roman" w:cs="Times New Roman"/>
        </w:rPr>
        <w:t>load</w:t>
      </w:r>
      <w:r w:rsidR="00ED75BB">
        <w:rPr>
          <w:rFonts w:ascii="Times New Roman" w:hAnsi="Times New Roman" w:cs="Times New Roman"/>
        </w:rPr>
        <w:t>ing</w:t>
      </w:r>
      <w:r>
        <w:rPr>
          <w:rFonts w:ascii="Times New Roman" w:hAnsi="Times New Roman" w:cs="Times New Roman"/>
        </w:rPr>
        <w:t xml:space="preserve"> as the preseason progresses. </w:t>
      </w:r>
    </w:p>
    <w:p w14:paraId="2A65A892" w14:textId="20D996AB" w:rsidR="0065584C" w:rsidRPr="002703B0" w:rsidRDefault="0065584C" w:rsidP="0065584C">
      <w:pPr>
        <w:pStyle w:val="ListParagraph"/>
        <w:numPr>
          <w:ilvl w:val="0"/>
          <w:numId w:val="21"/>
        </w:numPr>
        <w:spacing w:line="480" w:lineRule="auto"/>
        <w:rPr>
          <w:rFonts w:ascii="Times New Roman" w:hAnsi="Times New Roman" w:cs="Times New Roman"/>
        </w:rPr>
      </w:pPr>
      <w:r w:rsidRPr="002703B0">
        <w:rPr>
          <w:rFonts w:ascii="Times New Roman" w:hAnsi="Times New Roman" w:cs="Times New Roman"/>
        </w:rPr>
        <w:t xml:space="preserve">The highest external load scores </w:t>
      </w:r>
      <w:r w:rsidR="00517AAD">
        <w:rPr>
          <w:rFonts w:ascii="Times New Roman" w:hAnsi="Times New Roman" w:cs="Times New Roman"/>
        </w:rPr>
        <w:t>will</w:t>
      </w:r>
      <w:r w:rsidR="00517AAD" w:rsidRPr="002703B0">
        <w:rPr>
          <w:rFonts w:ascii="Times New Roman" w:hAnsi="Times New Roman" w:cs="Times New Roman"/>
        </w:rPr>
        <w:t xml:space="preserve"> </w:t>
      </w:r>
      <w:r w:rsidR="00E322FD">
        <w:rPr>
          <w:rFonts w:ascii="Times New Roman" w:hAnsi="Times New Roman" w:cs="Times New Roman"/>
        </w:rPr>
        <w:t xml:space="preserve">occur </w:t>
      </w:r>
      <w:r w:rsidRPr="002703B0">
        <w:rPr>
          <w:rFonts w:ascii="Times New Roman" w:hAnsi="Times New Roman" w:cs="Times New Roman"/>
        </w:rPr>
        <w:t xml:space="preserve">at the beginning and end of each training phase and the lowest external load measures </w:t>
      </w:r>
      <w:r w:rsidR="00E322FD">
        <w:rPr>
          <w:rFonts w:ascii="Times New Roman" w:hAnsi="Times New Roman" w:cs="Times New Roman"/>
        </w:rPr>
        <w:t>will occur</w:t>
      </w:r>
      <w:r w:rsidR="00E322FD" w:rsidRPr="002703B0">
        <w:rPr>
          <w:rFonts w:ascii="Times New Roman" w:hAnsi="Times New Roman" w:cs="Times New Roman"/>
        </w:rPr>
        <w:t xml:space="preserve"> </w:t>
      </w:r>
      <w:r w:rsidRPr="002703B0">
        <w:rPr>
          <w:rFonts w:ascii="Times New Roman" w:hAnsi="Times New Roman" w:cs="Times New Roman"/>
        </w:rPr>
        <w:t xml:space="preserve">in the middle of the training phases. High external load measures </w:t>
      </w:r>
      <w:r w:rsidR="00517AAD">
        <w:rPr>
          <w:rFonts w:ascii="Times New Roman" w:hAnsi="Times New Roman" w:cs="Times New Roman"/>
        </w:rPr>
        <w:t>will precede</w:t>
      </w:r>
      <w:r w:rsidR="00517AAD" w:rsidRPr="002703B0">
        <w:rPr>
          <w:rFonts w:ascii="Times New Roman" w:hAnsi="Times New Roman" w:cs="Times New Roman"/>
        </w:rPr>
        <w:t xml:space="preserve"> </w:t>
      </w:r>
      <w:r w:rsidRPr="002703B0">
        <w:rPr>
          <w:rFonts w:ascii="Times New Roman" w:hAnsi="Times New Roman" w:cs="Times New Roman"/>
        </w:rPr>
        <w:t>high soreness</w:t>
      </w:r>
      <w:r w:rsidR="00517AAD">
        <w:rPr>
          <w:rFonts w:ascii="Times New Roman" w:hAnsi="Times New Roman" w:cs="Times New Roman"/>
        </w:rPr>
        <w:t xml:space="preserve"> and</w:t>
      </w:r>
      <w:r w:rsidRPr="002703B0">
        <w:rPr>
          <w:rFonts w:ascii="Times New Roman" w:hAnsi="Times New Roman" w:cs="Times New Roman"/>
        </w:rPr>
        <w:t xml:space="preserve"> low sleep quality scores</w:t>
      </w:r>
      <w:r w:rsidR="002703B0" w:rsidRPr="002703B0">
        <w:rPr>
          <w:rFonts w:ascii="Times New Roman" w:hAnsi="Times New Roman" w:cs="Times New Roman"/>
        </w:rPr>
        <w:t>.</w:t>
      </w:r>
    </w:p>
    <w:p w14:paraId="1900B89E" w14:textId="06DF992F" w:rsidR="0065584C" w:rsidRPr="006371C3" w:rsidRDefault="0042162D" w:rsidP="0065584C">
      <w:pPr>
        <w:spacing w:line="480" w:lineRule="auto"/>
        <w:rPr>
          <w:rFonts w:ascii="Times New Roman" w:hAnsi="Times New Roman" w:cs="Times New Roman"/>
        </w:rPr>
      </w:pPr>
      <w:r>
        <w:rPr>
          <w:rFonts w:ascii="Times New Roman" w:hAnsi="Times New Roman" w:cs="Times New Roman"/>
        </w:rPr>
        <w:t xml:space="preserve">No noticeable trends in high and low external load scores within each training phase exist, however significant differences do exist between training phases. </w:t>
      </w:r>
      <w:r w:rsidR="00D07D82">
        <w:rPr>
          <w:rFonts w:ascii="Times New Roman" w:hAnsi="Times New Roman" w:cs="Times New Roman"/>
        </w:rPr>
        <w:t xml:space="preserve">No correlations were found between external load measures and soreness or sleep scores on the following day. </w:t>
      </w:r>
    </w:p>
    <w:p w14:paraId="4BB73521" w14:textId="794E49CA" w:rsidR="0065584C" w:rsidRPr="0016571C" w:rsidRDefault="0065584C" w:rsidP="0065584C">
      <w:pPr>
        <w:pStyle w:val="ListParagraph"/>
        <w:numPr>
          <w:ilvl w:val="0"/>
          <w:numId w:val="21"/>
        </w:numPr>
        <w:spacing w:line="480" w:lineRule="auto"/>
        <w:rPr>
          <w:rFonts w:ascii="Times New Roman" w:hAnsi="Times New Roman" w:cs="Times New Roman"/>
        </w:rPr>
      </w:pPr>
      <w:r w:rsidRPr="00DE3D95">
        <w:rPr>
          <w:rFonts w:ascii="Times New Roman" w:hAnsi="Times New Roman" w:cs="Times New Roman"/>
        </w:rPr>
        <w:t xml:space="preserve">Accelerometry-based external load measures </w:t>
      </w:r>
      <w:r w:rsidR="00E322FD">
        <w:rPr>
          <w:rFonts w:ascii="Times New Roman" w:hAnsi="Times New Roman" w:cs="Times New Roman"/>
        </w:rPr>
        <w:t>will be</w:t>
      </w:r>
      <w:r w:rsidR="00E322FD" w:rsidRPr="00DE3D95">
        <w:rPr>
          <w:rFonts w:ascii="Times New Roman" w:hAnsi="Times New Roman" w:cs="Times New Roman"/>
        </w:rPr>
        <w:t xml:space="preserve"> </w:t>
      </w:r>
      <w:r w:rsidRPr="00DE3D95">
        <w:rPr>
          <w:rFonts w:ascii="Times New Roman" w:hAnsi="Times New Roman" w:cs="Times New Roman"/>
        </w:rPr>
        <w:t>inversely related to sleep and recovery and directly related to soreness and stress.</w:t>
      </w:r>
    </w:p>
    <w:p w14:paraId="4E7E0183" w14:textId="77777777" w:rsidR="0065584C" w:rsidRDefault="0065584C" w:rsidP="0065584C">
      <w:pPr>
        <w:spacing w:line="480" w:lineRule="auto"/>
        <w:rPr>
          <w:rFonts w:ascii="Times New Roman" w:hAnsi="Times New Roman" w:cs="Times New Roman"/>
        </w:rPr>
      </w:pPr>
      <w:r>
        <w:rPr>
          <w:rFonts w:ascii="Times New Roman" w:hAnsi="Times New Roman" w:cs="Times New Roman"/>
        </w:rPr>
        <w:t>No correlations were found between external load and internal load measures, sleep, or soreness.</w:t>
      </w:r>
    </w:p>
    <w:p w14:paraId="530CE637" w14:textId="77777777" w:rsidR="0065584C" w:rsidRDefault="0065584C" w:rsidP="005B15BA">
      <w:pPr>
        <w:pStyle w:val="Heading3"/>
      </w:pPr>
      <w:bookmarkStart w:id="33" w:name="_Toc85791419"/>
      <w:r>
        <w:t>Practical Significance and Applications</w:t>
      </w:r>
      <w:bookmarkEnd w:id="33"/>
    </w:p>
    <w:p w14:paraId="30E8ADD7" w14:textId="5A7813FC" w:rsidR="0065584C" w:rsidRDefault="0065584C" w:rsidP="0065584C">
      <w:pPr>
        <w:spacing w:line="480" w:lineRule="auto"/>
        <w:rPr>
          <w:rFonts w:ascii="Times New Roman" w:hAnsi="Times New Roman" w:cs="Times New Roman"/>
        </w:rPr>
      </w:pPr>
      <w:r>
        <w:rPr>
          <w:rFonts w:ascii="Times New Roman" w:hAnsi="Times New Roman" w:cs="Times New Roman"/>
        </w:rPr>
        <w:tab/>
        <w:t xml:space="preserve">To our knowledge, this is the first study to use these measures in conjunction with one another in female NCAA Division I gymnasts. The implications of these findings are that internal and external load monitoring may be useful in elite female gymnasts </w:t>
      </w:r>
      <w:r w:rsidR="00E322FD">
        <w:rPr>
          <w:rFonts w:ascii="Times New Roman" w:hAnsi="Times New Roman" w:cs="Times New Roman"/>
        </w:rPr>
        <w:t>to</w:t>
      </w:r>
      <w:r>
        <w:rPr>
          <w:rFonts w:ascii="Times New Roman" w:hAnsi="Times New Roman" w:cs="Times New Roman"/>
        </w:rPr>
        <w:t xml:space="preserve"> </w:t>
      </w:r>
      <w:r w:rsidR="00E322FD">
        <w:rPr>
          <w:rFonts w:ascii="Times New Roman" w:hAnsi="Times New Roman" w:cs="Times New Roman"/>
        </w:rPr>
        <w:t xml:space="preserve">help </w:t>
      </w:r>
      <w:r>
        <w:rPr>
          <w:rFonts w:ascii="Times New Roman" w:hAnsi="Times New Roman" w:cs="Times New Roman"/>
        </w:rPr>
        <w:t xml:space="preserve">ensure </w:t>
      </w:r>
      <w:r>
        <w:rPr>
          <w:rFonts w:ascii="Times New Roman" w:hAnsi="Times New Roman" w:cs="Times New Roman"/>
        </w:rPr>
        <w:lastRenderedPageBreak/>
        <w:t xml:space="preserve">proper recovery and periodization in the present group. </w:t>
      </w:r>
      <w:r w:rsidR="00522730">
        <w:rPr>
          <w:rFonts w:ascii="Times New Roman" w:hAnsi="Times New Roman" w:cs="Times New Roman"/>
        </w:rPr>
        <w:t>Internal load, sleep, and soreness measures may be used by coaches to monitor their team’s preparedness to practice or compete</w:t>
      </w:r>
      <w:r w:rsidR="00E322FD">
        <w:rPr>
          <w:rFonts w:ascii="Times New Roman" w:hAnsi="Times New Roman" w:cs="Times New Roman"/>
        </w:rPr>
        <w:t xml:space="preserve"> through simple, time efficient questionnaires readily available via smart phone</w:t>
      </w:r>
      <w:r w:rsidR="00522730">
        <w:rPr>
          <w:rFonts w:ascii="Times New Roman" w:hAnsi="Times New Roman" w:cs="Times New Roman"/>
        </w:rPr>
        <w:t xml:space="preserve">. </w:t>
      </w:r>
      <w:r w:rsidR="00AE178B">
        <w:rPr>
          <w:rFonts w:ascii="Times New Roman" w:hAnsi="Times New Roman" w:cs="Times New Roman"/>
        </w:rPr>
        <w:t>External loads may hold more value in determining if proper periodization protocols are being incorporated into training</w:t>
      </w:r>
      <w:r w:rsidR="00E322FD">
        <w:rPr>
          <w:rFonts w:ascii="Times New Roman" w:hAnsi="Times New Roman" w:cs="Times New Roman"/>
        </w:rPr>
        <w:t>, yet the expense and expertise required to collect and analyze the data</w:t>
      </w:r>
      <w:r w:rsidR="00E322FD" w:rsidDel="00E322FD">
        <w:rPr>
          <w:rFonts w:ascii="Times New Roman" w:hAnsi="Times New Roman" w:cs="Times New Roman"/>
        </w:rPr>
        <w:t xml:space="preserve"> </w:t>
      </w:r>
      <w:r w:rsidR="00E322FD">
        <w:rPr>
          <w:rFonts w:ascii="Times New Roman" w:hAnsi="Times New Roman" w:cs="Times New Roman"/>
        </w:rPr>
        <w:t>may be problematic without the presence of a sport/data scientist</w:t>
      </w:r>
      <w:r w:rsidR="00AE178B">
        <w:rPr>
          <w:rFonts w:ascii="Times New Roman" w:hAnsi="Times New Roman" w:cs="Times New Roman"/>
        </w:rPr>
        <w:t>. The d</w:t>
      </w:r>
      <w:r>
        <w:rPr>
          <w:rFonts w:ascii="Times New Roman" w:hAnsi="Times New Roman" w:cs="Times New Roman"/>
        </w:rPr>
        <w:t xml:space="preserve">ifferences </w:t>
      </w:r>
      <w:r w:rsidR="00AE178B">
        <w:rPr>
          <w:rFonts w:ascii="Times New Roman" w:hAnsi="Times New Roman" w:cs="Times New Roman"/>
        </w:rPr>
        <w:t xml:space="preserve">observed </w:t>
      </w:r>
      <w:r>
        <w:rPr>
          <w:rFonts w:ascii="Times New Roman" w:hAnsi="Times New Roman" w:cs="Times New Roman"/>
        </w:rPr>
        <w:t xml:space="preserve">in </w:t>
      </w:r>
      <w:r w:rsidR="00AE178B">
        <w:rPr>
          <w:rFonts w:ascii="Times New Roman" w:hAnsi="Times New Roman" w:cs="Times New Roman"/>
        </w:rPr>
        <w:t xml:space="preserve">external </w:t>
      </w:r>
      <w:r>
        <w:rPr>
          <w:rFonts w:ascii="Times New Roman" w:hAnsi="Times New Roman" w:cs="Times New Roman"/>
        </w:rPr>
        <w:t xml:space="preserve">training loads </w:t>
      </w:r>
      <w:r w:rsidR="00AE178B">
        <w:rPr>
          <w:rFonts w:ascii="Times New Roman" w:hAnsi="Times New Roman" w:cs="Times New Roman"/>
        </w:rPr>
        <w:t xml:space="preserve">over the </w:t>
      </w:r>
      <w:r>
        <w:rPr>
          <w:rFonts w:ascii="Times New Roman" w:hAnsi="Times New Roman" w:cs="Times New Roman"/>
        </w:rPr>
        <w:t xml:space="preserve">different training phases may suggest that elite gymnastics </w:t>
      </w:r>
      <w:r w:rsidR="00B14530">
        <w:rPr>
          <w:rFonts w:ascii="Times New Roman" w:hAnsi="Times New Roman" w:cs="Times New Roman"/>
        </w:rPr>
        <w:t>employs</w:t>
      </w:r>
      <w:r>
        <w:rPr>
          <w:rFonts w:ascii="Times New Roman" w:hAnsi="Times New Roman" w:cs="Times New Roman"/>
        </w:rPr>
        <w:t xml:space="preserve"> more effective periodization strategies than previously </w:t>
      </w:r>
      <w:r w:rsidR="00E322FD">
        <w:rPr>
          <w:rFonts w:ascii="Times New Roman" w:hAnsi="Times New Roman" w:cs="Times New Roman"/>
        </w:rPr>
        <w:t>assumed</w:t>
      </w:r>
      <w:r>
        <w:rPr>
          <w:rFonts w:ascii="Times New Roman" w:hAnsi="Times New Roman" w:cs="Times New Roman"/>
        </w:rPr>
        <w:t xml:space="preserve">. </w:t>
      </w:r>
    </w:p>
    <w:p w14:paraId="6D410428" w14:textId="37717787" w:rsidR="007E1025" w:rsidRPr="0002551C" w:rsidRDefault="007E1025" w:rsidP="0065584C">
      <w:pPr>
        <w:spacing w:line="480" w:lineRule="auto"/>
        <w:rPr>
          <w:rFonts w:ascii="Times New Roman" w:hAnsi="Times New Roman" w:cs="Times New Roman"/>
        </w:rPr>
      </w:pPr>
      <w:r>
        <w:rPr>
          <w:rFonts w:ascii="Times New Roman" w:hAnsi="Times New Roman" w:cs="Times New Roman"/>
        </w:rPr>
        <w:tab/>
        <w:t xml:space="preserve">It is pertinent for athletes and coaching staff to move toward a common goal of decreasing </w:t>
      </w:r>
      <w:r w:rsidR="00AE178B">
        <w:rPr>
          <w:rFonts w:ascii="Times New Roman" w:hAnsi="Times New Roman" w:cs="Times New Roman"/>
        </w:rPr>
        <w:t xml:space="preserve">the prevalence of overtraining and </w:t>
      </w:r>
      <w:r>
        <w:rPr>
          <w:rFonts w:ascii="Times New Roman" w:hAnsi="Times New Roman" w:cs="Times New Roman"/>
        </w:rPr>
        <w:t>injury</w:t>
      </w:r>
      <w:r w:rsidR="00AE178B">
        <w:rPr>
          <w:rFonts w:ascii="Times New Roman" w:hAnsi="Times New Roman" w:cs="Times New Roman"/>
        </w:rPr>
        <w:t xml:space="preserve"> </w:t>
      </w:r>
      <w:r>
        <w:rPr>
          <w:rFonts w:ascii="Times New Roman" w:hAnsi="Times New Roman" w:cs="Times New Roman"/>
        </w:rPr>
        <w:t xml:space="preserve">in collegiate female gymnasts. </w:t>
      </w:r>
      <w:r w:rsidR="00AE178B">
        <w:rPr>
          <w:rFonts w:ascii="Times New Roman" w:hAnsi="Times New Roman" w:cs="Times New Roman"/>
        </w:rPr>
        <w:t>To</w:t>
      </w:r>
      <w:r w:rsidR="00ED0976">
        <w:rPr>
          <w:rFonts w:ascii="Times New Roman" w:hAnsi="Times New Roman" w:cs="Times New Roman"/>
        </w:rPr>
        <w:t xml:space="preserve"> increase performance and compete and train effectively, a state of recovery must be reached. </w:t>
      </w:r>
      <w:r w:rsidR="002F4098">
        <w:rPr>
          <w:rFonts w:ascii="Times New Roman" w:hAnsi="Times New Roman" w:cs="Times New Roman"/>
        </w:rPr>
        <w:t>Monitoring internal and external load and monotony</w:t>
      </w:r>
      <w:r w:rsidR="00AE178B">
        <w:rPr>
          <w:rFonts w:ascii="Times New Roman" w:hAnsi="Times New Roman" w:cs="Times New Roman"/>
        </w:rPr>
        <w:t>/strain ratios</w:t>
      </w:r>
      <w:r w:rsidR="002F4098">
        <w:rPr>
          <w:rFonts w:ascii="Times New Roman" w:hAnsi="Times New Roman" w:cs="Times New Roman"/>
        </w:rPr>
        <w:t xml:space="preserve"> may be key to accomplish</w:t>
      </w:r>
      <w:r w:rsidR="00AE178B">
        <w:rPr>
          <w:rFonts w:ascii="Times New Roman" w:hAnsi="Times New Roman" w:cs="Times New Roman"/>
        </w:rPr>
        <w:t>ing</w:t>
      </w:r>
      <w:r w:rsidR="002F4098">
        <w:rPr>
          <w:rFonts w:ascii="Times New Roman" w:hAnsi="Times New Roman" w:cs="Times New Roman"/>
        </w:rPr>
        <w:t xml:space="preserve"> this goal. </w:t>
      </w:r>
    </w:p>
    <w:p w14:paraId="6961CD1F" w14:textId="77777777" w:rsidR="0065584C" w:rsidRDefault="0065584C" w:rsidP="005B15BA">
      <w:pPr>
        <w:pStyle w:val="Heading3"/>
      </w:pPr>
      <w:bookmarkStart w:id="34" w:name="_Toc85791420"/>
      <w:r>
        <w:t>Future Study Recommendations</w:t>
      </w:r>
      <w:bookmarkEnd w:id="34"/>
    </w:p>
    <w:p w14:paraId="68070B0E" w14:textId="77777777" w:rsidR="0065584C" w:rsidRDefault="0065584C" w:rsidP="0065584C">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As a result of the lack of literature assessing utility of internal and external load measures in female athletes and gymnasts, future studies are warranted.</w:t>
      </w:r>
    </w:p>
    <w:p w14:paraId="71400E65" w14:textId="0238E16A" w:rsidR="0065584C" w:rsidRDefault="0065584C" w:rsidP="0065584C">
      <w:pPr>
        <w:spacing w:line="480" w:lineRule="auto"/>
        <w:ind w:firstLine="720"/>
        <w:rPr>
          <w:rFonts w:ascii="Times New Roman" w:hAnsi="Times New Roman" w:cs="Times New Roman"/>
        </w:rPr>
      </w:pPr>
      <w:r>
        <w:rPr>
          <w:rFonts w:ascii="Times New Roman" w:hAnsi="Times New Roman" w:cs="Times New Roman"/>
        </w:rPr>
        <w:t xml:space="preserve">In this population, further studies of differences in internal and external load dependent on </w:t>
      </w:r>
      <w:r w:rsidR="00AE178B">
        <w:rPr>
          <w:rFonts w:ascii="Times New Roman" w:hAnsi="Times New Roman" w:cs="Times New Roman"/>
        </w:rPr>
        <w:t xml:space="preserve">the competitive </w:t>
      </w:r>
      <w:r>
        <w:rPr>
          <w:rFonts w:ascii="Times New Roman" w:hAnsi="Times New Roman" w:cs="Times New Roman"/>
        </w:rPr>
        <w:t xml:space="preserve">events each gymnast </w:t>
      </w:r>
      <w:r w:rsidR="00AE178B">
        <w:rPr>
          <w:rFonts w:ascii="Times New Roman" w:hAnsi="Times New Roman" w:cs="Times New Roman"/>
        </w:rPr>
        <w:t>participates</w:t>
      </w:r>
      <w:r>
        <w:rPr>
          <w:rFonts w:ascii="Times New Roman" w:hAnsi="Times New Roman" w:cs="Times New Roman"/>
        </w:rPr>
        <w:t xml:space="preserve"> in </w:t>
      </w:r>
      <w:r w:rsidR="00AE178B">
        <w:rPr>
          <w:rFonts w:ascii="Times New Roman" w:hAnsi="Times New Roman" w:cs="Times New Roman"/>
        </w:rPr>
        <w:t xml:space="preserve">specifically </w:t>
      </w:r>
      <w:r>
        <w:rPr>
          <w:rFonts w:ascii="Times New Roman" w:hAnsi="Times New Roman" w:cs="Times New Roman"/>
        </w:rPr>
        <w:t>could be useful for further insight into whether individualized periodization and recovery could be necessary</w:t>
      </w:r>
      <w:r w:rsidR="00AE178B">
        <w:rPr>
          <w:rFonts w:ascii="Times New Roman" w:hAnsi="Times New Roman" w:cs="Times New Roman"/>
        </w:rPr>
        <w:t xml:space="preserve"> (</w:t>
      </w:r>
      <w:r w:rsidR="00E322FD">
        <w:rPr>
          <w:rFonts w:ascii="Times New Roman" w:hAnsi="Times New Roman" w:cs="Times New Roman"/>
        </w:rPr>
        <w:t>e.g.,</w:t>
      </w:r>
      <w:r w:rsidR="00AE178B">
        <w:rPr>
          <w:rFonts w:ascii="Times New Roman" w:hAnsi="Times New Roman" w:cs="Times New Roman"/>
        </w:rPr>
        <w:t xml:space="preserve"> a one event specialist vs. a </w:t>
      </w:r>
      <w:r w:rsidR="00E322FD">
        <w:rPr>
          <w:rFonts w:ascii="Times New Roman" w:hAnsi="Times New Roman" w:cs="Times New Roman"/>
        </w:rPr>
        <w:t>three-event</w:t>
      </w:r>
      <w:r w:rsidR="00AE178B">
        <w:rPr>
          <w:rFonts w:ascii="Times New Roman" w:hAnsi="Times New Roman" w:cs="Times New Roman"/>
        </w:rPr>
        <w:t xml:space="preserve"> gymnast)</w:t>
      </w:r>
      <w:r>
        <w:rPr>
          <w:rFonts w:ascii="Times New Roman" w:hAnsi="Times New Roman" w:cs="Times New Roman"/>
        </w:rPr>
        <w:t xml:space="preserve">. Competing and training for each event may require unique load and/or recovery, in which case, each gymnast may need different periodization and recovery measures. </w:t>
      </w:r>
    </w:p>
    <w:p w14:paraId="417531A0" w14:textId="74E0BDFD" w:rsidR="0065584C" w:rsidRDefault="0065584C" w:rsidP="0065584C">
      <w:pPr>
        <w:spacing w:line="480" w:lineRule="auto"/>
        <w:ind w:firstLine="720"/>
        <w:rPr>
          <w:rFonts w:ascii="Times New Roman" w:hAnsi="Times New Roman" w:cs="Times New Roman"/>
        </w:rPr>
      </w:pPr>
      <w:r>
        <w:rPr>
          <w:rFonts w:ascii="Times New Roman" w:hAnsi="Times New Roman" w:cs="Times New Roman"/>
        </w:rPr>
        <w:t xml:space="preserve">Secondly, using current internal and external load measures in conjunction with academic demands (i.e., exams, papers, presentations, etc.) may show effects in individual athletes training </w:t>
      </w:r>
      <w:r>
        <w:rPr>
          <w:rFonts w:ascii="Times New Roman" w:hAnsi="Times New Roman" w:cs="Times New Roman"/>
        </w:rPr>
        <w:lastRenderedPageBreak/>
        <w:t xml:space="preserve">load and recovery differently than the </w:t>
      </w:r>
      <w:proofErr w:type="gramStart"/>
      <w:r>
        <w:rPr>
          <w:rFonts w:ascii="Times New Roman" w:hAnsi="Times New Roman" w:cs="Times New Roman"/>
        </w:rPr>
        <w:t>team as a whole</w:t>
      </w:r>
      <w:proofErr w:type="gramEnd"/>
      <w:r>
        <w:rPr>
          <w:rFonts w:ascii="Times New Roman" w:hAnsi="Times New Roman" w:cs="Times New Roman"/>
        </w:rPr>
        <w:t xml:space="preserve">. It has been found that academic stressors can have an effect on performance in collegiate athletes </w:t>
      </w:r>
      <w:r>
        <w:rPr>
          <w:rFonts w:ascii="Times New Roman" w:hAnsi="Times New Roman" w:cs="Times New Roman"/>
        </w:rPr>
        <w:fldChar w:fldCharType="begin"/>
      </w:r>
      <w:r>
        <w:rPr>
          <w:rFonts w:ascii="Times New Roman" w:hAnsi="Times New Roman" w:cs="Times New Roman"/>
        </w:rPr>
        <w:instrText xml:space="preserve"> ADDIN ZOTERO_ITEM CSL_CITATION {"citationID":"nm95onkY","properties":{"formattedCitation":"(Hwang &amp; Choi, 2016; Marcora et al., 2009)","plainCitation":"(Hwang &amp; Choi, 2016; Marcora et al., 2009)","noteIndex":0},"citationItems":[{"id":139,"uris":["http://zotero.org/users/6375206/items/EM95GFPP"],"uri":["http://zotero.org/users/6375206/items/EM95GFPP"],"itemData":{"id":139,"type":"article-journal","abstract":"Collegiate student athletes face psychological stressors in adjusting to campus life. This study used preexisting, nationally representative data administered by the National Collegiate Athletic Association for student athletes in 2010 to explore the conjunctive relationships among demographics, personal characteristics, social contexts, and physical condition in predicting perceived stress. The number of valid samples was 19,967 from 609 member institutions. A data mining methodology (i.e., SEARCH) was applied to model the distribution of the perceived stress. Results showed that significant stressors included the variables related to academics, physical well-being, and social contexts. Academic anxiety was the most important predictor, and its interactions with abusive coaching behavior and an inclusive team environment were shown to reduce perceived stress. Sufficient sleep was also found as a moderator in the positive relationship between perceived stress and academic anxiety.","container-title":"Psychological Reports","DOI":"10.1177/0033294116674776","ISSN":"0033-2941","issue":"3","journalAbbreviation":"Psychol Rep","language":"en","note":"publisher: SAGE Publications Inc","page":"787-803","source":"SAGE Journals","title":"Data Mining in the Exploration of Stressors Among NCAA Student Athletes","volume":"119","author":[{"family":"Hwang","given":"Seunghyun"},{"family":"Choi","given":"Youngjun"}],"issued":{"date-parts":[["2016",12,1]]}}},{"id":173,"uris":["http://zotero.org/users/6375206/items/CRGWLK7I"],"uri":["http://zotero.org/users/6375206/items/CRGWLK7I"],"itemData":{"id":173,"type":"article-journal","abstract":"Mental fatigue is a psychobiological state caused by prolonged periods of demanding cognitive activity. Although the impact of mental fatigue on cognitive and skilled performance is well known, its effect on physical performance has not been thoroughly investigated. In this randomized crossover study, 16 subjects cycled to exhaustion at 80% of their peak power output after 90 min of a demanding cognitive task (mental fatigue) or 90 min of watching emotionally neutral documentaries (control). After experimental treatment, a mood questionnaire revealed a state of mental fatigue (P = 0.005) that significantly reduced time to exhaustion (640 ± 316 s) compared with the control condition (754 ± 339 s) (P = 0.003). This negative effect was not mediated by cardiorespiratory and musculoenergetic factors as physiological responses to intense exercise remained largely unaffected. Self-reported success and intrinsic motivation related to the physical task were also unaffected by prior cognitive activity. However, mentally fatigued subjects rated perception of effort during exercise to be significantly higher compared with the control condition (P = 0.007). As ratings of perceived exertion increased similarly over time in both conditions (P &lt; 0.001), mentally fatigued subjects reached their maximal level of perceived exertion and disengaged from the physical task earlier than in the control condition. In conclusion, our study provides experimental evidence that mental fatigue limits exercise tolerance in humans through higher perception of effort rather than cardiorespiratory and musculoenergetic mechanisms. Future research in this area should investigate the common neurocognitive resources shared by physical and mental activity.","container-title":"Journal of Applied Physiology","DOI":"10.1152/japplphysiol.91324.2008","ISSN":"8750-7587","issue":"3","note":"publisher: American Physiological Society","page":"857-864","source":"journals-physiology-org.ezproxy.lib.ou.edu (Atypon)","title":"Mental fatigue impairs physical performance in humans","volume":"106","author":[{"family":"Marcora","given":"Samuele M."},{"family":"Staiano","given":"Walter"},{"family":"Manning","given":"Victoria"}],"issued":{"date-parts":[["2009",3,1]]}}}],"schema":"https://github.com/citation-style-language/schema/raw/master/csl-citation.json"}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(Hwang &amp; Choi, 2016; Marcora et al., 2009)</w:t>
      </w:r>
      <w:r>
        <w:rPr>
          <w:rFonts w:ascii="Times New Roman" w:hAnsi="Times New Roman" w:cs="Times New Roman"/>
        </w:rPr>
        <w:fldChar w:fldCharType="end"/>
      </w:r>
      <w:r>
        <w:rPr>
          <w:rFonts w:ascii="Times New Roman" w:hAnsi="Times New Roman" w:cs="Times New Roman"/>
        </w:rPr>
        <w:t>. This could be pertinent to a more wholistic understanding of demand on NCAA gymnasts.</w:t>
      </w:r>
      <w:r w:rsidR="00AE178B">
        <w:rPr>
          <w:rFonts w:ascii="Times New Roman" w:hAnsi="Times New Roman" w:cs="Times New Roman"/>
        </w:rPr>
        <w:t xml:space="preserve"> Laying academic schedules on top of the expected training plan m</w:t>
      </w:r>
      <w:r w:rsidR="00B14530">
        <w:rPr>
          <w:rFonts w:ascii="Times New Roman" w:hAnsi="Times New Roman" w:cs="Times New Roman"/>
        </w:rPr>
        <w:t>a</w:t>
      </w:r>
      <w:r w:rsidR="00AE178B">
        <w:rPr>
          <w:rFonts w:ascii="Times New Roman" w:hAnsi="Times New Roman" w:cs="Times New Roman"/>
        </w:rPr>
        <w:t xml:space="preserve">y further clarify where adjustments need to be made in </w:t>
      </w:r>
      <w:r w:rsidR="00B14530">
        <w:rPr>
          <w:rFonts w:ascii="Times New Roman" w:hAnsi="Times New Roman" w:cs="Times New Roman"/>
        </w:rPr>
        <w:t>training or</w:t>
      </w:r>
      <w:r w:rsidR="00AE178B">
        <w:rPr>
          <w:rFonts w:ascii="Times New Roman" w:hAnsi="Times New Roman" w:cs="Times New Roman"/>
        </w:rPr>
        <w:t xml:space="preserve"> help with the interpretation of when performance declines or opportunities may manifest.</w:t>
      </w:r>
    </w:p>
    <w:p w14:paraId="31EB3805" w14:textId="53C4F1C4" w:rsidR="00E76226" w:rsidRDefault="00E76226" w:rsidP="0065584C">
      <w:pPr>
        <w:spacing w:line="480" w:lineRule="auto"/>
        <w:ind w:firstLine="720"/>
        <w:rPr>
          <w:rFonts w:ascii="Times New Roman" w:hAnsi="Times New Roman" w:cs="Times New Roman"/>
        </w:rPr>
      </w:pPr>
      <w:r>
        <w:rPr>
          <w:rFonts w:ascii="Times New Roman" w:hAnsi="Times New Roman" w:cs="Times New Roman"/>
        </w:rPr>
        <w:t xml:space="preserve">Third, further investigation into whether monotony and strain may </w:t>
      </w:r>
      <w:r w:rsidR="00D71F45">
        <w:rPr>
          <w:rFonts w:ascii="Times New Roman" w:hAnsi="Times New Roman" w:cs="Times New Roman"/>
        </w:rPr>
        <w:t xml:space="preserve">meaningfully </w:t>
      </w:r>
      <w:r>
        <w:rPr>
          <w:rFonts w:ascii="Times New Roman" w:hAnsi="Times New Roman" w:cs="Times New Roman"/>
        </w:rPr>
        <w:t xml:space="preserve">contribute to or predict injury and/or overtraining in gymnasts is warranted. With the various studies in collegiate and elite athletes in other sports showing such findings, similar patterns may exist in gymnasts. Such a study seems pertinent due to the extremely high monotony levels found in the present study in conjunction with the high injury rates in gymnasts present in previous studies.  </w:t>
      </w:r>
    </w:p>
    <w:p w14:paraId="47FDA78F" w14:textId="332399F0" w:rsidR="0065584C" w:rsidRDefault="0065584C" w:rsidP="0065584C">
      <w:pPr>
        <w:spacing w:line="480" w:lineRule="auto"/>
        <w:ind w:firstLine="720"/>
        <w:rPr>
          <w:rFonts w:ascii="Times New Roman" w:hAnsi="Times New Roman" w:cs="Times New Roman"/>
        </w:rPr>
      </w:pPr>
      <w:r>
        <w:rPr>
          <w:rFonts w:ascii="Times New Roman" w:hAnsi="Times New Roman" w:cs="Times New Roman"/>
        </w:rPr>
        <w:t xml:space="preserve">Finally, an investigation on </w:t>
      </w:r>
      <w:r w:rsidR="00AE178B">
        <w:rPr>
          <w:rFonts w:ascii="Times New Roman" w:hAnsi="Times New Roman" w:cs="Times New Roman"/>
        </w:rPr>
        <w:t xml:space="preserve">what role </w:t>
      </w:r>
      <w:r>
        <w:rPr>
          <w:rFonts w:ascii="Times New Roman" w:hAnsi="Times New Roman" w:cs="Times New Roman"/>
        </w:rPr>
        <w:t xml:space="preserve">academic class </w:t>
      </w:r>
      <w:r w:rsidR="00AE178B">
        <w:rPr>
          <w:rFonts w:ascii="Times New Roman" w:hAnsi="Times New Roman" w:cs="Times New Roman"/>
        </w:rPr>
        <w:t xml:space="preserve">plays in </w:t>
      </w:r>
      <w:r>
        <w:rPr>
          <w:rFonts w:ascii="Times New Roman" w:hAnsi="Times New Roman" w:cs="Times New Roman"/>
        </w:rPr>
        <w:t xml:space="preserve">recovery and stress measures may </w:t>
      </w:r>
      <w:r w:rsidR="00AE178B">
        <w:rPr>
          <w:rFonts w:ascii="Times New Roman" w:hAnsi="Times New Roman" w:cs="Times New Roman"/>
        </w:rPr>
        <w:t xml:space="preserve">be </w:t>
      </w:r>
      <w:r w:rsidR="00D71F45">
        <w:rPr>
          <w:rFonts w:ascii="Times New Roman" w:hAnsi="Times New Roman" w:cs="Times New Roman"/>
        </w:rPr>
        <w:t>justified</w:t>
      </w:r>
      <w:r>
        <w:rPr>
          <w:rFonts w:ascii="Times New Roman" w:hAnsi="Times New Roman" w:cs="Times New Roman"/>
        </w:rPr>
        <w:t>. The transition from high school to college entails changes in academic rigor, training rigor, and social and familial relationships. These changes may be evident in training readiness, recovery, and stress in underclassmen, whereas upperclassmen may have already become accustomed and adjusted to collegiate stressors</w:t>
      </w:r>
      <w:r w:rsidR="00AE178B">
        <w:rPr>
          <w:rFonts w:ascii="Times New Roman" w:hAnsi="Times New Roman" w:cs="Times New Roman"/>
        </w:rPr>
        <w:t>, as well as, created useful strategies for stress mitigation</w:t>
      </w:r>
      <w:r>
        <w:rPr>
          <w:rFonts w:ascii="Times New Roman" w:hAnsi="Times New Roman" w:cs="Times New Roman"/>
        </w:rPr>
        <w:t xml:space="preserve">. </w:t>
      </w:r>
      <w:r w:rsidR="00A11DDE">
        <w:rPr>
          <w:rFonts w:ascii="Times New Roman" w:hAnsi="Times New Roman" w:cs="Times New Roman"/>
        </w:rPr>
        <w:t xml:space="preserve">Previous studies have shown age-related differences in sleep and performance in gymnasts, suggesting this data may be useful </w:t>
      </w:r>
      <w:r w:rsidR="00A11DDE">
        <w:rPr>
          <w:rFonts w:ascii="Times New Roman" w:hAnsi="Times New Roman" w:cs="Times New Roman"/>
        </w:rPr>
        <w:fldChar w:fldCharType="begin"/>
      </w:r>
      <w:r w:rsidR="00A11DDE">
        <w:rPr>
          <w:rFonts w:ascii="Times New Roman" w:hAnsi="Times New Roman" w:cs="Times New Roman"/>
        </w:rPr>
        <w:instrText xml:space="preserve"> ADDIN ZOTERO_ITEM CSL_CITATION {"citationID":"Ko9GcnPz","properties":{"formattedCitation":"(Dumortier et al., 2018)","plainCitation":"(Dumortier et al., 2018)","noteIndex":0},"citationItems":[{"id":146,"uris":["http://zotero.org/users/6375206/items/PMENMA3P"],"uri":["http://zotero.org/users/6375206/items/PMENMA3P"],"itemData":{"id":146,"type":"article-journal","abstract":"Training load (TL) and recovery should be in optimal balance to obtain maximal performance gains. We aimed to study sleep as a recovery technique and its relationship with TL and performance in elite athletes. Twenty-six elite female artistic gymnasts were divided into an under 13 (n = 6), an under 14 (n = 6), a junior (n = 7; 14-15y) and a senior (=World Championship (WC) competitors, n = 7; ≥16y) category. Sleep, through sleep logs, and training parameters, using the session Rate of Perceived Exertion (sRPE) scale, were monitored to calculate total sleep time (TST), sleep efficiency (SE), TL, monotony and strain. Performance of WC competitors was evaluated through coach and WC qualification ranking. For the entire group, TST (effect sizes (ES) = -1.12, confidence intervals (CI) = -60:-47, P&lt; .05) and SE (ES = -0.13, CI = -1.40:-0.10, P =.022) were shorter during week than weekend nights. TST and SE were highest in youngest gymnasts (P&lt; .05). TL was lowest in under 13 and senior gymnasts (P&lt; .05), while TL, monotony and strain were highest in junior gymnasts (P&lt; .05). A negative regression was found between TST and TL the day after, while higher TL also led to lower TST the following night (P&lt; .001). For the WC competitors, TST the night before the qualifications was shorter than the mean TST of the WC period (ES = -0.95, CI = -170:24, P =.030). TST correlated with coach ranking (r = -0.857, P = .014). Higher TL correlated with worse WC (r = 0.829, P = .042) and coach (r = 0.893, P = .007) ranking. This research in elite gymnasts indicated associations between decreased TST, augmented TL and inferior performance. Optimizing sleep and TL may therefore represent strategies to enhance performance. ABSTRACT FROM AUTHOR","container-title":"European Journal of Sport Science","ISSN":"17461391","issue":"2","journalAbbreviation":"European Journal of Sport Science","page":"151-161","source":"EBSCOhost","title":"Sleep, training load and performance in elite female gymnasts","volume":"18","author":[{"family":"Dumortier","given":"J."},{"family":"Mariman","given":"A."},{"family":"Boone","given":"J."},{"family":"Delesie","given":"L."},{"family":"Tobback","given":"E."},{"family":"Vogelaers","given":"D."},{"family":"Bourgois","given":"J. G."}],"issued":{"date-parts":[["2018",3]]}}}],"schema":"https://github.com/citation-style-language/schema/raw/master/csl-citation.json"} </w:instrText>
      </w:r>
      <w:r w:rsidR="00A11DDE">
        <w:rPr>
          <w:rFonts w:ascii="Times New Roman" w:hAnsi="Times New Roman" w:cs="Times New Roman"/>
        </w:rPr>
        <w:fldChar w:fldCharType="separate"/>
      </w:r>
      <w:r w:rsidR="00A11DDE">
        <w:rPr>
          <w:rFonts w:ascii="Times New Roman" w:hAnsi="Times New Roman" w:cs="Times New Roman"/>
          <w:noProof/>
        </w:rPr>
        <w:t>(Dumortier et al., 2018)</w:t>
      </w:r>
      <w:r w:rsidR="00A11DDE">
        <w:rPr>
          <w:rFonts w:ascii="Times New Roman" w:hAnsi="Times New Roman" w:cs="Times New Roman"/>
        </w:rPr>
        <w:fldChar w:fldCharType="end"/>
      </w:r>
      <w:r w:rsidR="00A11DDE">
        <w:rPr>
          <w:rFonts w:ascii="Times New Roman" w:hAnsi="Times New Roman" w:cs="Times New Roman"/>
        </w:rPr>
        <w:t>.</w:t>
      </w:r>
    </w:p>
    <w:p w14:paraId="266AB259" w14:textId="01B2102D" w:rsidR="000331A7" w:rsidRDefault="000331A7" w:rsidP="002F6EA0">
      <w:pPr>
        <w:pStyle w:val="Heading3"/>
      </w:pPr>
      <w:bookmarkStart w:id="35" w:name="_Toc85791421"/>
      <w:r>
        <w:t>Practical Recommendations</w:t>
      </w:r>
      <w:bookmarkEnd w:id="35"/>
    </w:p>
    <w:p w14:paraId="6F4BB02F" w14:textId="788998A5" w:rsidR="0065584C" w:rsidRDefault="0065584C" w:rsidP="002F6EA0">
      <w:pPr>
        <w:spacing w:line="480" w:lineRule="auto"/>
        <w:ind w:firstLine="720"/>
        <w:rPr>
          <w:rFonts w:ascii="Times New Roman" w:hAnsi="Times New Roman" w:cs="Times New Roman"/>
        </w:rPr>
      </w:pPr>
      <w:r>
        <w:rPr>
          <w:rFonts w:ascii="Times New Roman" w:hAnsi="Times New Roman" w:cs="Times New Roman"/>
        </w:rPr>
        <w:t>The present retrospective study was developed to find whether interna</w:t>
      </w:r>
      <w:r w:rsidR="00E76226">
        <w:rPr>
          <w:rFonts w:ascii="Times New Roman" w:hAnsi="Times New Roman" w:cs="Times New Roman"/>
        </w:rPr>
        <w:t>l</w:t>
      </w:r>
      <w:r>
        <w:rPr>
          <w:rFonts w:ascii="Times New Roman" w:hAnsi="Times New Roman" w:cs="Times New Roman"/>
        </w:rPr>
        <w:t xml:space="preserve"> and external load monitoring could be effective in female NCAA Division I gymnasts. As this is an under</w:t>
      </w:r>
      <w:r w:rsidR="00FF732D">
        <w:rPr>
          <w:rFonts w:ascii="Times New Roman" w:hAnsi="Times New Roman" w:cs="Times New Roman"/>
        </w:rPr>
        <w:t>-</w:t>
      </w:r>
      <w:r>
        <w:rPr>
          <w:rFonts w:ascii="Times New Roman" w:hAnsi="Times New Roman" w:cs="Times New Roman"/>
        </w:rPr>
        <w:t xml:space="preserve">researched population and a small sample size was used, future studies investigating the utility of </w:t>
      </w:r>
      <w:r>
        <w:rPr>
          <w:rFonts w:ascii="Times New Roman" w:hAnsi="Times New Roman" w:cs="Times New Roman"/>
        </w:rPr>
        <w:lastRenderedPageBreak/>
        <w:t xml:space="preserve">these measures with a larger sample would enhance the current understanding. Additionally, as this was a retrospective study, in the future other data such as menstrual cycle, any additional physical activity, and injury data could be useful but not available in the present study. </w:t>
      </w:r>
    </w:p>
    <w:p w14:paraId="51B1DFEF" w14:textId="22E2BD0D" w:rsidR="00501216" w:rsidRDefault="00501216" w:rsidP="002F6EA0">
      <w:pPr>
        <w:spacing w:line="480" w:lineRule="auto"/>
        <w:ind w:firstLine="720"/>
        <w:rPr>
          <w:rFonts w:ascii="Times New Roman" w:hAnsi="Times New Roman" w:cs="Times New Roman"/>
        </w:rPr>
      </w:pPr>
    </w:p>
    <w:p w14:paraId="6F7B733D" w14:textId="6E00CAFE" w:rsidR="00501216" w:rsidRDefault="00501216" w:rsidP="002F6EA0">
      <w:pPr>
        <w:spacing w:line="480" w:lineRule="auto"/>
        <w:ind w:firstLine="720"/>
        <w:rPr>
          <w:rFonts w:ascii="Times New Roman" w:hAnsi="Times New Roman" w:cs="Times New Roman"/>
        </w:rPr>
      </w:pPr>
    </w:p>
    <w:p w14:paraId="2F785867" w14:textId="36E43113" w:rsidR="00501216" w:rsidRDefault="00501216" w:rsidP="002F6EA0">
      <w:pPr>
        <w:spacing w:line="480" w:lineRule="auto"/>
        <w:ind w:firstLine="720"/>
        <w:rPr>
          <w:rFonts w:ascii="Times New Roman" w:hAnsi="Times New Roman" w:cs="Times New Roman"/>
        </w:rPr>
      </w:pPr>
    </w:p>
    <w:p w14:paraId="6B3B6E95" w14:textId="620E2B4F" w:rsidR="00501216" w:rsidRDefault="00501216" w:rsidP="002F6EA0">
      <w:pPr>
        <w:spacing w:line="480" w:lineRule="auto"/>
        <w:ind w:firstLine="720"/>
        <w:rPr>
          <w:rFonts w:ascii="Times New Roman" w:hAnsi="Times New Roman" w:cs="Times New Roman"/>
        </w:rPr>
      </w:pPr>
    </w:p>
    <w:p w14:paraId="54A0662A" w14:textId="287C4BC0" w:rsidR="00501216" w:rsidRDefault="00501216" w:rsidP="002F6EA0">
      <w:pPr>
        <w:spacing w:line="480" w:lineRule="auto"/>
        <w:ind w:firstLine="720"/>
        <w:rPr>
          <w:rFonts w:ascii="Times New Roman" w:hAnsi="Times New Roman" w:cs="Times New Roman"/>
        </w:rPr>
      </w:pPr>
    </w:p>
    <w:p w14:paraId="4372CD35" w14:textId="26373688" w:rsidR="00501216" w:rsidRDefault="00501216" w:rsidP="002F6EA0">
      <w:pPr>
        <w:spacing w:line="480" w:lineRule="auto"/>
        <w:ind w:firstLine="720"/>
        <w:rPr>
          <w:rFonts w:ascii="Times New Roman" w:hAnsi="Times New Roman" w:cs="Times New Roman"/>
        </w:rPr>
      </w:pPr>
    </w:p>
    <w:p w14:paraId="2F33D5CD" w14:textId="729DDD81" w:rsidR="00501216" w:rsidRDefault="00501216" w:rsidP="002F6EA0">
      <w:pPr>
        <w:spacing w:line="480" w:lineRule="auto"/>
        <w:ind w:firstLine="720"/>
        <w:rPr>
          <w:rFonts w:ascii="Times New Roman" w:hAnsi="Times New Roman" w:cs="Times New Roman"/>
        </w:rPr>
      </w:pPr>
    </w:p>
    <w:p w14:paraId="2D479B5F" w14:textId="2F204894" w:rsidR="00501216" w:rsidRDefault="00501216" w:rsidP="002F6EA0">
      <w:pPr>
        <w:spacing w:line="480" w:lineRule="auto"/>
        <w:ind w:firstLine="720"/>
        <w:rPr>
          <w:rFonts w:ascii="Times New Roman" w:hAnsi="Times New Roman" w:cs="Times New Roman"/>
        </w:rPr>
      </w:pPr>
    </w:p>
    <w:p w14:paraId="048D3108" w14:textId="379EBC86" w:rsidR="00501216" w:rsidRDefault="00501216" w:rsidP="002F6EA0">
      <w:pPr>
        <w:spacing w:line="480" w:lineRule="auto"/>
        <w:ind w:firstLine="720"/>
        <w:rPr>
          <w:rFonts w:ascii="Times New Roman" w:hAnsi="Times New Roman" w:cs="Times New Roman"/>
        </w:rPr>
      </w:pPr>
    </w:p>
    <w:p w14:paraId="5FB3387E" w14:textId="798B357A" w:rsidR="00501216" w:rsidRDefault="00501216" w:rsidP="002F6EA0">
      <w:pPr>
        <w:spacing w:line="480" w:lineRule="auto"/>
        <w:ind w:firstLine="720"/>
        <w:rPr>
          <w:rFonts w:ascii="Times New Roman" w:hAnsi="Times New Roman" w:cs="Times New Roman"/>
        </w:rPr>
      </w:pPr>
    </w:p>
    <w:p w14:paraId="6C8F8540" w14:textId="58F7D2DF" w:rsidR="00501216" w:rsidRDefault="00501216" w:rsidP="002F6EA0">
      <w:pPr>
        <w:spacing w:line="480" w:lineRule="auto"/>
        <w:ind w:firstLine="720"/>
        <w:rPr>
          <w:rFonts w:ascii="Times New Roman" w:hAnsi="Times New Roman" w:cs="Times New Roman"/>
        </w:rPr>
      </w:pPr>
    </w:p>
    <w:p w14:paraId="3661A122" w14:textId="5A6F734F" w:rsidR="00501216" w:rsidRDefault="00501216" w:rsidP="002F6EA0">
      <w:pPr>
        <w:spacing w:line="480" w:lineRule="auto"/>
        <w:ind w:firstLine="720"/>
        <w:rPr>
          <w:rFonts w:ascii="Times New Roman" w:hAnsi="Times New Roman" w:cs="Times New Roman"/>
        </w:rPr>
      </w:pPr>
    </w:p>
    <w:p w14:paraId="00A7955D" w14:textId="3819C755" w:rsidR="00501216" w:rsidRDefault="00501216" w:rsidP="002F6EA0">
      <w:pPr>
        <w:spacing w:line="480" w:lineRule="auto"/>
        <w:ind w:firstLine="720"/>
        <w:rPr>
          <w:rFonts w:ascii="Times New Roman" w:hAnsi="Times New Roman" w:cs="Times New Roman"/>
        </w:rPr>
      </w:pPr>
    </w:p>
    <w:p w14:paraId="5000EAB6" w14:textId="4E391D76" w:rsidR="00501216" w:rsidRDefault="00501216" w:rsidP="002F6EA0">
      <w:pPr>
        <w:spacing w:line="480" w:lineRule="auto"/>
        <w:ind w:firstLine="720"/>
        <w:rPr>
          <w:rFonts w:ascii="Times New Roman" w:hAnsi="Times New Roman" w:cs="Times New Roman"/>
        </w:rPr>
      </w:pPr>
    </w:p>
    <w:p w14:paraId="002C0D71" w14:textId="350C45CC" w:rsidR="00501216" w:rsidRDefault="00501216" w:rsidP="002F6EA0">
      <w:pPr>
        <w:spacing w:line="480" w:lineRule="auto"/>
        <w:ind w:firstLine="720"/>
        <w:rPr>
          <w:rFonts w:ascii="Times New Roman" w:hAnsi="Times New Roman" w:cs="Times New Roman"/>
        </w:rPr>
      </w:pPr>
    </w:p>
    <w:p w14:paraId="32DE8139" w14:textId="1D102EF7" w:rsidR="00501216" w:rsidRDefault="00501216" w:rsidP="002F6EA0">
      <w:pPr>
        <w:spacing w:line="480" w:lineRule="auto"/>
        <w:ind w:firstLine="720"/>
        <w:rPr>
          <w:rFonts w:ascii="Times New Roman" w:hAnsi="Times New Roman" w:cs="Times New Roman"/>
        </w:rPr>
      </w:pPr>
    </w:p>
    <w:p w14:paraId="10E6899B" w14:textId="7739CAE8" w:rsidR="00501216" w:rsidRDefault="00501216" w:rsidP="002F6EA0">
      <w:pPr>
        <w:spacing w:line="480" w:lineRule="auto"/>
        <w:ind w:firstLine="720"/>
        <w:rPr>
          <w:rFonts w:ascii="Times New Roman" w:hAnsi="Times New Roman" w:cs="Times New Roman"/>
        </w:rPr>
      </w:pPr>
    </w:p>
    <w:p w14:paraId="7F2A310B" w14:textId="77777777" w:rsidR="00501216" w:rsidRDefault="00501216" w:rsidP="002F6EA0">
      <w:pPr>
        <w:spacing w:line="480" w:lineRule="auto"/>
        <w:ind w:firstLine="720"/>
        <w:rPr>
          <w:rFonts w:ascii="Times New Roman" w:hAnsi="Times New Roman" w:cs="Times New Roman"/>
        </w:rPr>
      </w:pPr>
    </w:p>
    <w:p w14:paraId="036D3940" w14:textId="02C4F1BE" w:rsidR="003D3295" w:rsidRPr="00E708A6" w:rsidRDefault="0052271F" w:rsidP="008E705D">
      <w:pPr>
        <w:pStyle w:val="Heading1"/>
        <w:rPr>
          <w:rFonts w:cs="Times New Roman"/>
          <w:szCs w:val="24"/>
        </w:rPr>
      </w:pPr>
      <w:r w:rsidRPr="00E708A6">
        <w:rPr>
          <w:rFonts w:cs="Times New Roman"/>
          <w:color w:val="000000"/>
          <w:szCs w:val="24"/>
          <w:bdr w:val="none" w:sz="0" w:space="0" w:color="auto" w:frame="1"/>
        </w:rPr>
        <w:lastRenderedPageBreak/>
        <w:t xml:space="preserve">  </w:t>
      </w:r>
      <w:bookmarkStart w:id="36" w:name="_Toc85791422"/>
      <w:r w:rsidR="003D3295" w:rsidRPr="00E708A6">
        <w:rPr>
          <w:rFonts w:cs="Times New Roman"/>
          <w:szCs w:val="24"/>
        </w:rPr>
        <w:t>Ref</w:t>
      </w:r>
      <w:r w:rsidR="008E705D" w:rsidRPr="00E708A6">
        <w:rPr>
          <w:rFonts w:cs="Times New Roman"/>
          <w:szCs w:val="24"/>
        </w:rPr>
        <w:t>e</w:t>
      </w:r>
      <w:r w:rsidR="003D3295" w:rsidRPr="00E708A6">
        <w:rPr>
          <w:rFonts w:cs="Times New Roman"/>
          <w:szCs w:val="24"/>
        </w:rPr>
        <w:t>rences</w:t>
      </w:r>
      <w:bookmarkEnd w:id="36"/>
    </w:p>
    <w:p w14:paraId="6783F8BE" w14:textId="77777777" w:rsidR="00C11CD7" w:rsidRPr="00501216" w:rsidRDefault="0052271F" w:rsidP="00C11CD7">
      <w:pPr>
        <w:pStyle w:val="Bibliography"/>
        <w:rPr>
          <w:rFonts w:ascii="Times New Roman" w:hAnsi="Times New Roman" w:cs="Times New Roman"/>
        </w:rPr>
      </w:pPr>
      <w:r w:rsidRPr="00501216">
        <w:rPr>
          <w:rFonts w:ascii="Times New Roman" w:hAnsi="Times New Roman" w:cs="Times New Roman"/>
        </w:rPr>
        <w:fldChar w:fldCharType="begin"/>
      </w:r>
      <w:r w:rsidR="00002C57" w:rsidRPr="00501216">
        <w:rPr>
          <w:rFonts w:ascii="Times New Roman" w:hAnsi="Times New Roman" w:cs="Times New Roman"/>
        </w:rPr>
        <w:instrText xml:space="preserve"> ADDIN ZOTERO_BIBL {"uncited":[],"omitted":[],"custom":[]} CSL_BIBLIOGRAPHY </w:instrText>
      </w:r>
      <w:r w:rsidRPr="00501216">
        <w:rPr>
          <w:rFonts w:ascii="Times New Roman" w:hAnsi="Times New Roman" w:cs="Times New Roman"/>
        </w:rPr>
        <w:fldChar w:fldCharType="separate"/>
      </w:r>
      <w:r w:rsidR="00C11CD7" w:rsidRPr="00501216">
        <w:rPr>
          <w:rFonts w:ascii="Times New Roman" w:hAnsi="Times New Roman" w:cs="Times New Roman"/>
        </w:rPr>
        <w:t xml:space="preserve">Alexiou, H., &amp; Coutts, A. J. (2008). A Comparison of Methods Used for Quantifying Internal Training Load in Women Soccer Players. </w:t>
      </w:r>
      <w:r w:rsidR="00C11CD7" w:rsidRPr="00501216">
        <w:rPr>
          <w:rFonts w:ascii="Times New Roman" w:hAnsi="Times New Roman" w:cs="Times New Roman"/>
          <w:i/>
          <w:iCs/>
        </w:rPr>
        <w:t>International Journal of Sports Physiology and Performance</w:t>
      </w:r>
      <w:r w:rsidR="00C11CD7" w:rsidRPr="00501216">
        <w:rPr>
          <w:rFonts w:ascii="Times New Roman" w:hAnsi="Times New Roman" w:cs="Times New Roman"/>
        </w:rPr>
        <w:t xml:space="preserve">, </w:t>
      </w:r>
      <w:r w:rsidR="00C11CD7" w:rsidRPr="00501216">
        <w:rPr>
          <w:rFonts w:ascii="Times New Roman" w:hAnsi="Times New Roman" w:cs="Times New Roman"/>
          <w:i/>
          <w:iCs/>
        </w:rPr>
        <w:t>3</w:t>
      </w:r>
      <w:r w:rsidR="00C11CD7" w:rsidRPr="00501216">
        <w:rPr>
          <w:rFonts w:ascii="Times New Roman" w:hAnsi="Times New Roman" w:cs="Times New Roman"/>
        </w:rPr>
        <w:t>(3), 320–330. https://doi.org/10.1123/ijspp.3.3.320</w:t>
      </w:r>
    </w:p>
    <w:p w14:paraId="4CEA73C7"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Barrett, S., Midgley, A., &amp; Lovell, R. (2014). PlayerLoad</w:t>
      </w:r>
      <w:r w:rsidRPr="00501216">
        <w:rPr>
          <w:rFonts w:ascii="Times New Roman" w:hAnsi="Times New Roman" w:cs="Times New Roman"/>
          <w:vertAlign w:val="superscript"/>
        </w:rPr>
        <w:t>TM</w:t>
      </w:r>
      <w:r w:rsidRPr="00501216">
        <w:rPr>
          <w:rFonts w:ascii="Times New Roman" w:hAnsi="Times New Roman" w:cs="Times New Roman"/>
        </w:rPr>
        <w:t xml:space="preserve">: Reliability, Convergent Validity, and Influence of Unit Position During Treadmill Running. </w:t>
      </w:r>
      <w:r w:rsidRPr="00501216">
        <w:rPr>
          <w:rFonts w:ascii="Times New Roman" w:hAnsi="Times New Roman" w:cs="Times New Roman"/>
          <w:i/>
          <w:iCs/>
        </w:rPr>
        <w:t>International Journal of Sports Physiology &amp; Performance</w:t>
      </w:r>
      <w:r w:rsidRPr="00501216">
        <w:rPr>
          <w:rFonts w:ascii="Times New Roman" w:hAnsi="Times New Roman" w:cs="Times New Roman"/>
        </w:rPr>
        <w:t xml:space="preserve">, </w:t>
      </w:r>
      <w:r w:rsidRPr="00501216">
        <w:rPr>
          <w:rFonts w:ascii="Times New Roman" w:hAnsi="Times New Roman" w:cs="Times New Roman"/>
          <w:i/>
          <w:iCs/>
        </w:rPr>
        <w:t>9</w:t>
      </w:r>
      <w:r w:rsidRPr="00501216">
        <w:rPr>
          <w:rFonts w:ascii="Times New Roman" w:hAnsi="Times New Roman" w:cs="Times New Roman"/>
        </w:rPr>
        <w:t>(6), 945–952.</w:t>
      </w:r>
    </w:p>
    <w:p w14:paraId="59688291"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Bayliff, G. E., Jacobson, B. H., Moghaddam, M., &amp; Estrada, C. (2019). Global Positioning System Monitoring of Selected Physical Demands of NCAA Division I Football Players During Games. </w:t>
      </w:r>
      <w:r w:rsidRPr="00501216">
        <w:rPr>
          <w:rFonts w:ascii="Times New Roman" w:hAnsi="Times New Roman" w:cs="Times New Roman"/>
          <w:i/>
          <w:iCs/>
        </w:rPr>
        <w:t>The Journal of Strength &amp; Conditioning Research</w:t>
      </w:r>
      <w:r w:rsidRPr="00501216">
        <w:rPr>
          <w:rFonts w:ascii="Times New Roman" w:hAnsi="Times New Roman" w:cs="Times New Roman"/>
        </w:rPr>
        <w:t xml:space="preserve">, </w:t>
      </w:r>
      <w:r w:rsidRPr="00501216">
        <w:rPr>
          <w:rFonts w:ascii="Times New Roman" w:hAnsi="Times New Roman" w:cs="Times New Roman"/>
          <w:i/>
          <w:iCs/>
        </w:rPr>
        <w:t>33</w:t>
      </w:r>
      <w:r w:rsidRPr="00501216">
        <w:rPr>
          <w:rFonts w:ascii="Times New Roman" w:hAnsi="Times New Roman" w:cs="Times New Roman"/>
        </w:rPr>
        <w:t>(5), 1185–1191. https://doi.org/10.1519/JSC.0000000000003137</w:t>
      </w:r>
    </w:p>
    <w:p w14:paraId="1965D663"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Bishop, P. A., Jones, E., &amp; Woods, A. K. (2008). Recovery From Training: A Brief Review: Brief Review. </w:t>
      </w:r>
      <w:r w:rsidRPr="00501216">
        <w:rPr>
          <w:rFonts w:ascii="Times New Roman" w:hAnsi="Times New Roman" w:cs="Times New Roman"/>
          <w:i/>
          <w:iCs/>
        </w:rPr>
        <w:t>The Journal of Strength &amp; Conditioning Research</w:t>
      </w:r>
      <w:r w:rsidRPr="00501216">
        <w:rPr>
          <w:rFonts w:ascii="Times New Roman" w:hAnsi="Times New Roman" w:cs="Times New Roman"/>
        </w:rPr>
        <w:t xml:space="preserve">, </w:t>
      </w:r>
      <w:r w:rsidRPr="00501216">
        <w:rPr>
          <w:rFonts w:ascii="Times New Roman" w:hAnsi="Times New Roman" w:cs="Times New Roman"/>
          <w:i/>
          <w:iCs/>
        </w:rPr>
        <w:t>22</w:t>
      </w:r>
      <w:r w:rsidRPr="00501216">
        <w:rPr>
          <w:rFonts w:ascii="Times New Roman" w:hAnsi="Times New Roman" w:cs="Times New Roman"/>
        </w:rPr>
        <w:t>(3), 1015–1024. https://doi.org/10.1519/JSC.0b013e31816eb518</w:t>
      </w:r>
    </w:p>
    <w:p w14:paraId="72DE420B"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Bourdon, P. C., Cardinale, M., Murray, A., Gastin, P., Kellmann, M., Varley, M. C., Gabbett, T. J., Coutts, A. J., Burgess, D. J., Gregson, W., &amp; Cable, N. T. (2017). Monitoring Athlete Training Loads: Consensus Statement. </w:t>
      </w:r>
      <w:r w:rsidRPr="00501216">
        <w:rPr>
          <w:rFonts w:ascii="Times New Roman" w:hAnsi="Times New Roman" w:cs="Times New Roman"/>
          <w:i/>
          <w:iCs/>
        </w:rPr>
        <w:t>International Journal of Sports Physiology &amp; Performance</w:t>
      </w:r>
      <w:r w:rsidRPr="00501216">
        <w:rPr>
          <w:rFonts w:ascii="Times New Roman" w:hAnsi="Times New Roman" w:cs="Times New Roman"/>
        </w:rPr>
        <w:t xml:space="preserve">, </w:t>
      </w:r>
      <w:r w:rsidRPr="00501216">
        <w:rPr>
          <w:rFonts w:ascii="Times New Roman" w:hAnsi="Times New Roman" w:cs="Times New Roman"/>
          <w:i/>
          <w:iCs/>
        </w:rPr>
        <w:t>12</w:t>
      </w:r>
      <w:r w:rsidRPr="00501216">
        <w:rPr>
          <w:rFonts w:ascii="Times New Roman" w:hAnsi="Times New Roman" w:cs="Times New Roman"/>
        </w:rPr>
        <w:t>, S2-161.</w:t>
      </w:r>
    </w:p>
    <w:p w14:paraId="53989509"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Boyd, L. J., Ball, K., &amp; Aughey, R. J. (2011). The Reliability of MinimaxX Accelerometers for Measuring Physical Activity in Australian Football. </w:t>
      </w:r>
      <w:r w:rsidRPr="00501216">
        <w:rPr>
          <w:rFonts w:ascii="Times New Roman" w:hAnsi="Times New Roman" w:cs="Times New Roman"/>
          <w:i/>
          <w:iCs/>
        </w:rPr>
        <w:t>International Journal of Sports Physiology &amp; Performance</w:t>
      </w:r>
      <w:r w:rsidRPr="00501216">
        <w:rPr>
          <w:rFonts w:ascii="Times New Roman" w:hAnsi="Times New Roman" w:cs="Times New Roman"/>
        </w:rPr>
        <w:t xml:space="preserve">, </w:t>
      </w:r>
      <w:r w:rsidRPr="00501216">
        <w:rPr>
          <w:rFonts w:ascii="Times New Roman" w:hAnsi="Times New Roman" w:cs="Times New Roman"/>
          <w:i/>
          <w:iCs/>
        </w:rPr>
        <w:t>6</w:t>
      </w:r>
      <w:r w:rsidRPr="00501216">
        <w:rPr>
          <w:rFonts w:ascii="Times New Roman" w:hAnsi="Times New Roman" w:cs="Times New Roman"/>
        </w:rPr>
        <w:t>(3), 311–321.</w:t>
      </w:r>
    </w:p>
    <w:p w14:paraId="1F9A499F"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lastRenderedPageBreak/>
        <w:t xml:space="preserve">Boyd, L. J., Ball, K., &amp; Aughey, R. J. (2013). Quantifying External Load in Australian Football Matches and Training Using Accelerometers. </w:t>
      </w:r>
      <w:r w:rsidRPr="00501216">
        <w:rPr>
          <w:rFonts w:ascii="Times New Roman" w:hAnsi="Times New Roman" w:cs="Times New Roman"/>
          <w:i/>
          <w:iCs/>
        </w:rPr>
        <w:t>International Journal of Sports Physiology &amp; Performance</w:t>
      </w:r>
      <w:r w:rsidRPr="00501216">
        <w:rPr>
          <w:rFonts w:ascii="Times New Roman" w:hAnsi="Times New Roman" w:cs="Times New Roman"/>
        </w:rPr>
        <w:t xml:space="preserve">, </w:t>
      </w:r>
      <w:r w:rsidRPr="00501216">
        <w:rPr>
          <w:rFonts w:ascii="Times New Roman" w:hAnsi="Times New Roman" w:cs="Times New Roman"/>
          <w:i/>
          <w:iCs/>
        </w:rPr>
        <w:t>8</w:t>
      </w:r>
      <w:r w:rsidRPr="00501216">
        <w:rPr>
          <w:rFonts w:ascii="Times New Roman" w:hAnsi="Times New Roman" w:cs="Times New Roman"/>
        </w:rPr>
        <w:t>(1), 44–51.</w:t>
      </w:r>
    </w:p>
    <w:p w14:paraId="7D0719F2"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Bredt, S. da G. T., Chagas, M. H., Peixoto, G. H., Menzel, H. J., &amp; Andrade, A. G. P. de. (2020). Understanding Player Load: Meanings and Limitations. </w:t>
      </w:r>
      <w:r w:rsidRPr="00501216">
        <w:rPr>
          <w:rFonts w:ascii="Times New Roman" w:hAnsi="Times New Roman" w:cs="Times New Roman"/>
          <w:i/>
          <w:iCs/>
        </w:rPr>
        <w:t>Journal of Human Kinetics</w:t>
      </w:r>
      <w:r w:rsidRPr="00501216">
        <w:rPr>
          <w:rFonts w:ascii="Times New Roman" w:hAnsi="Times New Roman" w:cs="Times New Roman"/>
        </w:rPr>
        <w:t xml:space="preserve">, </w:t>
      </w:r>
      <w:r w:rsidRPr="00501216">
        <w:rPr>
          <w:rFonts w:ascii="Times New Roman" w:hAnsi="Times New Roman" w:cs="Times New Roman"/>
          <w:i/>
          <w:iCs/>
        </w:rPr>
        <w:t>71</w:t>
      </w:r>
      <w:r w:rsidRPr="00501216">
        <w:rPr>
          <w:rFonts w:ascii="Times New Roman" w:hAnsi="Times New Roman" w:cs="Times New Roman"/>
        </w:rPr>
        <w:t>(1), 5–9.</w:t>
      </w:r>
    </w:p>
    <w:p w14:paraId="147B5A2B"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Caine, D., Cochrane, B., Caine, C., &amp; Zemper, E. (1989). An epidemiologic investigation of injuries affecting young competitive female gymnasts. </w:t>
      </w:r>
      <w:r w:rsidRPr="00501216">
        <w:rPr>
          <w:rFonts w:ascii="Times New Roman" w:hAnsi="Times New Roman" w:cs="Times New Roman"/>
          <w:i/>
          <w:iCs/>
        </w:rPr>
        <w:t>The American Journal of Sports Medicine</w:t>
      </w:r>
      <w:r w:rsidRPr="00501216">
        <w:rPr>
          <w:rFonts w:ascii="Times New Roman" w:hAnsi="Times New Roman" w:cs="Times New Roman"/>
        </w:rPr>
        <w:t xml:space="preserve">, </w:t>
      </w:r>
      <w:r w:rsidRPr="00501216">
        <w:rPr>
          <w:rFonts w:ascii="Times New Roman" w:hAnsi="Times New Roman" w:cs="Times New Roman"/>
          <w:i/>
          <w:iCs/>
        </w:rPr>
        <w:t>17</w:t>
      </w:r>
      <w:r w:rsidRPr="00501216">
        <w:rPr>
          <w:rFonts w:ascii="Times New Roman" w:hAnsi="Times New Roman" w:cs="Times New Roman"/>
        </w:rPr>
        <w:t>(6), 811–820. https://doi.org/10.1177/036354658901700616</w:t>
      </w:r>
    </w:p>
    <w:p w14:paraId="5B3EE3D5"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Cavallerio, F., Wadey, R., &amp; Wagstaff, C. R. D. (2016). Understanding overuse injuries in rhythmic gymnastics: A 12-month ethnographic study. </w:t>
      </w:r>
      <w:r w:rsidRPr="00501216">
        <w:rPr>
          <w:rFonts w:ascii="Times New Roman" w:hAnsi="Times New Roman" w:cs="Times New Roman"/>
          <w:i/>
          <w:iCs/>
        </w:rPr>
        <w:t>Psychology of Sport and Exercise</w:t>
      </w:r>
      <w:r w:rsidRPr="00501216">
        <w:rPr>
          <w:rFonts w:ascii="Times New Roman" w:hAnsi="Times New Roman" w:cs="Times New Roman"/>
        </w:rPr>
        <w:t xml:space="preserve">, </w:t>
      </w:r>
      <w:r w:rsidRPr="00501216">
        <w:rPr>
          <w:rFonts w:ascii="Times New Roman" w:hAnsi="Times New Roman" w:cs="Times New Roman"/>
          <w:i/>
          <w:iCs/>
        </w:rPr>
        <w:t>25</w:t>
      </w:r>
      <w:r w:rsidRPr="00501216">
        <w:rPr>
          <w:rFonts w:ascii="Times New Roman" w:hAnsi="Times New Roman" w:cs="Times New Roman"/>
        </w:rPr>
        <w:t>, 100–109. https://doi.org/10.1016/j.psychsport.2016.05.002</w:t>
      </w:r>
    </w:p>
    <w:p w14:paraId="16B755C5"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Chambers, R. M., Gabbett, T. J., &amp; Cole, M. H. (2019). Validity of a Microsensor-Based Algorithm for Detecting Scrum Events in Rugby Union. </w:t>
      </w:r>
      <w:r w:rsidRPr="00501216">
        <w:rPr>
          <w:rFonts w:ascii="Times New Roman" w:hAnsi="Times New Roman" w:cs="Times New Roman"/>
          <w:i/>
          <w:iCs/>
        </w:rPr>
        <w:t>International Journal of Sports Physiology &amp; Performance</w:t>
      </w:r>
      <w:r w:rsidRPr="00501216">
        <w:rPr>
          <w:rFonts w:ascii="Times New Roman" w:hAnsi="Times New Roman" w:cs="Times New Roman"/>
        </w:rPr>
        <w:t xml:space="preserve">, </w:t>
      </w:r>
      <w:r w:rsidRPr="00501216">
        <w:rPr>
          <w:rFonts w:ascii="Times New Roman" w:hAnsi="Times New Roman" w:cs="Times New Roman"/>
          <w:i/>
          <w:iCs/>
        </w:rPr>
        <w:t>14</w:t>
      </w:r>
      <w:r w:rsidRPr="00501216">
        <w:rPr>
          <w:rFonts w:ascii="Times New Roman" w:hAnsi="Times New Roman" w:cs="Times New Roman"/>
        </w:rPr>
        <w:t>(2), 176–182.</w:t>
      </w:r>
    </w:p>
    <w:p w14:paraId="126235EB"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Chen, K. Y., &amp; Bassett, D. R. (2005). The Technology of Accelerometry-Based Activity Monitors: Current and Future: </w:t>
      </w:r>
      <w:r w:rsidRPr="00501216">
        <w:rPr>
          <w:rFonts w:ascii="Times New Roman" w:hAnsi="Times New Roman" w:cs="Times New Roman"/>
          <w:i/>
          <w:iCs/>
        </w:rPr>
        <w:t>Medicine &amp; Science in Sports &amp; Exercise</w:t>
      </w:r>
      <w:r w:rsidRPr="00501216">
        <w:rPr>
          <w:rFonts w:ascii="Times New Roman" w:hAnsi="Times New Roman" w:cs="Times New Roman"/>
        </w:rPr>
        <w:t xml:space="preserve">, </w:t>
      </w:r>
      <w:r w:rsidRPr="00501216">
        <w:rPr>
          <w:rFonts w:ascii="Times New Roman" w:hAnsi="Times New Roman" w:cs="Times New Roman"/>
          <w:i/>
          <w:iCs/>
        </w:rPr>
        <w:t>37</w:t>
      </w:r>
      <w:r w:rsidRPr="00501216">
        <w:rPr>
          <w:rFonts w:ascii="Times New Roman" w:hAnsi="Times New Roman" w:cs="Times New Roman"/>
        </w:rPr>
        <w:t>(Supplement), S490–S500. https://doi.org/10.1249/01.mss.0000185571.49104.82</w:t>
      </w:r>
    </w:p>
    <w:p w14:paraId="5CBB398F"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Clemente, F. M., Silva, R., Ramirez-Campillo, R., Afonso, J., Mendes, B., &amp; Yung-Sheng Chen. (2020). Accelerometry-based variables in professional soccer players: Comparisons between periods of the season and playing positions. </w:t>
      </w:r>
      <w:r w:rsidRPr="00501216">
        <w:rPr>
          <w:rFonts w:ascii="Times New Roman" w:hAnsi="Times New Roman" w:cs="Times New Roman"/>
          <w:i/>
          <w:iCs/>
        </w:rPr>
        <w:t>Biology of Sport</w:t>
      </w:r>
      <w:r w:rsidRPr="00501216">
        <w:rPr>
          <w:rFonts w:ascii="Times New Roman" w:hAnsi="Times New Roman" w:cs="Times New Roman"/>
        </w:rPr>
        <w:t xml:space="preserve">, </w:t>
      </w:r>
      <w:r w:rsidRPr="00501216">
        <w:rPr>
          <w:rFonts w:ascii="Times New Roman" w:hAnsi="Times New Roman" w:cs="Times New Roman"/>
          <w:i/>
          <w:iCs/>
        </w:rPr>
        <w:t>37</w:t>
      </w:r>
      <w:r w:rsidRPr="00501216">
        <w:rPr>
          <w:rFonts w:ascii="Times New Roman" w:hAnsi="Times New Roman" w:cs="Times New Roman"/>
        </w:rPr>
        <w:t>(4), 389–403.</w:t>
      </w:r>
    </w:p>
    <w:p w14:paraId="159BFDD7"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lastRenderedPageBreak/>
        <w:t xml:space="preserve">Collette, R., Kellmann, M., Ferrauti, A., Meyer, T., &amp; Pfeiffer, M. (2018). Relation Between Training Load and Recovery-Stress State in High-Performance Swimming. </w:t>
      </w:r>
      <w:r w:rsidRPr="00501216">
        <w:rPr>
          <w:rFonts w:ascii="Times New Roman" w:hAnsi="Times New Roman" w:cs="Times New Roman"/>
          <w:i/>
          <w:iCs/>
        </w:rPr>
        <w:t>Frontiers in Physiology</w:t>
      </w:r>
      <w:r w:rsidRPr="00501216">
        <w:rPr>
          <w:rFonts w:ascii="Times New Roman" w:hAnsi="Times New Roman" w:cs="Times New Roman"/>
        </w:rPr>
        <w:t xml:space="preserve">, </w:t>
      </w:r>
      <w:r w:rsidRPr="00501216">
        <w:rPr>
          <w:rFonts w:ascii="Times New Roman" w:hAnsi="Times New Roman" w:cs="Times New Roman"/>
          <w:i/>
          <w:iCs/>
        </w:rPr>
        <w:t>9</w:t>
      </w:r>
      <w:r w:rsidRPr="00501216">
        <w:rPr>
          <w:rFonts w:ascii="Times New Roman" w:hAnsi="Times New Roman" w:cs="Times New Roman"/>
        </w:rPr>
        <w:t>. https://doi.org/10.3389/fphys.2018.00845</w:t>
      </w:r>
    </w:p>
    <w:p w14:paraId="1C65E13F"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Cristina-Souza, G., Santos-Mariano, A. C., Souza-Rodrigues, C. C., Osiecki, R., Silva, S. F., Lima-Silva, A. E., &amp; De Oliveira, F. R. (2019). Menstrual cycle alters training strain, monotony, and technical training length in young. </w:t>
      </w:r>
      <w:r w:rsidRPr="00501216">
        <w:rPr>
          <w:rFonts w:ascii="Times New Roman" w:hAnsi="Times New Roman" w:cs="Times New Roman"/>
          <w:i/>
          <w:iCs/>
        </w:rPr>
        <w:t>Journal of Sports Sciences</w:t>
      </w:r>
      <w:r w:rsidRPr="00501216">
        <w:rPr>
          <w:rFonts w:ascii="Times New Roman" w:hAnsi="Times New Roman" w:cs="Times New Roman"/>
        </w:rPr>
        <w:t xml:space="preserve">, </w:t>
      </w:r>
      <w:r w:rsidRPr="00501216">
        <w:rPr>
          <w:rFonts w:ascii="Times New Roman" w:hAnsi="Times New Roman" w:cs="Times New Roman"/>
          <w:i/>
          <w:iCs/>
        </w:rPr>
        <w:t>37</w:t>
      </w:r>
      <w:r w:rsidRPr="00501216">
        <w:rPr>
          <w:rFonts w:ascii="Times New Roman" w:hAnsi="Times New Roman" w:cs="Times New Roman"/>
        </w:rPr>
        <w:t>(16), 1824–1830.</w:t>
      </w:r>
    </w:p>
    <w:p w14:paraId="0B7EF3F3"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Daly, R., Bass, S., &amp; Finch, C. (2001). Balancing the risk of injury to gymnasts: How effective are the counter measures? </w:t>
      </w:r>
      <w:r w:rsidRPr="00501216">
        <w:rPr>
          <w:rFonts w:ascii="Times New Roman" w:hAnsi="Times New Roman" w:cs="Times New Roman"/>
          <w:i/>
          <w:iCs/>
        </w:rPr>
        <w:t>British Journal of Sports Medicine</w:t>
      </w:r>
      <w:r w:rsidRPr="00501216">
        <w:rPr>
          <w:rFonts w:ascii="Times New Roman" w:hAnsi="Times New Roman" w:cs="Times New Roman"/>
        </w:rPr>
        <w:t xml:space="preserve">, </w:t>
      </w:r>
      <w:r w:rsidRPr="00501216">
        <w:rPr>
          <w:rFonts w:ascii="Times New Roman" w:hAnsi="Times New Roman" w:cs="Times New Roman"/>
          <w:i/>
          <w:iCs/>
        </w:rPr>
        <w:t>35</w:t>
      </w:r>
      <w:r w:rsidRPr="00501216">
        <w:rPr>
          <w:rFonts w:ascii="Times New Roman" w:hAnsi="Times New Roman" w:cs="Times New Roman"/>
        </w:rPr>
        <w:t>(1), 8–19. https://doi.org/10.1136/bjsm.35.1.8</w:t>
      </w:r>
    </w:p>
    <w:p w14:paraId="20615E63"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Debien, P. B., Mancini, M., Coimbra, D. R., de Freitas, D. G. S., Miranda, R., &amp; Bara Filho, M. G. (2018). Monitoring Training Load, Recovery, and Performance of Brazilian Professional Volleyball Players During a Season. </w:t>
      </w:r>
      <w:r w:rsidRPr="00501216">
        <w:rPr>
          <w:rFonts w:ascii="Times New Roman" w:hAnsi="Times New Roman" w:cs="Times New Roman"/>
          <w:i/>
          <w:iCs/>
        </w:rPr>
        <w:t>International Journal of Sports Physiology &amp; Performance</w:t>
      </w:r>
      <w:r w:rsidRPr="00501216">
        <w:rPr>
          <w:rFonts w:ascii="Times New Roman" w:hAnsi="Times New Roman" w:cs="Times New Roman"/>
        </w:rPr>
        <w:t xml:space="preserve">, </w:t>
      </w:r>
      <w:r w:rsidRPr="00501216">
        <w:rPr>
          <w:rFonts w:ascii="Times New Roman" w:hAnsi="Times New Roman" w:cs="Times New Roman"/>
          <w:i/>
          <w:iCs/>
        </w:rPr>
        <w:t>13</w:t>
      </w:r>
      <w:r w:rsidRPr="00501216">
        <w:rPr>
          <w:rFonts w:ascii="Times New Roman" w:hAnsi="Times New Roman" w:cs="Times New Roman"/>
        </w:rPr>
        <w:t>(9), 1182–1189.</w:t>
      </w:r>
    </w:p>
    <w:p w14:paraId="526EBCC7"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Debien, P. B., Miloski, B., Werneck, F. Z., Timoteo, T. F., Ferezin, C., Filho, M. G. B., &amp; Gabbett, T. J. (2020). Training Load and Recovery During a Pre-Olympic Season in Professional Rhythmic Gymnasts. </w:t>
      </w:r>
      <w:r w:rsidRPr="00501216">
        <w:rPr>
          <w:rFonts w:ascii="Times New Roman" w:hAnsi="Times New Roman" w:cs="Times New Roman"/>
          <w:i/>
          <w:iCs/>
        </w:rPr>
        <w:t>Journal of Athletic Training</w:t>
      </w:r>
      <w:r w:rsidRPr="00501216">
        <w:rPr>
          <w:rFonts w:ascii="Times New Roman" w:hAnsi="Times New Roman" w:cs="Times New Roman"/>
        </w:rPr>
        <w:t xml:space="preserve">, </w:t>
      </w:r>
      <w:r w:rsidRPr="00501216">
        <w:rPr>
          <w:rFonts w:ascii="Times New Roman" w:hAnsi="Times New Roman" w:cs="Times New Roman"/>
          <w:i/>
          <w:iCs/>
        </w:rPr>
        <w:t>55</w:t>
      </w:r>
      <w:r w:rsidRPr="00501216">
        <w:rPr>
          <w:rFonts w:ascii="Times New Roman" w:hAnsi="Times New Roman" w:cs="Times New Roman"/>
        </w:rPr>
        <w:t>(9), 977–983. https://doi.org/10.4085/1062-6050-402.19</w:t>
      </w:r>
    </w:p>
    <w:p w14:paraId="7D4CFCB3"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Delecroix, B., Mccall, A., Dawson, B., Berthoin, S., &amp; Dupont, G. (2019). Workload monotony, strain and non-contact injury incidence in professional football players. </w:t>
      </w:r>
      <w:r w:rsidRPr="00501216">
        <w:rPr>
          <w:rFonts w:ascii="Times New Roman" w:hAnsi="Times New Roman" w:cs="Times New Roman"/>
          <w:i/>
          <w:iCs/>
        </w:rPr>
        <w:t>Science &amp; Medicine in Football</w:t>
      </w:r>
      <w:r w:rsidRPr="00501216">
        <w:rPr>
          <w:rFonts w:ascii="Times New Roman" w:hAnsi="Times New Roman" w:cs="Times New Roman"/>
        </w:rPr>
        <w:t xml:space="preserve">, </w:t>
      </w:r>
      <w:r w:rsidRPr="00501216">
        <w:rPr>
          <w:rFonts w:ascii="Times New Roman" w:hAnsi="Times New Roman" w:cs="Times New Roman"/>
          <w:i/>
          <w:iCs/>
        </w:rPr>
        <w:t>3</w:t>
      </w:r>
      <w:r w:rsidRPr="00501216">
        <w:rPr>
          <w:rFonts w:ascii="Times New Roman" w:hAnsi="Times New Roman" w:cs="Times New Roman"/>
        </w:rPr>
        <w:t>(2), 105–108.</w:t>
      </w:r>
    </w:p>
    <w:p w14:paraId="0D875A23"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lastRenderedPageBreak/>
        <w:t xml:space="preserve">Doeven, S. H., Brink, M. S., Frencken, W. G. P., &amp; Lemmink, K. A. P. M. (2017). Impaired Player-Coach Perceptions of Exertion and Recovery During Match Congestion. </w:t>
      </w:r>
      <w:r w:rsidRPr="00501216">
        <w:rPr>
          <w:rFonts w:ascii="Times New Roman" w:hAnsi="Times New Roman" w:cs="Times New Roman"/>
          <w:i/>
          <w:iCs/>
        </w:rPr>
        <w:t>International Journal of Sports Physiology &amp; Performance</w:t>
      </w:r>
      <w:r w:rsidRPr="00501216">
        <w:rPr>
          <w:rFonts w:ascii="Times New Roman" w:hAnsi="Times New Roman" w:cs="Times New Roman"/>
        </w:rPr>
        <w:t xml:space="preserve">, </w:t>
      </w:r>
      <w:r w:rsidRPr="00501216">
        <w:rPr>
          <w:rFonts w:ascii="Times New Roman" w:hAnsi="Times New Roman" w:cs="Times New Roman"/>
          <w:i/>
          <w:iCs/>
        </w:rPr>
        <w:t>12</w:t>
      </w:r>
      <w:r w:rsidRPr="00501216">
        <w:rPr>
          <w:rFonts w:ascii="Times New Roman" w:hAnsi="Times New Roman" w:cs="Times New Roman"/>
        </w:rPr>
        <w:t>(9), 1151–1156.</w:t>
      </w:r>
    </w:p>
    <w:p w14:paraId="1C99B4FA"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Dumortier, J., Mariman, A., Boone, J., Delesie, L., Tobback, E., Vogelaers, D., &amp; Bourgois, J. G. (2018). Sleep, training load and performance in elite female gymnasts. </w:t>
      </w:r>
      <w:r w:rsidRPr="00501216">
        <w:rPr>
          <w:rFonts w:ascii="Times New Roman" w:hAnsi="Times New Roman" w:cs="Times New Roman"/>
          <w:i/>
          <w:iCs/>
        </w:rPr>
        <w:t>European Journal of Sport Science</w:t>
      </w:r>
      <w:r w:rsidRPr="00501216">
        <w:rPr>
          <w:rFonts w:ascii="Times New Roman" w:hAnsi="Times New Roman" w:cs="Times New Roman"/>
        </w:rPr>
        <w:t xml:space="preserve">, </w:t>
      </w:r>
      <w:r w:rsidRPr="00501216">
        <w:rPr>
          <w:rFonts w:ascii="Times New Roman" w:hAnsi="Times New Roman" w:cs="Times New Roman"/>
          <w:i/>
          <w:iCs/>
        </w:rPr>
        <w:t>18</w:t>
      </w:r>
      <w:r w:rsidRPr="00501216">
        <w:rPr>
          <w:rFonts w:ascii="Times New Roman" w:hAnsi="Times New Roman" w:cs="Times New Roman"/>
        </w:rPr>
        <w:t>(2), 151–161.</w:t>
      </w:r>
    </w:p>
    <w:p w14:paraId="4FC0A081"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Fessi, M. S., Nouira, S., Dellal, A., Owen, A., Elloumi, M., &amp; Moalla, W. (2016). Changes of the psychophysical state and feeling of wellness of professional soccer players during pre-season and in-season periods. </w:t>
      </w:r>
      <w:r w:rsidRPr="00501216">
        <w:rPr>
          <w:rFonts w:ascii="Times New Roman" w:hAnsi="Times New Roman" w:cs="Times New Roman"/>
          <w:i/>
          <w:iCs/>
        </w:rPr>
        <w:t>Research in Sports Medicine</w:t>
      </w:r>
      <w:r w:rsidRPr="00501216">
        <w:rPr>
          <w:rFonts w:ascii="Times New Roman" w:hAnsi="Times New Roman" w:cs="Times New Roman"/>
        </w:rPr>
        <w:t xml:space="preserve">, </w:t>
      </w:r>
      <w:r w:rsidRPr="00501216">
        <w:rPr>
          <w:rFonts w:ascii="Times New Roman" w:hAnsi="Times New Roman" w:cs="Times New Roman"/>
          <w:i/>
          <w:iCs/>
        </w:rPr>
        <w:t>24</w:t>
      </w:r>
      <w:r w:rsidRPr="00501216">
        <w:rPr>
          <w:rFonts w:ascii="Times New Roman" w:hAnsi="Times New Roman" w:cs="Times New Roman"/>
        </w:rPr>
        <w:t>(4), 375–386.</w:t>
      </w:r>
    </w:p>
    <w:p w14:paraId="2BDA4BDB"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Flynn, A., Walters, J., Lang, H., Perkins, A., &amp; Goodin, J. (2017). </w:t>
      </w:r>
      <w:r w:rsidRPr="00501216">
        <w:rPr>
          <w:rFonts w:ascii="Times New Roman" w:hAnsi="Times New Roman" w:cs="Times New Roman"/>
          <w:i/>
          <w:iCs/>
        </w:rPr>
        <w:t>Validation of The Short Recovery Stress Scale Questionnaire During Women’s Volleyball In-Season Training</w:t>
      </w:r>
      <w:r w:rsidRPr="00501216">
        <w:rPr>
          <w:rFonts w:ascii="Times New Roman" w:hAnsi="Times New Roman" w:cs="Times New Roman"/>
        </w:rPr>
        <w:t>. 6.</w:t>
      </w:r>
    </w:p>
    <w:p w14:paraId="709CE5F9"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Fomin, R., &amp; Nasedkin, V. (n.d.). </w:t>
      </w:r>
      <w:r w:rsidRPr="00501216">
        <w:rPr>
          <w:rFonts w:ascii="Times New Roman" w:hAnsi="Times New Roman" w:cs="Times New Roman"/>
          <w:i/>
          <w:iCs/>
        </w:rPr>
        <w:t>EFFECTIVE MANAGEMENT OF ATHLETE PREPARATION</w:t>
      </w:r>
      <w:r w:rsidRPr="00501216">
        <w:rPr>
          <w:rFonts w:ascii="Times New Roman" w:hAnsi="Times New Roman" w:cs="Times New Roman"/>
        </w:rPr>
        <w:t>. 32.</w:t>
      </w:r>
    </w:p>
    <w:p w14:paraId="4E2F845B"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Freemas, J. A., Baranauskas, M. N., Constantini, K., Constantini, N., Greenshields, J. T., Mickleborough, T. D., Raglin, J. S., &amp; Schlader, Z. J. (2021). Exercise Performance Is Impaired during the Midluteal Phase of the Menstrual Cycle. </w:t>
      </w:r>
      <w:r w:rsidRPr="00501216">
        <w:rPr>
          <w:rFonts w:ascii="Times New Roman" w:hAnsi="Times New Roman" w:cs="Times New Roman"/>
          <w:i/>
          <w:iCs/>
        </w:rPr>
        <w:t>Medicine &amp; Science in Sports &amp; Exercise</w:t>
      </w:r>
      <w:r w:rsidRPr="00501216">
        <w:rPr>
          <w:rFonts w:ascii="Times New Roman" w:hAnsi="Times New Roman" w:cs="Times New Roman"/>
        </w:rPr>
        <w:t xml:space="preserve">, </w:t>
      </w:r>
      <w:r w:rsidRPr="00501216">
        <w:rPr>
          <w:rFonts w:ascii="Times New Roman" w:hAnsi="Times New Roman" w:cs="Times New Roman"/>
          <w:i/>
          <w:iCs/>
        </w:rPr>
        <w:t>53</w:t>
      </w:r>
      <w:r w:rsidRPr="00501216">
        <w:rPr>
          <w:rFonts w:ascii="Times New Roman" w:hAnsi="Times New Roman" w:cs="Times New Roman"/>
        </w:rPr>
        <w:t>(2), 442–452. https://doi.org/10.1249/MSS.0000000000002464</w:t>
      </w:r>
    </w:p>
    <w:p w14:paraId="0FF57D7D"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Govus, A. D., Coutts, A., Duffield, R., Murray, A., &amp; Fullagar, H. (2018). Relationship Between Pretraining Subjective Wellness Measures, Player Load, and Rating-of-Perceived-Exertion Training Load in American College Football. </w:t>
      </w:r>
      <w:r w:rsidRPr="00501216">
        <w:rPr>
          <w:rFonts w:ascii="Times New Roman" w:hAnsi="Times New Roman" w:cs="Times New Roman"/>
          <w:i/>
          <w:iCs/>
        </w:rPr>
        <w:t>International Journal of Sports Physiology and Performance</w:t>
      </w:r>
      <w:r w:rsidRPr="00501216">
        <w:rPr>
          <w:rFonts w:ascii="Times New Roman" w:hAnsi="Times New Roman" w:cs="Times New Roman"/>
        </w:rPr>
        <w:t xml:space="preserve">, </w:t>
      </w:r>
      <w:r w:rsidRPr="00501216">
        <w:rPr>
          <w:rFonts w:ascii="Times New Roman" w:hAnsi="Times New Roman" w:cs="Times New Roman"/>
          <w:i/>
          <w:iCs/>
        </w:rPr>
        <w:t>13</w:t>
      </w:r>
      <w:r w:rsidRPr="00501216">
        <w:rPr>
          <w:rFonts w:ascii="Times New Roman" w:hAnsi="Times New Roman" w:cs="Times New Roman"/>
        </w:rPr>
        <w:t>(1), 95–101. https://doi.org/10.1123/ijspp.2016-0714</w:t>
      </w:r>
    </w:p>
    <w:p w14:paraId="57DBE380"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Halson, S. L. (2014). Monitoring Training Load to Understand Fatigue in Athletes. </w:t>
      </w:r>
      <w:r w:rsidRPr="00501216">
        <w:rPr>
          <w:rFonts w:ascii="Times New Roman" w:hAnsi="Times New Roman" w:cs="Times New Roman"/>
          <w:i/>
          <w:iCs/>
        </w:rPr>
        <w:t>Sports Medicine</w:t>
      </w:r>
      <w:r w:rsidRPr="00501216">
        <w:rPr>
          <w:rFonts w:ascii="Times New Roman" w:hAnsi="Times New Roman" w:cs="Times New Roman"/>
        </w:rPr>
        <w:t xml:space="preserve">, </w:t>
      </w:r>
      <w:r w:rsidRPr="00501216">
        <w:rPr>
          <w:rFonts w:ascii="Times New Roman" w:hAnsi="Times New Roman" w:cs="Times New Roman"/>
          <w:i/>
          <w:iCs/>
        </w:rPr>
        <w:t>44</w:t>
      </w:r>
      <w:r w:rsidRPr="00501216">
        <w:rPr>
          <w:rFonts w:ascii="Times New Roman" w:hAnsi="Times New Roman" w:cs="Times New Roman"/>
        </w:rPr>
        <w:t>(2), 139–147. https://doi.org/10.1007/s40279-014-0253-z</w:t>
      </w:r>
    </w:p>
    <w:p w14:paraId="29B37D18"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lastRenderedPageBreak/>
        <w:t xml:space="preserve">Heishman, A. D., Curtis, M. A., Saliba, E., Hornett, R. J., Malin, S. K., &amp; Weltman, A. L. (2018). </w:t>
      </w:r>
      <w:r w:rsidRPr="00501216">
        <w:rPr>
          <w:rFonts w:ascii="Times New Roman" w:hAnsi="Times New Roman" w:cs="Times New Roman"/>
          <w:i/>
          <w:iCs/>
        </w:rPr>
        <w:t>Noninvasive Assessment of Internal and External Player Load: Implications for Optimizing Athletic Performance</w:t>
      </w:r>
      <w:r w:rsidRPr="00501216">
        <w:rPr>
          <w:rFonts w:ascii="Times New Roman" w:hAnsi="Times New Roman" w:cs="Times New Roman"/>
        </w:rPr>
        <w:t>. 8.</w:t>
      </w:r>
    </w:p>
    <w:p w14:paraId="65D2C228"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Hwang, S., &amp; Choi, Y. (2016). Data Mining in the Exploration of Stressors Among NCAA Student Athletes. </w:t>
      </w:r>
      <w:r w:rsidRPr="00501216">
        <w:rPr>
          <w:rFonts w:ascii="Times New Roman" w:hAnsi="Times New Roman" w:cs="Times New Roman"/>
          <w:i/>
          <w:iCs/>
        </w:rPr>
        <w:t>Psychological Reports</w:t>
      </w:r>
      <w:r w:rsidRPr="00501216">
        <w:rPr>
          <w:rFonts w:ascii="Times New Roman" w:hAnsi="Times New Roman" w:cs="Times New Roman"/>
        </w:rPr>
        <w:t xml:space="preserve">, </w:t>
      </w:r>
      <w:r w:rsidRPr="00501216">
        <w:rPr>
          <w:rFonts w:ascii="Times New Roman" w:hAnsi="Times New Roman" w:cs="Times New Roman"/>
          <w:i/>
          <w:iCs/>
        </w:rPr>
        <w:t>119</w:t>
      </w:r>
      <w:r w:rsidRPr="00501216">
        <w:rPr>
          <w:rFonts w:ascii="Times New Roman" w:hAnsi="Times New Roman" w:cs="Times New Roman"/>
        </w:rPr>
        <w:t>(3), 787–803. https://doi.org/10.1177/0033294116674776</w:t>
      </w:r>
    </w:p>
    <w:p w14:paraId="616F5A76"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Kallus, K. W., &amp; Kellmann, M. (2016). </w:t>
      </w:r>
      <w:r w:rsidRPr="00501216">
        <w:rPr>
          <w:rFonts w:ascii="Times New Roman" w:hAnsi="Times New Roman" w:cs="Times New Roman"/>
          <w:i/>
          <w:iCs/>
        </w:rPr>
        <w:t>The Recovery-Stress Questionnaires: User Manual</w:t>
      </w:r>
      <w:r w:rsidRPr="00501216">
        <w:rPr>
          <w:rFonts w:ascii="Times New Roman" w:hAnsi="Times New Roman" w:cs="Times New Roman"/>
        </w:rPr>
        <w:t>.</w:t>
      </w:r>
    </w:p>
    <w:p w14:paraId="07EE4A38"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Keane, K. M., Salicki, R., Goodall, S., Thomas, K., &amp; Howatson, G. (2015). Muscle Damage Response in Female Collegiate Athletes After Repeated Sprint Activity. </w:t>
      </w:r>
      <w:r w:rsidRPr="00501216">
        <w:rPr>
          <w:rFonts w:ascii="Times New Roman" w:hAnsi="Times New Roman" w:cs="Times New Roman"/>
          <w:i/>
          <w:iCs/>
        </w:rPr>
        <w:t>The Journal of Strength &amp; Conditioning Research</w:t>
      </w:r>
      <w:r w:rsidRPr="00501216">
        <w:rPr>
          <w:rFonts w:ascii="Times New Roman" w:hAnsi="Times New Roman" w:cs="Times New Roman"/>
        </w:rPr>
        <w:t xml:space="preserve">, </w:t>
      </w:r>
      <w:r w:rsidRPr="00501216">
        <w:rPr>
          <w:rFonts w:ascii="Times New Roman" w:hAnsi="Times New Roman" w:cs="Times New Roman"/>
          <w:i/>
          <w:iCs/>
        </w:rPr>
        <w:t>29</w:t>
      </w:r>
      <w:r w:rsidRPr="00501216">
        <w:rPr>
          <w:rFonts w:ascii="Times New Roman" w:hAnsi="Times New Roman" w:cs="Times New Roman"/>
        </w:rPr>
        <w:t>(10), 2802–2807. https://doi.org/10.1519/JSC.0000000000000961</w:t>
      </w:r>
    </w:p>
    <w:p w14:paraId="5BA208A7"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Kellmann, M. (2002). </w:t>
      </w:r>
      <w:r w:rsidRPr="00501216">
        <w:rPr>
          <w:rFonts w:ascii="Times New Roman" w:hAnsi="Times New Roman" w:cs="Times New Roman"/>
          <w:i/>
          <w:iCs/>
        </w:rPr>
        <w:t>Enhancing Recovery: Preventing Underperformance in Athletes</w:t>
      </w:r>
      <w:r w:rsidRPr="00501216">
        <w:rPr>
          <w:rFonts w:ascii="Times New Roman" w:hAnsi="Times New Roman" w:cs="Times New Roman"/>
        </w:rPr>
        <w:t>. Human Kinetics. https://books-google-com.ezproxy.lib.ou.edu/books?hl=en&amp;lr=&amp;id=Qp-WkTxvlvIC&amp;oi=fnd&amp;pg=PP9&amp;dq=enhancing+recovery&amp;ots=qJ4FwXjr7R&amp;sig=9WVNqJsssxOxHQgMI3NpeZWcd0A#v=onepage&amp;q=enhancing%20recovery&amp;f=false</w:t>
      </w:r>
    </w:p>
    <w:p w14:paraId="7232E55A"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Kellmann, M., Bertollo, M., Bosquet, L., Brink, M., Coutts, A. J., Duffield, R., Erlacher, D., Halson, S. L., Hecksteden, A., Heidari, J., Kallus, K. W., Meeusen, R., Mujika, I., Robazza, C., Skorski, S., Venter, R., &amp; Beckmann, J. (2018). Recovery and Performance in Sport: Consensus Statement. </w:t>
      </w:r>
      <w:r w:rsidRPr="00501216">
        <w:rPr>
          <w:rFonts w:ascii="Times New Roman" w:hAnsi="Times New Roman" w:cs="Times New Roman"/>
          <w:i/>
          <w:iCs/>
        </w:rPr>
        <w:t>International Journal of Sports Physiology &amp; Performance</w:t>
      </w:r>
      <w:r w:rsidRPr="00501216">
        <w:rPr>
          <w:rFonts w:ascii="Times New Roman" w:hAnsi="Times New Roman" w:cs="Times New Roman"/>
        </w:rPr>
        <w:t xml:space="preserve">, </w:t>
      </w:r>
      <w:r w:rsidRPr="00501216">
        <w:rPr>
          <w:rFonts w:ascii="Times New Roman" w:hAnsi="Times New Roman" w:cs="Times New Roman"/>
          <w:i/>
          <w:iCs/>
        </w:rPr>
        <w:t>13</w:t>
      </w:r>
      <w:r w:rsidRPr="00501216">
        <w:rPr>
          <w:rFonts w:ascii="Times New Roman" w:hAnsi="Times New Roman" w:cs="Times New Roman"/>
        </w:rPr>
        <w:t>(2), 240–245.</w:t>
      </w:r>
    </w:p>
    <w:p w14:paraId="2595A31C"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Kellmann, M., &amp; Kolling, S. (2019). </w:t>
      </w:r>
      <w:r w:rsidRPr="00501216">
        <w:rPr>
          <w:rFonts w:ascii="Times New Roman" w:hAnsi="Times New Roman" w:cs="Times New Roman"/>
          <w:i/>
          <w:iCs/>
        </w:rPr>
        <w:t>Recovery and Stress in Sport</w:t>
      </w:r>
      <w:r w:rsidRPr="00501216">
        <w:rPr>
          <w:rFonts w:ascii="Times New Roman" w:hAnsi="Times New Roman" w:cs="Times New Roman"/>
        </w:rPr>
        <w:t>. Routledge.</w:t>
      </w:r>
    </w:p>
    <w:p w14:paraId="789F34EC"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Kreher, J. B., &amp; Schwartz, J. B. (2012). Overtraining Syndrome. </w:t>
      </w:r>
      <w:r w:rsidRPr="00501216">
        <w:rPr>
          <w:rFonts w:ascii="Times New Roman" w:hAnsi="Times New Roman" w:cs="Times New Roman"/>
          <w:i/>
          <w:iCs/>
        </w:rPr>
        <w:t>Sports Health</w:t>
      </w:r>
      <w:r w:rsidRPr="00501216">
        <w:rPr>
          <w:rFonts w:ascii="Times New Roman" w:hAnsi="Times New Roman" w:cs="Times New Roman"/>
        </w:rPr>
        <w:t xml:space="preserve">, </w:t>
      </w:r>
      <w:r w:rsidRPr="00501216">
        <w:rPr>
          <w:rFonts w:ascii="Times New Roman" w:hAnsi="Times New Roman" w:cs="Times New Roman"/>
          <w:i/>
          <w:iCs/>
        </w:rPr>
        <w:t>4</w:t>
      </w:r>
      <w:r w:rsidRPr="00501216">
        <w:rPr>
          <w:rFonts w:ascii="Times New Roman" w:hAnsi="Times New Roman" w:cs="Times New Roman"/>
        </w:rPr>
        <w:t>(2), 128–138. https://doi.org/10.1177/1941738111434406</w:t>
      </w:r>
    </w:p>
    <w:p w14:paraId="0EBE3414"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lastRenderedPageBreak/>
        <w:t xml:space="preserve">Lanese, R. R., Strauss, R. H., Leizman, D. J., &amp; Rotondi, M. (1990). Injury and Disability in Matched Men’s and Women’s Intercollegiate Sports. </w:t>
      </w:r>
      <w:r w:rsidRPr="00501216">
        <w:rPr>
          <w:rFonts w:ascii="Times New Roman" w:hAnsi="Times New Roman" w:cs="Times New Roman"/>
          <w:i/>
          <w:iCs/>
        </w:rPr>
        <w:t>American Journal of Public Health</w:t>
      </w:r>
      <w:r w:rsidRPr="00501216">
        <w:rPr>
          <w:rFonts w:ascii="Times New Roman" w:hAnsi="Times New Roman" w:cs="Times New Roman"/>
        </w:rPr>
        <w:t xml:space="preserve">, </w:t>
      </w:r>
      <w:r w:rsidRPr="00501216">
        <w:rPr>
          <w:rFonts w:ascii="Times New Roman" w:hAnsi="Times New Roman" w:cs="Times New Roman"/>
          <w:i/>
          <w:iCs/>
        </w:rPr>
        <w:t>80</w:t>
      </w:r>
      <w:r w:rsidRPr="00501216">
        <w:rPr>
          <w:rFonts w:ascii="Times New Roman" w:hAnsi="Times New Roman" w:cs="Times New Roman"/>
        </w:rPr>
        <w:t>(12), 1459–1462.</w:t>
      </w:r>
    </w:p>
    <w:p w14:paraId="31E09DF0"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Lopes Dos Santos, M., Uftring, M., Stahl, C. A., Lockie, R. G., Alvar, B., Mann, J. B., &amp; Dawes, J. J. (2020). Stress in Academic and Athletic Performance in Collegiate Athletes: A Narrative Review of Sources and Monitoring Strategies. </w:t>
      </w:r>
      <w:r w:rsidRPr="00501216">
        <w:rPr>
          <w:rFonts w:ascii="Times New Roman" w:hAnsi="Times New Roman" w:cs="Times New Roman"/>
          <w:i/>
          <w:iCs/>
        </w:rPr>
        <w:t>Frontiers in Sports and Active Living</w:t>
      </w:r>
      <w:r w:rsidRPr="00501216">
        <w:rPr>
          <w:rFonts w:ascii="Times New Roman" w:hAnsi="Times New Roman" w:cs="Times New Roman"/>
        </w:rPr>
        <w:t xml:space="preserve">, </w:t>
      </w:r>
      <w:r w:rsidRPr="00501216">
        <w:rPr>
          <w:rFonts w:ascii="Times New Roman" w:hAnsi="Times New Roman" w:cs="Times New Roman"/>
          <w:i/>
          <w:iCs/>
        </w:rPr>
        <w:t>2</w:t>
      </w:r>
      <w:r w:rsidRPr="00501216">
        <w:rPr>
          <w:rFonts w:ascii="Times New Roman" w:hAnsi="Times New Roman" w:cs="Times New Roman"/>
        </w:rPr>
        <w:t>. https://doi.org/10.3389/fspor.2020.00042</w:t>
      </w:r>
    </w:p>
    <w:p w14:paraId="1117BC48"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Luteberget, L. S., Holme, B. R., &amp; Spencer, M. (2018). Reliability of Wearable Inertial Measurement Units to Measure Physical Activity in Team Handball. </w:t>
      </w:r>
      <w:r w:rsidRPr="00501216">
        <w:rPr>
          <w:rFonts w:ascii="Times New Roman" w:hAnsi="Times New Roman" w:cs="Times New Roman"/>
          <w:i/>
          <w:iCs/>
        </w:rPr>
        <w:t>International Journal of Sports Physiology &amp; Performance</w:t>
      </w:r>
      <w:r w:rsidRPr="00501216">
        <w:rPr>
          <w:rFonts w:ascii="Times New Roman" w:hAnsi="Times New Roman" w:cs="Times New Roman"/>
        </w:rPr>
        <w:t xml:space="preserve">, </w:t>
      </w:r>
      <w:r w:rsidRPr="00501216">
        <w:rPr>
          <w:rFonts w:ascii="Times New Roman" w:hAnsi="Times New Roman" w:cs="Times New Roman"/>
          <w:i/>
          <w:iCs/>
        </w:rPr>
        <w:t>13</w:t>
      </w:r>
      <w:r w:rsidRPr="00501216">
        <w:rPr>
          <w:rFonts w:ascii="Times New Roman" w:hAnsi="Times New Roman" w:cs="Times New Roman"/>
        </w:rPr>
        <w:t>(4), 467–473.</w:t>
      </w:r>
    </w:p>
    <w:p w14:paraId="569EE38E"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Mann, J. B., Bryant, K. R., Johnstone, B., Ivey, P. A., &amp; Sayers, S. P. (2016). Effect of Physical and Academic Stress on Illness and Injury in Division 1 College Football Players. </w:t>
      </w:r>
      <w:r w:rsidRPr="00501216">
        <w:rPr>
          <w:rFonts w:ascii="Times New Roman" w:hAnsi="Times New Roman" w:cs="Times New Roman"/>
          <w:i/>
          <w:iCs/>
        </w:rPr>
        <w:t>The Journal of Strength &amp; Conditioning Research</w:t>
      </w:r>
      <w:r w:rsidRPr="00501216">
        <w:rPr>
          <w:rFonts w:ascii="Times New Roman" w:hAnsi="Times New Roman" w:cs="Times New Roman"/>
        </w:rPr>
        <w:t xml:space="preserve">, </w:t>
      </w:r>
      <w:r w:rsidRPr="00501216">
        <w:rPr>
          <w:rFonts w:ascii="Times New Roman" w:hAnsi="Times New Roman" w:cs="Times New Roman"/>
          <w:i/>
          <w:iCs/>
        </w:rPr>
        <w:t>30</w:t>
      </w:r>
      <w:r w:rsidRPr="00501216">
        <w:rPr>
          <w:rFonts w:ascii="Times New Roman" w:hAnsi="Times New Roman" w:cs="Times New Roman"/>
        </w:rPr>
        <w:t>(1), 20–25. https://doi.org/10.1519/JSC.0000000000001055</w:t>
      </w:r>
    </w:p>
    <w:p w14:paraId="288CB0C7"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Marcora, S. M., Staiano, W., &amp; Manning, V. (2009). Mental fatigue impairs physical performance in humans. </w:t>
      </w:r>
      <w:r w:rsidRPr="00501216">
        <w:rPr>
          <w:rFonts w:ascii="Times New Roman" w:hAnsi="Times New Roman" w:cs="Times New Roman"/>
          <w:i/>
          <w:iCs/>
        </w:rPr>
        <w:t>Journal of Applied Physiology</w:t>
      </w:r>
      <w:r w:rsidRPr="00501216">
        <w:rPr>
          <w:rFonts w:ascii="Times New Roman" w:hAnsi="Times New Roman" w:cs="Times New Roman"/>
        </w:rPr>
        <w:t xml:space="preserve">, </w:t>
      </w:r>
      <w:r w:rsidRPr="00501216">
        <w:rPr>
          <w:rFonts w:ascii="Times New Roman" w:hAnsi="Times New Roman" w:cs="Times New Roman"/>
          <w:i/>
          <w:iCs/>
        </w:rPr>
        <w:t>106</w:t>
      </w:r>
      <w:r w:rsidRPr="00501216">
        <w:rPr>
          <w:rFonts w:ascii="Times New Roman" w:hAnsi="Times New Roman" w:cs="Times New Roman"/>
        </w:rPr>
        <w:t>(3), 857–864. https://doi.org/10.1152/japplphysiol.91324.2008</w:t>
      </w:r>
    </w:p>
    <w:p w14:paraId="3866953D"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McLaren, S. J., Macpherson, T. W., Coutts, A. J., Hurst, C., Spears, I. R., &amp; Weston, M. (2018). The Relationships Between Internal and External Measures of Training Load and Intensity in Team Sports: A Meta-Analysis. </w:t>
      </w:r>
      <w:r w:rsidRPr="00501216">
        <w:rPr>
          <w:rFonts w:ascii="Times New Roman" w:hAnsi="Times New Roman" w:cs="Times New Roman"/>
          <w:i/>
          <w:iCs/>
        </w:rPr>
        <w:t>Sports Medicine</w:t>
      </w:r>
      <w:r w:rsidRPr="00501216">
        <w:rPr>
          <w:rFonts w:ascii="Times New Roman" w:hAnsi="Times New Roman" w:cs="Times New Roman"/>
        </w:rPr>
        <w:t xml:space="preserve">, </w:t>
      </w:r>
      <w:r w:rsidRPr="00501216">
        <w:rPr>
          <w:rFonts w:ascii="Times New Roman" w:hAnsi="Times New Roman" w:cs="Times New Roman"/>
          <w:i/>
          <w:iCs/>
        </w:rPr>
        <w:t>48</w:t>
      </w:r>
      <w:r w:rsidRPr="00501216">
        <w:rPr>
          <w:rFonts w:ascii="Times New Roman" w:hAnsi="Times New Roman" w:cs="Times New Roman"/>
        </w:rPr>
        <w:t>(3), 641–658. https://doi.org/10.1007/s40279-017-0830-z</w:t>
      </w:r>
    </w:p>
    <w:p w14:paraId="527821EC"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Nagle, J. A., McMillan, J. L., Munkasy, B. A., Joyner, A. B., Roorda, A., Scott, M. K., &amp; Rossi, S. J. (2015). Changes in Swim Performance and Perceived Stress and Recovery in </w:t>
      </w:r>
      <w:r w:rsidRPr="00501216">
        <w:rPr>
          <w:rFonts w:ascii="Times New Roman" w:hAnsi="Times New Roman" w:cs="Times New Roman"/>
        </w:rPr>
        <w:lastRenderedPageBreak/>
        <w:t xml:space="preserve">Female Collegiate Swimmers Across a Competitive Season. </w:t>
      </w:r>
      <w:r w:rsidRPr="00501216">
        <w:rPr>
          <w:rFonts w:ascii="Times New Roman" w:hAnsi="Times New Roman" w:cs="Times New Roman"/>
          <w:i/>
          <w:iCs/>
        </w:rPr>
        <w:t>J. Swimming Research</w:t>
      </w:r>
      <w:r w:rsidRPr="00501216">
        <w:rPr>
          <w:rFonts w:ascii="Times New Roman" w:hAnsi="Times New Roman" w:cs="Times New Roman"/>
        </w:rPr>
        <w:t xml:space="preserve">, </w:t>
      </w:r>
      <w:r w:rsidRPr="00501216">
        <w:rPr>
          <w:rFonts w:ascii="Times New Roman" w:hAnsi="Times New Roman" w:cs="Times New Roman"/>
          <w:i/>
          <w:iCs/>
        </w:rPr>
        <w:t>23</w:t>
      </w:r>
      <w:r w:rsidRPr="00501216">
        <w:rPr>
          <w:rFonts w:ascii="Times New Roman" w:hAnsi="Times New Roman" w:cs="Times New Roman"/>
        </w:rPr>
        <w:t>, 44–53.</w:t>
      </w:r>
    </w:p>
    <w:p w14:paraId="65BA2FA0"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Nässi, A., Ferrauti, A., Meyer, T., Pfeiffer, M., &amp; Kellmann, M. (2017). Development of two short measures for recovery and stress in sport. </w:t>
      </w:r>
      <w:r w:rsidRPr="00501216">
        <w:rPr>
          <w:rFonts w:ascii="Times New Roman" w:hAnsi="Times New Roman" w:cs="Times New Roman"/>
          <w:i/>
          <w:iCs/>
        </w:rPr>
        <w:t>European Journal of Sport Science</w:t>
      </w:r>
      <w:r w:rsidRPr="00501216">
        <w:rPr>
          <w:rFonts w:ascii="Times New Roman" w:hAnsi="Times New Roman" w:cs="Times New Roman"/>
        </w:rPr>
        <w:t xml:space="preserve">, </w:t>
      </w:r>
      <w:r w:rsidRPr="00501216">
        <w:rPr>
          <w:rFonts w:ascii="Times New Roman" w:hAnsi="Times New Roman" w:cs="Times New Roman"/>
          <w:i/>
          <w:iCs/>
        </w:rPr>
        <w:t>17</w:t>
      </w:r>
      <w:r w:rsidRPr="00501216">
        <w:rPr>
          <w:rFonts w:ascii="Times New Roman" w:hAnsi="Times New Roman" w:cs="Times New Roman"/>
        </w:rPr>
        <w:t>(7), 894–903.</w:t>
      </w:r>
    </w:p>
    <w:p w14:paraId="32C2059C"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Nicolas, M., Vacher, P., Martinent, G., &amp; Mourot, L. (2019). Monitoring stress and recovery states: Structural and external stages of the short version of the RESTQ sport in elite swimmers before championships. </w:t>
      </w:r>
      <w:r w:rsidRPr="00501216">
        <w:rPr>
          <w:rFonts w:ascii="Times New Roman" w:hAnsi="Times New Roman" w:cs="Times New Roman"/>
          <w:i/>
          <w:iCs/>
        </w:rPr>
        <w:t>Journal of Sport and Health Science</w:t>
      </w:r>
      <w:r w:rsidRPr="00501216">
        <w:rPr>
          <w:rFonts w:ascii="Times New Roman" w:hAnsi="Times New Roman" w:cs="Times New Roman"/>
        </w:rPr>
        <w:t xml:space="preserve">, </w:t>
      </w:r>
      <w:r w:rsidRPr="00501216">
        <w:rPr>
          <w:rFonts w:ascii="Times New Roman" w:hAnsi="Times New Roman" w:cs="Times New Roman"/>
          <w:i/>
          <w:iCs/>
        </w:rPr>
        <w:t>8</w:t>
      </w:r>
      <w:r w:rsidRPr="00501216">
        <w:rPr>
          <w:rFonts w:ascii="Times New Roman" w:hAnsi="Times New Roman" w:cs="Times New Roman"/>
        </w:rPr>
        <w:t>(1), 77–88. https://doi.org/10.1016/j.jshs.2016.03.007</w:t>
      </w:r>
    </w:p>
    <w:p w14:paraId="585E0E82"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Nicolella, D. P., Torres-Ronda, L., Saylor, K. J., &amp; Schelling, X. (2018). Validity and reliability of an accelerometer-based player tracking device. </w:t>
      </w:r>
      <w:r w:rsidRPr="00501216">
        <w:rPr>
          <w:rFonts w:ascii="Times New Roman" w:hAnsi="Times New Roman" w:cs="Times New Roman"/>
          <w:i/>
          <w:iCs/>
        </w:rPr>
        <w:t>PloS One</w:t>
      </w:r>
      <w:r w:rsidRPr="00501216">
        <w:rPr>
          <w:rFonts w:ascii="Times New Roman" w:hAnsi="Times New Roman" w:cs="Times New Roman"/>
        </w:rPr>
        <w:t xml:space="preserve">, </w:t>
      </w:r>
      <w:r w:rsidRPr="00501216">
        <w:rPr>
          <w:rFonts w:ascii="Times New Roman" w:hAnsi="Times New Roman" w:cs="Times New Roman"/>
          <w:i/>
          <w:iCs/>
        </w:rPr>
        <w:t>13</w:t>
      </w:r>
      <w:r w:rsidRPr="00501216">
        <w:rPr>
          <w:rFonts w:ascii="Times New Roman" w:hAnsi="Times New Roman" w:cs="Times New Roman"/>
        </w:rPr>
        <w:t>(2), e0191823. https://doi.org/10.1371/journal.pone.0191823</w:t>
      </w:r>
    </w:p>
    <w:p w14:paraId="2B5F6D17"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Raeder, C., Wiewelhove, T., Simola, R. Á. D. P., Kellmann, M., Meyer, T., Pfeiffer, M., &amp; Ferrauti, A. (2016). Assessment of Fatigue and Recovery in Male and Female Athletes After 6 Days of Intensified Strength Training: </w:t>
      </w:r>
      <w:r w:rsidRPr="00501216">
        <w:rPr>
          <w:rFonts w:ascii="Times New Roman" w:hAnsi="Times New Roman" w:cs="Times New Roman"/>
          <w:i/>
          <w:iCs/>
        </w:rPr>
        <w:t>Journal of Strength and Conditioning Research</w:t>
      </w:r>
      <w:r w:rsidRPr="00501216">
        <w:rPr>
          <w:rFonts w:ascii="Times New Roman" w:hAnsi="Times New Roman" w:cs="Times New Roman"/>
        </w:rPr>
        <w:t xml:space="preserve">, </w:t>
      </w:r>
      <w:r w:rsidRPr="00501216">
        <w:rPr>
          <w:rFonts w:ascii="Times New Roman" w:hAnsi="Times New Roman" w:cs="Times New Roman"/>
          <w:i/>
          <w:iCs/>
        </w:rPr>
        <w:t>30</w:t>
      </w:r>
      <w:r w:rsidRPr="00501216">
        <w:rPr>
          <w:rFonts w:ascii="Times New Roman" w:hAnsi="Times New Roman" w:cs="Times New Roman"/>
        </w:rPr>
        <w:t>(12), 3412–3427. https://doi.org/10.1519/JSC.0000000000001427</w:t>
      </w:r>
    </w:p>
    <w:p w14:paraId="06E8D95C"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Roell, M., Mahler, H., Lienhard, J., Gehring, D., Gollhofer, A., &amp; Roecker, K. (2019). Validation of Wearable Sensors during Team Sport-Specific Movements in Indoor Environments. </w:t>
      </w:r>
      <w:r w:rsidRPr="00501216">
        <w:rPr>
          <w:rFonts w:ascii="Times New Roman" w:hAnsi="Times New Roman" w:cs="Times New Roman"/>
          <w:i/>
          <w:iCs/>
        </w:rPr>
        <w:t>Sensors</w:t>
      </w:r>
      <w:r w:rsidRPr="00501216">
        <w:rPr>
          <w:rFonts w:ascii="Times New Roman" w:hAnsi="Times New Roman" w:cs="Times New Roman"/>
        </w:rPr>
        <w:t xml:space="preserve">, </w:t>
      </w:r>
      <w:r w:rsidRPr="00501216">
        <w:rPr>
          <w:rFonts w:ascii="Times New Roman" w:hAnsi="Times New Roman" w:cs="Times New Roman"/>
          <w:i/>
          <w:iCs/>
        </w:rPr>
        <w:t>19</w:t>
      </w:r>
      <w:r w:rsidRPr="00501216">
        <w:rPr>
          <w:rFonts w:ascii="Times New Roman" w:hAnsi="Times New Roman" w:cs="Times New Roman"/>
        </w:rPr>
        <w:t>(16), 3458. https://doi.org/10.3390/s19163458</w:t>
      </w:r>
    </w:p>
    <w:p w14:paraId="2DE75545"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Ruddy, J. D., Pollard, C. W., Timmins, R. G., Williams, M. D., Shield, A. J., &amp; Opar, D. A. (2018). Running exposure is associated with the risk of hamstring strain injury in elite Australian footballers. </w:t>
      </w:r>
      <w:r w:rsidRPr="00501216">
        <w:rPr>
          <w:rFonts w:ascii="Times New Roman" w:hAnsi="Times New Roman" w:cs="Times New Roman"/>
          <w:i/>
          <w:iCs/>
        </w:rPr>
        <w:t>British Journal of Sports Medicine</w:t>
      </w:r>
      <w:r w:rsidRPr="00501216">
        <w:rPr>
          <w:rFonts w:ascii="Times New Roman" w:hAnsi="Times New Roman" w:cs="Times New Roman"/>
        </w:rPr>
        <w:t xml:space="preserve">, </w:t>
      </w:r>
      <w:r w:rsidRPr="00501216">
        <w:rPr>
          <w:rFonts w:ascii="Times New Roman" w:hAnsi="Times New Roman" w:cs="Times New Roman"/>
          <w:i/>
          <w:iCs/>
        </w:rPr>
        <w:t>52</w:t>
      </w:r>
      <w:r w:rsidRPr="00501216">
        <w:rPr>
          <w:rFonts w:ascii="Times New Roman" w:hAnsi="Times New Roman" w:cs="Times New Roman"/>
        </w:rPr>
        <w:t>(14), 919–928. https://doi.org/10.1136/bjsports-2016-096777</w:t>
      </w:r>
    </w:p>
    <w:p w14:paraId="1EBF1069"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lastRenderedPageBreak/>
        <w:t xml:space="preserve">Sands, W. A. (2000). Injury Prevention in Women’s Gymnastics. </w:t>
      </w:r>
      <w:r w:rsidRPr="00501216">
        <w:rPr>
          <w:rFonts w:ascii="Times New Roman" w:hAnsi="Times New Roman" w:cs="Times New Roman"/>
          <w:i/>
          <w:iCs/>
        </w:rPr>
        <w:t>Sports Medicine</w:t>
      </w:r>
      <w:r w:rsidRPr="00501216">
        <w:rPr>
          <w:rFonts w:ascii="Times New Roman" w:hAnsi="Times New Roman" w:cs="Times New Roman"/>
        </w:rPr>
        <w:t xml:space="preserve">, </w:t>
      </w:r>
      <w:r w:rsidRPr="00501216">
        <w:rPr>
          <w:rFonts w:ascii="Times New Roman" w:hAnsi="Times New Roman" w:cs="Times New Roman"/>
          <w:i/>
          <w:iCs/>
        </w:rPr>
        <w:t>30</w:t>
      </w:r>
      <w:r w:rsidRPr="00501216">
        <w:rPr>
          <w:rFonts w:ascii="Times New Roman" w:hAnsi="Times New Roman" w:cs="Times New Roman"/>
        </w:rPr>
        <w:t>(5), 359–373. https://doi.org/10.2165/00007256-200030050-00004</w:t>
      </w:r>
    </w:p>
    <w:p w14:paraId="22E5458B"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Sands, W. A., Shultz, B. B., &amp; Newman, A. P. (1993). Women’s gymnastics injuries: A 5-year study. </w:t>
      </w:r>
      <w:r w:rsidRPr="00501216">
        <w:rPr>
          <w:rFonts w:ascii="Times New Roman" w:hAnsi="Times New Roman" w:cs="Times New Roman"/>
          <w:i/>
          <w:iCs/>
        </w:rPr>
        <w:t>The American Journal of Sports Medicine</w:t>
      </w:r>
      <w:r w:rsidRPr="00501216">
        <w:rPr>
          <w:rFonts w:ascii="Times New Roman" w:hAnsi="Times New Roman" w:cs="Times New Roman"/>
        </w:rPr>
        <w:t xml:space="preserve">, </w:t>
      </w:r>
      <w:r w:rsidRPr="00501216">
        <w:rPr>
          <w:rFonts w:ascii="Times New Roman" w:hAnsi="Times New Roman" w:cs="Times New Roman"/>
          <w:i/>
          <w:iCs/>
        </w:rPr>
        <w:t>21</w:t>
      </w:r>
      <w:r w:rsidRPr="00501216">
        <w:rPr>
          <w:rFonts w:ascii="Times New Roman" w:hAnsi="Times New Roman" w:cs="Times New Roman"/>
        </w:rPr>
        <w:t>(2), 271–276.</w:t>
      </w:r>
    </w:p>
    <w:p w14:paraId="50A99E37"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Saw, A. E., Main, L. C., &amp; Gastin, P. B. (2016). Monitoring the athlete training response: Subjective self-reported measures trump commonly used objective measures: a systematic review. </w:t>
      </w:r>
      <w:r w:rsidRPr="00501216">
        <w:rPr>
          <w:rFonts w:ascii="Times New Roman" w:hAnsi="Times New Roman" w:cs="Times New Roman"/>
          <w:i/>
          <w:iCs/>
        </w:rPr>
        <w:t>British Journal of Sports Medicine</w:t>
      </w:r>
      <w:r w:rsidRPr="00501216">
        <w:rPr>
          <w:rFonts w:ascii="Times New Roman" w:hAnsi="Times New Roman" w:cs="Times New Roman"/>
        </w:rPr>
        <w:t xml:space="preserve">, </w:t>
      </w:r>
      <w:r w:rsidRPr="00501216">
        <w:rPr>
          <w:rFonts w:ascii="Times New Roman" w:hAnsi="Times New Roman" w:cs="Times New Roman"/>
          <w:i/>
          <w:iCs/>
        </w:rPr>
        <w:t>50</w:t>
      </w:r>
      <w:r w:rsidRPr="00501216">
        <w:rPr>
          <w:rFonts w:ascii="Times New Roman" w:hAnsi="Times New Roman" w:cs="Times New Roman"/>
        </w:rPr>
        <w:t>(5), 281–291. https://doi.org/10.1136/bjsports-2015-094758</w:t>
      </w:r>
    </w:p>
    <w:p w14:paraId="16279114"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Sawczuk, T., Jones, B., Scantlebury, S., &amp; Till, K. (2021). Influence of Perceptions of Sleep on Well-Being in Youth Athletes. </w:t>
      </w:r>
      <w:r w:rsidRPr="00501216">
        <w:rPr>
          <w:rFonts w:ascii="Times New Roman" w:hAnsi="Times New Roman" w:cs="Times New Roman"/>
          <w:i/>
          <w:iCs/>
        </w:rPr>
        <w:t>The Journal of Strength &amp; Conditioning Research</w:t>
      </w:r>
      <w:r w:rsidRPr="00501216">
        <w:rPr>
          <w:rFonts w:ascii="Times New Roman" w:hAnsi="Times New Roman" w:cs="Times New Roman"/>
        </w:rPr>
        <w:t xml:space="preserve">, </w:t>
      </w:r>
      <w:r w:rsidRPr="00501216">
        <w:rPr>
          <w:rFonts w:ascii="Times New Roman" w:hAnsi="Times New Roman" w:cs="Times New Roman"/>
          <w:i/>
          <w:iCs/>
        </w:rPr>
        <w:t>35</w:t>
      </w:r>
      <w:r w:rsidRPr="00501216">
        <w:rPr>
          <w:rFonts w:ascii="Times New Roman" w:hAnsi="Times New Roman" w:cs="Times New Roman"/>
        </w:rPr>
        <w:t>(4), 1066–1073. https://doi.org/10.1519/JSC.0000000000002857</w:t>
      </w:r>
    </w:p>
    <w:p w14:paraId="06F571BA"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Smith, M. R., Coutts, A. J., Merlini, M., Deprez, D., Lenoir, M., &amp; Marcora, S. M. (2016). Mental Fatigue Impairs Soccer-Specific Physical and Technical Performance: </w:t>
      </w:r>
      <w:r w:rsidRPr="00501216">
        <w:rPr>
          <w:rFonts w:ascii="Times New Roman" w:hAnsi="Times New Roman" w:cs="Times New Roman"/>
          <w:i/>
          <w:iCs/>
        </w:rPr>
        <w:t>Medicine &amp; Science in Sports &amp; Exercise</w:t>
      </w:r>
      <w:r w:rsidRPr="00501216">
        <w:rPr>
          <w:rFonts w:ascii="Times New Roman" w:hAnsi="Times New Roman" w:cs="Times New Roman"/>
        </w:rPr>
        <w:t xml:space="preserve">, </w:t>
      </w:r>
      <w:r w:rsidRPr="00501216">
        <w:rPr>
          <w:rFonts w:ascii="Times New Roman" w:hAnsi="Times New Roman" w:cs="Times New Roman"/>
          <w:i/>
          <w:iCs/>
        </w:rPr>
        <w:t>48</w:t>
      </w:r>
      <w:r w:rsidRPr="00501216">
        <w:rPr>
          <w:rFonts w:ascii="Times New Roman" w:hAnsi="Times New Roman" w:cs="Times New Roman"/>
        </w:rPr>
        <w:t>(2), 267–276. https://doi.org/10.1249/MSS.0000000000000762</w:t>
      </w:r>
    </w:p>
    <w:p w14:paraId="1118AEA9"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Snyder, E. E. (1990). Emotion and Sport: A Case Study of Collegiate Women Gymnasts. </w:t>
      </w:r>
      <w:r w:rsidRPr="00501216">
        <w:rPr>
          <w:rFonts w:ascii="Times New Roman" w:hAnsi="Times New Roman" w:cs="Times New Roman"/>
          <w:i/>
          <w:iCs/>
        </w:rPr>
        <w:t>Sociology of Sport Journal</w:t>
      </w:r>
      <w:r w:rsidRPr="00501216">
        <w:rPr>
          <w:rFonts w:ascii="Times New Roman" w:hAnsi="Times New Roman" w:cs="Times New Roman"/>
        </w:rPr>
        <w:t xml:space="preserve">, </w:t>
      </w:r>
      <w:r w:rsidRPr="00501216">
        <w:rPr>
          <w:rFonts w:ascii="Times New Roman" w:hAnsi="Times New Roman" w:cs="Times New Roman"/>
          <w:i/>
          <w:iCs/>
        </w:rPr>
        <w:t>7</w:t>
      </w:r>
      <w:r w:rsidRPr="00501216">
        <w:rPr>
          <w:rFonts w:ascii="Times New Roman" w:hAnsi="Times New Roman" w:cs="Times New Roman"/>
        </w:rPr>
        <w:t>(3), 254–270. https://doi.org/10.1123/ssj.7.3.254</w:t>
      </w:r>
    </w:p>
    <w:p w14:paraId="7AF144CF"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Spangler, R., Rantalainen, T., Gastin, P. B., &amp; Wundersitz, D. (2018). Inertial Sensors are a Valid Tool to Detect and Consistently Quantify Jumping. </w:t>
      </w:r>
      <w:r w:rsidRPr="00501216">
        <w:rPr>
          <w:rFonts w:ascii="Times New Roman" w:hAnsi="Times New Roman" w:cs="Times New Roman"/>
          <w:i/>
          <w:iCs/>
        </w:rPr>
        <w:t>International Journal of Sports Medicine</w:t>
      </w:r>
      <w:r w:rsidRPr="00501216">
        <w:rPr>
          <w:rFonts w:ascii="Times New Roman" w:hAnsi="Times New Roman" w:cs="Times New Roman"/>
        </w:rPr>
        <w:t xml:space="preserve">, </w:t>
      </w:r>
      <w:r w:rsidRPr="00501216">
        <w:rPr>
          <w:rFonts w:ascii="Times New Roman" w:hAnsi="Times New Roman" w:cs="Times New Roman"/>
          <w:i/>
          <w:iCs/>
        </w:rPr>
        <w:t>39</w:t>
      </w:r>
      <w:r w:rsidRPr="00501216">
        <w:rPr>
          <w:rFonts w:ascii="Times New Roman" w:hAnsi="Times New Roman" w:cs="Times New Roman"/>
        </w:rPr>
        <w:t>(10), 802–808. https://doi.org/10.1055/s-0044-100793</w:t>
      </w:r>
    </w:p>
    <w:p w14:paraId="14E9BAFA"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Taylor, K.-L., Chapman, D., Cronin, J., Newton, M., &amp; Gill, N. (2012). Fatigue Monitoring in High Performance Sport: A Survey of Current Trends. </w:t>
      </w:r>
      <w:r w:rsidRPr="00501216">
        <w:rPr>
          <w:rFonts w:ascii="Times New Roman" w:hAnsi="Times New Roman" w:cs="Times New Roman"/>
          <w:i/>
          <w:iCs/>
        </w:rPr>
        <w:t>Journal of Australian Strength and Conditioning</w:t>
      </w:r>
      <w:r w:rsidRPr="00501216">
        <w:rPr>
          <w:rFonts w:ascii="Times New Roman" w:hAnsi="Times New Roman" w:cs="Times New Roman"/>
        </w:rPr>
        <w:t xml:space="preserve">, </w:t>
      </w:r>
      <w:r w:rsidRPr="00501216">
        <w:rPr>
          <w:rFonts w:ascii="Times New Roman" w:hAnsi="Times New Roman" w:cs="Times New Roman"/>
          <w:i/>
          <w:iCs/>
        </w:rPr>
        <w:t>20</w:t>
      </w:r>
      <w:r w:rsidRPr="00501216">
        <w:rPr>
          <w:rFonts w:ascii="Times New Roman" w:hAnsi="Times New Roman" w:cs="Times New Roman"/>
        </w:rPr>
        <w:t>, 12–23.</w:t>
      </w:r>
    </w:p>
    <w:p w14:paraId="65B6D35F"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lastRenderedPageBreak/>
        <w:t xml:space="preserve">Troiano, R. P., McClain, J. J., Brychta, R. J., &amp; Chen, K. Y. (2014). Evolution of accelerometer methods for physical activity research. </w:t>
      </w:r>
      <w:r w:rsidRPr="00501216">
        <w:rPr>
          <w:rFonts w:ascii="Times New Roman" w:hAnsi="Times New Roman" w:cs="Times New Roman"/>
          <w:i/>
          <w:iCs/>
        </w:rPr>
        <w:t>British Journal of Sports Medicine</w:t>
      </w:r>
      <w:r w:rsidRPr="00501216">
        <w:rPr>
          <w:rFonts w:ascii="Times New Roman" w:hAnsi="Times New Roman" w:cs="Times New Roman"/>
        </w:rPr>
        <w:t xml:space="preserve">, </w:t>
      </w:r>
      <w:r w:rsidRPr="00501216">
        <w:rPr>
          <w:rFonts w:ascii="Times New Roman" w:hAnsi="Times New Roman" w:cs="Times New Roman"/>
          <w:i/>
          <w:iCs/>
        </w:rPr>
        <w:t>48</w:t>
      </w:r>
      <w:r w:rsidRPr="00501216">
        <w:rPr>
          <w:rFonts w:ascii="Times New Roman" w:hAnsi="Times New Roman" w:cs="Times New Roman"/>
        </w:rPr>
        <w:t>(13), 1019–1023. https://doi.org/10.1136/bjsports-2014-093546</w:t>
      </w:r>
    </w:p>
    <w:p w14:paraId="31D7D973"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Van Iterson, E. H., Fitzgerald, J. S., Dietz, C. C., Snyder, E. M., &amp; Peterson, B. J. (2017). Reliability of Triaxial Accelerometry for Measuring Load in Men’s Collegiate Ice Hockey. </w:t>
      </w:r>
      <w:r w:rsidRPr="00501216">
        <w:rPr>
          <w:rFonts w:ascii="Times New Roman" w:hAnsi="Times New Roman" w:cs="Times New Roman"/>
          <w:i/>
          <w:iCs/>
        </w:rPr>
        <w:t>Journal of Strength &amp; Conditioning Research</w:t>
      </w:r>
      <w:r w:rsidRPr="00501216">
        <w:rPr>
          <w:rFonts w:ascii="Times New Roman" w:hAnsi="Times New Roman" w:cs="Times New Roman"/>
        </w:rPr>
        <w:t xml:space="preserve">, </w:t>
      </w:r>
      <w:r w:rsidRPr="00501216">
        <w:rPr>
          <w:rFonts w:ascii="Times New Roman" w:hAnsi="Times New Roman" w:cs="Times New Roman"/>
          <w:i/>
          <w:iCs/>
        </w:rPr>
        <w:t>31</w:t>
      </w:r>
      <w:r w:rsidRPr="00501216">
        <w:rPr>
          <w:rFonts w:ascii="Times New Roman" w:hAnsi="Times New Roman" w:cs="Times New Roman"/>
        </w:rPr>
        <w:t>(5), 1305–1312.</w:t>
      </w:r>
    </w:p>
    <w:p w14:paraId="40BDE6DF"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Wallace, L. K., Slattery, K. M., &amp; Coutts, A. J. (2009). The Ecological Validity and Application of the Session-RPE Method for Quantifying Training Loads in Swimming: </w:t>
      </w:r>
      <w:r w:rsidRPr="00501216">
        <w:rPr>
          <w:rFonts w:ascii="Times New Roman" w:hAnsi="Times New Roman" w:cs="Times New Roman"/>
          <w:i/>
          <w:iCs/>
        </w:rPr>
        <w:t>Journal of Strength and Conditioning Research</w:t>
      </w:r>
      <w:r w:rsidRPr="00501216">
        <w:rPr>
          <w:rFonts w:ascii="Times New Roman" w:hAnsi="Times New Roman" w:cs="Times New Roman"/>
        </w:rPr>
        <w:t xml:space="preserve">, </w:t>
      </w:r>
      <w:r w:rsidRPr="00501216">
        <w:rPr>
          <w:rFonts w:ascii="Times New Roman" w:hAnsi="Times New Roman" w:cs="Times New Roman"/>
          <w:i/>
          <w:iCs/>
        </w:rPr>
        <w:t>23</w:t>
      </w:r>
      <w:r w:rsidRPr="00501216">
        <w:rPr>
          <w:rFonts w:ascii="Times New Roman" w:hAnsi="Times New Roman" w:cs="Times New Roman"/>
        </w:rPr>
        <w:t>(1), 33–38. https://doi.org/10.1519/JSC.0b013e3181874512</w:t>
      </w:r>
    </w:p>
    <w:p w14:paraId="504EC789"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Westermann, R. W., Giblin, M., Vaske, A., Grosso, K., &amp; Wolf, B. R. (2015). Evaluation of Men’s and Women’s Gymnastics Injuries: A 10-Year Observational Study. </w:t>
      </w:r>
      <w:r w:rsidRPr="00501216">
        <w:rPr>
          <w:rFonts w:ascii="Times New Roman" w:hAnsi="Times New Roman" w:cs="Times New Roman"/>
          <w:i/>
          <w:iCs/>
        </w:rPr>
        <w:t>Sports Health</w:t>
      </w:r>
      <w:r w:rsidRPr="00501216">
        <w:rPr>
          <w:rFonts w:ascii="Times New Roman" w:hAnsi="Times New Roman" w:cs="Times New Roman"/>
        </w:rPr>
        <w:t xml:space="preserve">, </w:t>
      </w:r>
      <w:r w:rsidRPr="00501216">
        <w:rPr>
          <w:rFonts w:ascii="Times New Roman" w:hAnsi="Times New Roman" w:cs="Times New Roman"/>
          <w:i/>
          <w:iCs/>
        </w:rPr>
        <w:t>7</w:t>
      </w:r>
      <w:r w:rsidRPr="00501216">
        <w:rPr>
          <w:rFonts w:ascii="Times New Roman" w:hAnsi="Times New Roman" w:cs="Times New Roman"/>
        </w:rPr>
        <w:t>(2), 161. https://doi.org/10.1177/1941738114559705</w:t>
      </w:r>
    </w:p>
    <w:p w14:paraId="7949BA64" w14:textId="77777777" w:rsidR="00C11CD7" w:rsidRPr="00501216" w:rsidRDefault="00C11CD7" w:rsidP="00C11CD7">
      <w:pPr>
        <w:pStyle w:val="Bibliography"/>
        <w:rPr>
          <w:rFonts w:ascii="Times New Roman" w:hAnsi="Times New Roman" w:cs="Times New Roman"/>
        </w:rPr>
      </w:pPr>
      <w:r w:rsidRPr="00501216">
        <w:rPr>
          <w:rFonts w:ascii="Times New Roman" w:hAnsi="Times New Roman" w:cs="Times New Roman"/>
        </w:rPr>
        <w:t xml:space="preserve">Women’s Collegiate Gymnastics Association. (2020). </w:t>
      </w:r>
      <w:r w:rsidRPr="00501216">
        <w:rPr>
          <w:rFonts w:ascii="Times New Roman" w:hAnsi="Times New Roman" w:cs="Times New Roman"/>
          <w:i/>
          <w:iCs/>
        </w:rPr>
        <w:t>Annual Report 2020</w:t>
      </w:r>
      <w:r w:rsidRPr="00501216">
        <w:rPr>
          <w:rFonts w:ascii="Times New Roman" w:hAnsi="Times New Roman" w:cs="Times New Roman"/>
        </w:rPr>
        <w:t xml:space="preserve"> [Press Release].</w:t>
      </w:r>
    </w:p>
    <w:p w14:paraId="02F92CAC" w14:textId="617B6EA3" w:rsidR="002236FA" w:rsidRPr="00501216" w:rsidRDefault="0052271F" w:rsidP="0052271F">
      <w:pPr>
        <w:spacing w:line="480" w:lineRule="auto"/>
        <w:rPr>
          <w:rFonts w:ascii="Times New Roman" w:hAnsi="Times New Roman" w:cs="Times New Roman"/>
        </w:rPr>
      </w:pPr>
      <w:r w:rsidRPr="00501216">
        <w:rPr>
          <w:rFonts w:ascii="Times New Roman" w:hAnsi="Times New Roman" w:cs="Times New Roman"/>
        </w:rPr>
        <w:fldChar w:fldCharType="end"/>
      </w:r>
    </w:p>
    <w:sectPr w:rsidR="002236FA" w:rsidRPr="00501216" w:rsidSect="0018416C">
      <w:headerReference w:type="even" r:id="rId26"/>
      <w:headerReference w:type="default" r:id="rId27"/>
      <w:footerReference w:type="even" r:id="rId28"/>
      <w:footerReference w:type="first" r:id="rId2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8BB733" w14:textId="77777777" w:rsidR="002F4F3D" w:rsidRDefault="002F4F3D" w:rsidP="0088608D">
      <w:r>
        <w:separator/>
      </w:r>
    </w:p>
  </w:endnote>
  <w:endnote w:type="continuationSeparator" w:id="0">
    <w:p w14:paraId="0E16D0ED" w14:textId="77777777" w:rsidR="002F4F3D" w:rsidRDefault="002F4F3D" w:rsidP="00886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5278302"/>
      <w:docPartObj>
        <w:docPartGallery w:val="Page Numbers (Bottom of Page)"/>
        <w:docPartUnique/>
      </w:docPartObj>
    </w:sdtPr>
    <w:sdtEndPr>
      <w:rPr>
        <w:rStyle w:val="PageNumber"/>
      </w:rPr>
    </w:sdtEndPr>
    <w:sdtContent>
      <w:p w14:paraId="5405EB1A" w14:textId="1C911B51" w:rsidR="003D100F" w:rsidRDefault="003D100F" w:rsidP="0018416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2E2311" w14:textId="77777777" w:rsidR="003D100F" w:rsidRDefault="003D10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74107562"/>
      <w:docPartObj>
        <w:docPartGallery w:val="Page Numbers (Bottom of Page)"/>
        <w:docPartUnique/>
      </w:docPartObj>
    </w:sdtPr>
    <w:sdtEndPr>
      <w:rPr>
        <w:rStyle w:val="PageNumber"/>
      </w:rPr>
    </w:sdtEndPr>
    <w:sdtContent>
      <w:p w14:paraId="218ED435" w14:textId="67422783" w:rsidR="0018416C" w:rsidRDefault="002F4F3D" w:rsidP="004A2B41">
        <w:pPr>
          <w:pStyle w:val="Footer"/>
          <w:framePr w:wrap="none" w:vAnchor="text" w:hAnchor="margin" w:xAlign="center" w:y="1"/>
          <w:rPr>
            <w:rStyle w:val="PageNumber"/>
          </w:rPr>
        </w:pPr>
      </w:p>
    </w:sdtContent>
  </w:sdt>
  <w:p w14:paraId="18F8DCD1" w14:textId="4BA3481F" w:rsidR="00A61CDD" w:rsidRDefault="00A61CDD" w:rsidP="004A2B41">
    <w:pPr>
      <w:pStyle w:val="Footer"/>
      <w:framePr w:wrap="none" w:vAnchor="text" w:hAnchor="margin" w:xAlign="center" w:y="1"/>
      <w:rPr>
        <w:rStyle w:val="PageNumber"/>
      </w:rPr>
    </w:pPr>
  </w:p>
  <w:p w14:paraId="620170B6" w14:textId="4EE4E6C5" w:rsidR="00A61CDD" w:rsidRPr="00A9498E" w:rsidRDefault="00A61CDD" w:rsidP="00A9498E">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637E8" w14:textId="6077B383" w:rsidR="00A61CDD" w:rsidRDefault="00A61CDD" w:rsidP="004A2B41">
    <w:pPr>
      <w:pStyle w:val="Footer"/>
      <w:framePr w:wrap="none" w:vAnchor="text" w:hAnchor="margin" w:xAlign="center" w:y="1"/>
      <w:rPr>
        <w:rStyle w:val="PageNumber"/>
      </w:rPr>
    </w:pPr>
  </w:p>
  <w:p w14:paraId="60DABE42" w14:textId="77777777" w:rsidR="00A61CDD" w:rsidRDefault="00A61CDD" w:rsidP="00BE34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65976585"/>
      <w:docPartObj>
        <w:docPartGallery w:val="Page Numbers (Bottom of Page)"/>
        <w:docPartUnique/>
      </w:docPartObj>
    </w:sdtPr>
    <w:sdtEndPr>
      <w:rPr>
        <w:rStyle w:val="PageNumber"/>
      </w:rPr>
    </w:sdtEndPr>
    <w:sdtContent>
      <w:p w14:paraId="21B17F8B" w14:textId="65EE3916" w:rsidR="0018416C" w:rsidRDefault="0018416C" w:rsidP="0018416C">
        <w:pPr>
          <w:pStyle w:val="Footer"/>
          <w:framePr w:wrap="none" w:vAnchor="text" w:hAnchor="margin" w:xAlign="center" w:y="1"/>
          <w:jc w:val="center"/>
          <w:rPr>
            <w:rStyle w:val="PageNumber"/>
          </w:rPr>
        </w:pPr>
        <w:r w:rsidRPr="0018416C">
          <w:rPr>
            <w:rStyle w:val="PageNumber"/>
            <w:rFonts w:ascii="Times New Roman" w:hAnsi="Times New Roman" w:cs="Times New Roman"/>
          </w:rPr>
          <w:fldChar w:fldCharType="begin"/>
        </w:r>
        <w:r w:rsidRPr="0018416C">
          <w:rPr>
            <w:rStyle w:val="PageNumber"/>
            <w:rFonts w:ascii="Times New Roman" w:hAnsi="Times New Roman" w:cs="Times New Roman"/>
          </w:rPr>
          <w:instrText xml:space="preserve"> PAGE </w:instrText>
        </w:r>
        <w:r w:rsidRPr="0018416C">
          <w:rPr>
            <w:rStyle w:val="PageNumber"/>
            <w:rFonts w:ascii="Times New Roman" w:hAnsi="Times New Roman" w:cs="Times New Roman"/>
          </w:rPr>
          <w:fldChar w:fldCharType="separate"/>
        </w:r>
        <w:r w:rsidRPr="0018416C">
          <w:rPr>
            <w:rStyle w:val="PageNumber"/>
            <w:rFonts w:ascii="Times New Roman" w:hAnsi="Times New Roman" w:cs="Times New Roman"/>
            <w:noProof/>
          </w:rPr>
          <w:t>v</w:t>
        </w:r>
        <w:r w:rsidRPr="0018416C">
          <w:rPr>
            <w:rStyle w:val="PageNumber"/>
            <w:rFonts w:ascii="Times New Roman" w:hAnsi="Times New Roman" w:cs="Times New Roman"/>
          </w:rPr>
          <w:fldChar w:fldCharType="end"/>
        </w:r>
      </w:p>
    </w:sdtContent>
  </w:sdt>
  <w:sdt>
    <w:sdtPr>
      <w:rPr>
        <w:rStyle w:val="PageNumber"/>
      </w:rPr>
      <w:id w:val="1941111227"/>
      <w:docPartObj>
        <w:docPartGallery w:val="Page Numbers (Bottom of Page)"/>
        <w:docPartUnique/>
      </w:docPartObj>
    </w:sdtPr>
    <w:sdtEndPr>
      <w:rPr>
        <w:rStyle w:val="PageNumber"/>
      </w:rPr>
    </w:sdtEndPr>
    <w:sdtContent>
      <w:p w14:paraId="18314F39" w14:textId="77777777" w:rsidR="0018416C" w:rsidRDefault="002F4F3D" w:rsidP="004A2B41">
        <w:pPr>
          <w:pStyle w:val="Footer"/>
          <w:framePr w:wrap="none" w:vAnchor="text" w:hAnchor="margin" w:xAlign="center" w:y="1"/>
          <w:rPr>
            <w:rStyle w:val="PageNumber"/>
          </w:rPr>
        </w:pPr>
      </w:p>
    </w:sdtContent>
  </w:sdt>
  <w:sdt>
    <w:sdtPr>
      <w:rPr>
        <w:rStyle w:val="PageNumber"/>
      </w:rPr>
      <w:id w:val="-1698846415"/>
      <w:docPartObj>
        <w:docPartGallery w:val="Page Numbers (Bottom of Page)"/>
        <w:docPartUnique/>
      </w:docPartObj>
    </w:sdtPr>
    <w:sdtEndPr>
      <w:rPr>
        <w:rStyle w:val="PageNumber"/>
        <w:rFonts w:ascii="Times New Roman" w:hAnsi="Times New Roman" w:cs="Times New Roman"/>
      </w:rPr>
    </w:sdtEndPr>
    <w:sdtContent>
      <w:p w14:paraId="36B8FBD3" w14:textId="77777777" w:rsidR="0018416C" w:rsidRDefault="002F4F3D" w:rsidP="004A2B41">
        <w:pPr>
          <w:pStyle w:val="Footer"/>
          <w:framePr w:wrap="none" w:vAnchor="text" w:hAnchor="margin" w:xAlign="center" w:y="1"/>
          <w:rPr>
            <w:rStyle w:val="PageNumber"/>
          </w:rPr>
        </w:pPr>
      </w:p>
    </w:sdtContent>
  </w:sdt>
  <w:p w14:paraId="71A19761" w14:textId="77777777" w:rsidR="0018416C" w:rsidRPr="00A9498E" w:rsidRDefault="0018416C" w:rsidP="00A9498E">
    <w:pPr>
      <w:pStyle w:val="Footer"/>
      <w:rPr>
        <w:rFonts w:ascii="Times New Roman" w:hAnsi="Times New Roman" w:cs="Times New Roma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rPr>
      <w:id w:val="2103753844"/>
      <w:docPartObj>
        <w:docPartGallery w:val="Page Numbers (Bottom of Page)"/>
        <w:docPartUnique/>
      </w:docPartObj>
    </w:sdtPr>
    <w:sdtEndPr>
      <w:rPr>
        <w:rStyle w:val="PageNumber"/>
      </w:rPr>
    </w:sdtEndPr>
    <w:sdtContent>
      <w:p w14:paraId="3E92E72F" w14:textId="1837EEB7" w:rsidR="00A9498E" w:rsidRPr="00A9498E" w:rsidRDefault="00A9498E" w:rsidP="00A9498E">
        <w:pPr>
          <w:pStyle w:val="Footer"/>
          <w:framePr w:wrap="none" w:vAnchor="text" w:hAnchor="margin" w:xAlign="center" w:y="1"/>
          <w:jc w:val="center"/>
          <w:rPr>
            <w:rStyle w:val="PageNumber"/>
            <w:rFonts w:ascii="Times New Roman" w:hAnsi="Times New Roman" w:cs="Times New Roman"/>
          </w:rPr>
        </w:pPr>
        <w:r w:rsidRPr="00A9498E">
          <w:rPr>
            <w:rStyle w:val="PageNumber"/>
            <w:rFonts w:ascii="Times New Roman" w:hAnsi="Times New Roman" w:cs="Times New Roman"/>
          </w:rPr>
          <w:fldChar w:fldCharType="begin"/>
        </w:r>
        <w:r w:rsidRPr="00A9498E">
          <w:rPr>
            <w:rStyle w:val="PageNumber"/>
            <w:rFonts w:ascii="Times New Roman" w:hAnsi="Times New Roman" w:cs="Times New Roman"/>
          </w:rPr>
          <w:instrText xml:space="preserve"> PAGE </w:instrText>
        </w:r>
        <w:r w:rsidRPr="00A9498E">
          <w:rPr>
            <w:rStyle w:val="PageNumber"/>
            <w:rFonts w:ascii="Times New Roman" w:hAnsi="Times New Roman" w:cs="Times New Roman"/>
          </w:rPr>
          <w:fldChar w:fldCharType="separate"/>
        </w:r>
        <w:r w:rsidRPr="00A9498E">
          <w:rPr>
            <w:rStyle w:val="PageNumber"/>
            <w:rFonts w:ascii="Times New Roman" w:hAnsi="Times New Roman" w:cs="Times New Roman"/>
            <w:noProof/>
          </w:rPr>
          <w:t>iv</w:t>
        </w:r>
        <w:r w:rsidRPr="00A9498E">
          <w:rPr>
            <w:rStyle w:val="PageNumber"/>
            <w:rFonts w:ascii="Times New Roman" w:hAnsi="Times New Roman" w:cs="Times New Roman"/>
          </w:rPr>
          <w:fldChar w:fldCharType="end"/>
        </w:r>
      </w:p>
    </w:sdtContent>
  </w:sdt>
  <w:p w14:paraId="3CB06FBB" w14:textId="77777777" w:rsidR="00A9498E" w:rsidRDefault="00A9498E" w:rsidP="004A2B41">
    <w:pPr>
      <w:pStyle w:val="Footer"/>
      <w:framePr w:wrap="none" w:vAnchor="text" w:hAnchor="margin" w:xAlign="center" w:y="1"/>
      <w:rPr>
        <w:rStyle w:val="PageNumber"/>
      </w:rPr>
    </w:pPr>
  </w:p>
  <w:p w14:paraId="57BB2882" w14:textId="77777777" w:rsidR="00A9498E" w:rsidRDefault="00A9498E" w:rsidP="00BE34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rPr>
      <w:id w:val="1952587257"/>
      <w:docPartObj>
        <w:docPartGallery w:val="Page Numbers (Bottom of Page)"/>
        <w:docPartUnique/>
      </w:docPartObj>
    </w:sdtPr>
    <w:sdtContent>
      <w:p w14:paraId="13BA1B05" w14:textId="77777777" w:rsidR="00274F78" w:rsidRPr="00A9498E" w:rsidRDefault="00274F78" w:rsidP="00A9498E">
        <w:pPr>
          <w:pStyle w:val="Footer"/>
          <w:framePr w:wrap="none" w:vAnchor="text" w:hAnchor="margin" w:xAlign="center" w:y="1"/>
          <w:jc w:val="center"/>
          <w:rPr>
            <w:rStyle w:val="PageNumber"/>
            <w:rFonts w:ascii="Times New Roman" w:hAnsi="Times New Roman" w:cs="Times New Roman"/>
          </w:rPr>
        </w:pPr>
        <w:r w:rsidRPr="00A9498E">
          <w:rPr>
            <w:rStyle w:val="PageNumber"/>
            <w:rFonts w:ascii="Times New Roman" w:hAnsi="Times New Roman" w:cs="Times New Roman"/>
          </w:rPr>
          <w:fldChar w:fldCharType="begin"/>
        </w:r>
        <w:r w:rsidRPr="00A9498E">
          <w:rPr>
            <w:rStyle w:val="PageNumber"/>
            <w:rFonts w:ascii="Times New Roman" w:hAnsi="Times New Roman" w:cs="Times New Roman"/>
          </w:rPr>
          <w:instrText xml:space="preserve"> PAGE </w:instrText>
        </w:r>
        <w:r w:rsidRPr="00A9498E">
          <w:rPr>
            <w:rStyle w:val="PageNumber"/>
            <w:rFonts w:ascii="Times New Roman" w:hAnsi="Times New Roman" w:cs="Times New Roman"/>
          </w:rPr>
          <w:fldChar w:fldCharType="separate"/>
        </w:r>
        <w:r w:rsidRPr="00A9498E">
          <w:rPr>
            <w:rStyle w:val="PageNumber"/>
            <w:rFonts w:ascii="Times New Roman" w:hAnsi="Times New Roman" w:cs="Times New Roman"/>
            <w:noProof/>
          </w:rPr>
          <w:t>iv</w:t>
        </w:r>
        <w:r w:rsidRPr="00A9498E">
          <w:rPr>
            <w:rStyle w:val="PageNumber"/>
            <w:rFonts w:ascii="Times New Roman" w:hAnsi="Times New Roman" w:cs="Times New Roman"/>
          </w:rPr>
          <w:fldChar w:fldCharType="end"/>
        </w:r>
      </w:p>
    </w:sdtContent>
  </w:sdt>
  <w:p w14:paraId="65AB3960" w14:textId="77777777" w:rsidR="00274F78" w:rsidRDefault="00274F78" w:rsidP="004A2B41">
    <w:pPr>
      <w:pStyle w:val="Footer"/>
      <w:framePr w:wrap="none" w:vAnchor="text" w:hAnchor="margin" w:xAlign="center" w:y="1"/>
      <w:rPr>
        <w:rStyle w:val="PageNumber"/>
      </w:rPr>
    </w:pPr>
  </w:p>
  <w:p w14:paraId="74C4F84E" w14:textId="77777777" w:rsidR="00274F78" w:rsidRDefault="00274F78" w:rsidP="00BE34D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34304192"/>
      <w:docPartObj>
        <w:docPartGallery w:val="Page Numbers (Bottom of Page)"/>
        <w:docPartUnique/>
      </w:docPartObj>
    </w:sdtPr>
    <w:sdtEndPr>
      <w:rPr>
        <w:rStyle w:val="PageNumber"/>
      </w:rPr>
    </w:sdtEndPr>
    <w:sdtContent>
      <w:p w14:paraId="65D7FC53" w14:textId="294B6439" w:rsidR="003D100F" w:rsidRDefault="003D100F" w:rsidP="00A8703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34C6C2" w14:textId="77777777" w:rsidR="003D100F" w:rsidRDefault="003D10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27244660"/>
      <w:docPartObj>
        <w:docPartGallery w:val="Page Numbers (Bottom of Page)"/>
        <w:docPartUnique/>
      </w:docPartObj>
    </w:sdtPr>
    <w:sdtEndPr>
      <w:rPr>
        <w:rStyle w:val="PageNumber"/>
        <w:rFonts w:ascii="Times New Roman" w:hAnsi="Times New Roman" w:cs="Times New Roman"/>
      </w:rPr>
    </w:sdtEndPr>
    <w:sdtContent>
      <w:p w14:paraId="09568A71" w14:textId="7FF50485" w:rsidR="0018416C" w:rsidRDefault="0018416C" w:rsidP="0018416C">
        <w:pPr>
          <w:pStyle w:val="Footer"/>
          <w:framePr w:wrap="none" w:vAnchor="text" w:hAnchor="margin" w:xAlign="center" w:y="1"/>
          <w:jc w:val="center"/>
          <w:rPr>
            <w:rStyle w:val="PageNumber"/>
          </w:rPr>
        </w:pPr>
        <w:r w:rsidRPr="0018416C">
          <w:rPr>
            <w:rStyle w:val="PageNumber"/>
            <w:rFonts w:ascii="Times New Roman" w:hAnsi="Times New Roman" w:cs="Times New Roman"/>
          </w:rPr>
          <w:fldChar w:fldCharType="begin"/>
        </w:r>
        <w:r w:rsidRPr="0018416C">
          <w:rPr>
            <w:rStyle w:val="PageNumber"/>
            <w:rFonts w:ascii="Times New Roman" w:hAnsi="Times New Roman" w:cs="Times New Roman"/>
          </w:rPr>
          <w:instrText xml:space="preserve"> PAGE </w:instrText>
        </w:r>
        <w:r w:rsidRPr="0018416C">
          <w:rPr>
            <w:rStyle w:val="PageNumber"/>
            <w:rFonts w:ascii="Times New Roman" w:hAnsi="Times New Roman" w:cs="Times New Roman"/>
          </w:rPr>
          <w:fldChar w:fldCharType="separate"/>
        </w:r>
        <w:r w:rsidRPr="0018416C">
          <w:rPr>
            <w:rStyle w:val="PageNumber"/>
            <w:rFonts w:ascii="Times New Roman" w:hAnsi="Times New Roman" w:cs="Times New Roman"/>
            <w:noProof/>
          </w:rPr>
          <w:t>xlix</w:t>
        </w:r>
        <w:r w:rsidRPr="0018416C">
          <w:rPr>
            <w:rStyle w:val="PageNumber"/>
            <w:rFonts w:ascii="Times New Roman" w:hAnsi="Times New Roman" w:cs="Times New Roman"/>
          </w:rPr>
          <w:fldChar w:fldCharType="end"/>
        </w:r>
      </w:p>
    </w:sdtContent>
  </w:sdt>
  <w:p w14:paraId="319E38D2" w14:textId="017486FC" w:rsidR="003D100F" w:rsidRDefault="003D100F" w:rsidP="002F6EA0">
    <w:pPr>
      <w:pStyle w:val="Footer"/>
      <w:framePr w:wrap="none" w:vAnchor="text" w:hAnchor="margin" w:xAlign="center" w:y="1"/>
      <w:jc w:val="center"/>
      <w:rPr>
        <w:rStyle w:val="PageNumber"/>
      </w:rPr>
    </w:pPr>
  </w:p>
  <w:p w14:paraId="4F36F642" w14:textId="120ED05D" w:rsidR="003D100F" w:rsidRDefault="003D100F" w:rsidP="002B2917">
    <w:pPr>
      <w:pStyle w:val="Footer"/>
      <w:framePr w:wrap="none" w:vAnchor="text" w:hAnchor="margin" w:xAlign="center" w:y="1"/>
      <w:rPr>
        <w:rStyle w:val="PageNumber"/>
      </w:rPr>
    </w:pPr>
  </w:p>
  <w:p w14:paraId="0A922E2D" w14:textId="77777777" w:rsidR="003D100F" w:rsidRDefault="003D100F" w:rsidP="00C803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37CBED" w14:textId="77777777" w:rsidR="002F4F3D" w:rsidRDefault="002F4F3D" w:rsidP="0088608D">
      <w:r>
        <w:separator/>
      </w:r>
    </w:p>
  </w:footnote>
  <w:footnote w:type="continuationSeparator" w:id="0">
    <w:p w14:paraId="19130250" w14:textId="77777777" w:rsidR="002F4F3D" w:rsidRDefault="002F4F3D" w:rsidP="008860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28F930" w14:textId="77777777" w:rsidR="003D100F" w:rsidRDefault="003D100F" w:rsidP="00682ED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7D40BB" w14:textId="77777777" w:rsidR="003D100F" w:rsidRDefault="003D100F" w:rsidP="00DB129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6BEA5" w14:textId="77777777" w:rsidR="003D100F" w:rsidRDefault="003D100F" w:rsidP="00DB129F">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552B5"/>
    <w:multiLevelType w:val="hybridMultilevel"/>
    <w:tmpl w:val="85744630"/>
    <w:lvl w:ilvl="0" w:tplc="7D56DD8A">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547157"/>
    <w:multiLevelType w:val="hybridMultilevel"/>
    <w:tmpl w:val="AA18F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21AD0"/>
    <w:multiLevelType w:val="hybridMultilevel"/>
    <w:tmpl w:val="AFCCB1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549D7"/>
    <w:multiLevelType w:val="hybridMultilevel"/>
    <w:tmpl w:val="F790E2F4"/>
    <w:lvl w:ilvl="0" w:tplc="2E68CA04">
      <w:start w:val="1"/>
      <w:numFmt w:val="decimal"/>
      <w:lvlText w:val="%1."/>
      <w:lvlJc w:val="left"/>
      <w:pPr>
        <w:ind w:left="1440" w:hanging="360"/>
      </w:pPr>
      <w:rPr>
        <w:rFonts w:hint="default"/>
        <w:b/>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C86AC5"/>
    <w:multiLevelType w:val="hybridMultilevel"/>
    <w:tmpl w:val="B52034EE"/>
    <w:lvl w:ilvl="0" w:tplc="5852A3B6">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CBF7EC6"/>
    <w:multiLevelType w:val="hybridMultilevel"/>
    <w:tmpl w:val="ECAC1BD6"/>
    <w:lvl w:ilvl="0" w:tplc="0409000F">
      <w:start w:val="1"/>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5661CB"/>
    <w:multiLevelType w:val="hybridMultilevel"/>
    <w:tmpl w:val="EC180356"/>
    <w:lvl w:ilvl="0" w:tplc="7D56DD8A">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62A64B0"/>
    <w:multiLevelType w:val="hybridMultilevel"/>
    <w:tmpl w:val="8C761B4A"/>
    <w:lvl w:ilvl="0" w:tplc="7D56DD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F95339"/>
    <w:multiLevelType w:val="hybridMultilevel"/>
    <w:tmpl w:val="0FF0E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484C64"/>
    <w:multiLevelType w:val="hybridMultilevel"/>
    <w:tmpl w:val="BA9C7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84B54A3"/>
    <w:multiLevelType w:val="hybridMultilevel"/>
    <w:tmpl w:val="2586E6E4"/>
    <w:lvl w:ilvl="0" w:tplc="0409000F">
      <w:start w:val="1"/>
      <w:numFmt w:val="decimal"/>
      <w:lvlText w:val="%1."/>
      <w:lvlJc w:val="left"/>
      <w:pPr>
        <w:ind w:left="1440" w:hanging="360"/>
      </w:pPr>
      <w:rPr>
        <w:rFonts w:hint="default"/>
      </w:rPr>
    </w:lvl>
    <w:lvl w:ilvl="1" w:tplc="04090017">
      <w:start w:val="1"/>
      <w:numFmt w:val="lowerLetter"/>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1964815"/>
    <w:multiLevelType w:val="hybridMultilevel"/>
    <w:tmpl w:val="1EF87C5E"/>
    <w:lvl w:ilvl="0" w:tplc="5852A3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1DD031A"/>
    <w:multiLevelType w:val="hybridMultilevel"/>
    <w:tmpl w:val="39D4D3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D18A1"/>
    <w:multiLevelType w:val="hybridMultilevel"/>
    <w:tmpl w:val="92AC6D6C"/>
    <w:lvl w:ilvl="0" w:tplc="98183E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C4351F8"/>
    <w:multiLevelType w:val="hybridMultilevel"/>
    <w:tmpl w:val="C1542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853FDC"/>
    <w:multiLevelType w:val="hybridMultilevel"/>
    <w:tmpl w:val="497222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CD60C7"/>
    <w:multiLevelType w:val="hybridMultilevel"/>
    <w:tmpl w:val="F04C35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5C3C6E"/>
    <w:multiLevelType w:val="hybridMultilevel"/>
    <w:tmpl w:val="F36E7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CB70F6"/>
    <w:multiLevelType w:val="hybridMultilevel"/>
    <w:tmpl w:val="C248C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E23602"/>
    <w:multiLevelType w:val="hybridMultilevel"/>
    <w:tmpl w:val="5380DEBA"/>
    <w:lvl w:ilvl="0" w:tplc="2E68CA04">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805E0F"/>
    <w:multiLevelType w:val="hybridMultilevel"/>
    <w:tmpl w:val="515C89E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10A16"/>
    <w:multiLevelType w:val="hybridMultilevel"/>
    <w:tmpl w:val="2A6CD3FC"/>
    <w:lvl w:ilvl="0" w:tplc="2E68CA04">
      <w:start w:val="1"/>
      <w:numFmt w:val="decimal"/>
      <w:lvlText w:val="%1."/>
      <w:lvlJc w:val="left"/>
      <w:pPr>
        <w:ind w:left="1440" w:hanging="360"/>
      </w:pPr>
      <w:rPr>
        <w:rFonts w:hint="default"/>
        <w:b/>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5"/>
  </w:num>
  <w:num w:numId="3">
    <w:abstractNumId w:val="7"/>
  </w:num>
  <w:num w:numId="4">
    <w:abstractNumId w:val="9"/>
  </w:num>
  <w:num w:numId="5">
    <w:abstractNumId w:val="6"/>
  </w:num>
  <w:num w:numId="6">
    <w:abstractNumId w:val="0"/>
  </w:num>
  <w:num w:numId="7">
    <w:abstractNumId w:val="11"/>
  </w:num>
  <w:num w:numId="8">
    <w:abstractNumId w:val="4"/>
  </w:num>
  <w:num w:numId="9">
    <w:abstractNumId w:val="3"/>
  </w:num>
  <w:num w:numId="10">
    <w:abstractNumId w:val="15"/>
  </w:num>
  <w:num w:numId="11">
    <w:abstractNumId w:val="21"/>
  </w:num>
  <w:num w:numId="12">
    <w:abstractNumId w:val="19"/>
  </w:num>
  <w:num w:numId="13">
    <w:abstractNumId w:val="16"/>
  </w:num>
  <w:num w:numId="14">
    <w:abstractNumId w:val="20"/>
  </w:num>
  <w:num w:numId="15">
    <w:abstractNumId w:val="2"/>
  </w:num>
  <w:num w:numId="16">
    <w:abstractNumId w:val="18"/>
  </w:num>
  <w:num w:numId="17">
    <w:abstractNumId w:val="8"/>
  </w:num>
  <w:num w:numId="18">
    <w:abstractNumId w:val="1"/>
  </w:num>
  <w:num w:numId="19">
    <w:abstractNumId w:val="17"/>
  </w:num>
  <w:num w:numId="20">
    <w:abstractNumId w:val="14"/>
  </w:num>
  <w:num w:numId="21">
    <w:abstractNumId w:val="13"/>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308"/>
    <w:rsid w:val="00002C57"/>
    <w:rsid w:val="00007DC4"/>
    <w:rsid w:val="00010317"/>
    <w:rsid w:val="00010F33"/>
    <w:rsid w:val="0002198B"/>
    <w:rsid w:val="00024AF9"/>
    <w:rsid w:val="00024DF1"/>
    <w:rsid w:val="00026AB2"/>
    <w:rsid w:val="00030E65"/>
    <w:rsid w:val="000331A7"/>
    <w:rsid w:val="00044E80"/>
    <w:rsid w:val="000454B0"/>
    <w:rsid w:val="000500BD"/>
    <w:rsid w:val="00054FB6"/>
    <w:rsid w:val="00063DFA"/>
    <w:rsid w:val="00070986"/>
    <w:rsid w:val="000738B9"/>
    <w:rsid w:val="00075B64"/>
    <w:rsid w:val="0008460C"/>
    <w:rsid w:val="00094566"/>
    <w:rsid w:val="000A04B1"/>
    <w:rsid w:val="000A0727"/>
    <w:rsid w:val="000A1163"/>
    <w:rsid w:val="000B51D7"/>
    <w:rsid w:val="000B535B"/>
    <w:rsid w:val="000B6D93"/>
    <w:rsid w:val="000C4D31"/>
    <w:rsid w:val="000D1751"/>
    <w:rsid w:val="000E2CA2"/>
    <w:rsid w:val="00100E75"/>
    <w:rsid w:val="001078F8"/>
    <w:rsid w:val="001126F0"/>
    <w:rsid w:val="00126711"/>
    <w:rsid w:val="00130CB5"/>
    <w:rsid w:val="00133D04"/>
    <w:rsid w:val="00142BDE"/>
    <w:rsid w:val="001436BD"/>
    <w:rsid w:val="00144817"/>
    <w:rsid w:val="00161197"/>
    <w:rsid w:val="00180D65"/>
    <w:rsid w:val="0018416C"/>
    <w:rsid w:val="00185A2E"/>
    <w:rsid w:val="0018631F"/>
    <w:rsid w:val="001866C5"/>
    <w:rsid w:val="00192E0F"/>
    <w:rsid w:val="00196599"/>
    <w:rsid w:val="00197B55"/>
    <w:rsid w:val="001A0B0D"/>
    <w:rsid w:val="001A0BA8"/>
    <w:rsid w:val="001A54BA"/>
    <w:rsid w:val="001B10C9"/>
    <w:rsid w:val="001B5D86"/>
    <w:rsid w:val="001C21A9"/>
    <w:rsid w:val="001C3F26"/>
    <w:rsid w:val="001C5F5B"/>
    <w:rsid w:val="001C6147"/>
    <w:rsid w:val="001D6CFC"/>
    <w:rsid w:val="001E7654"/>
    <w:rsid w:val="001F4557"/>
    <w:rsid w:val="00210C68"/>
    <w:rsid w:val="002236FA"/>
    <w:rsid w:val="002261B6"/>
    <w:rsid w:val="00234703"/>
    <w:rsid w:val="0023770B"/>
    <w:rsid w:val="002405B1"/>
    <w:rsid w:val="00245568"/>
    <w:rsid w:val="002478AB"/>
    <w:rsid w:val="00253E6C"/>
    <w:rsid w:val="00254486"/>
    <w:rsid w:val="00256B40"/>
    <w:rsid w:val="00263AD5"/>
    <w:rsid w:val="002703B0"/>
    <w:rsid w:val="002715C0"/>
    <w:rsid w:val="00272BEB"/>
    <w:rsid w:val="00274F78"/>
    <w:rsid w:val="00283A24"/>
    <w:rsid w:val="0028696D"/>
    <w:rsid w:val="00290E14"/>
    <w:rsid w:val="002915EB"/>
    <w:rsid w:val="002953FB"/>
    <w:rsid w:val="002A2184"/>
    <w:rsid w:val="002A3D4A"/>
    <w:rsid w:val="002B2917"/>
    <w:rsid w:val="002B5824"/>
    <w:rsid w:val="002B7637"/>
    <w:rsid w:val="002D5AD7"/>
    <w:rsid w:val="002D7C57"/>
    <w:rsid w:val="002E4C43"/>
    <w:rsid w:val="002F4098"/>
    <w:rsid w:val="002F4F3D"/>
    <w:rsid w:val="002F6EA0"/>
    <w:rsid w:val="003066EB"/>
    <w:rsid w:val="00307308"/>
    <w:rsid w:val="00314A10"/>
    <w:rsid w:val="0031556E"/>
    <w:rsid w:val="00320297"/>
    <w:rsid w:val="00340176"/>
    <w:rsid w:val="00340819"/>
    <w:rsid w:val="00344DE8"/>
    <w:rsid w:val="00350632"/>
    <w:rsid w:val="003644C6"/>
    <w:rsid w:val="00365688"/>
    <w:rsid w:val="00384A80"/>
    <w:rsid w:val="0039685F"/>
    <w:rsid w:val="003A3401"/>
    <w:rsid w:val="003A58B5"/>
    <w:rsid w:val="003A7814"/>
    <w:rsid w:val="003B2D12"/>
    <w:rsid w:val="003C0E47"/>
    <w:rsid w:val="003C0ECD"/>
    <w:rsid w:val="003C13DC"/>
    <w:rsid w:val="003C30FD"/>
    <w:rsid w:val="003C74AD"/>
    <w:rsid w:val="003D100F"/>
    <w:rsid w:val="003D22BD"/>
    <w:rsid w:val="003D3295"/>
    <w:rsid w:val="003D3D3E"/>
    <w:rsid w:val="003D6193"/>
    <w:rsid w:val="003D7F5D"/>
    <w:rsid w:val="003F2348"/>
    <w:rsid w:val="003F26FE"/>
    <w:rsid w:val="0040511B"/>
    <w:rsid w:val="0041418A"/>
    <w:rsid w:val="00417225"/>
    <w:rsid w:val="00420F9F"/>
    <w:rsid w:val="0042162D"/>
    <w:rsid w:val="00426040"/>
    <w:rsid w:val="00430931"/>
    <w:rsid w:val="00431965"/>
    <w:rsid w:val="004376F6"/>
    <w:rsid w:val="00440ADF"/>
    <w:rsid w:val="00447B1B"/>
    <w:rsid w:val="0045389E"/>
    <w:rsid w:val="00473B44"/>
    <w:rsid w:val="004850E0"/>
    <w:rsid w:val="004924D5"/>
    <w:rsid w:val="00496483"/>
    <w:rsid w:val="004A2A1E"/>
    <w:rsid w:val="004A6A70"/>
    <w:rsid w:val="004B2DEF"/>
    <w:rsid w:val="004B336E"/>
    <w:rsid w:val="004C0BA6"/>
    <w:rsid w:val="004C2B7D"/>
    <w:rsid w:val="004C6903"/>
    <w:rsid w:val="004D0BF8"/>
    <w:rsid w:val="004D1B7C"/>
    <w:rsid w:val="004D704C"/>
    <w:rsid w:val="004E39B2"/>
    <w:rsid w:val="004E60A0"/>
    <w:rsid w:val="004E7066"/>
    <w:rsid w:val="00500909"/>
    <w:rsid w:val="00501216"/>
    <w:rsid w:val="005042A9"/>
    <w:rsid w:val="005118E2"/>
    <w:rsid w:val="00514D2D"/>
    <w:rsid w:val="00517AAD"/>
    <w:rsid w:val="0052259F"/>
    <w:rsid w:val="0052271F"/>
    <w:rsid w:val="00522730"/>
    <w:rsid w:val="005261C7"/>
    <w:rsid w:val="00531259"/>
    <w:rsid w:val="00531790"/>
    <w:rsid w:val="00543315"/>
    <w:rsid w:val="005439D8"/>
    <w:rsid w:val="00553906"/>
    <w:rsid w:val="005609EF"/>
    <w:rsid w:val="00563EE3"/>
    <w:rsid w:val="00565900"/>
    <w:rsid w:val="00576319"/>
    <w:rsid w:val="00583841"/>
    <w:rsid w:val="0058571E"/>
    <w:rsid w:val="005924D0"/>
    <w:rsid w:val="005A3A51"/>
    <w:rsid w:val="005B15BA"/>
    <w:rsid w:val="005B1CF0"/>
    <w:rsid w:val="005B3F5B"/>
    <w:rsid w:val="005C64A6"/>
    <w:rsid w:val="005D441A"/>
    <w:rsid w:val="005D79BE"/>
    <w:rsid w:val="005E3271"/>
    <w:rsid w:val="005E4CBF"/>
    <w:rsid w:val="005F0B4C"/>
    <w:rsid w:val="005F1F8E"/>
    <w:rsid w:val="005F4305"/>
    <w:rsid w:val="005F4BDC"/>
    <w:rsid w:val="00601CBD"/>
    <w:rsid w:val="0060651D"/>
    <w:rsid w:val="00607A0B"/>
    <w:rsid w:val="00612530"/>
    <w:rsid w:val="00620002"/>
    <w:rsid w:val="0062353A"/>
    <w:rsid w:val="00626F68"/>
    <w:rsid w:val="00640E2B"/>
    <w:rsid w:val="006501B2"/>
    <w:rsid w:val="006537AE"/>
    <w:rsid w:val="00653BFD"/>
    <w:rsid w:val="00654674"/>
    <w:rsid w:val="0065552B"/>
    <w:rsid w:val="00655558"/>
    <w:rsid w:val="0065584C"/>
    <w:rsid w:val="00657288"/>
    <w:rsid w:val="00657C25"/>
    <w:rsid w:val="00661751"/>
    <w:rsid w:val="006621BD"/>
    <w:rsid w:val="0066340F"/>
    <w:rsid w:val="00666492"/>
    <w:rsid w:val="00671987"/>
    <w:rsid w:val="0067336C"/>
    <w:rsid w:val="00673FB5"/>
    <w:rsid w:val="00680B89"/>
    <w:rsid w:val="00682ED6"/>
    <w:rsid w:val="00684861"/>
    <w:rsid w:val="00696142"/>
    <w:rsid w:val="00696AB6"/>
    <w:rsid w:val="006977C6"/>
    <w:rsid w:val="006A5FF9"/>
    <w:rsid w:val="006A62A6"/>
    <w:rsid w:val="006C142D"/>
    <w:rsid w:val="006C41C9"/>
    <w:rsid w:val="006D0558"/>
    <w:rsid w:val="006D1556"/>
    <w:rsid w:val="006D37D5"/>
    <w:rsid w:val="006D7858"/>
    <w:rsid w:val="006E37C1"/>
    <w:rsid w:val="006E48B7"/>
    <w:rsid w:val="006E4CB9"/>
    <w:rsid w:val="006E6F66"/>
    <w:rsid w:val="006F61C9"/>
    <w:rsid w:val="00726853"/>
    <w:rsid w:val="00732300"/>
    <w:rsid w:val="00732D1B"/>
    <w:rsid w:val="007343A4"/>
    <w:rsid w:val="007461BC"/>
    <w:rsid w:val="00751449"/>
    <w:rsid w:val="00755134"/>
    <w:rsid w:val="007661B8"/>
    <w:rsid w:val="00767D30"/>
    <w:rsid w:val="007708CB"/>
    <w:rsid w:val="007767D9"/>
    <w:rsid w:val="00776DAB"/>
    <w:rsid w:val="00783980"/>
    <w:rsid w:val="00794569"/>
    <w:rsid w:val="007965C8"/>
    <w:rsid w:val="007A10D6"/>
    <w:rsid w:val="007B1239"/>
    <w:rsid w:val="007B3E94"/>
    <w:rsid w:val="007B630D"/>
    <w:rsid w:val="007D1FF4"/>
    <w:rsid w:val="007D6076"/>
    <w:rsid w:val="007D6372"/>
    <w:rsid w:val="007E1025"/>
    <w:rsid w:val="007E1E29"/>
    <w:rsid w:val="007E1F4E"/>
    <w:rsid w:val="007E44F9"/>
    <w:rsid w:val="007E66B3"/>
    <w:rsid w:val="00800CC2"/>
    <w:rsid w:val="00801163"/>
    <w:rsid w:val="00805E47"/>
    <w:rsid w:val="008109E0"/>
    <w:rsid w:val="00814D1D"/>
    <w:rsid w:val="00824128"/>
    <w:rsid w:val="00842318"/>
    <w:rsid w:val="00857AA1"/>
    <w:rsid w:val="00871E1A"/>
    <w:rsid w:val="00872806"/>
    <w:rsid w:val="00880111"/>
    <w:rsid w:val="00880922"/>
    <w:rsid w:val="00880CBE"/>
    <w:rsid w:val="0088108A"/>
    <w:rsid w:val="008838F6"/>
    <w:rsid w:val="0088608D"/>
    <w:rsid w:val="00890E95"/>
    <w:rsid w:val="008A4241"/>
    <w:rsid w:val="008A485B"/>
    <w:rsid w:val="008A6CB2"/>
    <w:rsid w:val="008C0C30"/>
    <w:rsid w:val="008C10D8"/>
    <w:rsid w:val="008D0305"/>
    <w:rsid w:val="008D3FDB"/>
    <w:rsid w:val="008E013E"/>
    <w:rsid w:val="008E1DC8"/>
    <w:rsid w:val="008E705D"/>
    <w:rsid w:val="008F19A1"/>
    <w:rsid w:val="008F588A"/>
    <w:rsid w:val="009055A9"/>
    <w:rsid w:val="00905E0C"/>
    <w:rsid w:val="00910CF9"/>
    <w:rsid w:val="0091332D"/>
    <w:rsid w:val="00920B26"/>
    <w:rsid w:val="0092603F"/>
    <w:rsid w:val="009412D8"/>
    <w:rsid w:val="00942757"/>
    <w:rsid w:val="009429BE"/>
    <w:rsid w:val="00964DE6"/>
    <w:rsid w:val="00987DB3"/>
    <w:rsid w:val="00992E99"/>
    <w:rsid w:val="009A31C0"/>
    <w:rsid w:val="009A6A84"/>
    <w:rsid w:val="009B12DC"/>
    <w:rsid w:val="009C45DF"/>
    <w:rsid w:val="009D2357"/>
    <w:rsid w:val="009D4EBD"/>
    <w:rsid w:val="009E13F4"/>
    <w:rsid w:val="009E656E"/>
    <w:rsid w:val="009F3F3A"/>
    <w:rsid w:val="00A01969"/>
    <w:rsid w:val="00A027E0"/>
    <w:rsid w:val="00A04CE8"/>
    <w:rsid w:val="00A05EE7"/>
    <w:rsid w:val="00A0663F"/>
    <w:rsid w:val="00A06DA1"/>
    <w:rsid w:val="00A10679"/>
    <w:rsid w:val="00A11DDE"/>
    <w:rsid w:val="00A12DA1"/>
    <w:rsid w:val="00A222FD"/>
    <w:rsid w:val="00A251AC"/>
    <w:rsid w:val="00A2690A"/>
    <w:rsid w:val="00A34A38"/>
    <w:rsid w:val="00A34CBB"/>
    <w:rsid w:val="00A51843"/>
    <w:rsid w:val="00A529B5"/>
    <w:rsid w:val="00A554DB"/>
    <w:rsid w:val="00A61CDD"/>
    <w:rsid w:val="00A655E6"/>
    <w:rsid w:val="00A70B44"/>
    <w:rsid w:val="00A7172F"/>
    <w:rsid w:val="00A73B3E"/>
    <w:rsid w:val="00A776DE"/>
    <w:rsid w:val="00A8116E"/>
    <w:rsid w:val="00A8186D"/>
    <w:rsid w:val="00A81F1A"/>
    <w:rsid w:val="00A83975"/>
    <w:rsid w:val="00A87033"/>
    <w:rsid w:val="00A90CE2"/>
    <w:rsid w:val="00A91641"/>
    <w:rsid w:val="00A9498E"/>
    <w:rsid w:val="00A95BFF"/>
    <w:rsid w:val="00AA241D"/>
    <w:rsid w:val="00AA61BA"/>
    <w:rsid w:val="00AB0C08"/>
    <w:rsid w:val="00AB3BE1"/>
    <w:rsid w:val="00AB7FE5"/>
    <w:rsid w:val="00AC48AE"/>
    <w:rsid w:val="00AC5666"/>
    <w:rsid w:val="00AC7427"/>
    <w:rsid w:val="00AC7A01"/>
    <w:rsid w:val="00AD692D"/>
    <w:rsid w:val="00AE178B"/>
    <w:rsid w:val="00AE3F62"/>
    <w:rsid w:val="00AF0502"/>
    <w:rsid w:val="00AF2696"/>
    <w:rsid w:val="00AF6317"/>
    <w:rsid w:val="00B14530"/>
    <w:rsid w:val="00B24641"/>
    <w:rsid w:val="00B24753"/>
    <w:rsid w:val="00B305BC"/>
    <w:rsid w:val="00B329E4"/>
    <w:rsid w:val="00B366B5"/>
    <w:rsid w:val="00B47238"/>
    <w:rsid w:val="00B4746B"/>
    <w:rsid w:val="00B54AB8"/>
    <w:rsid w:val="00B54B98"/>
    <w:rsid w:val="00B552D1"/>
    <w:rsid w:val="00B566F8"/>
    <w:rsid w:val="00B56D18"/>
    <w:rsid w:val="00B731CC"/>
    <w:rsid w:val="00B74C5A"/>
    <w:rsid w:val="00B760E8"/>
    <w:rsid w:val="00B806D4"/>
    <w:rsid w:val="00B808C6"/>
    <w:rsid w:val="00B86C61"/>
    <w:rsid w:val="00B90850"/>
    <w:rsid w:val="00B91607"/>
    <w:rsid w:val="00B95D75"/>
    <w:rsid w:val="00B9738B"/>
    <w:rsid w:val="00BA3DC5"/>
    <w:rsid w:val="00BB73BC"/>
    <w:rsid w:val="00BC0AA8"/>
    <w:rsid w:val="00BC29B4"/>
    <w:rsid w:val="00BD0EDD"/>
    <w:rsid w:val="00BD3713"/>
    <w:rsid w:val="00BD40BD"/>
    <w:rsid w:val="00BD6F57"/>
    <w:rsid w:val="00BE2A53"/>
    <w:rsid w:val="00BE34D4"/>
    <w:rsid w:val="00BE7146"/>
    <w:rsid w:val="00BF260B"/>
    <w:rsid w:val="00BF27E9"/>
    <w:rsid w:val="00C015FB"/>
    <w:rsid w:val="00C03C8F"/>
    <w:rsid w:val="00C074C5"/>
    <w:rsid w:val="00C11CD7"/>
    <w:rsid w:val="00C12047"/>
    <w:rsid w:val="00C122D3"/>
    <w:rsid w:val="00C162C5"/>
    <w:rsid w:val="00C1694C"/>
    <w:rsid w:val="00C27469"/>
    <w:rsid w:val="00C33B77"/>
    <w:rsid w:val="00C35686"/>
    <w:rsid w:val="00C37D0F"/>
    <w:rsid w:val="00C37F05"/>
    <w:rsid w:val="00C41B30"/>
    <w:rsid w:val="00C52BC6"/>
    <w:rsid w:val="00C53C39"/>
    <w:rsid w:val="00C55037"/>
    <w:rsid w:val="00C60527"/>
    <w:rsid w:val="00C6444A"/>
    <w:rsid w:val="00C67A60"/>
    <w:rsid w:val="00C73AA9"/>
    <w:rsid w:val="00C803D6"/>
    <w:rsid w:val="00C84EE5"/>
    <w:rsid w:val="00C852C1"/>
    <w:rsid w:val="00C90B52"/>
    <w:rsid w:val="00C96390"/>
    <w:rsid w:val="00CA1BAA"/>
    <w:rsid w:val="00CA2B26"/>
    <w:rsid w:val="00CB27B8"/>
    <w:rsid w:val="00CD2ADA"/>
    <w:rsid w:val="00CE23C4"/>
    <w:rsid w:val="00CE6111"/>
    <w:rsid w:val="00CE6B95"/>
    <w:rsid w:val="00CF1979"/>
    <w:rsid w:val="00CF3AAE"/>
    <w:rsid w:val="00D07D82"/>
    <w:rsid w:val="00D16E07"/>
    <w:rsid w:val="00D2046C"/>
    <w:rsid w:val="00D23C52"/>
    <w:rsid w:val="00D25B1B"/>
    <w:rsid w:val="00D313EA"/>
    <w:rsid w:val="00D318FA"/>
    <w:rsid w:val="00D627EF"/>
    <w:rsid w:val="00D67177"/>
    <w:rsid w:val="00D71F45"/>
    <w:rsid w:val="00D76064"/>
    <w:rsid w:val="00D8692E"/>
    <w:rsid w:val="00D86A5F"/>
    <w:rsid w:val="00D920E0"/>
    <w:rsid w:val="00DA4E96"/>
    <w:rsid w:val="00DA6C8D"/>
    <w:rsid w:val="00DB129F"/>
    <w:rsid w:val="00DC5EC9"/>
    <w:rsid w:val="00DD3C6E"/>
    <w:rsid w:val="00DD6664"/>
    <w:rsid w:val="00DE3D95"/>
    <w:rsid w:val="00DE50D1"/>
    <w:rsid w:val="00DE6579"/>
    <w:rsid w:val="00DE6976"/>
    <w:rsid w:val="00DF69CC"/>
    <w:rsid w:val="00E12B09"/>
    <w:rsid w:val="00E130D2"/>
    <w:rsid w:val="00E2617F"/>
    <w:rsid w:val="00E27C83"/>
    <w:rsid w:val="00E322FD"/>
    <w:rsid w:val="00E422A4"/>
    <w:rsid w:val="00E44F43"/>
    <w:rsid w:val="00E4697A"/>
    <w:rsid w:val="00E5557E"/>
    <w:rsid w:val="00E708A6"/>
    <w:rsid w:val="00E73B69"/>
    <w:rsid w:val="00E74038"/>
    <w:rsid w:val="00E74E1A"/>
    <w:rsid w:val="00E76226"/>
    <w:rsid w:val="00E77FCB"/>
    <w:rsid w:val="00E83313"/>
    <w:rsid w:val="00E834D8"/>
    <w:rsid w:val="00E87B27"/>
    <w:rsid w:val="00E91479"/>
    <w:rsid w:val="00E9621A"/>
    <w:rsid w:val="00E972C2"/>
    <w:rsid w:val="00EA3BB3"/>
    <w:rsid w:val="00EB2CA5"/>
    <w:rsid w:val="00EB3436"/>
    <w:rsid w:val="00EB440E"/>
    <w:rsid w:val="00EB60A0"/>
    <w:rsid w:val="00EC3EFD"/>
    <w:rsid w:val="00ED0925"/>
    <w:rsid w:val="00ED0976"/>
    <w:rsid w:val="00ED30F1"/>
    <w:rsid w:val="00ED75BB"/>
    <w:rsid w:val="00EE1756"/>
    <w:rsid w:val="00EE6C4B"/>
    <w:rsid w:val="00EE7506"/>
    <w:rsid w:val="00EF7499"/>
    <w:rsid w:val="00F0351D"/>
    <w:rsid w:val="00F119C7"/>
    <w:rsid w:val="00F11EA0"/>
    <w:rsid w:val="00F426E2"/>
    <w:rsid w:val="00F45E23"/>
    <w:rsid w:val="00F47D83"/>
    <w:rsid w:val="00F53C09"/>
    <w:rsid w:val="00F55F79"/>
    <w:rsid w:val="00F74F2E"/>
    <w:rsid w:val="00F76900"/>
    <w:rsid w:val="00F912C8"/>
    <w:rsid w:val="00F93E5E"/>
    <w:rsid w:val="00FA1A76"/>
    <w:rsid w:val="00FC5352"/>
    <w:rsid w:val="00FD1785"/>
    <w:rsid w:val="00FD3469"/>
    <w:rsid w:val="00FE45AD"/>
    <w:rsid w:val="00FF1314"/>
    <w:rsid w:val="00FF2EBB"/>
    <w:rsid w:val="00FF392E"/>
    <w:rsid w:val="00FF6468"/>
    <w:rsid w:val="00FF7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00352"/>
  <w15:docId w15:val="{99D9284D-BE1F-C74B-A98B-7BF34D615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AD5"/>
    <w:pPr>
      <w:keepNext/>
      <w:keepLines/>
      <w:spacing w:before="240" w:line="480" w:lineRule="auto"/>
      <w:jc w:val="center"/>
      <w:outlineLvl w:val="0"/>
    </w:pPr>
    <w:rPr>
      <w:rFonts w:ascii="Times New Roman" w:eastAsiaTheme="majorEastAsia" w:hAnsi="Times New Roman" w:cstheme="majorBidi"/>
      <w:b/>
      <w:color w:val="000000" w:themeColor="text1"/>
      <w:szCs w:val="32"/>
    </w:rPr>
  </w:style>
  <w:style w:type="paragraph" w:styleId="Heading2">
    <w:name w:val="heading 2"/>
    <w:basedOn w:val="Normal"/>
    <w:next w:val="Normal"/>
    <w:link w:val="Heading2Char"/>
    <w:uiPriority w:val="9"/>
    <w:unhideWhenUsed/>
    <w:qFormat/>
    <w:rsid w:val="001B10C9"/>
    <w:pPr>
      <w:keepNext/>
      <w:keepLines/>
      <w:spacing w:before="40" w:line="480" w:lineRule="auto"/>
      <w:outlineLvl w:val="1"/>
    </w:pPr>
    <w:rPr>
      <w:rFonts w:ascii="Times New Roman" w:eastAsiaTheme="majorEastAsia" w:hAnsi="Times New Roman" w:cstheme="majorBidi"/>
      <w:color w:val="000000" w:themeColor="text1"/>
      <w:sz w:val="26"/>
      <w:szCs w:val="26"/>
    </w:rPr>
  </w:style>
  <w:style w:type="paragraph" w:styleId="Heading3">
    <w:name w:val="heading 3"/>
    <w:basedOn w:val="Normal"/>
    <w:next w:val="Normal"/>
    <w:link w:val="Heading3Char"/>
    <w:uiPriority w:val="9"/>
    <w:unhideWhenUsed/>
    <w:qFormat/>
    <w:rsid w:val="00263AD5"/>
    <w:pPr>
      <w:keepNext/>
      <w:keepLines/>
      <w:spacing w:before="240" w:after="240"/>
      <w:outlineLvl w:val="2"/>
    </w:pPr>
    <w:rPr>
      <w:rFonts w:ascii="Times New Roman" w:eastAsiaTheme="majorEastAsia" w:hAnsi="Times New Roman" w:cstheme="majorBidi"/>
      <w:b/>
      <w:color w:val="000000" w:themeColor="text1"/>
    </w:rPr>
  </w:style>
  <w:style w:type="paragraph" w:styleId="Heading4">
    <w:name w:val="heading 4"/>
    <w:basedOn w:val="Normal"/>
    <w:next w:val="Normal"/>
    <w:link w:val="Heading4Char"/>
    <w:uiPriority w:val="9"/>
    <w:unhideWhenUsed/>
    <w:qFormat/>
    <w:rsid w:val="00A8116E"/>
    <w:pPr>
      <w:keepNext/>
      <w:keepLines/>
      <w:spacing w:before="40" w:line="480" w:lineRule="auto"/>
      <w:outlineLvl w:val="3"/>
    </w:pPr>
    <w:rPr>
      <w:rFonts w:ascii="Times New Roman" w:eastAsiaTheme="majorEastAsia" w:hAnsi="Times New Roman"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5E47"/>
    <w:pPr>
      <w:ind w:left="720"/>
      <w:contextualSpacing/>
    </w:pPr>
  </w:style>
  <w:style w:type="paragraph" w:styleId="Bibliography">
    <w:name w:val="Bibliography"/>
    <w:basedOn w:val="Normal"/>
    <w:next w:val="Normal"/>
    <w:uiPriority w:val="37"/>
    <w:unhideWhenUsed/>
    <w:rsid w:val="0088608D"/>
    <w:pPr>
      <w:tabs>
        <w:tab w:val="left" w:pos="500"/>
      </w:tabs>
      <w:spacing w:line="480" w:lineRule="auto"/>
      <w:ind w:left="720" w:hanging="720"/>
    </w:pPr>
  </w:style>
  <w:style w:type="paragraph" w:styleId="Header">
    <w:name w:val="header"/>
    <w:basedOn w:val="Normal"/>
    <w:link w:val="HeaderChar"/>
    <w:uiPriority w:val="99"/>
    <w:unhideWhenUsed/>
    <w:rsid w:val="0088608D"/>
    <w:pPr>
      <w:tabs>
        <w:tab w:val="center" w:pos="4680"/>
        <w:tab w:val="right" w:pos="9360"/>
      </w:tabs>
    </w:pPr>
  </w:style>
  <w:style w:type="character" w:customStyle="1" w:styleId="HeaderChar">
    <w:name w:val="Header Char"/>
    <w:basedOn w:val="DefaultParagraphFont"/>
    <w:link w:val="Header"/>
    <w:uiPriority w:val="99"/>
    <w:rsid w:val="0088608D"/>
  </w:style>
  <w:style w:type="paragraph" w:styleId="Footer">
    <w:name w:val="footer"/>
    <w:basedOn w:val="Normal"/>
    <w:link w:val="FooterChar"/>
    <w:uiPriority w:val="99"/>
    <w:unhideWhenUsed/>
    <w:rsid w:val="0088608D"/>
    <w:pPr>
      <w:tabs>
        <w:tab w:val="center" w:pos="4680"/>
        <w:tab w:val="right" w:pos="9360"/>
      </w:tabs>
    </w:pPr>
  </w:style>
  <w:style w:type="character" w:customStyle="1" w:styleId="FooterChar">
    <w:name w:val="Footer Char"/>
    <w:basedOn w:val="DefaultParagraphFont"/>
    <w:link w:val="Footer"/>
    <w:uiPriority w:val="99"/>
    <w:rsid w:val="0088608D"/>
  </w:style>
  <w:style w:type="character" w:styleId="PageNumber">
    <w:name w:val="page number"/>
    <w:basedOn w:val="DefaultParagraphFont"/>
    <w:uiPriority w:val="99"/>
    <w:semiHidden/>
    <w:unhideWhenUsed/>
    <w:rsid w:val="00DB129F"/>
  </w:style>
  <w:style w:type="paragraph" w:styleId="BalloonText">
    <w:name w:val="Balloon Text"/>
    <w:basedOn w:val="Normal"/>
    <w:link w:val="BalloonTextChar"/>
    <w:uiPriority w:val="99"/>
    <w:semiHidden/>
    <w:unhideWhenUsed/>
    <w:rsid w:val="001C614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C614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1C6147"/>
    <w:rPr>
      <w:sz w:val="16"/>
      <w:szCs w:val="16"/>
    </w:rPr>
  </w:style>
  <w:style w:type="paragraph" w:styleId="CommentText">
    <w:name w:val="annotation text"/>
    <w:basedOn w:val="Normal"/>
    <w:link w:val="CommentTextChar"/>
    <w:uiPriority w:val="99"/>
    <w:unhideWhenUsed/>
    <w:rsid w:val="001C6147"/>
    <w:rPr>
      <w:sz w:val="20"/>
      <w:szCs w:val="20"/>
    </w:rPr>
  </w:style>
  <w:style w:type="character" w:customStyle="1" w:styleId="CommentTextChar">
    <w:name w:val="Comment Text Char"/>
    <w:basedOn w:val="DefaultParagraphFont"/>
    <w:link w:val="CommentText"/>
    <w:uiPriority w:val="99"/>
    <w:rsid w:val="001C6147"/>
    <w:rPr>
      <w:sz w:val="20"/>
      <w:szCs w:val="20"/>
    </w:rPr>
  </w:style>
  <w:style w:type="paragraph" w:styleId="CommentSubject">
    <w:name w:val="annotation subject"/>
    <w:basedOn w:val="CommentText"/>
    <w:next w:val="CommentText"/>
    <w:link w:val="CommentSubjectChar"/>
    <w:uiPriority w:val="99"/>
    <w:semiHidden/>
    <w:unhideWhenUsed/>
    <w:rsid w:val="001C6147"/>
    <w:rPr>
      <w:b/>
      <w:bCs/>
    </w:rPr>
  </w:style>
  <w:style w:type="character" w:customStyle="1" w:styleId="CommentSubjectChar">
    <w:name w:val="Comment Subject Char"/>
    <w:basedOn w:val="CommentTextChar"/>
    <w:link w:val="CommentSubject"/>
    <w:uiPriority w:val="99"/>
    <w:semiHidden/>
    <w:rsid w:val="001C6147"/>
    <w:rPr>
      <w:b/>
      <w:bCs/>
      <w:sz w:val="20"/>
      <w:szCs w:val="20"/>
    </w:rPr>
  </w:style>
  <w:style w:type="character" w:customStyle="1" w:styleId="Heading1Char">
    <w:name w:val="Heading 1 Char"/>
    <w:basedOn w:val="DefaultParagraphFont"/>
    <w:link w:val="Heading1"/>
    <w:uiPriority w:val="9"/>
    <w:rsid w:val="00263AD5"/>
    <w:rPr>
      <w:rFonts w:ascii="Times New Roman" w:eastAsiaTheme="majorEastAsia" w:hAnsi="Times New Roman" w:cstheme="majorBidi"/>
      <w:b/>
      <w:color w:val="000000" w:themeColor="text1"/>
      <w:szCs w:val="32"/>
    </w:rPr>
  </w:style>
  <w:style w:type="paragraph" w:styleId="TOCHeading">
    <w:name w:val="TOC Heading"/>
    <w:basedOn w:val="Heading1"/>
    <w:next w:val="Normal"/>
    <w:uiPriority w:val="39"/>
    <w:unhideWhenUsed/>
    <w:qFormat/>
    <w:rsid w:val="00263AD5"/>
    <w:pPr>
      <w:spacing w:before="120" w:line="276" w:lineRule="auto"/>
      <w:jc w:val="left"/>
      <w:outlineLvl w:val="9"/>
    </w:pPr>
    <w:rPr>
      <w:b w:val="0"/>
      <w:bCs/>
      <w:szCs w:val="28"/>
    </w:rPr>
  </w:style>
  <w:style w:type="paragraph" w:styleId="TOC1">
    <w:name w:val="toc 1"/>
    <w:basedOn w:val="Normal"/>
    <w:next w:val="Normal"/>
    <w:autoRedefine/>
    <w:uiPriority w:val="39"/>
    <w:unhideWhenUsed/>
    <w:rsid w:val="00A95BFF"/>
    <w:pPr>
      <w:spacing w:before="120" w:after="120"/>
    </w:pPr>
    <w:rPr>
      <w:rFonts w:cstheme="minorHAnsi"/>
      <w:b/>
      <w:bCs/>
      <w:caps/>
      <w:sz w:val="20"/>
      <w:szCs w:val="20"/>
    </w:rPr>
  </w:style>
  <w:style w:type="character" w:styleId="Hyperlink">
    <w:name w:val="Hyperlink"/>
    <w:basedOn w:val="DefaultParagraphFont"/>
    <w:uiPriority w:val="99"/>
    <w:unhideWhenUsed/>
    <w:rsid w:val="00A95BFF"/>
    <w:rPr>
      <w:color w:val="0563C1" w:themeColor="hyperlink"/>
      <w:u w:val="single"/>
    </w:rPr>
  </w:style>
  <w:style w:type="paragraph" w:styleId="TOC2">
    <w:name w:val="toc 2"/>
    <w:basedOn w:val="Normal"/>
    <w:next w:val="Normal"/>
    <w:autoRedefine/>
    <w:uiPriority w:val="39"/>
    <w:unhideWhenUsed/>
    <w:rsid w:val="00A95BFF"/>
    <w:pPr>
      <w:ind w:left="240"/>
    </w:pPr>
    <w:rPr>
      <w:rFonts w:cstheme="minorHAnsi"/>
      <w:smallCaps/>
      <w:sz w:val="20"/>
      <w:szCs w:val="20"/>
    </w:rPr>
  </w:style>
  <w:style w:type="paragraph" w:styleId="TOC3">
    <w:name w:val="toc 3"/>
    <w:basedOn w:val="Normal"/>
    <w:next w:val="Normal"/>
    <w:autoRedefine/>
    <w:uiPriority w:val="39"/>
    <w:unhideWhenUsed/>
    <w:rsid w:val="00A95BFF"/>
    <w:pPr>
      <w:ind w:left="480"/>
    </w:pPr>
    <w:rPr>
      <w:rFonts w:cstheme="minorHAnsi"/>
      <w:i/>
      <w:iCs/>
      <w:sz w:val="20"/>
      <w:szCs w:val="20"/>
    </w:rPr>
  </w:style>
  <w:style w:type="paragraph" w:styleId="TOC4">
    <w:name w:val="toc 4"/>
    <w:basedOn w:val="Normal"/>
    <w:next w:val="Normal"/>
    <w:autoRedefine/>
    <w:uiPriority w:val="39"/>
    <w:unhideWhenUsed/>
    <w:rsid w:val="00A95BFF"/>
    <w:pPr>
      <w:ind w:left="720"/>
    </w:pPr>
    <w:rPr>
      <w:rFonts w:cstheme="minorHAnsi"/>
      <w:sz w:val="18"/>
      <w:szCs w:val="18"/>
    </w:rPr>
  </w:style>
  <w:style w:type="paragraph" w:styleId="TOC5">
    <w:name w:val="toc 5"/>
    <w:basedOn w:val="Normal"/>
    <w:next w:val="Normal"/>
    <w:autoRedefine/>
    <w:uiPriority w:val="39"/>
    <w:semiHidden/>
    <w:unhideWhenUsed/>
    <w:rsid w:val="00A95BFF"/>
    <w:pPr>
      <w:ind w:left="960"/>
    </w:pPr>
    <w:rPr>
      <w:rFonts w:cstheme="minorHAnsi"/>
      <w:sz w:val="18"/>
      <w:szCs w:val="18"/>
    </w:rPr>
  </w:style>
  <w:style w:type="paragraph" w:styleId="TOC6">
    <w:name w:val="toc 6"/>
    <w:basedOn w:val="Normal"/>
    <w:next w:val="Normal"/>
    <w:autoRedefine/>
    <w:uiPriority w:val="39"/>
    <w:semiHidden/>
    <w:unhideWhenUsed/>
    <w:rsid w:val="00A95BFF"/>
    <w:pPr>
      <w:ind w:left="1200"/>
    </w:pPr>
    <w:rPr>
      <w:rFonts w:cstheme="minorHAnsi"/>
      <w:sz w:val="18"/>
      <w:szCs w:val="18"/>
    </w:rPr>
  </w:style>
  <w:style w:type="paragraph" w:styleId="TOC7">
    <w:name w:val="toc 7"/>
    <w:basedOn w:val="Normal"/>
    <w:next w:val="Normal"/>
    <w:autoRedefine/>
    <w:uiPriority w:val="39"/>
    <w:semiHidden/>
    <w:unhideWhenUsed/>
    <w:rsid w:val="00A95BFF"/>
    <w:pPr>
      <w:ind w:left="1440"/>
    </w:pPr>
    <w:rPr>
      <w:rFonts w:cstheme="minorHAnsi"/>
      <w:sz w:val="18"/>
      <w:szCs w:val="18"/>
    </w:rPr>
  </w:style>
  <w:style w:type="paragraph" w:styleId="TOC8">
    <w:name w:val="toc 8"/>
    <w:basedOn w:val="Normal"/>
    <w:next w:val="Normal"/>
    <w:autoRedefine/>
    <w:uiPriority w:val="39"/>
    <w:semiHidden/>
    <w:unhideWhenUsed/>
    <w:rsid w:val="00A95BFF"/>
    <w:pPr>
      <w:ind w:left="1680"/>
    </w:pPr>
    <w:rPr>
      <w:rFonts w:cstheme="minorHAnsi"/>
      <w:sz w:val="18"/>
      <w:szCs w:val="18"/>
    </w:rPr>
  </w:style>
  <w:style w:type="paragraph" w:styleId="TOC9">
    <w:name w:val="toc 9"/>
    <w:basedOn w:val="Normal"/>
    <w:next w:val="Normal"/>
    <w:autoRedefine/>
    <w:uiPriority w:val="39"/>
    <w:semiHidden/>
    <w:unhideWhenUsed/>
    <w:rsid w:val="00A95BFF"/>
    <w:pPr>
      <w:ind w:left="1920"/>
    </w:pPr>
    <w:rPr>
      <w:rFonts w:cstheme="minorHAnsi"/>
      <w:sz w:val="18"/>
      <w:szCs w:val="18"/>
    </w:rPr>
  </w:style>
  <w:style w:type="character" w:customStyle="1" w:styleId="Heading2Char">
    <w:name w:val="Heading 2 Char"/>
    <w:basedOn w:val="DefaultParagraphFont"/>
    <w:link w:val="Heading2"/>
    <w:uiPriority w:val="9"/>
    <w:rsid w:val="001B10C9"/>
    <w:rPr>
      <w:rFonts w:ascii="Times New Roman" w:eastAsiaTheme="majorEastAsia" w:hAnsi="Times New Roman" w:cstheme="majorBidi"/>
      <w:color w:val="000000" w:themeColor="text1"/>
      <w:sz w:val="26"/>
      <w:szCs w:val="26"/>
    </w:rPr>
  </w:style>
  <w:style w:type="character" w:customStyle="1" w:styleId="Heading3Char">
    <w:name w:val="Heading 3 Char"/>
    <w:basedOn w:val="DefaultParagraphFont"/>
    <w:link w:val="Heading3"/>
    <w:uiPriority w:val="9"/>
    <w:rsid w:val="00263AD5"/>
    <w:rPr>
      <w:rFonts w:ascii="Times New Roman" w:eastAsiaTheme="majorEastAsia" w:hAnsi="Times New Roman" w:cstheme="majorBidi"/>
      <w:b/>
      <w:color w:val="000000" w:themeColor="text1"/>
    </w:rPr>
  </w:style>
  <w:style w:type="paragraph" w:styleId="Revision">
    <w:name w:val="Revision"/>
    <w:hidden/>
    <w:uiPriority w:val="99"/>
    <w:semiHidden/>
    <w:rsid w:val="001A54BA"/>
  </w:style>
  <w:style w:type="character" w:customStyle="1" w:styleId="Heading4Char">
    <w:name w:val="Heading 4 Char"/>
    <w:basedOn w:val="DefaultParagraphFont"/>
    <w:link w:val="Heading4"/>
    <w:uiPriority w:val="9"/>
    <w:rsid w:val="00A8116E"/>
    <w:rPr>
      <w:rFonts w:ascii="Times New Roman" w:eastAsiaTheme="majorEastAsia" w:hAnsi="Times New Roman" w:cstheme="majorBidi"/>
      <w:i/>
      <w:iCs/>
      <w:color w:val="000000" w:themeColor="text1"/>
    </w:rPr>
  </w:style>
  <w:style w:type="paragraph" w:customStyle="1" w:styleId="xmsonormal">
    <w:name w:val="x_msonormal"/>
    <w:basedOn w:val="Normal"/>
    <w:rsid w:val="0052271F"/>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DefaultParagraphFont"/>
    <w:rsid w:val="0052271F"/>
  </w:style>
  <w:style w:type="table" w:styleId="TableGrid">
    <w:name w:val="Table Grid"/>
    <w:basedOn w:val="TableNormal"/>
    <w:uiPriority w:val="39"/>
    <w:rsid w:val="00655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65584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rsid w:val="003066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076766">
      <w:bodyDiv w:val="1"/>
      <w:marLeft w:val="0"/>
      <w:marRight w:val="0"/>
      <w:marTop w:val="0"/>
      <w:marBottom w:val="0"/>
      <w:divBdr>
        <w:top w:val="none" w:sz="0" w:space="0" w:color="auto"/>
        <w:left w:val="none" w:sz="0" w:space="0" w:color="auto"/>
        <w:bottom w:val="none" w:sz="0" w:space="0" w:color="auto"/>
        <w:right w:val="none" w:sz="0" w:space="0" w:color="auto"/>
      </w:divBdr>
    </w:div>
    <w:div w:id="336927736">
      <w:bodyDiv w:val="1"/>
      <w:marLeft w:val="0"/>
      <w:marRight w:val="0"/>
      <w:marTop w:val="0"/>
      <w:marBottom w:val="0"/>
      <w:divBdr>
        <w:top w:val="none" w:sz="0" w:space="0" w:color="auto"/>
        <w:left w:val="none" w:sz="0" w:space="0" w:color="auto"/>
        <w:bottom w:val="none" w:sz="0" w:space="0" w:color="auto"/>
        <w:right w:val="none" w:sz="0" w:space="0" w:color="auto"/>
      </w:divBdr>
    </w:div>
    <w:div w:id="487091100">
      <w:bodyDiv w:val="1"/>
      <w:marLeft w:val="0"/>
      <w:marRight w:val="0"/>
      <w:marTop w:val="0"/>
      <w:marBottom w:val="0"/>
      <w:divBdr>
        <w:top w:val="none" w:sz="0" w:space="0" w:color="auto"/>
        <w:left w:val="none" w:sz="0" w:space="0" w:color="auto"/>
        <w:bottom w:val="none" w:sz="0" w:space="0" w:color="auto"/>
        <w:right w:val="none" w:sz="0" w:space="0" w:color="auto"/>
      </w:divBdr>
    </w:div>
    <w:div w:id="734938886">
      <w:bodyDiv w:val="1"/>
      <w:marLeft w:val="0"/>
      <w:marRight w:val="0"/>
      <w:marTop w:val="0"/>
      <w:marBottom w:val="0"/>
      <w:divBdr>
        <w:top w:val="none" w:sz="0" w:space="0" w:color="auto"/>
        <w:left w:val="none" w:sz="0" w:space="0" w:color="auto"/>
        <w:bottom w:val="none" w:sz="0" w:space="0" w:color="auto"/>
        <w:right w:val="none" w:sz="0" w:space="0" w:color="auto"/>
      </w:divBdr>
      <w:divsChild>
        <w:div w:id="1400593459">
          <w:marLeft w:val="0"/>
          <w:marRight w:val="0"/>
          <w:marTop w:val="0"/>
          <w:marBottom w:val="0"/>
          <w:divBdr>
            <w:top w:val="none" w:sz="0" w:space="0" w:color="auto"/>
            <w:left w:val="none" w:sz="0" w:space="0" w:color="auto"/>
            <w:bottom w:val="none" w:sz="0" w:space="0" w:color="auto"/>
            <w:right w:val="none" w:sz="0" w:space="0" w:color="auto"/>
          </w:divBdr>
          <w:divsChild>
            <w:div w:id="930622266">
              <w:marLeft w:val="0"/>
              <w:marRight w:val="0"/>
              <w:marTop w:val="0"/>
              <w:marBottom w:val="0"/>
              <w:divBdr>
                <w:top w:val="none" w:sz="0" w:space="0" w:color="auto"/>
                <w:left w:val="none" w:sz="0" w:space="0" w:color="auto"/>
                <w:bottom w:val="none" w:sz="0" w:space="0" w:color="auto"/>
                <w:right w:val="none" w:sz="0" w:space="0" w:color="auto"/>
              </w:divBdr>
              <w:divsChild>
                <w:div w:id="3443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526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image" Target="media/image5.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image" Target="media/image4.emf"/><Relationship Id="rId25"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emf"/><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11.emf"/><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10.emf"/><Relationship Id="rId28" Type="http://schemas.openxmlformats.org/officeDocument/2006/relationships/footer" Target="footer7.xml"/><Relationship Id="rId10" Type="http://schemas.openxmlformats.org/officeDocument/2006/relationships/footer" Target="footer3.xml"/><Relationship Id="rId19" Type="http://schemas.openxmlformats.org/officeDocument/2006/relationships/image" Target="media/image6.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emf"/><Relationship Id="rId22" Type="http://schemas.openxmlformats.org/officeDocument/2006/relationships/image" Target="media/image9.emf"/><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8F851-23EB-E746-A8E8-FCEBE7D3D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78</Pages>
  <Words>72810</Words>
  <Characters>415018</Characters>
  <Application>Microsoft Office Word</Application>
  <DocSecurity>0</DocSecurity>
  <Lines>3458</Lines>
  <Paragraphs>973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Brewer, Maegan P.</cp:lastModifiedBy>
  <cp:revision>9</cp:revision>
  <dcterms:created xsi:type="dcterms:W3CDTF">2021-12-06T00:56:00Z</dcterms:created>
  <dcterms:modified xsi:type="dcterms:W3CDTF">2021-12-13T20:24:00Z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id="PnZNZv4P"/&gt;&lt;style id="http://www.zotero.org/styles/apa" locale="en-US"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