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7D5B" w:rsidRDefault="000A7D5B" w:rsidP="000A7D5B">
      <w:r>
        <w:t>Maria C. Thomas</w:t>
      </w:r>
    </w:p>
    <w:p w:rsidR="000A7D5B" w:rsidRDefault="000A7D5B" w:rsidP="000A7D5B">
      <w:r>
        <w:t xml:space="preserve">Prof. David </w:t>
      </w:r>
      <w:proofErr w:type="spellStart"/>
      <w:r>
        <w:t>Wrobel</w:t>
      </w:r>
      <w:proofErr w:type="spellEnd"/>
    </w:p>
    <w:p w:rsidR="000A7D5B" w:rsidRDefault="000A7D5B" w:rsidP="000A7D5B">
      <w:r>
        <w:t>HIST 1493 (027 Disc)</w:t>
      </w:r>
    </w:p>
    <w:p w:rsidR="000A7D5B" w:rsidRPr="00CB2578" w:rsidRDefault="000A7D5B" w:rsidP="000A7D5B">
      <w:pPr>
        <w:spacing w:after="240"/>
      </w:pPr>
      <w:r>
        <w:t>November 26, 2013</w:t>
      </w:r>
    </w:p>
    <w:p w:rsidR="000A7D5B" w:rsidRPr="003E5228" w:rsidRDefault="000A7D5B" w:rsidP="000A7D5B">
      <w:pPr>
        <w:spacing w:after="240"/>
        <w:jc w:val="center"/>
        <w:rPr>
          <w:b/>
        </w:rPr>
      </w:pPr>
      <w:r>
        <w:rPr>
          <w:b/>
        </w:rPr>
        <w:t>The Role of Propaganda in WW1: Isolationism, Nationalism and Post-War Reactions</w:t>
      </w:r>
    </w:p>
    <w:p w:rsidR="000A7D5B" w:rsidRDefault="000A7D5B" w:rsidP="000A7D5B">
      <w:pPr>
        <w:spacing w:after="240"/>
        <w:ind w:firstLine="720"/>
      </w:pPr>
      <w:r>
        <w:t xml:space="preserve">The United States has been known for not wanting to interfere with issues in Europe, and such was the case even during the </w:t>
      </w:r>
      <w:r w:rsidR="008E26CA">
        <w:t>beginning</w:t>
      </w:r>
      <w:r>
        <w:t xml:space="preserve"> of the First World War. President Woodrow Wilson confirmed this view in his speeches during the first few years of WW1. However, after the a series of events during early 1917 including the Zimmerman Telegram and Germany’s declaration of unrestricted submarine warfare against the US, Wilson had to maneuver the nation in a totally different direction. He had to steer public opinion away from isolationism</w:t>
      </w:r>
      <w:r w:rsidR="008E26CA">
        <w:t xml:space="preserve"> and</w:t>
      </w:r>
      <w:r>
        <w:t xml:space="preserve"> toward </w:t>
      </w:r>
      <w:r w:rsidR="008E26CA">
        <w:t>patriotism</w:t>
      </w:r>
      <w:r w:rsidR="008E26CA">
        <w:t xml:space="preserve"> and mobilization</w:t>
      </w:r>
      <w:r>
        <w:t xml:space="preserve">, as this was a war that would affect everyone, not just the military personnel: this was a total war. The government </w:t>
      </w:r>
      <w:r w:rsidR="008E26CA">
        <w:t>used</w:t>
      </w:r>
      <w:r>
        <w:t xml:space="preserve"> a number of strategies to generate public support for the war effort, including posters and speeches that glorified the American cause and asked every citizen to do their part in order to achieve victory. These propaganda strategies were, in general, very successful. In fact, they were so successful that the same strategies continued to be used even after the war, to popularize military equipment that might otherwise</w:t>
      </w:r>
      <w:r w:rsidR="008E26CA">
        <w:t xml:space="preserve"> have</w:t>
      </w:r>
      <w:r>
        <w:t xml:space="preserve"> go</w:t>
      </w:r>
      <w:r w:rsidR="008E26CA">
        <w:t>ne</w:t>
      </w:r>
      <w:r>
        <w:t xml:space="preserve"> into disuse. However, there were always some critics who disapproved of the potentially “undemocratic” means used by the government to generate this support, most of whom voiced their opinions after the war. Nevertheless, propaganda played a tremendous role during World War 1: in transforming the existent mindset from isolationist to nationalist, in maintaining these </w:t>
      </w:r>
      <w:r>
        <w:lastRenderedPageBreak/>
        <w:t xml:space="preserve">sentiments throughout the war, as well as in using that support after the war to popularize the military. </w:t>
      </w:r>
    </w:p>
    <w:p w:rsidR="000A7D5B" w:rsidRDefault="000A7D5B" w:rsidP="000A7D5B">
      <w:r>
        <w:tab/>
        <w:t>The isolationist policy of the United States was very evident during the start of World War 1. In fact, even as late as 1916, during Wilson’s acceptance speech, one can see the use of a number of phrases that indicate an unwillingness to join the war. Wilson talks about the “fixed and traditional policy of the United States to stand aloof from the politics of Europe” because the United States “had no part” to play in the initiation of the war.</w:t>
      </w:r>
      <w:r>
        <w:rPr>
          <w:rStyle w:val="FootnoteReference"/>
        </w:rPr>
        <w:footnoteReference w:id="1"/>
      </w:r>
      <w:r>
        <w:t xml:space="preserve"> He portrays the war in a very negative manner, describing it as an “infection of conflict” and as the “extension of the fires of hate and desolation.”</w:t>
      </w:r>
      <w:r>
        <w:rPr>
          <w:rStyle w:val="FootnoteReference"/>
        </w:rPr>
        <w:footnoteReference w:id="2"/>
      </w:r>
      <w:r>
        <w:t xml:space="preserve"> One can consider this as pre-war propaganda, where Wilson sought to make the citizens support the position the US was taking to the situation in Europe. In fact, he</w:t>
      </w:r>
      <w:r w:rsidR="00AF0194">
        <w:t xml:space="preserve"> further justifies </w:t>
      </w:r>
      <w:r>
        <w:t>his stand</w:t>
      </w:r>
      <w:r w:rsidR="00AF0194">
        <w:t>,</w:t>
      </w:r>
      <w:r>
        <w:t xml:space="preserve"> stating that our role was to “serve mankind by reserving our strength and our resources for the difficult days of restoration and healing.”</w:t>
      </w:r>
      <w:r>
        <w:rPr>
          <w:rStyle w:val="FootnoteReference"/>
        </w:rPr>
        <w:footnoteReference w:id="3"/>
      </w:r>
      <w:r>
        <w:t xml:space="preserve"> However, what he did not mention here was that this reserving of American strength was being done </w:t>
      </w:r>
      <w:r w:rsidR="00AF0194">
        <w:t>in the place</w:t>
      </w:r>
      <w:r>
        <w:t xml:space="preserve"> of helpi</w:t>
      </w:r>
      <w:r w:rsidR="00AF0194">
        <w:t>ng our</w:t>
      </w:r>
      <w:r>
        <w:t xml:space="preserve"> allies in Europe, who were suffering under the destructive hands of war.  </w:t>
      </w:r>
    </w:p>
    <w:p w:rsidR="000A7D5B" w:rsidRDefault="000A7D5B" w:rsidP="000A7D5B">
      <w:pPr>
        <w:widowControl w:val="0"/>
      </w:pPr>
      <w:r>
        <w:tab/>
        <w:t xml:space="preserve">This is in total contrast to his statements during his declaration of war. After the events during January and February of 1917 – Germany’s declaration of unrestricted submarine warfare and the Zimmermann telegram – it became apparent that the only course the United States could take was to join the war. Thanks to the Russian Revolution and the temporary illusion of Russia being a democracy, Wilson was able to support this new position claiming that the aim of the </w:t>
      </w:r>
      <w:r>
        <w:lastRenderedPageBreak/>
        <w:t>United States was to safeguard the just cause of democracy. “A steadfast concert for peace can never be maintained except by a partnership of democratic nations.”</w:t>
      </w:r>
      <w:r>
        <w:rPr>
          <w:rStyle w:val="FootnoteReference"/>
        </w:rPr>
        <w:footnoteReference w:id="4"/>
      </w:r>
      <w:r>
        <w:t xml:space="preserve"> Judging from the situation in Europe, it was clear that the war would require sacrifices from every citizen if the United States chose to join. Therefore, it was important for Wilson to modify his previous stance with a new ideology that would motivate the American people during what was expected to be a long, drawn-out war. Hence, the role of the United States was no longer to “reserve its strength,” but to “accept the gage of battle with this natural foe to liberty.”</w:t>
      </w:r>
      <w:r>
        <w:rPr>
          <w:rStyle w:val="FootnoteReference"/>
        </w:rPr>
        <w:footnoteReference w:id="5"/>
      </w:r>
      <w:r>
        <w:t xml:space="preserve"> We were now supposed to fight “for the rights and liberties of small nations.”</w:t>
      </w:r>
      <w:r>
        <w:rPr>
          <w:rStyle w:val="FootnoteReference"/>
        </w:rPr>
        <w:footnoteReference w:id="6"/>
      </w:r>
      <w:r>
        <w:t xml:space="preserve"> However, Wilson’s phraseology was quite appealing to the American public and gave them a sense that </w:t>
      </w:r>
      <w:r w:rsidR="002D547F">
        <w:t xml:space="preserve">they </w:t>
      </w:r>
      <w:r>
        <w:t>were fighting for a just cause, as guardians of democracy. The media described it as “a magnificent utterance” and as the “finest address he has ever made.”</w:t>
      </w:r>
      <w:r>
        <w:rPr>
          <w:rStyle w:val="FootnoteReference"/>
        </w:rPr>
        <w:footnoteReference w:id="7"/>
      </w:r>
      <w:r>
        <w:t xml:space="preserve"> Thus, despite having to change his initial position, one can say that Wilson was quite successful in instilling the sense of nationalism required for the war. </w:t>
      </w:r>
    </w:p>
    <w:p w:rsidR="000A7D5B" w:rsidRDefault="000A7D5B" w:rsidP="000A7D5B">
      <w:pPr>
        <w:widowControl w:val="0"/>
      </w:pPr>
      <w:r>
        <w:tab/>
        <w:t>Nevertheless, one speech is not enough to maintain a sense of patriotism throughout the war, especially because</w:t>
      </w:r>
      <w:r w:rsidR="002D547F">
        <w:t xml:space="preserve"> this</w:t>
      </w:r>
      <w:r>
        <w:t xml:space="preserve"> would not be a war of a few days or months; it would last years. This is where the propaganda strategies</w:t>
      </w:r>
      <w:r w:rsidR="001D73B2">
        <w:t xml:space="preserve"> used</w:t>
      </w:r>
      <w:r>
        <w:t xml:space="preserve"> by the government became critical. President Wilson’s speech was followed by a series of speeches throughout the nation, encouraging the citizens to do their part to help America succeed. “This is not President Wilson’s war or Congress’ war – it is a war of every man, woman and child in the United States… let us all enlist </w:t>
      </w:r>
      <w:r>
        <w:lastRenderedPageBreak/>
        <w:t>for this service and support our soldier boys and our allies.”</w:t>
      </w:r>
      <w:r>
        <w:rPr>
          <w:rStyle w:val="FootnoteReference"/>
        </w:rPr>
        <w:footnoteReference w:id="8"/>
      </w:r>
      <w:r>
        <w:t xml:space="preserve"> These speeches were given at movie theaters and other public places, anywhere the general public could be targeted. Many were dramatic, others fearsome of the threat posed by the Germans. Eloquent speakers were called to appeal to different emotions of the people, to generate a sense of collective nationalism, so that the United States could be seen as one strong and united force to other countries as well as to its own citizens. </w:t>
      </w:r>
    </w:p>
    <w:p w:rsidR="000A7D5B" w:rsidRDefault="000A7D5B" w:rsidP="000A7D5B">
      <w:pPr>
        <w:widowControl w:val="0"/>
      </w:pPr>
      <w:r>
        <w:tab/>
        <w:t>While the speeches were effective in achieving their goals, one cannot ignore the major role played by propaganda posters during the war. One of the most famous WW1 posters is that of Uncle Sam, looking very determined and saying, “I want YOU for the U.S. Army.”</w:t>
      </w:r>
      <w:r>
        <w:rPr>
          <w:rStyle w:val="FootnoteReference"/>
        </w:rPr>
        <w:footnoteReference w:id="9"/>
      </w:r>
      <w:r>
        <w:t xml:space="preserve"> The United States had to generate a massive army if it were to support the</w:t>
      </w:r>
      <w:r w:rsidR="00A30943">
        <w:t xml:space="preserve"> weakening forces of the Allies.</w:t>
      </w:r>
      <w:r>
        <w:t xml:space="preserve"> </w:t>
      </w:r>
      <w:r w:rsidR="00A30943">
        <w:t xml:space="preserve">Thus </w:t>
      </w:r>
      <w:r>
        <w:t>the posters, calling every young man to join the army, were very useful in achieving this purpose. However, the role of the posters did not end there: many others called</w:t>
      </w:r>
      <w:r w:rsidR="00A30943">
        <w:t xml:space="preserve"> for</w:t>
      </w:r>
      <w:r>
        <w:t xml:space="preserve"> women to join the workforce and for people to conserve and grow food. There were also a large number of posters asking people to buy war </w:t>
      </w:r>
      <w:proofErr w:type="gramStart"/>
      <w:r>
        <w:t>bonds.</w:t>
      </w:r>
      <w:r>
        <w:rPr>
          <w:rStyle w:val="FootnoteReference"/>
        </w:rPr>
        <w:footnoteReference w:id="10"/>
      </w:r>
      <w:r>
        <w:rPr>
          <w:vertAlign w:val="superscript"/>
        </w:rPr>
        <w:t>,</w:t>
      </w:r>
      <w:proofErr w:type="gramEnd"/>
      <w:r>
        <w:rPr>
          <w:vertAlign w:val="superscript"/>
        </w:rPr>
        <w:t xml:space="preserve"> </w:t>
      </w:r>
      <w:r>
        <w:rPr>
          <w:rStyle w:val="FootnoteReference"/>
        </w:rPr>
        <w:footnoteReference w:id="11"/>
      </w:r>
      <w:r>
        <w:rPr>
          <w:vertAlign w:val="superscript"/>
        </w:rPr>
        <w:t xml:space="preserve"> </w:t>
      </w:r>
      <w:r>
        <w:t xml:space="preserve">In all these posters, simply stating the words with a few generalized pictures would not be enough to generate the kind of support needed by the government. Therefore, the posters were often accompanied by images that were sure to instill a </w:t>
      </w:r>
      <w:r>
        <w:lastRenderedPageBreak/>
        <w:t>sense of duty toward the nation in the minds of the people. Many bore sentimental messages with a female figure, usually Lady Liberty, asking her countrymen to help her during the war.</w:t>
      </w:r>
      <w:r>
        <w:rPr>
          <w:rStyle w:val="FootnoteReference"/>
        </w:rPr>
        <w:footnoteReference w:id="12"/>
      </w:r>
      <w:r>
        <w:t xml:space="preserve"> Others had a sense of humor,</w:t>
      </w:r>
      <w:r w:rsidR="00A30943">
        <w:t xml:space="preserve"> often</w:t>
      </w:r>
      <w:r>
        <w:t xml:space="preserve"> making the enemy appear silly.</w:t>
      </w:r>
      <w:r>
        <w:rPr>
          <w:rStyle w:val="FootnoteReference"/>
        </w:rPr>
        <w:footnoteReference w:id="13"/>
      </w:r>
      <w:r>
        <w:t xml:space="preserve"> Some posters even went as </w:t>
      </w:r>
      <w:r w:rsidR="009D30DF">
        <w:t xml:space="preserve">overly </w:t>
      </w:r>
      <w:r>
        <w:t>dramatic as to show Lady Liberty burning under tall red flames on the coast of New York, and the only way to save her was to buy liberty bonds.</w:t>
      </w:r>
      <w:r>
        <w:rPr>
          <w:rStyle w:val="FootnoteReference"/>
        </w:rPr>
        <w:footnoteReference w:id="14"/>
      </w:r>
      <w:r>
        <w:t xml:space="preserve"> Thus the propaganda posters were designed to appeal to the people in many different ways, by ridiculing the enemy, by generating a sense of duty, or through pure emotion. As a result of all these measures, one could see a massive sense of nationalism during the war, which was exactly what the propaganda was designed to achieve. </w:t>
      </w:r>
    </w:p>
    <w:p w:rsidR="000A7D5B" w:rsidRDefault="000A7D5B" w:rsidP="000A7D5B">
      <w:pPr>
        <w:widowControl w:val="0"/>
      </w:pPr>
      <w:r>
        <w:tab/>
        <w:t>These propaganda strategies were so successful that the</w:t>
      </w:r>
      <w:r w:rsidR="00A30943">
        <w:t>y</w:t>
      </w:r>
      <w:r>
        <w:t xml:space="preserve"> continued to</w:t>
      </w:r>
      <w:r w:rsidR="00A30943">
        <w:t xml:space="preserve"> be</w:t>
      </w:r>
      <w:r>
        <w:t xml:space="preserve"> use</w:t>
      </w:r>
      <w:r w:rsidR="00A30943">
        <w:t>d</w:t>
      </w:r>
      <w:r>
        <w:t xml:space="preserve"> them even after the war, especially in the field of advertising. Now, the government knew exactly how to manipulate the general public into the mindset it wanted. One of the major concerns after the war was that the large amount of military equipment manufactured during the war would go into disuse. After all, what use were fighter planes and tanks in the absence of war? However, the government managed to transform them into a source of revenue, by popularizing them to the general public. This is most clearly seen in the field of aviation, when people were convinced about the safety as well as the thrill of traveling in an aircraft. People were given short rides aboard military aircrafts at affordable costs.</w:t>
      </w:r>
      <w:r>
        <w:rPr>
          <w:rStyle w:val="FootnoteReference"/>
        </w:rPr>
        <w:footnoteReference w:id="15"/>
      </w:r>
      <w:r>
        <w:t xml:space="preserve"> This not only provided a means to keep the planes </w:t>
      </w:r>
      <w:r>
        <w:lastRenderedPageBreak/>
        <w:t>in use, but also to provide employment to the WW1 pilots. In fact, this was even taken to the next level, where airplane races from city to city were popularized to the public.</w:t>
      </w:r>
      <w:r>
        <w:rPr>
          <w:rStyle w:val="FootnoteReference"/>
        </w:rPr>
        <w:footnoteReference w:id="16"/>
      </w:r>
      <w:r>
        <w:t xml:space="preserve"> Thus, the same strategies used during the war were used even after the war as a means to earn revenue and provide employment to the soldiers who had returned home.</w:t>
      </w:r>
    </w:p>
    <w:p w:rsidR="000A7D5B" w:rsidRPr="00C9046C" w:rsidRDefault="000A7D5B" w:rsidP="000A7D5B">
      <w:pPr>
        <w:widowControl w:val="0"/>
      </w:pPr>
      <w:r>
        <w:tab/>
      </w:r>
      <w:r w:rsidR="006C482E">
        <w:t>However, a</w:t>
      </w:r>
      <w:r>
        <w:t>s the government succeeded in its goals of manipulating public opinion,</w:t>
      </w:r>
      <w:r w:rsidR="00A30943">
        <w:t xml:space="preserve"> </w:t>
      </w:r>
      <w:r>
        <w:t xml:space="preserve">there grew a large number of critics scrutinizing the means used to achieve this. There were concerns that the strategies used by the government were “undemocratic.” Propaganda was everywhere, in movie theaters, in parks, and even in schools, and there began a considerable amount of criticism against it, especially about its use in schools. Students in public schools were often given misleading information about the war: misleading not because it was false, but because it was not the </w:t>
      </w:r>
      <w:r w:rsidRPr="00050881">
        <w:rPr>
          <w:i/>
        </w:rPr>
        <w:t>whole</w:t>
      </w:r>
      <w:r>
        <w:t xml:space="preserve"> truth. People soon started to raise their voices against the situation, </w:t>
      </w:r>
      <w:r w:rsidR="00D657E8">
        <w:t xml:space="preserve">which is </w:t>
      </w:r>
      <w:r>
        <w:t>very clearly seen in an article by critic Charles Beard in 1919, after the war. “Our schools, it would appear, are not the places where conflicting views of future policy are to be fairly considered, but institutions of propaganda.”</w:t>
      </w:r>
      <w:r>
        <w:rPr>
          <w:rStyle w:val="FootnoteReference"/>
        </w:rPr>
        <w:footnoteReference w:id="17"/>
      </w:r>
      <w:r>
        <w:t xml:space="preserve"> The students were unable to analyze the whole situation for themselves and make their own judgments. Instead, they could only follow the “rote lessons prepared and approved by superintendents and principals.”</w:t>
      </w:r>
      <w:r>
        <w:rPr>
          <w:rStyle w:val="FootnoteReference"/>
        </w:rPr>
        <w:footnoteReference w:id="18"/>
      </w:r>
      <w:r>
        <w:t xml:space="preserve"> Thus, while the overwhelming role played by propaganda might have helped the nation as a whole to win the war, it would have impaired individual citi</w:t>
      </w:r>
      <w:r w:rsidR="00D657E8">
        <w:t>zens from</w:t>
      </w:r>
      <w:r>
        <w:t xml:space="preserve"> forming their own opinions and making their own judgments about the actions of the government. </w:t>
      </w:r>
    </w:p>
    <w:p w:rsidR="000A7D5B" w:rsidRDefault="000A7D5B" w:rsidP="000A7D5B">
      <w:pPr>
        <w:widowControl w:val="0"/>
      </w:pPr>
      <w:r>
        <w:lastRenderedPageBreak/>
        <w:t xml:space="preserve"> </w:t>
      </w:r>
      <w:r>
        <w:tab/>
        <w:t>Propaganda dominated the lives of American citizens during the war and post-war years of World War 1. People were manipulated to support the war</w:t>
      </w:r>
      <w:r w:rsidR="0005203E">
        <w:t xml:space="preserve"> using posters and speeches</w:t>
      </w:r>
      <w:r>
        <w:t xml:space="preserve"> and students were indoctrinated about the goodness of American intentions during the war. Quite justifiably, there were people who began to raise their voices and criticize the government for its actions. However, thanks to the effectiveness of </w:t>
      </w:r>
      <w:r w:rsidR="006C482E">
        <w:t xml:space="preserve">the </w:t>
      </w:r>
      <w:r>
        <w:t>propaganda, the general public was soon convinced that all actions taken by the government w</w:t>
      </w:r>
      <w:r w:rsidR="0007200B">
        <w:t>ere</w:t>
      </w:r>
      <w:r>
        <w:t xml:space="preserve"> for justice and world peace, for achieving the cause of democracy. Indeed, the role played by propaganda was so overwhelming that it managed to manipulate whole masses of people by appealing to different emotions. These strategies were very successful, and therefore continued to be used by the government even after the war. On the whole, propaganda dominated the lives of the American people during the years of World War 1; it helped develop and maintain a sense of nationalism which was vital for the war, but it also provided a means for the government to toy with the opinion of public to suit its needs. It helped convince ordinary citizens that the actions of the government were inherently and unquestionably for the greater good of the world</w:t>
      </w:r>
      <w:r w:rsidR="006C482E">
        <w:t xml:space="preserve">, which might be useful for </w:t>
      </w:r>
      <w:r w:rsidR="00C3226A">
        <w:t xml:space="preserve">national </w:t>
      </w:r>
      <w:r w:rsidR="006C482E">
        <w:t>unity, but</w:t>
      </w:r>
      <w:r w:rsidR="00C3226A">
        <w:t xml:space="preserve"> it</w:t>
      </w:r>
      <w:r w:rsidR="006C482E">
        <w:t xml:space="preserve"> could </w:t>
      </w:r>
      <w:r w:rsidR="0007200B">
        <w:t>also be a</w:t>
      </w:r>
      <w:r w:rsidR="00587B57">
        <w:t>n</w:t>
      </w:r>
      <w:r w:rsidR="0007200B">
        <w:t xml:space="preserve"> </w:t>
      </w:r>
      <w:r w:rsidR="00587B57">
        <w:t>impairment</w:t>
      </w:r>
      <w:r w:rsidR="006C482E">
        <w:t xml:space="preserve"> for</w:t>
      </w:r>
      <w:r w:rsidR="0007200B">
        <w:t xml:space="preserve"> </w:t>
      </w:r>
      <w:r w:rsidR="006C482E">
        <w:t>individual</w:t>
      </w:r>
      <w:r w:rsidR="0007200B">
        <w:t xml:space="preserve"> citizens</w:t>
      </w:r>
      <w:r>
        <w:t>.</w:t>
      </w:r>
    </w:p>
    <w:p w:rsidR="000A7D5B" w:rsidRDefault="000A7D5B" w:rsidP="000A7D5B">
      <w:pPr>
        <w:widowControl w:val="0"/>
      </w:pPr>
    </w:p>
    <w:p w:rsidR="000A7D5B" w:rsidRDefault="000A7D5B" w:rsidP="000A7D5B">
      <w:pPr>
        <w:widowControl w:val="0"/>
        <w:jc w:val="center"/>
      </w:pPr>
      <w:r>
        <w:t>Bibliography</w:t>
      </w:r>
    </w:p>
    <w:p w:rsidR="000A7D5B" w:rsidRDefault="000A7D5B" w:rsidP="000A7D5B">
      <w:pPr>
        <w:spacing w:line="240" w:lineRule="auto"/>
        <w:ind w:left="720" w:hanging="720"/>
      </w:pPr>
      <w:r>
        <w:t xml:space="preserve">"‘100% American,’ says F. A. VANDERLIP." </w:t>
      </w:r>
      <w:r>
        <w:rPr>
          <w:i/>
          <w:iCs/>
        </w:rPr>
        <w:t>New York Times (1857-1922),</w:t>
      </w:r>
      <w:r>
        <w:t xml:space="preserve"> Apr 04, 1917. </w:t>
      </w:r>
      <w:r w:rsidRPr="00C76343">
        <w:t>http://search.proquest.com/docview/99977383?accountid=12964</w:t>
      </w:r>
      <w:r>
        <w:t>.</w:t>
      </w:r>
    </w:p>
    <w:p w:rsidR="000A7D5B" w:rsidRDefault="000A7D5B" w:rsidP="000A7D5B">
      <w:pPr>
        <w:spacing w:line="240" w:lineRule="auto"/>
        <w:ind w:left="720" w:hanging="720"/>
      </w:pPr>
      <w:r>
        <w:t xml:space="preserve">"Aviation Propaganda." </w:t>
      </w:r>
      <w:r>
        <w:rPr>
          <w:i/>
          <w:iCs/>
        </w:rPr>
        <w:t>The Independent ...Devoted to the Consideration of Politics, Social and Economic Tendencies, History, Literature, and the Arts (1848-1921)</w:t>
      </w:r>
      <w:r>
        <w:t xml:space="preserve"> 99, no. 3692 (Sep 13, 1919): 349. </w:t>
      </w:r>
      <w:r w:rsidRPr="00C76343">
        <w:t>http://search.proquest.com/docview/90617636?accountid=12964</w:t>
      </w:r>
      <w:r>
        <w:t>.</w:t>
      </w:r>
    </w:p>
    <w:p w:rsidR="000A7D5B" w:rsidRDefault="000A7D5B" w:rsidP="000A7D5B">
      <w:pPr>
        <w:spacing w:line="240" w:lineRule="auto"/>
        <w:ind w:left="720" w:hanging="720"/>
      </w:pPr>
      <w:r>
        <w:t xml:space="preserve">Beard, Charles A. "Propaganda in Schools." </w:t>
      </w:r>
      <w:r>
        <w:rPr>
          <w:i/>
          <w:iCs/>
        </w:rPr>
        <w:t>The Dial; a Semi - Monthly Journal of Literary Criticism, Discussion, and Information (1880-1929)</w:t>
      </w:r>
      <w:r>
        <w:t xml:space="preserve"> LXVI, no. 792 (Jun 14, 1919): 598. </w:t>
      </w:r>
      <w:r w:rsidRPr="00593AE4">
        <w:t>http://search.proquest.com/docview/89686402?accountid=12964</w:t>
      </w:r>
      <w:r>
        <w:t>.</w:t>
      </w:r>
    </w:p>
    <w:p w:rsidR="000A7D5B" w:rsidRDefault="000A7D5B" w:rsidP="000A7D5B">
      <w:pPr>
        <w:spacing w:line="240" w:lineRule="auto"/>
        <w:ind w:left="720" w:hanging="720"/>
      </w:pPr>
      <w:r>
        <w:lastRenderedPageBreak/>
        <w:t xml:space="preserve">Bishop, M G. ""Strong Voices and 100 Per Cent Patriotism": The Four-Minute Men of Los Angeles County, 1917-1918." </w:t>
      </w:r>
      <w:r>
        <w:rPr>
          <w:i/>
          <w:iCs/>
        </w:rPr>
        <w:t>Southern California Quarterly</w:t>
      </w:r>
      <w:r>
        <w:t xml:space="preserve"> 77, no. 3 (1995): 199-214. JSTOR (10.2307/41171764). Accessed October 18, 2013. </w:t>
      </w:r>
      <w:r w:rsidRPr="00C76343">
        <w:t>http://www.jstor.org/stable/41171764</w:t>
      </w:r>
      <w:r>
        <w:t>.</w:t>
      </w:r>
    </w:p>
    <w:p w:rsidR="000A7D5B" w:rsidRDefault="000A7D5B" w:rsidP="000A7D5B">
      <w:pPr>
        <w:spacing w:line="240" w:lineRule="auto"/>
        <w:ind w:left="720" w:hanging="720"/>
      </w:pPr>
      <w:proofErr w:type="spellStart"/>
      <w:r>
        <w:t>Mahaney</w:t>
      </w:r>
      <w:proofErr w:type="spellEnd"/>
      <w:r>
        <w:t xml:space="preserve">, Darlene C. "Propaganda Posters." </w:t>
      </w:r>
      <w:r>
        <w:rPr>
          <w:i/>
          <w:iCs/>
        </w:rPr>
        <w:t>OAH Magazine of History</w:t>
      </w:r>
      <w:r>
        <w:t xml:space="preserve"> 16, no. 3 (2012): 41-46. JSTOR. </w:t>
      </w:r>
      <w:r w:rsidRPr="00C76343">
        <w:t>http://www.jstor.org/stable/25163525</w:t>
      </w:r>
      <w:r>
        <w:t>.</w:t>
      </w:r>
    </w:p>
    <w:p w:rsidR="000A7D5B" w:rsidRDefault="000A7D5B" w:rsidP="000A7D5B">
      <w:pPr>
        <w:spacing w:line="240" w:lineRule="auto"/>
        <w:ind w:left="720" w:hanging="720"/>
      </w:pPr>
      <w:r>
        <w:t>"President Wilson calls upon Congress to act." 1917</w:t>
      </w:r>
      <w:proofErr w:type="gramStart"/>
      <w:r>
        <w:t>.</w:t>
      </w:r>
      <w:r>
        <w:rPr>
          <w:i/>
          <w:iCs/>
        </w:rPr>
        <w:t>Outlook</w:t>
      </w:r>
      <w:proofErr w:type="gramEnd"/>
      <w:r>
        <w:rPr>
          <w:i/>
          <w:iCs/>
        </w:rPr>
        <w:t xml:space="preserve"> (1893-1924)</w:t>
      </w:r>
      <w:r>
        <w:t xml:space="preserve">, Apr 11, 637. </w:t>
      </w:r>
      <w:r w:rsidRPr="00C76343">
        <w:t>http://search.proquest.com/docview/136647549?accountid=12964</w:t>
      </w:r>
      <w:r>
        <w:t>.</w:t>
      </w:r>
    </w:p>
    <w:p w:rsidR="000A7D5B" w:rsidRDefault="000A7D5B" w:rsidP="000A7D5B">
      <w:pPr>
        <w:spacing w:line="240" w:lineRule="auto"/>
        <w:ind w:left="720" w:hanging="720"/>
      </w:pPr>
      <w:r>
        <w:t>Shoemaker, Lou-Ann. 2007. "The Powers of Persuasion: Poster Art of World War I &amp; II. (</w:t>
      </w:r>
      <w:proofErr w:type="gramStart"/>
      <w:r>
        <w:t>cover</w:t>
      </w:r>
      <w:proofErr w:type="gramEnd"/>
      <w:r>
        <w:t xml:space="preserve"> story)." </w:t>
      </w:r>
      <w:r>
        <w:rPr>
          <w:i/>
          <w:iCs/>
        </w:rPr>
        <w:t>Antiques &amp; Collecting Magazine</w:t>
      </w:r>
      <w:r>
        <w:t xml:space="preserve"> 112, no. 5: 34. </w:t>
      </w:r>
      <w:proofErr w:type="spellStart"/>
      <w:r>
        <w:rPr>
          <w:i/>
          <w:iCs/>
        </w:rPr>
        <w:t>MasterFILE</w:t>
      </w:r>
      <w:proofErr w:type="spellEnd"/>
      <w:r>
        <w:rPr>
          <w:i/>
          <w:iCs/>
        </w:rPr>
        <w:t xml:space="preserve"> Premier</w:t>
      </w:r>
      <w:r>
        <w:t xml:space="preserve">, </w:t>
      </w:r>
      <w:proofErr w:type="spellStart"/>
      <w:r>
        <w:t>EBSCO</w:t>
      </w:r>
      <w:r>
        <w:rPr>
          <w:i/>
          <w:iCs/>
        </w:rPr>
        <w:t>host</w:t>
      </w:r>
      <w:proofErr w:type="spellEnd"/>
      <w:r>
        <w:t xml:space="preserve"> (accessed October 31, 2013).</w:t>
      </w:r>
    </w:p>
    <w:p w:rsidR="000A7D5B" w:rsidRDefault="000A7D5B" w:rsidP="000A7D5B">
      <w:pPr>
        <w:spacing w:line="240" w:lineRule="auto"/>
        <w:ind w:left="720" w:hanging="720"/>
      </w:pPr>
      <w:r>
        <w:t xml:space="preserve">Street, Julian. "Our Fighting Posters" </w:t>
      </w:r>
      <w:r>
        <w:rPr>
          <w:i/>
          <w:iCs/>
        </w:rPr>
        <w:t>McClure's Magazine (1893-1926)</w:t>
      </w:r>
      <w:r>
        <w:t xml:space="preserve"> Volume 50, (07, 1918): 12. </w:t>
      </w:r>
      <w:r w:rsidRPr="00C76343">
        <w:t>http://search.proquest.com/docview/135767180?accountid=12964</w:t>
      </w:r>
      <w:r>
        <w:t>.</w:t>
      </w:r>
    </w:p>
    <w:p w:rsidR="000A7D5B" w:rsidRDefault="000A7D5B" w:rsidP="000A7D5B">
      <w:pPr>
        <w:spacing w:line="240" w:lineRule="auto"/>
        <w:ind w:left="720" w:hanging="720"/>
      </w:pPr>
      <w:r>
        <w:t xml:space="preserve">"Text of Wilson’s Speech of Acceptance." </w:t>
      </w:r>
      <w:r>
        <w:rPr>
          <w:i/>
          <w:iCs/>
        </w:rPr>
        <w:t>The Washington Post (1877-1922),</w:t>
      </w:r>
      <w:r>
        <w:t xml:space="preserve"> Sep 03, 1916. </w:t>
      </w:r>
      <w:r w:rsidRPr="00C76343">
        <w:t>http://search.proquest.com/docview/145484816?accountid=12964</w:t>
      </w:r>
      <w:r>
        <w:t>.</w:t>
      </w:r>
    </w:p>
    <w:p w:rsidR="000A7D5B" w:rsidRDefault="000A7D5B" w:rsidP="000A7D5B">
      <w:pPr>
        <w:spacing w:line="240" w:lineRule="auto"/>
        <w:ind w:left="720" w:hanging="720"/>
      </w:pPr>
      <w:r>
        <w:t xml:space="preserve">Vogt, George L. "When Posters Went to War: How America's Best Commercial Artists Helped Win World War I." </w:t>
      </w:r>
      <w:r>
        <w:rPr>
          <w:i/>
          <w:iCs/>
        </w:rPr>
        <w:t>The Wisconsin Magazine of History</w:t>
      </w:r>
      <w:r>
        <w:t xml:space="preserve"> 84, no. 2 (2000-2001): 38-47. JSTOR. </w:t>
      </w:r>
      <w:r w:rsidRPr="00C76343">
        <w:t>http://www.jstor.org/stable/4636901</w:t>
      </w:r>
      <w:r>
        <w:t>.</w:t>
      </w:r>
    </w:p>
    <w:p w:rsidR="000A7D5B" w:rsidRDefault="000A7D5B" w:rsidP="000A7D5B">
      <w:pPr>
        <w:spacing w:line="240" w:lineRule="auto"/>
        <w:ind w:left="720" w:hanging="720"/>
      </w:pPr>
      <w:r>
        <w:t xml:space="preserve">Woodrow Wilson, “Wilson’s War Message to Congress” </w:t>
      </w:r>
      <w:r>
        <w:rPr>
          <w:i/>
        </w:rPr>
        <w:t>The World War 1 Document Archive</w:t>
      </w:r>
      <w:r>
        <w:t xml:space="preserve">, </w:t>
      </w:r>
      <w:r w:rsidRPr="002324E2">
        <w:t>http://wwi.lib.byu.edu/index.php/Wilson%27s_War_Message_to_Congress</w:t>
      </w:r>
      <w:r>
        <w:t>.</w:t>
      </w:r>
    </w:p>
    <w:p w:rsidR="005D4F53" w:rsidRDefault="005D4F53"/>
    <w:sectPr w:rsidR="005D4F5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39E8" w:rsidRDefault="005A39E8" w:rsidP="000A7D5B">
      <w:pPr>
        <w:spacing w:after="0" w:line="240" w:lineRule="auto"/>
      </w:pPr>
      <w:r>
        <w:separator/>
      </w:r>
    </w:p>
  </w:endnote>
  <w:endnote w:type="continuationSeparator" w:id="0">
    <w:p w:rsidR="005A39E8" w:rsidRDefault="005A39E8" w:rsidP="000A7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39E8" w:rsidRDefault="005A39E8" w:rsidP="000A7D5B">
      <w:pPr>
        <w:spacing w:after="0" w:line="240" w:lineRule="auto"/>
      </w:pPr>
      <w:r>
        <w:separator/>
      </w:r>
    </w:p>
  </w:footnote>
  <w:footnote w:type="continuationSeparator" w:id="0">
    <w:p w:rsidR="005A39E8" w:rsidRDefault="005A39E8" w:rsidP="000A7D5B">
      <w:pPr>
        <w:spacing w:after="0" w:line="240" w:lineRule="auto"/>
      </w:pPr>
      <w:r>
        <w:continuationSeparator/>
      </w:r>
    </w:p>
  </w:footnote>
  <w:footnote w:id="1">
    <w:p w:rsidR="000A7D5B" w:rsidRPr="002E0337" w:rsidRDefault="000A7D5B" w:rsidP="000A7D5B">
      <w:pPr>
        <w:spacing w:after="120" w:line="240" w:lineRule="auto"/>
        <w:contextualSpacing/>
        <w:rPr>
          <w:sz w:val="20"/>
          <w:szCs w:val="20"/>
        </w:rPr>
      </w:pPr>
      <w:r w:rsidRPr="00593AE4">
        <w:rPr>
          <w:rStyle w:val="FootnoteReference"/>
          <w:sz w:val="20"/>
          <w:szCs w:val="20"/>
        </w:rPr>
        <w:footnoteRef/>
      </w:r>
      <w:r>
        <w:t xml:space="preserve"> </w:t>
      </w:r>
      <w:r w:rsidRPr="002E0337">
        <w:rPr>
          <w:sz w:val="20"/>
          <w:szCs w:val="20"/>
        </w:rPr>
        <w:t xml:space="preserve">"Text of Wilson’s Speech of Acceptance." </w:t>
      </w:r>
      <w:r w:rsidRPr="002E0337">
        <w:rPr>
          <w:i/>
          <w:iCs/>
          <w:sz w:val="20"/>
          <w:szCs w:val="20"/>
        </w:rPr>
        <w:t>The Washington Post (1877-1922),</w:t>
      </w:r>
      <w:r w:rsidRPr="002E0337">
        <w:rPr>
          <w:sz w:val="20"/>
          <w:szCs w:val="20"/>
        </w:rPr>
        <w:t xml:space="preserve"> Sep 03, 1916. http://search.proquest.com/docview/145484816?accountid=12964.</w:t>
      </w:r>
    </w:p>
  </w:footnote>
  <w:footnote w:id="2">
    <w:p w:rsidR="000A7D5B" w:rsidRDefault="000A7D5B" w:rsidP="000A7D5B">
      <w:pPr>
        <w:pStyle w:val="FootnoteText"/>
        <w:spacing w:after="120"/>
      </w:pPr>
      <w:r w:rsidRPr="002E0337">
        <w:rPr>
          <w:rStyle w:val="FootnoteReference"/>
        </w:rPr>
        <w:footnoteRef/>
      </w:r>
      <w:r w:rsidRPr="002E0337">
        <w:t xml:space="preserve"> I</w:t>
      </w:r>
      <w:r>
        <w:t>bid.</w:t>
      </w:r>
    </w:p>
  </w:footnote>
  <w:footnote w:id="3">
    <w:p w:rsidR="000A7D5B" w:rsidRDefault="000A7D5B" w:rsidP="000A7D5B">
      <w:pPr>
        <w:pStyle w:val="FootnoteText"/>
        <w:spacing w:after="120"/>
      </w:pPr>
      <w:r>
        <w:rPr>
          <w:rStyle w:val="FootnoteReference"/>
        </w:rPr>
        <w:footnoteRef/>
      </w:r>
      <w:r>
        <w:t xml:space="preserve"> Ibid.</w:t>
      </w:r>
    </w:p>
  </w:footnote>
  <w:footnote w:id="4">
    <w:p w:rsidR="000A7D5B" w:rsidRPr="002324E2" w:rsidRDefault="000A7D5B" w:rsidP="000A7D5B">
      <w:pPr>
        <w:pStyle w:val="FootnoteText"/>
        <w:spacing w:after="120"/>
      </w:pPr>
      <w:r>
        <w:rPr>
          <w:rStyle w:val="FootnoteReference"/>
        </w:rPr>
        <w:footnoteRef/>
      </w:r>
      <w:r>
        <w:t xml:space="preserve"> Woodrow Wilson, “Wilson’s War Message to Congress” </w:t>
      </w:r>
      <w:r>
        <w:rPr>
          <w:i/>
        </w:rPr>
        <w:t>The World War 1 Document Archive</w:t>
      </w:r>
      <w:r>
        <w:t xml:space="preserve">, </w:t>
      </w:r>
      <w:r w:rsidRPr="002324E2">
        <w:t>http://wwi.lib.byu.edu/index.php/Wilson%27s_War_Message_to_Congress</w:t>
      </w:r>
    </w:p>
  </w:footnote>
  <w:footnote w:id="5">
    <w:p w:rsidR="000A7D5B" w:rsidRPr="00A8359E" w:rsidRDefault="000A7D5B" w:rsidP="000A7D5B">
      <w:pPr>
        <w:spacing w:after="120" w:line="240" w:lineRule="auto"/>
        <w:rPr>
          <w:sz w:val="20"/>
          <w:szCs w:val="20"/>
        </w:rPr>
      </w:pPr>
      <w:r w:rsidRPr="00C81D21">
        <w:rPr>
          <w:rStyle w:val="FootnoteReference"/>
          <w:sz w:val="20"/>
          <w:szCs w:val="20"/>
        </w:rPr>
        <w:footnoteRef/>
      </w:r>
      <w:r w:rsidRPr="00C81D21">
        <w:rPr>
          <w:sz w:val="20"/>
          <w:szCs w:val="20"/>
        </w:rPr>
        <w:t xml:space="preserve"> "President Wilson calls upon Congress to act." 1917</w:t>
      </w:r>
      <w:proofErr w:type="gramStart"/>
      <w:r w:rsidRPr="00C81D21">
        <w:rPr>
          <w:sz w:val="20"/>
          <w:szCs w:val="20"/>
        </w:rPr>
        <w:t>.</w:t>
      </w:r>
      <w:r w:rsidRPr="00C81D21">
        <w:rPr>
          <w:i/>
          <w:iCs/>
          <w:sz w:val="20"/>
          <w:szCs w:val="20"/>
        </w:rPr>
        <w:t>Outlook</w:t>
      </w:r>
      <w:proofErr w:type="gramEnd"/>
      <w:r w:rsidRPr="00C81D21">
        <w:rPr>
          <w:i/>
          <w:iCs/>
          <w:sz w:val="20"/>
          <w:szCs w:val="20"/>
        </w:rPr>
        <w:t xml:space="preserve"> (1893-1924)</w:t>
      </w:r>
      <w:r w:rsidRPr="00C81D21">
        <w:rPr>
          <w:sz w:val="20"/>
          <w:szCs w:val="20"/>
        </w:rPr>
        <w:t>, Apr 11, 637. http://search.proquest.com/docview/136647549?accountid=12964.</w:t>
      </w:r>
    </w:p>
  </w:footnote>
  <w:footnote w:id="6">
    <w:p w:rsidR="000A7D5B" w:rsidRDefault="000A7D5B" w:rsidP="000A7D5B">
      <w:pPr>
        <w:pStyle w:val="FootnoteText"/>
        <w:spacing w:after="120"/>
      </w:pPr>
      <w:r>
        <w:rPr>
          <w:rStyle w:val="FootnoteReference"/>
        </w:rPr>
        <w:footnoteRef/>
      </w:r>
      <w:r>
        <w:t xml:space="preserve"> Ibid.</w:t>
      </w:r>
    </w:p>
  </w:footnote>
  <w:footnote w:id="7">
    <w:p w:rsidR="000A7D5B" w:rsidRDefault="000A7D5B" w:rsidP="000A7D5B">
      <w:pPr>
        <w:spacing w:after="120" w:line="240" w:lineRule="auto"/>
      </w:pPr>
      <w:r w:rsidRPr="00A8359E">
        <w:rPr>
          <w:rStyle w:val="FootnoteReference"/>
          <w:sz w:val="20"/>
          <w:szCs w:val="20"/>
        </w:rPr>
        <w:footnoteRef/>
      </w:r>
      <w:r w:rsidRPr="00A8359E">
        <w:rPr>
          <w:sz w:val="20"/>
          <w:szCs w:val="20"/>
        </w:rPr>
        <w:t xml:space="preserve"> "‘100% American,’ says F. A. VANDERLIP." </w:t>
      </w:r>
      <w:r w:rsidRPr="00A8359E">
        <w:rPr>
          <w:i/>
          <w:iCs/>
          <w:sz w:val="20"/>
          <w:szCs w:val="20"/>
        </w:rPr>
        <w:t>New York Times (1857-1922),</w:t>
      </w:r>
      <w:r w:rsidRPr="00A8359E">
        <w:rPr>
          <w:sz w:val="20"/>
          <w:szCs w:val="20"/>
        </w:rPr>
        <w:t xml:space="preserve"> Apr 04, 1917. http://search.proquest.com/docview/99977383?accountid</w:t>
      </w:r>
      <w:r w:rsidRPr="00C76343">
        <w:t>=12964</w:t>
      </w:r>
      <w:r>
        <w:t>.</w:t>
      </w:r>
    </w:p>
  </w:footnote>
  <w:footnote w:id="8">
    <w:p w:rsidR="000A7D5B" w:rsidRDefault="000A7D5B" w:rsidP="00DD455C">
      <w:pPr>
        <w:spacing w:after="120" w:line="240" w:lineRule="auto"/>
      </w:pPr>
      <w:r w:rsidRPr="00993FE4">
        <w:rPr>
          <w:rStyle w:val="FootnoteReference"/>
          <w:sz w:val="20"/>
          <w:szCs w:val="20"/>
        </w:rPr>
        <w:footnoteRef/>
      </w:r>
      <w:r w:rsidRPr="00993FE4">
        <w:rPr>
          <w:sz w:val="20"/>
          <w:szCs w:val="20"/>
        </w:rPr>
        <w:t xml:space="preserve"> Bishop, M G. ""Strong Voices and 100 Per Cent Patriotism": The Four-Minute Men of Los Angeles County, 1917-1918." </w:t>
      </w:r>
      <w:r w:rsidRPr="00993FE4">
        <w:rPr>
          <w:i/>
          <w:iCs/>
          <w:sz w:val="20"/>
          <w:szCs w:val="20"/>
        </w:rPr>
        <w:t>Southern California Quarterly</w:t>
      </w:r>
      <w:r w:rsidRPr="00993FE4">
        <w:rPr>
          <w:sz w:val="20"/>
          <w:szCs w:val="20"/>
        </w:rPr>
        <w:t xml:space="preserve"> 77, no. 3 (1995): 199-214. JSTOR (10.2307/41171764). Accessed October 18, 2013. http://www.jstor.org/stable/41171764.</w:t>
      </w:r>
    </w:p>
  </w:footnote>
  <w:footnote w:id="9">
    <w:p w:rsidR="000A7D5B" w:rsidRDefault="000A7D5B" w:rsidP="000A7D5B">
      <w:pPr>
        <w:pStyle w:val="FootnoteText"/>
        <w:spacing w:after="120"/>
      </w:pPr>
      <w:r>
        <w:rPr>
          <w:rStyle w:val="FootnoteReference"/>
        </w:rPr>
        <w:footnoteRef/>
      </w:r>
      <w:r>
        <w:t xml:space="preserve"> </w:t>
      </w:r>
      <w:r w:rsidRPr="001A205C">
        <w:t xml:space="preserve">Vogt, George L. "When Posters Went to War: How America's Best Commercial Artists Helped Win World War I." </w:t>
      </w:r>
      <w:r w:rsidRPr="001A205C">
        <w:rPr>
          <w:i/>
          <w:iCs/>
        </w:rPr>
        <w:t>The Wisconsin Magazine of History</w:t>
      </w:r>
      <w:r w:rsidRPr="001A205C">
        <w:t xml:space="preserve"> 84, no. 2 (2000-2001): 38-47. JSTOR. </w:t>
      </w:r>
      <w:proofErr w:type="gramStart"/>
      <w:r w:rsidRPr="001A205C">
        <w:t>http</w:t>
      </w:r>
      <w:proofErr w:type="gramEnd"/>
      <w:r w:rsidRPr="001A205C">
        <w:t>://www.jstor.org/stable/4636901.</w:t>
      </w:r>
      <w:r>
        <w:t xml:space="preserve">, </w:t>
      </w:r>
      <w:r w:rsidRPr="00A83FD0">
        <w:t>Shoemaker, Lou-Ann. 2007. "The Powers of Persuasion: Poster Art of World War I &amp; II. (</w:t>
      </w:r>
      <w:proofErr w:type="gramStart"/>
      <w:r w:rsidRPr="00A83FD0">
        <w:t>cover</w:t>
      </w:r>
      <w:proofErr w:type="gramEnd"/>
      <w:r w:rsidRPr="00A83FD0">
        <w:t xml:space="preserve"> story)." </w:t>
      </w:r>
      <w:r w:rsidRPr="00A83FD0">
        <w:rPr>
          <w:i/>
          <w:iCs/>
        </w:rPr>
        <w:t>Antiques &amp; Collecting Magazine</w:t>
      </w:r>
      <w:r w:rsidRPr="00A83FD0">
        <w:t xml:space="preserve"> 112, no. 5: 34. </w:t>
      </w:r>
      <w:proofErr w:type="spellStart"/>
      <w:r w:rsidRPr="00A83FD0">
        <w:rPr>
          <w:i/>
          <w:iCs/>
        </w:rPr>
        <w:t>MasterFILE</w:t>
      </w:r>
      <w:proofErr w:type="spellEnd"/>
      <w:r w:rsidRPr="00A83FD0">
        <w:rPr>
          <w:i/>
          <w:iCs/>
        </w:rPr>
        <w:t xml:space="preserve"> Premier</w:t>
      </w:r>
      <w:r w:rsidRPr="00A83FD0">
        <w:t xml:space="preserve">, </w:t>
      </w:r>
      <w:proofErr w:type="spellStart"/>
      <w:r w:rsidRPr="00A83FD0">
        <w:t>EBSCO</w:t>
      </w:r>
      <w:r w:rsidRPr="00A83FD0">
        <w:rPr>
          <w:i/>
          <w:iCs/>
        </w:rPr>
        <w:t>host</w:t>
      </w:r>
      <w:proofErr w:type="spellEnd"/>
      <w:r w:rsidRPr="00A83FD0">
        <w:t xml:space="preserve"> (accessed October 31, 2013).</w:t>
      </w:r>
      <w:r>
        <w:t xml:space="preserve"> Only the original WW1 posters, reproduced in this source were used. Analysis by the author was not used in this paper.</w:t>
      </w:r>
    </w:p>
  </w:footnote>
  <w:footnote w:id="10">
    <w:p w:rsidR="000A7D5B" w:rsidRDefault="000A7D5B" w:rsidP="000A7D5B">
      <w:pPr>
        <w:pStyle w:val="FootnoteText"/>
        <w:spacing w:after="120"/>
      </w:pPr>
      <w:r>
        <w:rPr>
          <w:rStyle w:val="FootnoteReference"/>
        </w:rPr>
        <w:footnoteRef/>
      </w:r>
      <w:r>
        <w:t xml:space="preserve"> Ibid.</w:t>
      </w:r>
    </w:p>
  </w:footnote>
  <w:footnote w:id="11">
    <w:p w:rsidR="000A7D5B" w:rsidRDefault="000A7D5B" w:rsidP="000A7D5B">
      <w:pPr>
        <w:pStyle w:val="FootnoteText"/>
        <w:spacing w:after="120"/>
      </w:pPr>
      <w:r>
        <w:rPr>
          <w:rStyle w:val="FootnoteReference"/>
        </w:rPr>
        <w:footnoteRef/>
      </w:r>
      <w:r>
        <w:t xml:space="preserve"> Street, Julian. "Our Fighting Posters" </w:t>
      </w:r>
      <w:r>
        <w:rPr>
          <w:i/>
          <w:iCs/>
        </w:rPr>
        <w:t>McClure's Magazine (1893-1926)</w:t>
      </w:r>
      <w:r>
        <w:t xml:space="preserve"> Volume 50, (07, 1918): 12. </w:t>
      </w:r>
      <w:r w:rsidRPr="00C76343">
        <w:t>http://search.proquest.com/docview/135767180?accountid=12964</w:t>
      </w:r>
      <w:r>
        <w:t>. Only the original WW1 posters, reproduced in this source, were used in this paper. The analysis by the author was not used.</w:t>
      </w:r>
    </w:p>
  </w:footnote>
  <w:footnote w:id="12">
    <w:p w:rsidR="000A7D5B" w:rsidRDefault="000A7D5B" w:rsidP="000A7D5B">
      <w:pPr>
        <w:pStyle w:val="FootnoteText"/>
        <w:spacing w:after="120"/>
      </w:pPr>
      <w:r>
        <w:rPr>
          <w:rStyle w:val="FootnoteReference"/>
        </w:rPr>
        <w:footnoteRef/>
      </w:r>
      <w:r>
        <w:t xml:space="preserve"> Shoemaker, 36.</w:t>
      </w:r>
    </w:p>
  </w:footnote>
  <w:footnote w:id="13">
    <w:p w:rsidR="000A7D5B" w:rsidRDefault="000A7D5B" w:rsidP="000A7D5B">
      <w:pPr>
        <w:pStyle w:val="FootnoteText"/>
        <w:spacing w:after="120"/>
      </w:pPr>
      <w:r>
        <w:rPr>
          <w:rStyle w:val="FootnoteReference"/>
        </w:rPr>
        <w:footnoteRef/>
      </w:r>
      <w:r>
        <w:t xml:space="preserve"> </w:t>
      </w:r>
      <w:proofErr w:type="spellStart"/>
      <w:r w:rsidRPr="00332F2E">
        <w:t>Mahaney</w:t>
      </w:r>
      <w:proofErr w:type="spellEnd"/>
      <w:r w:rsidRPr="00332F2E">
        <w:t xml:space="preserve">, Darlene C. "Propaganda Posters." </w:t>
      </w:r>
      <w:r w:rsidRPr="00332F2E">
        <w:rPr>
          <w:i/>
          <w:iCs/>
        </w:rPr>
        <w:t>OAH Magazine of History</w:t>
      </w:r>
      <w:r w:rsidRPr="00332F2E">
        <w:t xml:space="preserve"> 16, no. 3 (2012): 41-46. JSTOR. http://www.jstor.org/stable/25163525.</w:t>
      </w:r>
    </w:p>
  </w:footnote>
  <w:footnote w:id="14">
    <w:p w:rsidR="000A7D5B" w:rsidRDefault="000A7D5B" w:rsidP="000A7D5B">
      <w:pPr>
        <w:pStyle w:val="FootnoteText"/>
        <w:spacing w:after="120"/>
      </w:pPr>
      <w:r>
        <w:rPr>
          <w:rStyle w:val="FootnoteReference"/>
        </w:rPr>
        <w:footnoteRef/>
      </w:r>
      <w:r>
        <w:t xml:space="preserve"> Vogt, </w:t>
      </w:r>
      <w:proofErr w:type="gramStart"/>
      <w:r>
        <w:t>42.,</w:t>
      </w:r>
      <w:proofErr w:type="gramEnd"/>
      <w:r>
        <w:t xml:space="preserve"> </w:t>
      </w:r>
      <w:proofErr w:type="spellStart"/>
      <w:r>
        <w:t>Mahaney</w:t>
      </w:r>
      <w:proofErr w:type="spellEnd"/>
      <w:r>
        <w:t xml:space="preserve">, 41. </w:t>
      </w:r>
    </w:p>
  </w:footnote>
  <w:footnote w:id="15">
    <w:p w:rsidR="000A7D5B" w:rsidRPr="00AB72B4" w:rsidRDefault="000A7D5B" w:rsidP="000A7D5B">
      <w:pPr>
        <w:pStyle w:val="FootnoteText"/>
        <w:spacing w:after="120"/>
      </w:pPr>
      <w:r>
        <w:rPr>
          <w:rStyle w:val="FootnoteReference"/>
        </w:rPr>
        <w:footnoteRef/>
      </w:r>
      <w:r>
        <w:t xml:space="preserve"> </w:t>
      </w:r>
      <w:r w:rsidRPr="00AB72B4">
        <w:t xml:space="preserve">"Aviation Propaganda." </w:t>
      </w:r>
      <w:r w:rsidRPr="00AB72B4">
        <w:rPr>
          <w:i/>
          <w:iCs/>
        </w:rPr>
        <w:t>The Independent ...Devoted to the Consideration of Politics, Social and Economic Tendencies, History, Literature, and the Arts (1848-1921)</w:t>
      </w:r>
      <w:r w:rsidRPr="00AB72B4">
        <w:t xml:space="preserve"> 99, no. 3692 (Sep 13, 1919): 349. http://search.proquest.com/docview/90617636?accountid=12964.</w:t>
      </w:r>
    </w:p>
    <w:p w:rsidR="000A7D5B" w:rsidRDefault="000A7D5B" w:rsidP="000A7D5B">
      <w:pPr>
        <w:pStyle w:val="FootnoteText"/>
        <w:spacing w:after="120"/>
      </w:pPr>
    </w:p>
  </w:footnote>
  <w:footnote w:id="16">
    <w:p w:rsidR="000A7D5B" w:rsidRDefault="000A7D5B" w:rsidP="000A7D5B">
      <w:pPr>
        <w:pStyle w:val="FootnoteText"/>
        <w:spacing w:after="120"/>
      </w:pPr>
      <w:r>
        <w:rPr>
          <w:rStyle w:val="FootnoteReference"/>
        </w:rPr>
        <w:footnoteRef/>
      </w:r>
      <w:r>
        <w:t xml:space="preserve"> </w:t>
      </w:r>
      <w:r w:rsidR="00DD455C">
        <w:t xml:space="preserve">“Aviation Propaganda,” </w:t>
      </w:r>
      <w:r w:rsidR="00DD455C">
        <w:t>349.</w:t>
      </w:r>
      <w:bookmarkStart w:id="0" w:name="_GoBack"/>
      <w:bookmarkEnd w:id="0"/>
    </w:p>
  </w:footnote>
  <w:footnote w:id="17">
    <w:p w:rsidR="000A7D5B" w:rsidRDefault="000A7D5B" w:rsidP="000A7D5B">
      <w:pPr>
        <w:pStyle w:val="FootnoteText"/>
        <w:spacing w:after="120"/>
      </w:pPr>
      <w:r>
        <w:rPr>
          <w:rStyle w:val="FootnoteReference"/>
        </w:rPr>
        <w:footnoteRef/>
      </w:r>
      <w:r>
        <w:t xml:space="preserve"> </w:t>
      </w:r>
      <w:r w:rsidRPr="00C9046C">
        <w:t xml:space="preserve">Beard, Charles A. "Propaganda in Schools." </w:t>
      </w:r>
      <w:r w:rsidRPr="00C9046C">
        <w:rPr>
          <w:i/>
          <w:iCs/>
        </w:rPr>
        <w:t>The Dial; a Semi - Monthly Journal of Literary Criticism, Discussion, and Information (1880-1929)</w:t>
      </w:r>
      <w:r w:rsidRPr="00C9046C">
        <w:t xml:space="preserve"> LXVI, no. 792 (Jun 14, 1919): 598. http://search.proquest.com/docview/89686402?accountid=12964.</w:t>
      </w:r>
    </w:p>
  </w:footnote>
  <w:footnote w:id="18">
    <w:p w:rsidR="000A7D5B" w:rsidRDefault="000A7D5B" w:rsidP="000A7D5B">
      <w:pPr>
        <w:pStyle w:val="FootnoteText"/>
        <w:spacing w:after="120"/>
        <w:contextualSpacing/>
      </w:pPr>
      <w:r>
        <w:rPr>
          <w:rStyle w:val="FootnoteReference"/>
        </w:rPr>
        <w:footnoteRef/>
      </w:r>
      <w:r>
        <w:t xml:space="preserve"> Ibid.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7D5B" w:rsidRDefault="000A7D5B">
    <w:pPr>
      <w:pStyle w:val="Header"/>
      <w:jc w:val="right"/>
    </w:pPr>
    <w:r>
      <w:t xml:space="preserve">Thomas </w:t>
    </w:r>
    <w:sdt>
      <w:sdtPr>
        <w:id w:val="-3180345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D455C">
          <w:rPr>
            <w:noProof/>
          </w:rPr>
          <w:t>7</w:t>
        </w:r>
        <w:r>
          <w:rPr>
            <w:noProof/>
          </w:rPr>
          <w:fldChar w:fldCharType="end"/>
        </w:r>
      </w:sdtContent>
    </w:sdt>
  </w:p>
  <w:p w:rsidR="000A7D5B" w:rsidRDefault="000A7D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C34"/>
    <w:rsid w:val="0005203E"/>
    <w:rsid w:val="0007200B"/>
    <w:rsid w:val="000A7D5B"/>
    <w:rsid w:val="001D73B2"/>
    <w:rsid w:val="002D547F"/>
    <w:rsid w:val="004A6149"/>
    <w:rsid w:val="00587B57"/>
    <w:rsid w:val="005A39E8"/>
    <w:rsid w:val="005D4F53"/>
    <w:rsid w:val="006C482E"/>
    <w:rsid w:val="00747C34"/>
    <w:rsid w:val="007E6F00"/>
    <w:rsid w:val="008E26CA"/>
    <w:rsid w:val="008E68E5"/>
    <w:rsid w:val="009D30DF"/>
    <w:rsid w:val="00A30943"/>
    <w:rsid w:val="00AF0194"/>
    <w:rsid w:val="00C3226A"/>
    <w:rsid w:val="00D657E8"/>
    <w:rsid w:val="00DD455C"/>
    <w:rsid w:val="00E56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70FC32-E4F7-4532-B51C-DE8F5606C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D5B"/>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A7D5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A7D5B"/>
    <w:rPr>
      <w:rFonts w:ascii="Times New Roman" w:hAnsi="Times New Roman"/>
      <w:sz w:val="20"/>
      <w:szCs w:val="20"/>
    </w:rPr>
  </w:style>
  <w:style w:type="character" w:styleId="FootnoteReference">
    <w:name w:val="footnote reference"/>
    <w:basedOn w:val="DefaultParagraphFont"/>
    <w:uiPriority w:val="99"/>
    <w:semiHidden/>
    <w:unhideWhenUsed/>
    <w:rsid w:val="000A7D5B"/>
    <w:rPr>
      <w:vertAlign w:val="superscript"/>
    </w:rPr>
  </w:style>
  <w:style w:type="paragraph" w:styleId="Header">
    <w:name w:val="header"/>
    <w:basedOn w:val="Normal"/>
    <w:link w:val="HeaderChar"/>
    <w:uiPriority w:val="99"/>
    <w:unhideWhenUsed/>
    <w:rsid w:val="000A7D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D5B"/>
    <w:rPr>
      <w:rFonts w:ascii="Times New Roman" w:hAnsi="Times New Roman"/>
      <w:sz w:val="24"/>
    </w:rPr>
  </w:style>
  <w:style w:type="paragraph" w:styleId="Footer">
    <w:name w:val="footer"/>
    <w:basedOn w:val="Normal"/>
    <w:link w:val="FooterChar"/>
    <w:uiPriority w:val="99"/>
    <w:unhideWhenUsed/>
    <w:rsid w:val="000A7D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D5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461</TotalTime>
  <Pages>8</Pages>
  <Words>1980</Words>
  <Characters>11292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13246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Thomas</dc:creator>
  <cp:keywords/>
  <dc:description/>
  <cp:lastModifiedBy>Maria Thomas</cp:lastModifiedBy>
  <cp:revision>16</cp:revision>
  <dcterms:created xsi:type="dcterms:W3CDTF">2013-11-26T05:03:00Z</dcterms:created>
  <dcterms:modified xsi:type="dcterms:W3CDTF">2013-11-26T13:52:00Z</dcterms:modified>
</cp:coreProperties>
</file>