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6860882" w:displacedByCustomXml="next"/>
    <w:bookmarkEnd w:id="0" w:displacedByCustomXml="next"/>
    <w:sdt>
      <w:sdtPr>
        <w:rPr>
          <w:rFonts w:eastAsia="Times New Roman" w:cs="Times New Roman"/>
          <w:caps/>
          <w:szCs w:val="32"/>
          <w:lang w:bidi="en-US"/>
        </w:rPr>
        <w:id w:val="30091833"/>
        <w:lock w:val="contentLocked"/>
        <w:placeholder>
          <w:docPart w:val="B0AC98609FA4417B9C103612E66CD069"/>
        </w:placeholder>
        <w:group/>
      </w:sdtPr>
      <w:sdtEndPr/>
      <w:sdtContent>
        <w:p w14:paraId="5B371CC3" w14:textId="77777777" w:rsidR="00B11CEC" w:rsidRPr="009E4667" w:rsidRDefault="00B11CEC" w:rsidP="00350E7F">
          <w:pPr>
            <w:spacing w:after="0" w:line="240" w:lineRule="auto"/>
            <w:jc w:val="center"/>
            <w:rPr>
              <w:rFonts w:eastAsia="Times New Roman" w:cs="Times New Roman"/>
              <w:caps/>
              <w:szCs w:val="32"/>
              <w:lang w:bidi="en-US"/>
            </w:rPr>
          </w:pPr>
          <w:r w:rsidRPr="009E4667">
            <w:rPr>
              <w:rFonts w:eastAsia="Times New Roman" w:cs="Times New Roman"/>
              <w:caps/>
              <w:szCs w:val="32"/>
              <w:lang w:bidi="en-US"/>
            </w:rPr>
            <w:t>University of Oklahoma</w:t>
          </w:r>
        </w:p>
        <w:p w14:paraId="6C575EAC" w14:textId="77777777" w:rsidR="00B11CEC" w:rsidRPr="009E4667" w:rsidRDefault="00B11CEC" w:rsidP="00350E7F">
          <w:pPr>
            <w:spacing w:after="0" w:line="240" w:lineRule="auto"/>
            <w:jc w:val="center"/>
            <w:rPr>
              <w:rFonts w:eastAsia="Times New Roman" w:cs="Times New Roman"/>
              <w:caps/>
              <w:szCs w:val="32"/>
              <w:lang w:bidi="en-US"/>
            </w:rPr>
          </w:pPr>
        </w:p>
        <w:p w14:paraId="6ED7D3A8" w14:textId="77777777" w:rsidR="00B11CEC" w:rsidRPr="009E4667" w:rsidRDefault="00B11CEC" w:rsidP="00350E7F">
          <w:pPr>
            <w:spacing w:after="0" w:line="240" w:lineRule="auto"/>
            <w:jc w:val="center"/>
            <w:rPr>
              <w:rFonts w:eastAsia="Times New Roman" w:cs="Times New Roman"/>
              <w:caps/>
              <w:szCs w:val="32"/>
              <w:lang w:bidi="en-US"/>
            </w:rPr>
          </w:pPr>
          <w:r w:rsidRPr="009E4667">
            <w:rPr>
              <w:rFonts w:eastAsia="Times New Roman" w:cs="Times New Roman"/>
              <w:caps/>
              <w:szCs w:val="32"/>
              <w:lang w:bidi="en-US"/>
            </w:rPr>
            <w:t>Graduate College</w:t>
          </w:r>
        </w:p>
      </w:sdtContent>
    </w:sdt>
    <w:p w14:paraId="68DFD8E0" w14:textId="77777777" w:rsidR="00B11CEC" w:rsidRPr="009E4667" w:rsidRDefault="00B11CEC" w:rsidP="00350E7F">
      <w:pPr>
        <w:spacing w:after="0" w:line="240" w:lineRule="auto"/>
        <w:jc w:val="center"/>
        <w:rPr>
          <w:rFonts w:eastAsia="Times New Roman" w:cs="Times New Roman"/>
          <w:caps/>
          <w:szCs w:val="32"/>
          <w:lang w:bidi="en-US"/>
        </w:rPr>
      </w:pPr>
    </w:p>
    <w:p w14:paraId="6E900B86" w14:textId="77777777" w:rsidR="00B11CEC" w:rsidRPr="009E4667" w:rsidRDefault="00B11CEC" w:rsidP="00350E7F">
      <w:pPr>
        <w:spacing w:after="0" w:line="240" w:lineRule="auto"/>
        <w:jc w:val="center"/>
        <w:rPr>
          <w:rFonts w:eastAsia="Times New Roman" w:cs="Times New Roman"/>
          <w:caps/>
          <w:szCs w:val="32"/>
          <w:lang w:bidi="en-US"/>
        </w:rPr>
      </w:pPr>
    </w:p>
    <w:p w14:paraId="27170114" w14:textId="77777777" w:rsidR="00B11CEC" w:rsidRPr="009E4667" w:rsidRDefault="00B11CEC" w:rsidP="00350E7F">
      <w:pPr>
        <w:spacing w:after="0" w:line="240" w:lineRule="auto"/>
        <w:jc w:val="center"/>
        <w:rPr>
          <w:rFonts w:eastAsia="Times New Roman" w:cs="Times New Roman"/>
          <w:caps/>
          <w:szCs w:val="32"/>
          <w:lang w:bidi="en-US"/>
        </w:rPr>
      </w:pPr>
    </w:p>
    <w:p w14:paraId="3891173C" w14:textId="77777777" w:rsidR="00B11CEC" w:rsidRPr="009E4667" w:rsidRDefault="00B11CEC" w:rsidP="00350E7F">
      <w:pPr>
        <w:spacing w:after="0" w:line="240" w:lineRule="auto"/>
        <w:jc w:val="center"/>
        <w:rPr>
          <w:rFonts w:eastAsia="Times New Roman" w:cs="Times New Roman"/>
          <w:caps/>
          <w:szCs w:val="32"/>
          <w:lang w:bidi="en-US"/>
        </w:rPr>
      </w:pPr>
    </w:p>
    <w:p w14:paraId="313530C4" w14:textId="77777777" w:rsidR="00B11CEC" w:rsidRPr="009E4667" w:rsidRDefault="00B11CEC" w:rsidP="00350E7F">
      <w:pPr>
        <w:spacing w:after="0" w:line="240" w:lineRule="auto"/>
        <w:jc w:val="center"/>
        <w:rPr>
          <w:rFonts w:eastAsia="Times New Roman" w:cs="Times New Roman"/>
          <w:caps/>
          <w:szCs w:val="32"/>
          <w:lang w:bidi="en-US"/>
        </w:rPr>
      </w:pPr>
    </w:p>
    <w:p w14:paraId="609C8C1E" w14:textId="77777777" w:rsidR="00B11CEC" w:rsidRPr="009E4667" w:rsidRDefault="00B11CEC" w:rsidP="00350E7F">
      <w:pPr>
        <w:spacing w:after="0" w:line="240" w:lineRule="auto"/>
        <w:jc w:val="center"/>
        <w:rPr>
          <w:rFonts w:eastAsia="Times New Roman" w:cs="Times New Roman"/>
          <w:caps/>
          <w:szCs w:val="32"/>
          <w:lang w:bidi="en-US"/>
        </w:rPr>
      </w:pPr>
    </w:p>
    <w:p w14:paraId="70B84E96" w14:textId="77777777" w:rsidR="00B11CEC" w:rsidRPr="009E4667" w:rsidRDefault="00B11CEC" w:rsidP="00350E7F">
      <w:pPr>
        <w:spacing w:after="0" w:line="240" w:lineRule="auto"/>
        <w:jc w:val="center"/>
        <w:rPr>
          <w:rFonts w:eastAsia="Times New Roman" w:cs="Times New Roman"/>
          <w:caps/>
          <w:szCs w:val="32"/>
          <w:lang w:bidi="en-US"/>
        </w:rPr>
      </w:pPr>
    </w:p>
    <w:sdt>
      <w:sdtPr>
        <w:rPr>
          <w:rFonts w:eastAsia="Times New Roman" w:cs="Times New Roman"/>
          <w:caps/>
          <w:szCs w:val="32"/>
          <w:lang w:bidi="en-US"/>
        </w:rPr>
        <w:alias w:val="Click to enter thesis title"/>
        <w:tag w:val="Click to enter thesis title"/>
        <w:id w:val="30091832"/>
        <w:placeholder>
          <w:docPart w:val="B0AC98609FA4417B9C103612E66CD069"/>
        </w:placeholder>
      </w:sdtPr>
      <w:sdtEndPr/>
      <w:sdtContent>
        <w:p w14:paraId="69ABBBB6" w14:textId="75BA1472" w:rsidR="00B11CEC" w:rsidRPr="009E4667" w:rsidRDefault="00A05974" w:rsidP="00350E7F">
          <w:pPr>
            <w:spacing w:after="0"/>
            <w:jc w:val="center"/>
            <w:rPr>
              <w:rFonts w:eastAsia="Times New Roman" w:cs="Times New Roman"/>
              <w:caps/>
              <w:szCs w:val="32"/>
              <w:lang w:bidi="en-US"/>
            </w:rPr>
          </w:pPr>
          <w:r>
            <w:rPr>
              <w:rFonts w:eastAsia="Times New Roman" w:cs="Times New Roman"/>
              <w:caps/>
              <w:szCs w:val="32"/>
              <w:lang w:bidi="en-US"/>
            </w:rPr>
            <w:t>case studies</w:t>
          </w:r>
          <w:r w:rsidR="00925759">
            <w:rPr>
              <w:rFonts w:eastAsia="Times New Roman" w:cs="Times New Roman"/>
              <w:caps/>
              <w:szCs w:val="32"/>
              <w:lang w:bidi="en-US"/>
            </w:rPr>
            <w:t xml:space="preserve"> in </w:t>
          </w:r>
          <w:r w:rsidR="001C0B42">
            <w:rPr>
              <w:rFonts w:eastAsia="Times New Roman" w:cs="Times New Roman"/>
              <w:caps/>
              <w:szCs w:val="32"/>
              <w:lang w:bidi="en-US"/>
            </w:rPr>
            <w:t>causal</w:t>
          </w:r>
          <w:r w:rsidR="00FC7E05">
            <w:rPr>
              <w:rFonts w:eastAsia="Times New Roman" w:cs="Times New Roman"/>
              <w:caps/>
              <w:szCs w:val="32"/>
              <w:lang w:bidi="en-US"/>
            </w:rPr>
            <w:t xml:space="preserve"> inference</w:t>
          </w:r>
          <w:r>
            <w:rPr>
              <w:rFonts w:eastAsia="Times New Roman" w:cs="Times New Roman"/>
              <w:caps/>
              <w:szCs w:val="32"/>
              <w:lang w:bidi="en-US"/>
            </w:rPr>
            <w:t xml:space="preserve"> and anomaly detection</w:t>
          </w:r>
        </w:p>
      </w:sdtContent>
    </w:sdt>
    <w:p w14:paraId="7C4D329E" w14:textId="77777777" w:rsidR="00B11CEC" w:rsidRPr="009E4667" w:rsidRDefault="00B11CEC" w:rsidP="00350E7F">
      <w:pPr>
        <w:spacing w:after="0" w:line="240" w:lineRule="auto"/>
        <w:jc w:val="center"/>
        <w:rPr>
          <w:rFonts w:eastAsia="Times New Roman" w:cs="Times New Roman"/>
          <w:caps/>
          <w:szCs w:val="32"/>
          <w:lang w:bidi="en-US"/>
        </w:rPr>
      </w:pPr>
    </w:p>
    <w:p w14:paraId="389BE11E" w14:textId="77777777" w:rsidR="00B11CEC" w:rsidRPr="009E4667" w:rsidRDefault="00B11CEC" w:rsidP="00350E7F">
      <w:pPr>
        <w:spacing w:after="0" w:line="240" w:lineRule="auto"/>
        <w:jc w:val="center"/>
        <w:rPr>
          <w:rFonts w:eastAsia="Times New Roman" w:cs="Times New Roman"/>
          <w:caps/>
          <w:szCs w:val="32"/>
          <w:lang w:bidi="en-US"/>
        </w:rPr>
      </w:pPr>
    </w:p>
    <w:p w14:paraId="4F181058" w14:textId="77777777" w:rsidR="00B11CEC" w:rsidRPr="009E4667" w:rsidRDefault="00B11CEC" w:rsidP="00350E7F">
      <w:pPr>
        <w:spacing w:after="0" w:line="240" w:lineRule="auto"/>
        <w:jc w:val="center"/>
        <w:rPr>
          <w:rFonts w:eastAsia="Times New Roman" w:cs="Times New Roman"/>
          <w:caps/>
          <w:szCs w:val="32"/>
          <w:lang w:bidi="en-US"/>
        </w:rPr>
      </w:pPr>
    </w:p>
    <w:p w14:paraId="6937CEA4" w14:textId="77777777" w:rsidR="00B11CEC" w:rsidRPr="009E4667" w:rsidRDefault="00B11CEC" w:rsidP="00350E7F">
      <w:pPr>
        <w:spacing w:after="0" w:line="240" w:lineRule="auto"/>
        <w:jc w:val="center"/>
        <w:rPr>
          <w:rFonts w:eastAsia="Times New Roman" w:cs="Times New Roman"/>
          <w:caps/>
          <w:szCs w:val="32"/>
          <w:lang w:bidi="en-US"/>
        </w:rPr>
      </w:pPr>
    </w:p>
    <w:p w14:paraId="1CFF5F25" w14:textId="77777777" w:rsidR="00B11CEC" w:rsidRPr="009E4667" w:rsidRDefault="00B11CEC" w:rsidP="00350E7F">
      <w:pPr>
        <w:spacing w:after="0" w:line="240" w:lineRule="auto"/>
        <w:jc w:val="center"/>
        <w:rPr>
          <w:rFonts w:eastAsia="Times New Roman" w:cs="Times New Roman"/>
          <w:caps/>
          <w:szCs w:val="32"/>
          <w:lang w:bidi="en-US"/>
        </w:rPr>
      </w:pPr>
    </w:p>
    <w:p w14:paraId="0BF1C1B2" w14:textId="77777777" w:rsidR="00B11CEC" w:rsidRPr="009E4667" w:rsidRDefault="00B11CEC" w:rsidP="00350E7F">
      <w:pPr>
        <w:spacing w:after="0" w:line="240" w:lineRule="auto"/>
        <w:jc w:val="center"/>
        <w:rPr>
          <w:rFonts w:eastAsia="Times New Roman" w:cs="Times New Roman"/>
          <w:caps/>
          <w:szCs w:val="32"/>
          <w:lang w:bidi="en-US"/>
        </w:rPr>
      </w:pPr>
    </w:p>
    <w:sdt>
      <w:sdtPr>
        <w:rPr>
          <w:rFonts w:eastAsia="Times New Roman" w:cs="Times New Roman"/>
          <w:caps/>
          <w:szCs w:val="32"/>
          <w:lang w:bidi="en-US"/>
        </w:rPr>
        <w:id w:val="30091834"/>
        <w:lock w:val="contentLocked"/>
        <w:placeholder>
          <w:docPart w:val="B0AC98609FA4417B9C103612E66CD069"/>
        </w:placeholder>
        <w:group/>
      </w:sdtPr>
      <w:sdtEndPr>
        <w:rPr>
          <w:caps w:val="0"/>
        </w:rPr>
      </w:sdtEndPr>
      <w:sdtContent>
        <w:p w14:paraId="54A0866E" w14:textId="77777777" w:rsidR="00B11CEC" w:rsidRPr="009E4667" w:rsidRDefault="00B11CEC" w:rsidP="00350E7F">
          <w:pPr>
            <w:spacing w:after="0" w:line="240" w:lineRule="auto"/>
            <w:jc w:val="center"/>
            <w:rPr>
              <w:rFonts w:eastAsia="Times New Roman" w:cs="Times New Roman"/>
              <w:caps/>
              <w:szCs w:val="32"/>
              <w:lang w:bidi="en-US"/>
            </w:rPr>
          </w:pPr>
          <w:r w:rsidRPr="009E4667">
            <w:rPr>
              <w:rFonts w:eastAsia="Times New Roman" w:cs="Times New Roman"/>
              <w:caps/>
              <w:szCs w:val="32"/>
              <w:lang w:bidi="en-US"/>
            </w:rPr>
            <w:t>A thesis</w:t>
          </w:r>
        </w:p>
        <w:p w14:paraId="2D520FB7" w14:textId="77777777" w:rsidR="00B11CEC" w:rsidRPr="009E4667" w:rsidRDefault="00B11CEC" w:rsidP="00350E7F">
          <w:pPr>
            <w:spacing w:after="0" w:line="240" w:lineRule="auto"/>
            <w:jc w:val="center"/>
            <w:rPr>
              <w:rFonts w:eastAsia="Times New Roman" w:cs="Times New Roman"/>
              <w:caps/>
              <w:szCs w:val="32"/>
              <w:lang w:bidi="en-US"/>
            </w:rPr>
          </w:pPr>
        </w:p>
        <w:p w14:paraId="4031AC95" w14:textId="77777777" w:rsidR="00B11CEC" w:rsidRPr="009E4667" w:rsidRDefault="00B11CEC" w:rsidP="00350E7F">
          <w:pPr>
            <w:spacing w:after="0" w:line="240" w:lineRule="auto"/>
            <w:jc w:val="center"/>
            <w:rPr>
              <w:rFonts w:eastAsia="Times New Roman" w:cs="Times New Roman"/>
              <w:caps/>
              <w:szCs w:val="32"/>
              <w:lang w:bidi="en-US"/>
            </w:rPr>
          </w:pPr>
          <w:r w:rsidRPr="009E4667">
            <w:rPr>
              <w:rFonts w:eastAsia="Times New Roman" w:cs="Times New Roman"/>
              <w:caps/>
              <w:szCs w:val="32"/>
              <w:lang w:bidi="en-US"/>
            </w:rPr>
            <w:t>submitted to the Graduate Faculty</w:t>
          </w:r>
        </w:p>
        <w:p w14:paraId="4CB6A672" w14:textId="77777777" w:rsidR="00B11CEC" w:rsidRPr="009E4667" w:rsidRDefault="00B11CEC" w:rsidP="00350E7F">
          <w:pPr>
            <w:spacing w:after="0" w:line="240" w:lineRule="auto"/>
            <w:jc w:val="center"/>
            <w:rPr>
              <w:rFonts w:eastAsia="Times New Roman" w:cs="Times New Roman"/>
              <w:szCs w:val="32"/>
              <w:lang w:bidi="en-US"/>
            </w:rPr>
          </w:pPr>
        </w:p>
        <w:p w14:paraId="161C46D9" w14:textId="77777777" w:rsidR="00B11CEC" w:rsidRPr="009E4667" w:rsidRDefault="00B11CEC" w:rsidP="00350E7F">
          <w:pPr>
            <w:spacing w:after="0" w:line="240" w:lineRule="auto"/>
            <w:jc w:val="center"/>
            <w:rPr>
              <w:rFonts w:eastAsia="Times New Roman" w:cs="Times New Roman"/>
              <w:szCs w:val="32"/>
              <w:lang w:bidi="en-US"/>
            </w:rPr>
          </w:pPr>
          <w:r w:rsidRPr="009E4667">
            <w:rPr>
              <w:rFonts w:eastAsia="Times New Roman" w:cs="Times New Roman"/>
              <w:szCs w:val="32"/>
              <w:lang w:bidi="en-US"/>
            </w:rPr>
            <w:t>in partial fulfillment of the requirements for the</w:t>
          </w:r>
        </w:p>
        <w:p w14:paraId="55D6A7BB" w14:textId="77777777" w:rsidR="00B11CEC" w:rsidRPr="009E4667" w:rsidRDefault="00B11CEC" w:rsidP="00350E7F">
          <w:pPr>
            <w:spacing w:after="0" w:line="240" w:lineRule="auto"/>
            <w:jc w:val="center"/>
            <w:rPr>
              <w:rFonts w:eastAsia="Times New Roman" w:cs="Times New Roman"/>
              <w:szCs w:val="32"/>
              <w:lang w:bidi="en-US"/>
            </w:rPr>
          </w:pPr>
        </w:p>
        <w:p w14:paraId="26ED93EA" w14:textId="77777777" w:rsidR="00B11CEC" w:rsidRPr="009E4667" w:rsidRDefault="00B11CEC" w:rsidP="00350E7F">
          <w:pPr>
            <w:spacing w:after="0" w:line="240" w:lineRule="auto"/>
            <w:jc w:val="center"/>
            <w:rPr>
              <w:rFonts w:eastAsia="Times New Roman" w:cs="Times New Roman"/>
              <w:szCs w:val="32"/>
              <w:lang w:bidi="en-US"/>
            </w:rPr>
          </w:pPr>
          <w:r w:rsidRPr="009E4667">
            <w:rPr>
              <w:rFonts w:eastAsia="Times New Roman" w:cs="Times New Roman"/>
              <w:szCs w:val="32"/>
              <w:lang w:bidi="en-US"/>
            </w:rPr>
            <w:t>Degree of</w:t>
          </w:r>
        </w:p>
      </w:sdtContent>
    </w:sdt>
    <w:p w14:paraId="03504FD4" w14:textId="77777777" w:rsidR="00B11CEC" w:rsidRPr="009E4667" w:rsidRDefault="00B11CEC" w:rsidP="00350E7F">
      <w:pPr>
        <w:spacing w:after="0" w:line="240" w:lineRule="auto"/>
        <w:jc w:val="center"/>
        <w:rPr>
          <w:rFonts w:eastAsia="Times New Roman" w:cs="Times New Roman"/>
          <w:szCs w:val="32"/>
          <w:lang w:bidi="en-US"/>
        </w:rPr>
      </w:pPr>
    </w:p>
    <w:sdt>
      <w:sdtPr>
        <w:rPr>
          <w:rFonts w:eastAsia="Times New Roman" w:cs="Times New Roman"/>
          <w:caps/>
          <w:szCs w:val="32"/>
          <w:lang w:bidi="en-US"/>
        </w:rPr>
        <w:alias w:val="Select the exact name of your degree"/>
        <w:tag w:val="Exact name of your degree in ALL CAPS"/>
        <w:id w:val="8173860"/>
        <w:placeholder>
          <w:docPart w:val="676A5187414A44ADAA5D005699D8CE68"/>
        </w:placeholder>
        <w:dropDownList>
          <w:listItem w:displayText="[MASTER OF...]" w:value="[MASTER OF...]"/>
          <w:listItem w:displayText="Master of Arts" w:value="Master of Arts"/>
          <w:listItem w:displayText="Master of Arts in Administrative Leadership" w:value="Master of Arts in Administrative Leadership"/>
          <w:listItem w:displayText="Master of Arts in Applied Linguistic Anthropology" w:value="Master of Arts in Applied Linguistic Anthropology"/>
          <w:listItem w:displayText="Master of Arts in Art History" w:value="Master of Arts in Art History"/>
          <w:listItem w:displayText="Master of Arts in History of Science, Technology and Medicine" w:value="Master of Arts in History of Science, Technology and Medicine"/>
          <w:listItem w:displayText="Master of Arts in International Studies" w:value="Master of Arts in International Studies"/>
          <w:listItem w:displayText="Master of Education" w:value="Master of Education"/>
          <w:listItem w:displayText="Master of Environmental Science" w:value="Master of Environmental Science"/>
          <w:listItem w:displayText="Master of Fine Arts in Dance" w:value="Master of Fine Arts in Dance"/>
          <w:listItem w:displayText="Master of Human Relations" w:value="Master of Human Relations"/>
          <w:listItem w:displayText="Master of Library and Information Studies" w:value="Master of Library and Information Studies"/>
          <w:listItem w:displayText="Master of Music" w:value="Master of Music"/>
          <w:listItem w:displayText="Master of Music Education" w:value="Master of Music Education"/>
          <w:listItem w:displayText="Master of Regional and City Planning" w:value="Master of Regional and City Planning"/>
          <w:listItem w:displayText="Master of Science" w:value="Master of Science"/>
          <w:listItem w:displayText="Master of Science in Architectural Urban Studies" w:value="Master of Science in Architectural Urban Studies"/>
          <w:listItem w:displayText="Master of Science in Construction Administration" w:value="Master of Science in Construction Administration"/>
          <w:listItem w:displayText="Master of Science in Environmental Engineering" w:value="Master of Science in Environmental Engineering"/>
          <w:listItem w:displayText="Master of Science in Environmental Studies" w:value="Master of Science in Environmental Studies"/>
          <w:listItem w:displayText="Master of Science in Environmental Sustainability" w:value="Master of Science in Environmental Sustainability"/>
          <w:listItem w:displayText="Master of Science in Interior Design" w:value="Master of Science in Interior Design"/>
          <w:listItem w:displayText="Master of Science in Management of Information Technology" w:value="Master of Science in Management of Information Technology"/>
          <w:listItem w:displayText="Master of Science in Meteorology" w:value="Master of Science in Meteorology"/>
          <w:listItem w:displayText="Master of Science in Natural Gas Engineering and Management" w:value="Master of Science in Natural Gas Engineering and Management"/>
          <w:listItem w:displayText="Master of Science in Telecommunications Engineering" w:value="Master of Science in Telecommunications Engineering"/>
          <w:listItem w:displayText="Master of Social Work" w:value="Master of Social Work"/>
        </w:dropDownList>
      </w:sdtPr>
      <w:sdtEndPr/>
      <w:sdtContent>
        <w:p w14:paraId="3B1326FF" w14:textId="3B9F22A1" w:rsidR="00B11CEC" w:rsidRPr="009E4667" w:rsidRDefault="00EE7CB8" w:rsidP="00350E7F">
          <w:pPr>
            <w:spacing w:after="0"/>
            <w:jc w:val="center"/>
            <w:rPr>
              <w:rFonts w:eastAsia="Times New Roman" w:cs="Times New Roman"/>
              <w:caps/>
              <w:szCs w:val="32"/>
              <w:lang w:bidi="en-US"/>
            </w:rPr>
          </w:pPr>
          <w:r>
            <w:rPr>
              <w:rFonts w:eastAsia="Times New Roman" w:cs="Times New Roman"/>
              <w:caps/>
              <w:szCs w:val="32"/>
              <w:lang w:bidi="en-US"/>
            </w:rPr>
            <w:t>Master of Science</w:t>
          </w:r>
        </w:p>
      </w:sdtContent>
    </w:sdt>
    <w:p w14:paraId="68CBDA34" w14:textId="77777777" w:rsidR="00B11CEC" w:rsidRPr="009E4667" w:rsidRDefault="00B11CEC" w:rsidP="00350E7F">
      <w:pPr>
        <w:spacing w:after="0" w:line="240" w:lineRule="auto"/>
        <w:jc w:val="center"/>
        <w:rPr>
          <w:rFonts w:eastAsia="Times New Roman" w:cs="Times New Roman"/>
          <w:szCs w:val="32"/>
          <w:lang w:bidi="en-US"/>
        </w:rPr>
      </w:pPr>
    </w:p>
    <w:p w14:paraId="6F7EFE5D" w14:textId="77777777" w:rsidR="00B11CEC" w:rsidRPr="009E4667" w:rsidRDefault="00B11CEC" w:rsidP="00350E7F">
      <w:pPr>
        <w:spacing w:after="0" w:line="240" w:lineRule="auto"/>
        <w:jc w:val="center"/>
        <w:rPr>
          <w:rFonts w:eastAsia="Times New Roman" w:cs="Times New Roman"/>
          <w:szCs w:val="32"/>
          <w:lang w:bidi="en-US"/>
        </w:rPr>
      </w:pPr>
    </w:p>
    <w:p w14:paraId="75F13130" w14:textId="77777777" w:rsidR="00B11CEC" w:rsidRPr="009E4667" w:rsidRDefault="00B11CEC" w:rsidP="00350E7F">
      <w:pPr>
        <w:spacing w:after="0" w:line="240" w:lineRule="auto"/>
        <w:jc w:val="center"/>
        <w:rPr>
          <w:rFonts w:eastAsia="Times New Roman" w:cs="Times New Roman"/>
          <w:szCs w:val="32"/>
          <w:lang w:bidi="en-US"/>
        </w:rPr>
      </w:pPr>
    </w:p>
    <w:p w14:paraId="40F904EF" w14:textId="77777777" w:rsidR="00B11CEC" w:rsidRPr="009E4667" w:rsidRDefault="00B11CEC" w:rsidP="00350E7F">
      <w:pPr>
        <w:spacing w:after="0" w:line="240" w:lineRule="auto"/>
        <w:jc w:val="center"/>
        <w:rPr>
          <w:rFonts w:eastAsia="Times New Roman" w:cs="Times New Roman"/>
          <w:szCs w:val="32"/>
          <w:lang w:bidi="en-US"/>
        </w:rPr>
      </w:pPr>
    </w:p>
    <w:p w14:paraId="2C3F2077" w14:textId="77777777" w:rsidR="00B11CEC" w:rsidRPr="009E4667" w:rsidRDefault="00B11CEC" w:rsidP="00350E7F">
      <w:pPr>
        <w:spacing w:after="0" w:line="240" w:lineRule="auto"/>
        <w:jc w:val="center"/>
        <w:rPr>
          <w:rFonts w:eastAsia="Times New Roman" w:cs="Times New Roman"/>
          <w:szCs w:val="32"/>
          <w:lang w:bidi="en-US"/>
        </w:rPr>
      </w:pPr>
    </w:p>
    <w:p w14:paraId="0CCD2E54" w14:textId="77777777" w:rsidR="00B11CEC" w:rsidRPr="009E4667" w:rsidRDefault="00B11CEC" w:rsidP="00350E7F">
      <w:pPr>
        <w:spacing w:after="0" w:line="240" w:lineRule="auto"/>
        <w:jc w:val="center"/>
        <w:rPr>
          <w:rFonts w:eastAsia="Times New Roman" w:cs="Times New Roman"/>
          <w:szCs w:val="32"/>
          <w:lang w:bidi="en-US"/>
        </w:rPr>
      </w:pPr>
    </w:p>
    <w:p w14:paraId="36770FBA" w14:textId="77777777" w:rsidR="00B11CEC" w:rsidRPr="009E4667" w:rsidRDefault="00B11CEC" w:rsidP="00350E7F">
      <w:pPr>
        <w:spacing w:after="0" w:line="240" w:lineRule="auto"/>
        <w:jc w:val="center"/>
        <w:rPr>
          <w:rFonts w:eastAsia="Times New Roman" w:cs="Times New Roman"/>
          <w:szCs w:val="32"/>
          <w:lang w:bidi="en-US"/>
        </w:rPr>
      </w:pPr>
    </w:p>
    <w:p w14:paraId="10A329CA" w14:textId="77777777" w:rsidR="00B11CEC" w:rsidRPr="009E4667" w:rsidRDefault="00B11CEC" w:rsidP="00350E7F">
      <w:pPr>
        <w:spacing w:after="0" w:line="240" w:lineRule="auto"/>
        <w:jc w:val="center"/>
        <w:rPr>
          <w:rFonts w:eastAsia="Times New Roman" w:cs="Times New Roman"/>
          <w:szCs w:val="32"/>
          <w:lang w:bidi="en-US"/>
        </w:rPr>
      </w:pPr>
    </w:p>
    <w:p w14:paraId="5E86EE57" w14:textId="77777777" w:rsidR="00B11CEC" w:rsidRPr="009E4667" w:rsidRDefault="00B11CEC" w:rsidP="00350E7F">
      <w:pPr>
        <w:spacing w:after="0" w:line="240" w:lineRule="auto"/>
        <w:jc w:val="center"/>
        <w:rPr>
          <w:rFonts w:eastAsia="Times New Roman" w:cs="Times New Roman"/>
          <w:szCs w:val="32"/>
          <w:lang w:bidi="en-US"/>
        </w:rPr>
      </w:pPr>
    </w:p>
    <w:p w14:paraId="79727624" w14:textId="77777777" w:rsidR="00B11CEC" w:rsidRPr="009E4667" w:rsidRDefault="00B11CEC" w:rsidP="00350E7F">
      <w:pPr>
        <w:spacing w:after="0" w:line="240" w:lineRule="auto"/>
        <w:jc w:val="center"/>
        <w:rPr>
          <w:rFonts w:eastAsia="Times New Roman" w:cs="Times New Roman"/>
          <w:szCs w:val="32"/>
          <w:lang w:bidi="en-US"/>
        </w:rPr>
      </w:pPr>
      <w:r w:rsidRPr="009E4667">
        <w:rPr>
          <w:rFonts w:eastAsia="Times New Roman" w:cs="Times New Roman"/>
          <w:szCs w:val="32"/>
          <w:lang w:bidi="en-US"/>
        </w:rPr>
        <w:t>By</w:t>
      </w:r>
    </w:p>
    <w:p w14:paraId="372B2A8E" w14:textId="77777777" w:rsidR="00B11CEC" w:rsidRPr="009E4667" w:rsidRDefault="00B11CEC" w:rsidP="00350E7F">
      <w:pPr>
        <w:spacing w:after="0" w:line="240" w:lineRule="auto"/>
        <w:jc w:val="center"/>
        <w:rPr>
          <w:rFonts w:eastAsia="Times New Roman" w:cs="Times New Roman"/>
          <w:szCs w:val="32"/>
          <w:lang w:bidi="en-US"/>
        </w:rPr>
      </w:pPr>
    </w:p>
    <w:sdt>
      <w:sdtPr>
        <w:rPr>
          <w:rFonts w:eastAsia="Times New Roman" w:cs="Times New Roman"/>
          <w:caps/>
          <w:szCs w:val="32"/>
          <w:lang w:bidi="en-US"/>
        </w:rPr>
        <w:alias w:val="Click to enter your name (must match University records)"/>
        <w:tag w:val="Click to enter your name (must match University records)"/>
        <w:id w:val="24310776"/>
        <w:placeholder>
          <w:docPart w:val="373B70B5717749DE9AA7C6D8F2EC46D4"/>
        </w:placeholder>
      </w:sdtPr>
      <w:sdtEndPr/>
      <w:sdtContent>
        <w:p w14:paraId="0E0C5D95" w14:textId="214C08E7" w:rsidR="00B11CEC" w:rsidRPr="009E4667" w:rsidRDefault="00925759" w:rsidP="00350E7F">
          <w:pPr>
            <w:spacing w:after="0" w:line="240" w:lineRule="auto"/>
            <w:jc w:val="center"/>
            <w:rPr>
              <w:rFonts w:eastAsia="Times New Roman" w:cs="Times New Roman"/>
              <w:caps/>
              <w:szCs w:val="32"/>
              <w:lang w:bidi="en-US"/>
            </w:rPr>
          </w:pPr>
          <w:r>
            <w:rPr>
              <w:rFonts w:eastAsia="Times New Roman" w:cs="Times New Roman"/>
              <w:caps/>
              <w:szCs w:val="32"/>
              <w:lang w:bidi="en-US"/>
            </w:rPr>
            <w:t>rohan sakhardande</w:t>
          </w:r>
        </w:p>
      </w:sdtContent>
    </w:sdt>
    <w:sdt>
      <w:sdtPr>
        <w:rPr>
          <w:rFonts w:eastAsia="Times New Roman" w:cs="Times New Roman"/>
          <w:szCs w:val="32"/>
          <w:lang w:bidi="en-US"/>
        </w:rPr>
        <w:id w:val="30091838"/>
        <w:lock w:val="contentLocked"/>
        <w:placeholder>
          <w:docPart w:val="B0AC98609FA4417B9C103612E66CD069"/>
        </w:placeholder>
        <w:group/>
      </w:sdtPr>
      <w:sdtEndPr/>
      <w:sdtContent>
        <w:p w14:paraId="0B6EE85C" w14:textId="77777777" w:rsidR="00B11CEC" w:rsidRPr="009E4667" w:rsidRDefault="00B11CEC" w:rsidP="00350E7F">
          <w:pPr>
            <w:spacing w:after="0" w:line="240" w:lineRule="auto"/>
            <w:jc w:val="center"/>
            <w:rPr>
              <w:rFonts w:eastAsia="Times New Roman" w:cs="Times New Roman"/>
              <w:szCs w:val="32"/>
              <w:lang w:bidi="en-US"/>
            </w:rPr>
          </w:pPr>
          <w:r w:rsidRPr="009E4667">
            <w:rPr>
              <w:rFonts w:eastAsia="Times New Roman" w:cs="Times New Roman"/>
              <w:szCs w:val="32"/>
              <w:lang w:bidi="en-US"/>
            </w:rPr>
            <w:t xml:space="preserve"> Norman, Oklahoma</w:t>
          </w:r>
        </w:p>
      </w:sdtContent>
    </w:sdt>
    <w:sdt>
      <w:sdtPr>
        <w:rPr>
          <w:rFonts w:eastAsia="Times New Roman" w:cs="Times New Roman"/>
          <w:szCs w:val="32"/>
          <w:lang w:bidi="en-US"/>
        </w:rPr>
        <w:alias w:val="Click to enter the year you are depositing the thesis"/>
        <w:tag w:val="Click to enter the year you are depositing the thesis"/>
        <w:id w:val="30091842"/>
        <w:placeholder>
          <w:docPart w:val="B0AC98609FA4417B9C103612E66CD069"/>
        </w:placeholder>
      </w:sdtPr>
      <w:sdtEndPr/>
      <w:sdtContent>
        <w:p w14:paraId="38D4D2FC" w14:textId="38F96E29" w:rsidR="00B11CEC" w:rsidRPr="009E4667" w:rsidRDefault="00B11CEC" w:rsidP="00350E7F">
          <w:pPr>
            <w:spacing w:after="0" w:line="240" w:lineRule="auto"/>
            <w:jc w:val="center"/>
            <w:rPr>
              <w:rFonts w:eastAsia="Times New Roman" w:cs="Times New Roman"/>
              <w:szCs w:val="32"/>
              <w:lang w:bidi="en-US"/>
            </w:rPr>
          </w:pPr>
          <w:r w:rsidRPr="009E4667">
            <w:rPr>
              <w:rFonts w:eastAsia="Times New Roman" w:cs="Times New Roman"/>
              <w:szCs w:val="32"/>
              <w:lang w:bidi="en-US"/>
            </w:rPr>
            <w:t>20</w:t>
          </w:r>
          <w:r w:rsidR="00925759">
            <w:rPr>
              <w:rFonts w:eastAsia="Times New Roman" w:cs="Times New Roman"/>
              <w:szCs w:val="32"/>
              <w:lang w:bidi="en-US"/>
            </w:rPr>
            <w:t>20</w:t>
          </w:r>
        </w:p>
      </w:sdtContent>
    </w:sdt>
    <w:p w14:paraId="7D52450C" w14:textId="77777777" w:rsidR="00962703" w:rsidRDefault="00AF2AF4" w:rsidP="00962703">
      <w:pPr>
        <w:rPr>
          <w:rFonts w:eastAsia="Times New Roman" w:cs="Times New Roman"/>
          <w:szCs w:val="32"/>
          <w:lang w:bidi="en-US"/>
        </w:rPr>
        <w:sectPr w:rsidR="00962703" w:rsidSect="00531680">
          <w:footerReference w:type="default" r:id="rId11"/>
          <w:pgSz w:w="12240" w:h="15840"/>
          <w:pgMar w:top="1440" w:right="1440" w:bottom="1440" w:left="1440" w:header="720" w:footer="720" w:gutter="0"/>
          <w:pgNumType w:fmt="lowerRoman"/>
          <w:cols w:space="720"/>
          <w:titlePg/>
          <w:docGrid w:linePitch="360"/>
        </w:sectPr>
      </w:pPr>
      <w:r>
        <w:rPr>
          <w:rFonts w:eastAsia="Times New Roman" w:cs="Times New Roman"/>
          <w:szCs w:val="32"/>
          <w:lang w:bidi="en-US"/>
        </w:rPr>
        <w:br w:type="page"/>
      </w:r>
    </w:p>
    <w:p w14:paraId="0F503FBF" w14:textId="77777777" w:rsidR="00B11CEC" w:rsidRPr="009E4667" w:rsidRDefault="00B11CEC" w:rsidP="00350E7F">
      <w:pPr>
        <w:spacing w:after="0" w:line="240" w:lineRule="auto"/>
        <w:jc w:val="center"/>
        <w:rPr>
          <w:rFonts w:eastAsia="Times New Roman" w:cs="Times New Roman"/>
          <w:szCs w:val="32"/>
          <w:lang w:bidi="en-US"/>
        </w:rPr>
      </w:pPr>
    </w:p>
    <w:sdt>
      <w:sdtPr>
        <w:rPr>
          <w:rFonts w:eastAsia="Times New Roman" w:cs="Times New Roman"/>
          <w:caps/>
          <w:szCs w:val="32"/>
          <w:lang w:bidi="en-US"/>
        </w:rPr>
        <w:alias w:val="Click to enter thesis title"/>
        <w:tag w:val="Click to enter thesis title"/>
        <w:id w:val="30091843"/>
        <w:placeholder>
          <w:docPart w:val="B0AC98609FA4417B9C103612E66CD069"/>
        </w:placeholder>
      </w:sdtPr>
      <w:sdtEndPr/>
      <w:sdtContent>
        <w:sdt>
          <w:sdtPr>
            <w:rPr>
              <w:rFonts w:eastAsia="Times New Roman" w:cs="Times New Roman"/>
              <w:caps/>
              <w:szCs w:val="32"/>
              <w:lang w:bidi="en-US"/>
            </w:rPr>
            <w:alias w:val="Click to enter thesis title"/>
            <w:tag w:val="Click to enter thesis title"/>
            <w:id w:val="596454191"/>
            <w:placeholder>
              <w:docPart w:val="A1A7DB9655A04668BF8DB49320FAC40C"/>
            </w:placeholder>
          </w:sdtPr>
          <w:sdtEndPr/>
          <w:sdtContent>
            <w:p w14:paraId="256077F2" w14:textId="77777777" w:rsidR="00253D0B" w:rsidRPr="009E4667" w:rsidRDefault="00253D0B" w:rsidP="00253D0B">
              <w:pPr>
                <w:spacing w:after="0" w:line="240" w:lineRule="auto"/>
                <w:jc w:val="center"/>
                <w:rPr>
                  <w:rFonts w:eastAsia="Times New Roman" w:cs="Times New Roman"/>
                  <w:caps/>
                  <w:szCs w:val="32"/>
                  <w:lang w:bidi="en-US"/>
                </w:rPr>
              </w:pPr>
            </w:p>
            <w:sdt>
              <w:sdtPr>
                <w:rPr>
                  <w:rFonts w:eastAsia="Times New Roman" w:cs="Times New Roman"/>
                  <w:caps/>
                  <w:szCs w:val="32"/>
                  <w:lang w:bidi="en-US"/>
                </w:rPr>
                <w:alias w:val="Click to enter thesis title"/>
                <w:tag w:val="Click to enter thesis title"/>
                <w:id w:val="1744141300"/>
                <w:placeholder>
                  <w:docPart w:val="65A7CBEAF1D94A08BA61839F1D023D1A"/>
                </w:placeholder>
              </w:sdtPr>
              <w:sdtEndPr/>
              <w:sdtContent>
                <w:p w14:paraId="1B9D41D2" w14:textId="08618E17" w:rsidR="00827EA0" w:rsidRDefault="00827EA0" w:rsidP="00827EA0">
                  <w:pPr>
                    <w:spacing w:after="0"/>
                    <w:jc w:val="center"/>
                    <w:rPr>
                      <w:rFonts w:eastAsia="Times New Roman" w:cs="Times New Roman"/>
                      <w:caps/>
                      <w:szCs w:val="32"/>
                      <w:lang w:bidi="en-US"/>
                    </w:rPr>
                  </w:pPr>
                  <w:r w:rsidRPr="00827EA0">
                    <w:rPr>
                      <w:rFonts w:eastAsia="Times New Roman" w:cs="Times New Roman"/>
                      <w:caps/>
                      <w:szCs w:val="32"/>
                      <w:lang w:bidi="en-US"/>
                    </w:rPr>
                    <w:t xml:space="preserve"> </w:t>
                  </w:r>
                  <w:sdt>
                    <w:sdtPr>
                      <w:rPr>
                        <w:rFonts w:eastAsia="Times New Roman" w:cs="Times New Roman"/>
                        <w:caps/>
                        <w:szCs w:val="32"/>
                        <w:lang w:bidi="en-US"/>
                      </w:rPr>
                      <w:alias w:val="Click to enter thesis title"/>
                      <w:tag w:val="Click to enter thesis title"/>
                      <w:id w:val="-709189040"/>
                      <w:placeholder>
                        <w:docPart w:val="35C9670AE49F4AB1A747E2F5A186EBB0"/>
                      </w:placeholder>
                    </w:sdtPr>
                    <w:sdtEndPr/>
                    <w:sdtContent>
                      <w:r>
                        <w:rPr>
                          <w:rFonts w:eastAsia="Times New Roman" w:cs="Times New Roman"/>
                          <w:caps/>
                          <w:szCs w:val="32"/>
                          <w:lang w:bidi="en-US"/>
                        </w:rPr>
                        <w:t xml:space="preserve">case studies in </w:t>
                      </w:r>
                      <w:r w:rsidR="001C0B42">
                        <w:rPr>
                          <w:rFonts w:eastAsia="Times New Roman" w:cs="Times New Roman"/>
                          <w:caps/>
                          <w:szCs w:val="32"/>
                          <w:lang w:bidi="en-US"/>
                        </w:rPr>
                        <w:t>causal</w:t>
                      </w:r>
                      <w:r w:rsidR="00FC7E05">
                        <w:rPr>
                          <w:rFonts w:eastAsia="Times New Roman" w:cs="Times New Roman"/>
                          <w:caps/>
                          <w:szCs w:val="32"/>
                          <w:lang w:bidi="en-US"/>
                        </w:rPr>
                        <w:t xml:space="preserve"> inference</w:t>
                      </w:r>
                      <w:r>
                        <w:rPr>
                          <w:rFonts w:eastAsia="Times New Roman" w:cs="Times New Roman"/>
                          <w:caps/>
                          <w:szCs w:val="32"/>
                          <w:lang w:bidi="en-US"/>
                        </w:rPr>
                        <w:t xml:space="preserve"> and anomaly detection</w:t>
                      </w:r>
                    </w:sdtContent>
                  </w:sdt>
                </w:p>
                <w:p w14:paraId="50B006E0" w14:textId="7AF2E90E" w:rsidR="00925759" w:rsidRDefault="002E6043" w:rsidP="00925759">
                  <w:pPr>
                    <w:spacing w:after="0"/>
                    <w:jc w:val="center"/>
                    <w:rPr>
                      <w:rFonts w:eastAsia="Times New Roman" w:cs="Times New Roman"/>
                      <w:caps/>
                      <w:szCs w:val="32"/>
                      <w:lang w:bidi="en-US"/>
                    </w:rPr>
                  </w:pPr>
                </w:p>
              </w:sdtContent>
            </w:sdt>
            <w:p w14:paraId="14AA4BD2" w14:textId="2921AB65" w:rsidR="00B11CEC" w:rsidRPr="009E4667" w:rsidRDefault="002E6043" w:rsidP="00350E7F">
              <w:pPr>
                <w:spacing w:after="0"/>
                <w:jc w:val="center"/>
                <w:rPr>
                  <w:rFonts w:eastAsia="Times New Roman" w:cs="Times New Roman"/>
                  <w:caps/>
                  <w:szCs w:val="32"/>
                  <w:lang w:bidi="en-US"/>
                </w:rPr>
              </w:pPr>
            </w:p>
          </w:sdtContent>
        </w:sdt>
        <w:p w14:paraId="642B6B10" w14:textId="04B5559A" w:rsidR="00B11CEC" w:rsidRPr="009E4667" w:rsidRDefault="002E6043" w:rsidP="00350E7F">
          <w:pPr>
            <w:spacing w:after="0" w:line="240" w:lineRule="auto"/>
            <w:jc w:val="center"/>
            <w:rPr>
              <w:rFonts w:eastAsia="Times New Roman" w:cs="Times New Roman"/>
              <w:caps/>
              <w:szCs w:val="32"/>
              <w:lang w:bidi="en-US"/>
            </w:rPr>
          </w:pPr>
        </w:p>
      </w:sdtContent>
    </w:sdt>
    <w:p w14:paraId="70B7325B" w14:textId="77777777" w:rsidR="00B11CEC" w:rsidRPr="009E4667" w:rsidRDefault="00B11CEC" w:rsidP="00350E7F">
      <w:pPr>
        <w:spacing w:after="0" w:line="240" w:lineRule="auto"/>
        <w:jc w:val="center"/>
        <w:rPr>
          <w:rFonts w:eastAsia="Times New Roman" w:cs="Times New Roman"/>
          <w:caps/>
          <w:szCs w:val="32"/>
          <w:lang w:bidi="en-US"/>
        </w:rPr>
      </w:pPr>
    </w:p>
    <w:sdt>
      <w:sdtPr>
        <w:rPr>
          <w:rFonts w:eastAsia="Times New Roman" w:cs="Times New Roman"/>
          <w:caps/>
          <w:szCs w:val="32"/>
          <w:lang w:bidi="en-US"/>
        </w:rPr>
        <w:id w:val="30091875"/>
        <w:lock w:val="contentLocked"/>
        <w:placeholder>
          <w:docPart w:val="B0AC98609FA4417B9C103612E66CD069"/>
        </w:placeholder>
        <w:group/>
      </w:sdtPr>
      <w:sdtEndPr/>
      <w:sdtContent>
        <w:p w14:paraId="3F13BC54" w14:textId="77777777" w:rsidR="00B11CEC" w:rsidRPr="009E4667" w:rsidRDefault="00B11CEC" w:rsidP="00350E7F">
          <w:pPr>
            <w:spacing w:after="0" w:line="240" w:lineRule="auto"/>
            <w:jc w:val="center"/>
            <w:rPr>
              <w:rFonts w:eastAsia="Times New Roman" w:cs="Times New Roman"/>
              <w:caps/>
              <w:szCs w:val="32"/>
              <w:lang w:bidi="en-US"/>
            </w:rPr>
          </w:pPr>
          <w:r w:rsidRPr="009E4667">
            <w:rPr>
              <w:rFonts w:eastAsia="Times New Roman" w:cs="Times New Roman"/>
              <w:caps/>
              <w:szCs w:val="32"/>
              <w:lang w:bidi="en-US"/>
            </w:rPr>
            <w:t>A thesis approved for the</w:t>
          </w:r>
        </w:p>
      </w:sdtContent>
    </w:sdt>
    <w:sdt>
      <w:sdtPr>
        <w:rPr>
          <w:rFonts w:eastAsia="Times New Roman" w:cs="Times New Roman"/>
          <w:caps/>
          <w:szCs w:val="32"/>
          <w:lang w:bidi="en-US"/>
        </w:rPr>
        <w:alias w:val="Select the exact name of your academic unit"/>
        <w:tag w:val="Exact name of your academic unit in ALL CAPS"/>
        <w:id w:val="8173889"/>
        <w:placeholder>
          <w:docPart w:val="C02C690A4F94470A90B33FA284A32221"/>
        </w:placeholder>
        <w:dropDownList>
          <w:listItem w:value="[EXACT NAME OF YOUR ACADEMIC UNIT IN ALL CAPS]"/>
          <w:listItem w:displayText="School of Aerospace and Mechanical Engineering" w:value="School of Aerospace and Mechanical Engineering"/>
          <w:listItem w:displayText="Department of Anthropology" w:value="Department of Anthropology"/>
          <w:listItem w:displayText="Christopher C. Gibbs College of Architecture" w:value="Christopher C. Gibbs College of Architecture"/>
          <w:listItem w:displayText="Stephenson School of Biomedical Engineering" w:value="Stephenson School of Biomedical Engineering"/>
          <w:listItem w:displayText="Department of Biology" w:value="Department of Biology"/>
          <w:listItem w:displayText="Department of Chemistry and Biochemistry" w:value="Department of Chemistry and Biochemistry"/>
          <w:listItem w:displayText="School of Chemical, Biological and Materials Engineering" w:value="School of Chemical, Biological and Materials Engineering"/>
          <w:listItem w:displayText="School of Civil Engineering and Environmental Science" w:value="School of Civil Engineering and Environmental Science"/>
          <w:listItem w:displayText="Department of Communication" w:value="Department of Communication"/>
          <w:listItem w:displayText="School of Computer Science" w:value="School of Computer Science"/>
          <w:listItem w:displayText="School of Dance" w:value="School of Dance"/>
          <w:listItem w:displayText="Peggy Dow Helmerich School of Drama" w:value="Peggy Dow Helmerich School of Drama"/>
          <w:listItem w:displayText="Department of Educational Leadership and Policy Studies" w:value="Department of Educational Leadership and Policy Studies"/>
          <w:listItem w:displayText="Department of Educational Psychology" w:value="Department of Educational Psychology"/>
          <w:listItem w:displayText="School of Electrical and Computer Engineering" w:value="School of Electrical and Computer Engineering"/>
          <w:listItem w:displayText="Gallogly College of Engineering" w:value="Gallogly College of Engineering"/>
          <w:listItem w:displayText="Department of Engineering Physics" w:value="Department of Engineering Physics"/>
          <w:listItem w:displayText="Department of English" w:value="Department of English"/>
          <w:listItem w:displayText="Department of Geography and Environmental Sustainability" w:value="Department of Geography and Environmental Sustainability"/>
          <w:listItem w:displayText="ConocoPhillips School of Geology and Geophysics" w:value="ConocoPhillips School of Geology and Geophysics"/>
          <w:listItem w:displayText="Graduate College" w:value="Graduate College"/>
          <w:listItem w:displayText="Department of Health and Exercise Science" w:value="Department of Health and Exercise Science"/>
          <w:listItem w:displayText="Department of History" w:value="Department of History"/>
          <w:listItem w:displayText="Department of History of Science" w:value="Department of History of Science"/>
          <w:listItem w:displayText="Department of Human Relations" w:value="Department of Human Relations"/>
          <w:listItem w:displayText="School of Industrial and Systems Engineering" w:value="School of Industrial and Systems Engineering"/>
          <w:listItem w:displayText="Department of Instructional Leadership and Academic Curriculum" w:value="Department of Instructional Leadership and Academic Curriculum"/>
          <w:listItem w:displayText="College of International Studies" w:value="College of International Studies"/>
          <w:listItem w:displayText="Gaylord College of Journalism and Mass Communication" w:value="Gaylord College of Journalism and Mass Communication"/>
          <w:listItem w:displayText="School of Library and Information Studies" w:value="School of Library and Information Studies"/>
          <w:listItem w:displayText="Department of Mathematics" w:value="Department of Mathematics"/>
          <w:listItem w:displayText="School of Meteorology" w:value="School of Meteorology"/>
          <w:listItem w:displayText="Department of Microbiology and Plant Biology" w:value="Department of Microbiology and Plant Biology"/>
          <w:listItem w:displayText="Department of Modern Languages, Literatures, and Linguistics" w:value="Department of Modern Languages, Literatures, and Linguistics"/>
          <w:listItem w:displayText="School of Music" w:value="School of Music"/>
          <w:listItem w:displayText="Mewbourne School of Petroleum and Geological Engineering" w:value="Mewbourne School of Petroleum and Geological Engineering"/>
          <w:listItem w:displayText="Department of Native American Studies" w:value="Department of Native American Studies"/>
          <w:listItem w:displayText="Department of Philosophy" w:value="Department of Philosophy"/>
          <w:listItem w:displayText="Homer L. Dodge Department of Physics and Astronomy" w:value="Homer L. Dodge Department of Physics and Astronomy"/>
          <w:listItem w:displayText="Department of Political Science" w:value="Department of Political Science"/>
          <w:listItem w:displayText="College of Professional and Continuing Studies" w:value="College of Professional and Continuing Studies"/>
          <w:listItem w:displayText="Department of Psychology" w:value="Department of Psychology"/>
          <w:listItem w:displayText="Anne and Henry Zarrow School of Social Work" w:value="Anne and Henry Zarrow School of Social Work"/>
          <w:listItem w:displayText="Department of Sociology" w:value="Department of Sociology"/>
          <w:listItem w:displayText="School of Visual Arts" w:value="School of Visual Arts"/>
        </w:dropDownList>
      </w:sdtPr>
      <w:sdtEndPr/>
      <w:sdtContent>
        <w:p w14:paraId="732CB250" w14:textId="64E89201" w:rsidR="00B11CEC" w:rsidRPr="009E4667" w:rsidRDefault="00EE7CB8" w:rsidP="00350E7F">
          <w:pPr>
            <w:spacing w:after="0" w:line="240" w:lineRule="auto"/>
            <w:jc w:val="center"/>
            <w:rPr>
              <w:rFonts w:eastAsia="Times New Roman" w:cs="Times New Roman"/>
              <w:caps/>
              <w:szCs w:val="32"/>
              <w:lang w:bidi="en-US"/>
            </w:rPr>
          </w:pPr>
          <w:r>
            <w:rPr>
              <w:rFonts w:eastAsia="Times New Roman" w:cs="Times New Roman"/>
              <w:caps/>
              <w:szCs w:val="32"/>
              <w:lang w:bidi="en-US"/>
            </w:rPr>
            <w:t>Mewbourne School of Petroleum and Geological Engineering</w:t>
          </w:r>
        </w:p>
      </w:sdtContent>
    </w:sdt>
    <w:p w14:paraId="14C19210" w14:textId="77777777" w:rsidR="00B11CEC" w:rsidRPr="009E4667" w:rsidRDefault="00B11CEC" w:rsidP="00350E7F">
      <w:pPr>
        <w:spacing w:after="0" w:line="240" w:lineRule="auto"/>
        <w:jc w:val="center"/>
        <w:rPr>
          <w:rFonts w:eastAsia="Times New Roman" w:cs="Times New Roman"/>
          <w:caps/>
          <w:szCs w:val="32"/>
          <w:lang w:bidi="en-US"/>
        </w:rPr>
      </w:pPr>
    </w:p>
    <w:p w14:paraId="610D31F9" w14:textId="77777777" w:rsidR="00B11CEC" w:rsidRPr="009E4667" w:rsidRDefault="00B11CEC" w:rsidP="00350E7F">
      <w:pPr>
        <w:spacing w:after="0" w:line="240" w:lineRule="auto"/>
        <w:jc w:val="center"/>
        <w:rPr>
          <w:rFonts w:eastAsia="Times New Roman" w:cs="Times New Roman"/>
          <w:caps/>
          <w:szCs w:val="32"/>
          <w:lang w:bidi="en-US"/>
        </w:rPr>
      </w:pPr>
    </w:p>
    <w:p w14:paraId="52430635" w14:textId="77777777" w:rsidR="00B11CEC" w:rsidRPr="009E4667" w:rsidRDefault="00B11CEC" w:rsidP="00350E7F">
      <w:pPr>
        <w:spacing w:after="0" w:line="240" w:lineRule="auto"/>
        <w:jc w:val="center"/>
        <w:rPr>
          <w:rFonts w:eastAsia="Times New Roman" w:cs="Times New Roman"/>
          <w:caps/>
          <w:szCs w:val="32"/>
          <w:lang w:bidi="en-US"/>
        </w:rPr>
      </w:pPr>
    </w:p>
    <w:p w14:paraId="7051F68B" w14:textId="77777777" w:rsidR="00B11CEC" w:rsidRPr="009E4667" w:rsidRDefault="00B11CEC" w:rsidP="00350E7F">
      <w:pPr>
        <w:spacing w:after="0" w:line="240" w:lineRule="auto"/>
        <w:jc w:val="center"/>
        <w:rPr>
          <w:rFonts w:eastAsia="Times New Roman" w:cs="Times New Roman"/>
          <w:caps/>
          <w:szCs w:val="32"/>
          <w:lang w:bidi="en-US"/>
        </w:rPr>
      </w:pPr>
    </w:p>
    <w:p w14:paraId="136C23CA" w14:textId="77777777" w:rsidR="00B11CEC" w:rsidRPr="009E4667" w:rsidRDefault="00B11CEC" w:rsidP="00350E7F">
      <w:pPr>
        <w:spacing w:after="0" w:line="240" w:lineRule="auto"/>
        <w:jc w:val="center"/>
        <w:rPr>
          <w:rFonts w:eastAsia="Times New Roman" w:cs="Times New Roman"/>
          <w:caps/>
          <w:szCs w:val="32"/>
          <w:lang w:bidi="en-US"/>
        </w:rPr>
      </w:pPr>
    </w:p>
    <w:p w14:paraId="36A5C870" w14:textId="77777777" w:rsidR="00B11CEC" w:rsidRPr="009E4667" w:rsidRDefault="00B11CEC" w:rsidP="00350E7F">
      <w:pPr>
        <w:spacing w:after="0" w:line="240" w:lineRule="auto"/>
        <w:jc w:val="center"/>
        <w:rPr>
          <w:rFonts w:eastAsia="Times New Roman" w:cs="Times New Roman"/>
          <w:caps/>
          <w:szCs w:val="32"/>
          <w:lang w:bidi="en-US"/>
        </w:rPr>
      </w:pPr>
    </w:p>
    <w:p w14:paraId="1107322E" w14:textId="77777777" w:rsidR="00B11CEC" w:rsidRPr="009E4667" w:rsidRDefault="00B11CEC" w:rsidP="00350E7F">
      <w:pPr>
        <w:spacing w:after="0" w:line="240" w:lineRule="auto"/>
        <w:jc w:val="center"/>
        <w:rPr>
          <w:rFonts w:eastAsia="Times New Roman" w:cs="Times New Roman"/>
          <w:caps/>
          <w:szCs w:val="32"/>
          <w:lang w:bidi="en-US"/>
        </w:rPr>
      </w:pPr>
    </w:p>
    <w:p w14:paraId="6EEE5656" w14:textId="511AA25E" w:rsidR="00B11CEC" w:rsidRPr="009E4667" w:rsidRDefault="00BA7B13" w:rsidP="00350E7F">
      <w:pPr>
        <w:spacing w:after="0" w:line="240" w:lineRule="auto"/>
        <w:jc w:val="center"/>
        <w:rPr>
          <w:rFonts w:eastAsia="Times New Roman" w:cs="Times New Roman"/>
          <w:szCs w:val="32"/>
          <w:lang w:bidi="en-US"/>
        </w:rPr>
      </w:pPr>
      <w:r>
        <w:rPr>
          <w:rFonts w:eastAsia="Times New Roman" w:cs="Times New Roman"/>
          <w:caps/>
          <w:szCs w:val="32"/>
          <w:lang w:bidi="en-US"/>
        </w:rPr>
        <w:t>BY THE COMMITTEE CONSISTING OF</w:t>
      </w:r>
    </w:p>
    <w:p w14:paraId="48730CFD" w14:textId="23C44CC2" w:rsidR="00B11CEC" w:rsidRDefault="00B11CEC" w:rsidP="00350E7F">
      <w:pPr>
        <w:spacing w:after="0" w:line="240" w:lineRule="auto"/>
        <w:jc w:val="center"/>
        <w:rPr>
          <w:rFonts w:eastAsia="Times New Roman" w:cs="Times New Roman"/>
          <w:szCs w:val="32"/>
          <w:lang w:bidi="en-US"/>
        </w:rPr>
      </w:pPr>
    </w:p>
    <w:p w14:paraId="3CC180E6" w14:textId="667AC9E6" w:rsidR="002A4E0C" w:rsidRDefault="002A4E0C" w:rsidP="00350E7F">
      <w:pPr>
        <w:spacing w:after="0" w:line="240" w:lineRule="auto"/>
        <w:jc w:val="center"/>
        <w:rPr>
          <w:rFonts w:eastAsia="Times New Roman" w:cs="Times New Roman"/>
          <w:szCs w:val="32"/>
          <w:lang w:bidi="en-US"/>
        </w:rPr>
      </w:pPr>
    </w:p>
    <w:p w14:paraId="0FA06E4D" w14:textId="18B4291C" w:rsidR="002A4E0C" w:rsidRDefault="002A4E0C" w:rsidP="00350E7F">
      <w:pPr>
        <w:spacing w:after="0" w:line="240" w:lineRule="auto"/>
        <w:jc w:val="center"/>
        <w:rPr>
          <w:rFonts w:eastAsia="Times New Roman" w:cs="Times New Roman"/>
          <w:szCs w:val="32"/>
          <w:lang w:bidi="en-US"/>
        </w:rPr>
      </w:pPr>
    </w:p>
    <w:p w14:paraId="5299E64C" w14:textId="05D3CC3D" w:rsidR="002A4E0C" w:rsidRDefault="002A4E0C" w:rsidP="00350E7F">
      <w:pPr>
        <w:spacing w:after="0" w:line="240" w:lineRule="auto"/>
        <w:jc w:val="center"/>
        <w:rPr>
          <w:rFonts w:eastAsia="Times New Roman" w:cs="Times New Roman"/>
          <w:szCs w:val="32"/>
          <w:lang w:bidi="en-US"/>
        </w:rPr>
      </w:pPr>
    </w:p>
    <w:p w14:paraId="294EFCB4" w14:textId="77777777" w:rsidR="00BA7B13" w:rsidRDefault="00BA7B13" w:rsidP="00350E7F">
      <w:pPr>
        <w:spacing w:after="0" w:line="240" w:lineRule="auto"/>
        <w:jc w:val="center"/>
        <w:rPr>
          <w:rFonts w:eastAsia="Times New Roman" w:cs="Times New Roman"/>
          <w:szCs w:val="32"/>
          <w:lang w:bidi="en-US"/>
        </w:rPr>
      </w:pPr>
    </w:p>
    <w:p w14:paraId="1E89D8DE" w14:textId="77777777" w:rsidR="002A4E0C" w:rsidRPr="009E4667" w:rsidRDefault="002A4E0C" w:rsidP="00350E7F">
      <w:pPr>
        <w:spacing w:after="0" w:line="240" w:lineRule="auto"/>
        <w:jc w:val="center"/>
        <w:rPr>
          <w:rFonts w:eastAsia="Times New Roman" w:cs="Times New Roman"/>
          <w:szCs w:val="32"/>
          <w:lang w:bidi="en-US"/>
        </w:rPr>
      </w:pPr>
    </w:p>
    <w:p w14:paraId="00C6278C" w14:textId="77777777" w:rsidR="00B11CEC" w:rsidRPr="009E4667" w:rsidRDefault="00B11CEC" w:rsidP="00350E7F">
      <w:pPr>
        <w:spacing w:after="0" w:line="240" w:lineRule="auto"/>
        <w:jc w:val="center"/>
        <w:rPr>
          <w:rFonts w:eastAsia="Times New Roman" w:cs="Times New Roman"/>
          <w:szCs w:val="32"/>
          <w:lang w:bidi="en-US"/>
        </w:rPr>
      </w:pPr>
    </w:p>
    <w:p w14:paraId="4CE7CCF9" w14:textId="1710469B" w:rsidR="00B11CEC" w:rsidRDefault="002E6043" w:rsidP="00350E7F">
      <w:pPr>
        <w:spacing w:after="0" w:line="240" w:lineRule="auto"/>
        <w:jc w:val="right"/>
        <w:rPr>
          <w:rFonts w:eastAsia="Times New Roman" w:cs="Times New Roman"/>
          <w:szCs w:val="32"/>
          <w:lang w:bidi="en-US"/>
        </w:rPr>
      </w:pPr>
      <w:sdt>
        <w:sdtPr>
          <w:rPr>
            <w:rFonts w:eastAsia="Times New Roman" w:cs="Times New Roman"/>
            <w:szCs w:val="32"/>
            <w:lang w:bidi="en-US"/>
          </w:rPr>
          <w:alias w:val="Select the appropriate prefix"/>
          <w:tag w:val="Prefix"/>
          <w:id w:val="3768269"/>
          <w:placeholder>
            <w:docPart w:val="7E16ACBC28564DAAAF92C48C17A313BE"/>
          </w:placeholder>
          <w:dropDownList>
            <w:listItem w:displayText="[Dr. / Mr. / Mrs. / Ms.]" w:value="[Dr. / Mr. / Mrs. / Ms.]"/>
            <w:listItem w:displayText="Dr." w:value="Dr."/>
            <w:listItem w:displayText="Mr." w:value="Mr."/>
            <w:listItem w:displayText="Mrs." w:value="Mrs."/>
            <w:listItem w:displayText="Ms." w:value="Ms."/>
          </w:dropDownList>
        </w:sdtPr>
        <w:sdtEndPr/>
        <w:sdtContent>
          <w:r w:rsidR="00EE7CB8">
            <w:rPr>
              <w:rFonts w:eastAsia="Times New Roman" w:cs="Times New Roman"/>
              <w:szCs w:val="32"/>
              <w:lang w:bidi="en-US"/>
            </w:rPr>
            <w:t>Dr.</w:t>
          </w:r>
        </w:sdtContent>
      </w:sdt>
      <w:r w:rsidR="00B11CEC" w:rsidRPr="009E4667">
        <w:rPr>
          <w:rFonts w:eastAsia="Times New Roman" w:cs="Times New Roman"/>
          <w:szCs w:val="32"/>
          <w:lang w:bidi="en-US"/>
        </w:rPr>
        <w:t xml:space="preserve"> </w:t>
      </w:r>
      <w:sdt>
        <w:sdtPr>
          <w:rPr>
            <w:rFonts w:eastAsia="Times New Roman" w:cs="Times New Roman"/>
            <w:szCs w:val="32"/>
            <w:lang w:bidi="en-US"/>
          </w:rPr>
          <w:alias w:val="Click to enter committee chair name"/>
          <w:tag w:val="committee chair"/>
          <w:id w:val="30091849"/>
          <w:placeholder>
            <w:docPart w:val="B0AC98609FA4417B9C103612E66CD069"/>
          </w:placeholder>
        </w:sdtPr>
        <w:sdtEndPr/>
        <w:sdtContent>
          <w:r w:rsidR="00925759">
            <w:rPr>
              <w:rFonts w:eastAsia="Times New Roman" w:cs="Times New Roman"/>
              <w:szCs w:val="32"/>
              <w:lang w:bidi="en-US"/>
            </w:rPr>
            <w:t>Deepak Devegowda</w:t>
          </w:r>
        </w:sdtContent>
      </w:sdt>
      <w:r w:rsidR="00B11CEC" w:rsidRPr="009E4667">
        <w:rPr>
          <w:rFonts w:eastAsia="Times New Roman" w:cs="Times New Roman"/>
          <w:szCs w:val="32"/>
          <w:lang w:bidi="en-US"/>
        </w:rPr>
        <w:t>, Chair</w:t>
      </w:r>
    </w:p>
    <w:p w14:paraId="3E3354C8" w14:textId="388AD5D3" w:rsidR="00253D0B" w:rsidRDefault="00253D0B" w:rsidP="00350E7F">
      <w:pPr>
        <w:spacing w:after="0" w:line="240" w:lineRule="auto"/>
        <w:jc w:val="right"/>
        <w:rPr>
          <w:rFonts w:eastAsia="Times New Roman" w:cs="Times New Roman"/>
          <w:szCs w:val="32"/>
          <w:lang w:bidi="en-US"/>
        </w:rPr>
      </w:pPr>
    </w:p>
    <w:p w14:paraId="4139E27C" w14:textId="77777777" w:rsidR="00071D1A" w:rsidRPr="009E4667" w:rsidRDefault="00071D1A" w:rsidP="00350E7F">
      <w:pPr>
        <w:spacing w:after="0" w:line="240" w:lineRule="auto"/>
        <w:jc w:val="right"/>
        <w:rPr>
          <w:rFonts w:eastAsia="Times New Roman" w:cs="Times New Roman"/>
          <w:szCs w:val="32"/>
          <w:lang w:bidi="en-US"/>
        </w:rPr>
      </w:pPr>
    </w:p>
    <w:p w14:paraId="73AF3F40" w14:textId="77777777" w:rsidR="00B11CEC" w:rsidRPr="009E4667" w:rsidRDefault="00B11CEC" w:rsidP="00350E7F">
      <w:pPr>
        <w:spacing w:after="0" w:line="240" w:lineRule="auto"/>
        <w:jc w:val="right"/>
        <w:rPr>
          <w:rFonts w:eastAsia="Times New Roman" w:cs="Times New Roman"/>
          <w:szCs w:val="32"/>
          <w:lang w:bidi="en-US"/>
        </w:rPr>
      </w:pPr>
    </w:p>
    <w:p w14:paraId="251A7AE7" w14:textId="01818AD4" w:rsidR="00B11CEC" w:rsidRPr="009E4667" w:rsidRDefault="002E6043" w:rsidP="00350E7F">
      <w:pPr>
        <w:spacing w:after="0" w:line="240" w:lineRule="auto"/>
        <w:jc w:val="right"/>
        <w:rPr>
          <w:rFonts w:eastAsia="Times New Roman" w:cs="Times New Roman"/>
          <w:szCs w:val="32"/>
          <w:lang w:bidi="en-US"/>
        </w:rPr>
      </w:pPr>
      <w:sdt>
        <w:sdtPr>
          <w:rPr>
            <w:rFonts w:eastAsia="Times New Roman" w:cs="Times New Roman"/>
            <w:szCs w:val="32"/>
            <w:lang w:bidi="en-US"/>
          </w:rPr>
          <w:alias w:val="Select the appropriate prefix"/>
          <w:tag w:val="Prefix"/>
          <w:id w:val="8173872"/>
          <w:placeholder>
            <w:docPart w:val="F2527F3FFA0A41BB8895A493C5220DE1"/>
          </w:placeholder>
          <w:dropDownList>
            <w:listItem w:displayText="[Prefix]" w:value="[Prefix]"/>
            <w:listItem w:displayText="Dr." w:value="Dr."/>
            <w:listItem w:displayText="Mr." w:value="Mr."/>
            <w:listItem w:displayText="Mrs." w:value="Mrs."/>
            <w:listItem w:displayText="Ms." w:value="Ms."/>
          </w:dropDownList>
        </w:sdtPr>
        <w:sdtEndPr/>
        <w:sdtContent>
          <w:r w:rsidR="00EE7CB8">
            <w:rPr>
              <w:rFonts w:eastAsia="Times New Roman" w:cs="Times New Roman"/>
              <w:szCs w:val="32"/>
              <w:lang w:bidi="en-US"/>
            </w:rPr>
            <w:t>Dr.</w:t>
          </w:r>
        </w:sdtContent>
      </w:sdt>
      <w:r w:rsidR="00B11CEC" w:rsidRPr="009E4667">
        <w:rPr>
          <w:rFonts w:eastAsia="Times New Roman" w:cs="Times New Roman"/>
          <w:szCs w:val="32"/>
          <w:lang w:bidi="en-US"/>
        </w:rPr>
        <w:t xml:space="preserve"> </w:t>
      </w:r>
      <w:sdt>
        <w:sdtPr>
          <w:rPr>
            <w:rFonts w:eastAsia="Times New Roman" w:cs="Times New Roman"/>
            <w:szCs w:val="32"/>
            <w:lang w:bidi="en-US"/>
          </w:rPr>
          <w:alias w:val="Click to enter 2nd member name"/>
          <w:tag w:val="2nd member"/>
          <w:id w:val="30091850"/>
          <w:placeholder>
            <w:docPart w:val="B57C9AB871434C47952186B8B4F0C33C"/>
          </w:placeholder>
        </w:sdtPr>
        <w:sdtEndPr/>
        <w:sdtContent>
          <w:r w:rsidR="00925759">
            <w:rPr>
              <w:rFonts w:eastAsia="Times New Roman" w:cs="Times New Roman"/>
              <w:szCs w:val="32"/>
              <w:lang w:bidi="en-US"/>
            </w:rPr>
            <w:t>Chandra Rai</w:t>
          </w:r>
        </w:sdtContent>
      </w:sdt>
    </w:p>
    <w:p w14:paraId="03E9C51E" w14:textId="77777777" w:rsidR="00B11CEC" w:rsidRPr="009E4667" w:rsidRDefault="00B11CEC" w:rsidP="00350E7F">
      <w:pPr>
        <w:spacing w:after="0" w:line="240" w:lineRule="auto"/>
        <w:jc w:val="right"/>
        <w:rPr>
          <w:rFonts w:eastAsia="Times New Roman" w:cs="Times New Roman"/>
          <w:szCs w:val="32"/>
          <w:lang w:bidi="en-US"/>
        </w:rPr>
      </w:pPr>
    </w:p>
    <w:p w14:paraId="3A3BB12B" w14:textId="64B278ED" w:rsidR="00B11CEC" w:rsidRDefault="00B11CEC" w:rsidP="00350E7F">
      <w:pPr>
        <w:spacing w:after="0" w:line="240" w:lineRule="auto"/>
        <w:jc w:val="right"/>
        <w:rPr>
          <w:rFonts w:eastAsia="Times New Roman" w:cs="Times New Roman"/>
          <w:szCs w:val="32"/>
          <w:lang w:bidi="en-US"/>
        </w:rPr>
      </w:pPr>
    </w:p>
    <w:p w14:paraId="2DD5F9AF" w14:textId="77777777" w:rsidR="00071D1A" w:rsidRPr="009E4667" w:rsidRDefault="00071D1A" w:rsidP="00350E7F">
      <w:pPr>
        <w:spacing w:after="0" w:line="240" w:lineRule="auto"/>
        <w:jc w:val="right"/>
        <w:rPr>
          <w:rFonts w:eastAsia="Times New Roman" w:cs="Times New Roman"/>
          <w:szCs w:val="32"/>
          <w:lang w:bidi="en-US"/>
        </w:rPr>
      </w:pPr>
    </w:p>
    <w:p w14:paraId="1F088AFA" w14:textId="0D5DB3F4" w:rsidR="00B11CEC" w:rsidRPr="009E4667" w:rsidRDefault="002E6043" w:rsidP="00350E7F">
      <w:pPr>
        <w:spacing w:after="0" w:line="240" w:lineRule="auto"/>
        <w:jc w:val="right"/>
        <w:rPr>
          <w:rFonts w:eastAsia="Times New Roman" w:cs="Times New Roman"/>
          <w:szCs w:val="32"/>
          <w:lang w:bidi="en-US"/>
        </w:rPr>
      </w:pPr>
      <w:sdt>
        <w:sdtPr>
          <w:rPr>
            <w:rFonts w:eastAsia="Times New Roman" w:cs="Times New Roman"/>
            <w:szCs w:val="32"/>
            <w:lang w:bidi="en-US"/>
          </w:rPr>
          <w:alias w:val="Select the appropriate prefix"/>
          <w:tag w:val="Prefix"/>
          <w:id w:val="30091851"/>
          <w:placeholder>
            <w:docPart w:val="F1DD8387F2D5484D983B8F1893386442"/>
          </w:placeholder>
          <w:dropDownList>
            <w:listItem w:displayText="[Prefix]" w:value="[Prefix]"/>
            <w:listItem w:displayText="Dr." w:value="Dr."/>
            <w:listItem w:displayText="Mr." w:value="Mr."/>
            <w:listItem w:displayText="Mrs." w:value="Mrs."/>
            <w:listItem w:displayText="Ms." w:value="Ms."/>
          </w:dropDownList>
        </w:sdtPr>
        <w:sdtEndPr/>
        <w:sdtContent>
          <w:r w:rsidR="00EE7CB8">
            <w:rPr>
              <w:rFonts w:eastAsia="Times New Roman" w:cs="Times New Roman"/>
              <w:szCs w:val="32"/>
              <w:lang w:bidi="en-US"/>
            </w:rPr>
            <w:t>Dr.</w:t>
          </w:r>
        </w:sdtContent>
      </w:sdt>
      <w:r w:rsidR="00B11CEC" w:rsidRPr="009E4667">
        <w:rPr>
          <w:rFonts w:eastAsia="Times New Roman" w:cs="Times New Roman"/>
          <w:szCs w:val="32"/>
          <w:lang w:bidi="en-US"/>
        </w:rPr>
        <w:t xml:space="preserve"> </w:t>
      </w:r>
      <w:sdt>
        <w:sdtPr>
          <w:rPr>
            <w:rFonts w:eastAsia="Times New Roman" w:cs="Times New Roman"/>
            <w:szCs w:val="32"/>
            <w:lang w:bidi="en-US"/>
          </w:rPr>
          <w:alias w:val="Click to enter 3rd member name"/>
          <w:tag w:val="3rd member"/>
          <w:id w:val="30091852"/>
          <w:placeholder>
            <w:docPart w:val="14E63EF0A67F407CBEA29E4599424C8D"/>
          </w:placeholder>
        </w:sdtPr>
        <w:sdtEndPr/>
        <w:sdtContent>
          <w:sdt>
            <w:sdtPr>
              <w:rPr>
                <w:rFonts w:eastAsia="Times New Roman" w:cs="Times New Roman"/>
                <w:szCs w:val="32"/>
                <w:lang w:bidi="en-US"/>
              </w:rPr>
              <w:alias w:val="Click to enter committee chair name"/>
              <w:tag w:val="committee chair"/>
              <w:id w:val="2091419944"/>
              <w:placeholder>
                <w:docPart w:val="691B4D9074CA40219564A96E8A8BF093"/>
              </w:placeholder>
            </w:sdtPr>
            <w:sdtEndPr/>
            <w:sdtContent>
              <w:r w:rsidR="00925759">
                <w:rPr>
                  <w:rFonts w:eastAsia="Times New Roman" w:cs="Times New Roman"/>
                  <w:szCs w:val="32"/>
                  <w:lang w:bidi="en-US"/>
                </w:rPr>
                <w:t>Hamidreza Karami</w:t>
              </w:r>
            </w:sdtContent>
          </w:sdt>
        </w:sdtContent>
      </w:sdt>
    </w:p>
    <w:p w14:paraId="25C84FD2" w14:textId="77777777" w:rsidR="00B11CEC" w:rsidRPr="009E4667" w:rsidRDefault="00B11CEC" w:rsidP="00350E7F">
      <w:pPr>
        <w:spacing w:after="0" w:line="240" w:lineRule="auto"/>
        <w:jc w:val="right"/>
        <w:rPr>
          <w:rFonts w:eastAsia="Times New Roman" w:cs="Times New Roman"/>
          <w:szCs w:val="32"/>
          <w:lang w:bidi="en-US"/>
        </w:rPr>
      </w:pPr>
    </w:p>
    <w:p w14:paraId="4A1F494B" w14:textId="77777777" w:rsidR="00B11CEC" w:rsidRDefault="00B11CEC" w:rsidP="005B4D5F">
      <w:pPr>
        <w:jc w:val="center"/>
        <w:rPr>
          <w:rFonts w:eastAsiaTheme="minorEastAsia" w:cs="Times New Roman"/>
          <w:b/>
        </w:rPr>
      </w:pPr>
    </w:p>
    <w:p w14:paraId="247E26BE" w14:textId="77777777" w:rsidR="00531680" w:rsidRDefault="00D41029" w:rsidP="00D41029">
      <w:pPr>
        <w:tabs>
          <w:tab w:val="left" w:pos="3935"/>
        </w:tabs>
        <w:rPr>
          <w:rFonts w:eastAsiaTheme="minorEastAsia" w:cs="Times New Roman"/>
          <w:b/>
        </w:rPr>
        <w:sectPr w:rsidR="00531680" w:rsidSect="00531680">
          <w:footerReference w:type="default" r:id="rId12"/>
          <w:pgSz w:w="12240" w:h="15840"/>
          <w:pgMar w:top="1440" w:right="1440" w:bottom="1440" w:left="1440" w:header="720" w:footer="720" w:gutter="0"/>
          <w:pgNumType w:fmt="lowerRoman"/>
          <w:cols w:space="720"/>
          <w:titlePg/>
          <w:docGrid w:linePitch="360"/>
        </w:sectPr>
      </w:pPr>
      <w:r>
        <w:rPr>
          <w:rFonts w:eastAsiaTheme="minorEastAsia" w:cs="Times New Roman"/>
          <w:b/>
        </w:rPr>
        <w:tab/>
      </w:r>
    </w:p>
    <w:p w14:paraId="477957A2" w14:textId="400F42B0" w:rsidR="00B11CEC" w:rsidRDefault="00B11CEC" w:rsidP="00D41029">
      <w:pPr>
        <w:tabs>
          <w:tab w:val="left" w:pos="3935"/>
        </w:tabs>
        <w:rPr>
          <w:rFonts w:eastAsiaTheme="minorEastAsia" w:cs="Times New Roman"/>
          <w:b/>
        </w:rPr>
      </w:pPr>
    </w:p>
    <w:p w14:paraId="1488A222" w14:textId="77777777" w:rsidR="00B11CEC" w:rsidRDefault="00B11CEC" w:rsidP="005B4D5F">
      <w:pPr>
        <w:jc w:val="center"/>
        <w:rPr>
          <w:rFonts w:eastAsiaTheme="minorEastAsia" w:cs="Times New Roman"/>
          <w:b/>
        </w:rPr>
      </w:pPr>
    </w:p>
    <w:p w14:paraId="051C28A0" w14:textId="2C857D06" w:rsidR="00B11CEC" w:rsidRDefault="00B11CEC" w:rsidP="005B4D5F">
      <w:pPr>
        <w:jc w:val="center"/>
        <w:rPr>
          <w:rFonts w:eastAsiaTheme="minorEastAsia" w:cs="Times New Roman"/>
          <w:b/>
        </w:rPr>
      </w:pPr>
    </w:p>
    <w:p w14:paraId="42E43E56" w14:textId="1BE0C84E" w:rsidR="0095044C" w:rsidRDefault="0095044C" w:rsidP="005B4D5F">
      <w:pPr>
        <w:jc w:val="center"/>
        <w:rPr>
          <w:rFonts w:eastAsiaTheme="minorEastAsia" w:cs="Times New Roman"/>
          <w:b/>
        </w:rPr>
      </w:pPr>
    </w:p>
    <w:p w14:paraId="0BCECCB2" w14:textId="1BA9241C" w:rsidR="0095044C" w:rsidRDefault="00367B42" w:rsidP="00367B42">
      <w:pPr>
        <w:tabs>
          <w:tab w:val="left" w:pos="8305"/>
        </w:tabs>
        <w:jc w:val="left"/>
        <w:rPr>
          <w:rFonts w:eastAsiaTheme="minorEastAsia" w:cs="Times New Roman"/>
          <w:b/>
        </w:rPr>
      </w:pPr>
      <w:r>
        <w:rPr>
          <w:rFonts w:eastAsiaTheme="minorEastAsia" w:cs="Times New Roman"/>
          <w:b/>
        </w:rPr>
        <w:tab/>
      </w:r>
    </w:p>
    <w:p w14:paraId="77F0535B" w14:textId="77777777" w:rsidR="0095044C" w:rsidRDefault="0095044C" w:rsidP="005B4D5F">
      <w:pPr>
        <w:jc w:val="center"/>
        <w:rPr>
          <w:rFonts w:eastAsiaTheme="minorEastAsia" w:cs="Times New Roman"/>
          <w:b/>
        </w:rPr>
      </w:pPr>
    </w:p>
    <w:p w14:paraId="6F1C106E" w14:textId="77777777" w:rsidR="0095044C" w:rsidRDefault="0095044C" w:rsidP="005B4D5F">
      <w:pPr>
        <w:jc w:val="center"/>
        <w:rPr>
          <w:rFonts w:eastAsiaTheme="minorEastAsia" w:cs="Times New Roman"/>
          <w:b/>
        </w:rPr>
      </w:pPr>
    </w:p>
    <w:p w14:paraId="385D6C5A" w14:textId="77777777" w:rsidR="0095044C" w:rsidRDefault="0095044C" w:rsidP="005B4D5F">
      <w:pPr>
        <w:jc w:val="center"/>
        <w:rPr>
          <w:rFonts w:eastAsiaTheme="minorEastAsia" w:cs="Times New Roman"/>
          <w:b/>
        </w:rPr>
      </w:pPr>
    </w:p>
    <w:p w14:paraId="26DAADFE" w14:textId="77777777" w:rsidR="0095044C" w:rsidRDefault="0095044C" w:rsidP="005B4D5F">
      <w:pPr>
        <w:jc w:val="center"/>
        <w:rPr>
          <w:rFonts w:eastAsiaTheme="minorEastAsia" w:cs="Times New Roman"/>
          <w:b/>
        </w:rPr>
      </w:pPr>
    </w:p>
    <w:p w14:paraId="0DDFED71" w14:textId="77777777" w:rsidR="0095044C" w:rsidRDefault="0095044C" w:rsidP="005B4D5F">
      <w:pPr>
        <w:jc w:val="center"/>
        <w:rPr>
          <w:rFonts w:eastAsiaTheme="minorEastAsia" w:cs="Times New Roman"/>
          <w:b/>
        </w:rPr>
      </w:pPr>
    </w:p>
    <w:p w14:paraId="63288DD2" w14:textId="77777777" w:rsidR="0095044C" w:rsidRDefault="0095044C" w:rsidP="005B4D5F">
      <w:pPr>
        <w:jc w:val="center"/>
        <w:rPr>
          <w:rFonts w:eastAsiaTheme="minorEastAsia" w:cs="Times New Roman"/>
          <w:b/>
        </w:rPr>
      </w:pPr>
    </w:p>
    <w:p w14:paraId="0C6F80DA" w14:textId="471ADDD7" w:rsidR="0095044C" w:rsidRDefault="0095044C" w:rsidP="005B4D5F">
      <w:pPr>
        <w:jc w:val="center"/>
        <w:rPr>
          <w:rFonts w:eastAsiaTheme="minorEastAsia" w:cs="Times New Roman"/>
          <w:b/>
        </w:rPr>
      </w:pPr>
    </w:p>
    <w:p w14:paraId="6CBD5399" w14:textId="363D1443" w:rsidR="00A55A65" w:rsidRDefault="00A55A65" w:rsidP="005B4D5F">
      <w:pPr>
        <w:jc w:val="center"/>
        <w:rPr>
          <w:rFonts w:eastAsiaTheme="minorEastAsia" w:cs="Times New Roman"/>
          <w:b/>
        </w:rPr>
      </w:pPr>
    </w:p>
    <w:p w14:paraId="1E00DA9D" w14:textId="21CF88B0" w:rsidR="00A55A65" w:rsidRDefault="00A55A65" w:rsidP="005B4D5F">
      <w:pPr>
        <w:jc w:val="center"/>
        <w:rPr>
          <w:rFonts w:eastAsiaTheme="minorEastAsia" w:cs="Times New Roman"/>
          <w:b/>
        </w:rPr>
      </w:pPr>
    </w:p>
    <w:p w14:paraId="31BB7EA3" w14:textId="00F5FD9F" w:rsidR="00A55A65" w:rsidRDefault="00A55A65" w:rsidP="005B4D5F">
      <w:pPr>
        <w:jc w:val="center"/>
        <w:rPr>
          <w:rFonts w:eastAsiaTheme="minorEastAsia" w:cs="Times New Roman"/>
          <w:b/>
        </w:rPr>
      </w:pPr>
    </w:p>
    <w:p w14:paraId="584FEEB7" w14:textId="77777777" w:rsidR="00A55A65" w:rsidRDefault="00A55A65" w:rsidP="005B4D5F">
      <w:pPr>
        <w:jc w:val="center"/>
        <w:rPr>
          <w:rFonts w:eastAsiaTheme="minorEastAsia" w:cs="Times New Roman"/>
          <w:b/>
        </w:rPr>
      </w:pPr>
    </w:p>
    <w:p w14:paraId="4E6A1E15" w14:textId="77777777" w:rsidR="0095044C" w:rsidRDefault="0095044C" w:rsidP="005B4D5F">
      <w:pPr>
        <w:jc w:val="center"/>
        <w:rPr>
          <w:rFonts w:eastAsiaTheme="minorEastAsia" w:cs="Times New Roman"/>
          <w:b/>
        </w:rPr>
      </w:pPr>
    </w:p>
    <w:p w14:paraId="4F7ED365" w14:textId="3B5BC4C3" w:rsidR="00A55A65" w:rsidRDefault="00A55A65" w:rsidP="00A55A65">
      <w:pPr>
        <w:spacing w:after="0" w:line="240" w:lineRule="auto"/>
        <w:jc w:val="center"/>
        <w:rPr>
          <w:rFonts w:eastAsia="SimSun" w:cs="Times New Roman"/>
          <w:szCs w:val="32"/>
          <w:lang w:bidi="en-US"/>
        </w:rPr>
      </w:pPr>
      <w:r>
        <w:rPr>
          <w:rFonts w:eastAsia="SimSun" w:cs="Times New Roman"/>
          <w:szCs w:val="32"/>
          <w:lang w:bidi="en-US"/>
        </w:rPr>
        <w:t xml:space="preserve">© Copyright by </w:t>
      </w:r>
      <w:sdt>
        <w:sdtPr>
          <w:rPr>
            <w:rFonts w:eastAsia="SimSun" w:cs="Times New Roman"/>
            <w:caps/>
            <w:szCs w:val="32"/>
            <w:lang w:bidi="en-US"/>
          </w:rPr>
          <w:alias w:val="Click here to enter your name (must match University records)"/>
          <w:tag w:val="Click here to enter your name (must match University records)"/>
          <w:id w:val="1149481753"/>
          <w:placeholder>
            <w:docPart w:val="0698873ED73C42339A1D9A092A3BC1B0"/>
          </w:placeholder>
        </w:sdtPr>
        <w:sdtEndPr/>
        <w:sdtContent>
          <w:r w:rsidR="00925759">
            <w:rPr>
              <w:rFonts w:eastAsia="SimSun" w:cs="Times New Roman"/>
              <w:caps/>
              <w:szCs w:val="32"/>
              <w:lang w:bidi="en-US"/>
            </w:rPr>
            <w:t>rohan sakhardande</w:t>
          </w:r>
        </w:sdtContent>
      </w:sdt>
      <w:r>
        <w:rPr>
          <w:rFonts w:eastAsia="SimSun" w:cs="Times New Roman"/>
          <w:szCs w:val="32"/>
          <w:lang w:bidi="en-US"/>
        </w:rPr>
        <w:t xml:space="preserve"> </w:t>
      </w:r>
      <w:sdt>
        <w:sdtPr>
          <w:rPr>
            <w:rFonts w:eastAsia="SimSun" w:cs="Times New Roman"/>
            <w:szCs w:val="32"/>
            <w:lang w:bidi="en-US"/>
          </w:rPr>
          <w:alias w:val="Click to enter the year you are depositing thesis"/>
          <w:tag w:val="Click to enter the year you are depositing thesis"/>
          <w:id w:val="505029247"/>
          <w:placeholder>
            <w:docPart w:val="0698873ED73C42339A1D9A092A3BC1B0"/>
          </w:placeholder>
        </w:sdtPr>
        <w:sdtEndPr/>
        <w:sdtContent>
          <w:r>
            <w:rPr>
              <w:rFonts w:eastAsia="SimSun" w:cs="Times New Roman"/>
              <w:szCs w:val="32"/>
              <w:lang w:bidi="en-US"/>
            </w:rPr>
            <w:t>20</w:t>
          </w:r>
          <w:r w:rsidR="00925759">
            <w:rPr>
              <w:rFonts w:eastAsia="SimSun" w:cs="Times New Roman"/>
              <w:szCs w:val="32"/>
              <w:lang w:bidi="en-US"/>
            </w:rPr>
            <w:t>20</w:t>
          </w:r>
        </w:sdtContent>
      </w:sdt>
    </w:p>
    <w:p w14:paraId="6012CF3B" w14:textId="77777777" w:rsidR="00A23654" w:rsidRDefault="00A55A65" w:rsidP="00A55A65">
      <w:pPr>
        <w:spacing w:after="0" w:line="240" w:lineRule="auto"/>
        <w:jc w:val="center"/>
        <w:rPr>
          <w:rFonts w:eastAsia="SimSun" w:cs="Times New Roman"/>
          <w:szCs w:val="32"/>
          <w:lang w:bidi="en-US"/>
        </w:rPr>
        <w:sectPr w:rsidR="00A23654" w:rsidSect="00531680">
          <w:pgSz w:w="12240" w:h="15840"/>
          <w:pgMar w:top="1440" w:right="1440" w:bottom="1440" w:left="1440" w:header="720" w:footer="720" w:gutter="0"/>
          <w:pgNumType w:fmt="lowerRoman"/>
          <w:cols w:space="720"/>
          <w:titlePg/>
          <w:docGrid w:linePitch="360"/>
        </w:sectPr>
      </w:pPr>
      <w:r>
        <w:rPr>
          <w:rFonts w:eastAsia="SimSun" w:cs="Times New Roman"/>
          <w:szCs w:val="32"/>
          <w:lang w:bidi="en-US"/>
        </w:rPr>
        <w:t>All Rights Reserved.</w:t>
      </w:r>
    </w:p>
    <w:p w14:paraId="6C0ACBA7" w14:textId="05786632" w:rsidR="0095044C" w:rsidRDefault="0095044C" w:rsidP="00760AEC">
      <w:pPr>
        <w:pStyle w:val="Heading1"/>
      </w:pPr>
      <w:bookmarkStart w:id="1" w:name="_Toc58667091"/>
      <w:r>
        <w:lastRenderedPageBreak/>
        <w:t>A</w:t>
      </w:r>
      <w:r w:rsidR="00B54E94">
        <w:t>cknowledgements</w:t>
      </w:r>
      <w:bookmarkEnd w:id="1"/>
    </w:p>
    <w:p w14:paraId="6940B0AD" w14:textId="34A2D748" w:rsidR="00687761" w:rsidRDefault="004C3443" w:rsidP="004C3443">
      <w:pPr>
        <w:tabs>
          <w:tab w:val="left" w:pos="4047"/>
        </w:tabs>
      </w:pPr>
      <w:r>
        <w:t xml:space="preserve">This work would not have been possible without the help and support of many individuals. I take this opportunity first to thank my advisor Dr. Deepak Devegowda </w:t>
      </w:r>
      <w:r w:rsidR="00565341">
        <w:t>for his constructive feedback</w:t>
      </w:r>
      <w:r w:rsidR="009B3B66">
        <w:t xml:space="preserve">, insights and leadership. </w:t>
      </w:r>
      <w:r w:rsidR="008B1360">
        <w:t>Dr. Deepak</w:t>
      </w:r>
      <w:r w:rsidR="00565341">
        <w:t xml:space="preserve"> </w:t>
      </w:r>
      <w:r>
        <w:t xml:space="preserve">has not only taught me </w:t>
      </w:r>
      <w:r w:rsidR="008B1360">
        <w:t>Reservoir Engineering</w:t>
      </w:r>
      <w:r w:rsidR="006E7163">
        <w:t xml:space="preserve"> and Data Analytics</w:t>
      </w:r>
      <w:r>
        <w:t xml:space="preserve"> but also has been a great mentor to me throughout my study at the</w:t>
      </w:r>
      <w:r w:rsidR="008B1360">
        <w:t xml:space="preserve"> </w:t>
      </w:r>
      <w:r>
        <w:t>University</w:t>
      </w:r>
      <w:r w:rsidR="008B1360">
        <w:t xml:space="preserve"> of Oklahoma</w:t>
      </w:r>
      <w:r>
        <w:t xml:space="preserve">. His suggestions and guidance from time to time have been instrumental to this work. I am also very grateful to my committee members Dr. </w:t>
      </w:r>
      <w:r w:rsidR="00636A89">
        <w:t>Chandra Rai</w:t>
      </w:r>
      <w:r>
        <w:t xml:space="preserve"> and Dr. </w:t>
      </w:r>
      <w:r w:rsidR="00636A89">
        <w:t>Hamidreza Karami</w:t>
      </w:r>
      <w:r>
        <w:t xml:space="preserve"> for their insights</w:t>
      </w:r>
      <w:r w:rsidR="003778A9">
        <w:t>, feedback</w:t>
      </w:r>
      <w:r>
        <w:t xml:space="preserve"> and valuable time. </w:t>
      </w:r>
    </w:p>
    <w:p w14:paraId="66E79C97" w14:textId="515E7B0C" w:rsidR="00AD3E4C" w:rsidRDefault="004C3443" w:rsidP="004C3443">
      <w:pPr>
        <w:tabs>
          <w:tab w:val="left" w:pos="4047"/>
        </w:tabs>
      </w:pPr>
      <w:r>
        <w:t>I express my gratitude to</w:t>
      </w:r>
      <w:r w:rsidR="002E6F76">
        <w:t xml:space="preserve"> all members in our IC</w:t>
      </w:r>
      <w:r w:rsidR="002E6F76" w:rsidRPr="003B42F0">
        <w:rPr>
          <w:vertAlign w:val="superscript"/>
        </w:rPr>
        <w:t>3</w:t>
      </w:r>
      <w:r w:rsidR="007273ED">
        <w:t xml:space="preserve"> research</w:t>
      </w:r>
      <w:r w:rsidR="00DD6107">
        <w:t xml:space="preserve"> group </w:t>
      </w:r>
      <w:r w:rsidR="002E6F76">
        <w:t>especially</w:t>
      </w:r>
      <w:r w:rsidR="00DD6107">
        <w:t xml:space="preserve"> Dr. Carl Sonder</w:t>
      </w:r>
      <w:r w:rsidR="002E6F76">
        <w:t xml:space="preserve">geld and Mikki Langevin for their feedback during </w:t>
      </w:r>
      <w:r w:rsidR="00BF6FC5">
        <w:t>this work</w:t>
      </w:r>
      <w:r>
        <w:t xml:space="preserve">. Also, I am thankful to </w:t>
      </w:r>
      <w:r w:rsidR="00EE7587">
        <w:t xml:space="preserve">all the staff members in the Petroleum Engineering department </w:t>
      </w:r>
      <w:r w:rsidR="00D64A60">
        <w:t xml:space="preserve">including Danika Hines, Sonia Grant and </w:t>
      </w:r>
      <w:r w:rsidR="00EA426A">
        <w:t>Haley Pearson</w:t>
      </w:r>
      <w:r w:rsidR="00A37B60">
        <w:t xml:space="preserve"> </w:t>
      </w:r>
      <w:r w:rsidR="00E31C4A">
        <w:t>for their help</w:t>
      </w:r>
      <w:r w:rsidR="00A241F4">
        <w:t xml:space="preserve"> throughout this journey</w:t>
      </w:r>
      <w:r w:rsidR="00E31C4A">
        <w:t xml:space="preserve">. </w:t>
      </w:r>
    </w:p>
    <w:p w14:paraId="7533BB01" w14:textId="6739954D" w:rsidR="0095044C" w:rsidRDefault="004C3443" w:rsidP="004C3443">
      <w:pPr>
        <w:tabs>
          <w:tab w:val="left" w:pos="4047"/>
        </w:tabs>
        <w:rPr>
          <w:rFonts w:cs="Times New Roman"/>
          <w:b/>
        </w:rPr>
      </w:pPr>
      <w:r>
        <w:t xml:space="preserve">Finally, I thank my </w:t>
      </w:r>
      <w:r w:rsidR="0007168B">
        <w:t>wife</w:t>
      </w:r>
      <w:r w:rsidR="00415582">
        <w:t xml:space="preserve">, </w:t>
      </w:r>
      <w:r>
        <w:t xml:space="preserve">parents and </w:t>
      </w:r>
      <w:r w:rsidR="0007168B">
        <w:t xml:space="preserve">friends </w:t>
      </w:r>
      <w:r w:rsidR="0090458C">
        <w:t>in Norman, Oklahoma</w:t>
      </w:r>
      <w:r>
        <w:t xml:space="preserve"> for their constant support and unconditional love.</w:t>
      </w:r>
    </w:p>
    <w:p w14:paraId="0ECE01F7" w14:textId="7C4CBB67" w:rsidR="00DB69FC" w:rsidRDefault="00DB69FC" w:rsidP="00B21232">
      <w:pPr>
        <w:rPr>
          <w:rFonts w:cs="Times New Roman"/>
        </w:rPr>
      </w:pPr>
      <w:r>
        <w:rPr>
          <w:rFonts w:cs="Times New Roman"/>
        </w:rPr>
        <w:br w:type="page"/>
      </w:r>
    </w:p>
    <w:sdt>
      <w:sdtPr>
        <w:rPr>
          <w:rFonts w:ascii="Times New Roman" w:eastAsiaTheme="minorHAnsi" w:hAnsi="Times New Roman" w:cstheme="minorBidi"/>
          <w:color w:val="auto"/>
          <w:sz w:val="24"/>
          <w:szCs w:val="22"/>
        </w:rPr>
        <w:id w:val="-8914342"/>
        <w:docPartObj>
          <w:docPartGallery w:val="Table of Contents"/>
          <w:docPartUnique/>
        </w:docPartObj>
      </w:sdtPr>
      <w:sdtEndPr>
        <w:rPr>
          <w:b/>
          <w:bCs/>
          <w:noProof/>
        </w:rPr>
      </w:sdtEndPr>
      <w:sdtContent>
        <w:p w14:paraId="6668D33F" w14:textId="6449CBC7" w:rsidR="00CA2A04" w:rsidRPr="00BF62B1" w:rsidRDefault="00CA2A04" w:rsidP="00BF62B1">
          <w:pPr>
            <w:pStyle w:val="TOCHeading"/>
            <w:jc w:val="center"/>
            <w:rPr>
              <w:rFonts w:ascii="Times New Roman" w:hAnsi="Times New Roman" w:cs="Times New Roman"/>
              <w:b/>
              <w:bCs/>
              <w:color w:val="000000" w:themeColor="text1"/>
              <w:sz w:val="28"/>
              <w:szCs w:val="28"/>
            </w:rPr>
          </w:pPr>
          <w:r w:rsidRPr="00BF62B1">
            <w:rPr>
              <w:rFonts w:ascii="Times New Roman" w:hAnsi="Times New Roman" w:cs="Times New Roman"/>
              <w:b/>
              <w:bCs/>
              <w:color w:val="000000" w:themeColor="text1"/>
              <w:sz w:val="28"/>
              <w:szCs w:val="28"/>
            </w:rPr>
            <w:t>Table of Contents</w:t>
          </w:r>
        </w:p>
        <w:p w14:paraId="7E1B88BA" w14:textId="77777777" w:rsidR="00BF62B1" w:rsidRPr="00BF62B1" w:rsidRDefault="00BF62B1" w:rsidP="00BF62B1"/>
        <w:p w14:paraId="221918AF" w14:textId="32B55487" w:rsidR="00BB49E8" w:rsidRDefault="00801D96">
          <w:pPr>
            <w:pStyle w:val="TOC1"/>
            <w:tabs>
              <w:tab w:val="right" w:leader="dot" w:pos="9350"/>
            </w:tabs>
            <w:rPr>
              <w:rFonts w:asciiTheme="minorHAnsi" w:eastAsiaTheme="minorEastAsia" w:hAnsiTheme="minorHAnsi"/>
              <w:noProof/>
              <w:sz w:val="22"/>
            </w:rPr>
          </w:pPr>
          <w:r>
            <w:fldChar w:fldCharType="begin"/>
          </w:r>
          <w:r>
            <w:instrText xml:space="preserve"> TOC \o "1-3" \f \h \z \u </w:instrText>
          </w:r>
          <w:r>
            <w:fldChar w:fldCharType="separate"/>
          </w:r>
          <w:hyperlink w:anchor="_Toc58667091" w:history="1">
            <w:r w:rsidR="00BB49E8" w:rsidRPr="00973475">
              <w:rPr>
                <w:rStyle w:val="Hyperlink"/>
                <w:noProof/>
              </w:rPr>
              <w:t>Acknowledgements</w:t>
            </w:r>
            <w:r w:rsidR="00BB49E8">
              <w:rPr>
                <w:noProof/>
                <w:webHidden/>
              </w:rPr>
              <w:tab/>
            </w:r>
            <w:r w:rsidR="00BB49E8">
              <w:rPr>
                <w:noProof/>
                <w:webHidden/>
              </w:rPr>
              <w:fldChar w:fldCharType="begin"/>
            </w:r>
            <w:r w:rsidR="00BB49E8">
              <w:rPr>
                <w:noProof/>
                <w:webHidden/>
              </w:rPr>
              <w:instrText xml:space="preserve"> PAGEREF _Toc58667091 \h </w:instrText>
            </w:r>
            <w:r w:rsidR="00BB49E8">
              <w:rPr>
                <w:noProof/>
                <w:webHidden/>
              </w:rPr>
            </w:r>
            <w:r w:rsidR="00BB49E8">
              <w:rPr>
                <w:noProof/>
                <w:webHidden/>
              </w:rPr>
              <w:fldChar w:fldCharType="separate"/>
            </w:r>
            <w:r w:rsidR="00D006A5">
              <w:rPr>
                <w:noProof/>
                <w:webHidden/>
              </w:rPr>
              <w:t>iv</w:t>
            </w:r>
            <w:r w:rsidR="00BB49E8">
              <w:rPr>
                <w:noProof/>
                <w:webHidden/>
              </w:rPr>
              <w:fldChar w:fldCharType="end"/>
            </w:r>
          </w:hyperlink>
        </w:p>
        <w:p w14:paraId="37D4ACD8" w14:textId="71E4D92A" w:rsidR="00BB49E8" w:rsidRDefault="002E6043">
          <w:pPr>
            <w:pStyle w:val="TOC1"/>
            <w:tabs>
              <w:tab w:val="right" w:leader="dot" w:pos="9350"/>
            </w:tabs>
            <w:rPr>
              <w:rFonts w:asciiTheme="minorHAnsi" w:eastAsiaTheme="minorEastAsia" w:hAnsiTheme="minorHAnsi"/>
              <w:noProof/>
              <w:sz w:val="22"/>
            </w:rPr>
          </w:pPr>
          <w:hyperlink w:anchor="_Toc58667092" w:history="1">
            <w:r w:rsidR="00BB49E8" w:rsidRPr="00973475">
              <w:rPr>
                <w:rStyle w:val="Hyperlink"/>
                <w:noProof/>
              </w:rPr>
              <w:t>List of Tables</w:t>
            </w:r>
            <w:r w:rsidR="00BB49E8">
              <w:rPr>
                <w:noProof/>
                <w:webHidden/>
              </w:rPr>
              <w:tab/>
            </w:r>
            <w:r w:rsidR="00BB49E8">
              <w:rPr>
                <w:noProof/>
                <w:webHidden/>
              </w:rPr>
              <w:fldChar w:fldCharType="begin"/>
            </w:r>
            <w:r w:rsidR="00BB49E8">
              <w:rPr>
                <w:noProof/>
                <w:webHidden/>
              </w:rPr>
              <w:instrText xml:space="preserve"> PAGEREF _Toc58667092 \h </w:instrText>
            </w:r>
            <w:r w:rsidR="00BB49E8">
              <w:rPr>
                <w:noProof/>
                <w:webHidden/>
              </w:rPr>
            </w:r>
            <w:r w:rsidR="00BB49E8">
              <w:rPr>
                <w:noProof/>
                <w:webHidden/>
              </w:rPr>
              <w:fldChar w:fldCharType="separate"/>
            </w:r>
            <w:r w:rsidR="00D006A5">
              <w:rPr>
                <w:noProof/>
                <w:webHidden/>
              </w:rPr>
              <w:t>vii</w:t>
            </w:r>
            <w:r w:rsidR="00BB49E8">
              <w:rPr>
                <w:noProof/>
                <w:webHidden/>
              </w:rPr>
              <w:fldChar w:fldCharType="end"/>
            </w:r>
          </w:hyperlink>
        </w:p>
        <w:p w14:paraId="74F7BEF2" w14:textId="1465B4CB" w:rsidR="00BB49E8" w:rsidRDefault="002E6043">
          <w:pPr>
            <w:pStyle w:val="TOC1"/>
            <w:tabs>
              <w:tab w:val="right" w:leader="dot" w:pos="9350"/>
            </w:tabs>
            <w:rPr>
              <w:rFonts w:asciiTheme="minorHAnsi" w:eastAsiaTheme="minorEastAsia" w:hAnsiTheme="minorHAnsi"/>
              <w:noProof/>
              <w:sz w:val="22"/>
            </w:rPr>
          </w:pPr>
          <w:hyperlink w:anchor="_Toc58667093" w:history="1">
            <w:r w:rsidR="00BB49E8" w:rsidRPr="00973475">
              <w:rPr>
                <w:rStyle w:val="Hyperlink"/>
                <w:noProof/>
              </w:rPr>
              <w:t>List of Figures</w:t>
            </w:r>
            <w:r w:rsidR="00BB49E8">
              <w:rPr>
                <w:noProof/>
                <w:webHidden/>
              </w:rPr>
              <w:tab/>
            </w:r>
            <w:r w:rsidR="00BB49E8">
              <w:rPr>
                <w:noProof/>
                <w:webHidden/>
              </w:rPr>
              <w:fldChar w:fldCharType="begin"/>
            </w:r>
            <w:r w:rsidR="00BB49E8">
              <w:rPr>
                <w:noProof/>
                <w:webHidden/>
              </w:rPr>
              <w:instrText xml:space="preserve"> PAGEREF _Toc58667093 \h </w:instrText>
            </w:r>
            <w:r w:rsidR="00BB49E8">
              <w:rPr>
                <w:noProof/>
                <w:webHidden/>
              </w:rPr>
            </w:r>
            <w:r w:rsidR="00BB49E8">
              <w:rPr>
                <w:noProof/>
                <w:webHidden/>
              </w:rPr>
              <w:fldChar w:fldCharType="separate"/>
            </w:r>
            <w:r w:rsidR="00D006A5">
              <w:rPr>
                <w:noProof/>
                <w:webHidden/>
              </w:rPr>
              <w:t>ix</w:t>
            </w:r>
            <w:r w:rsidR="00BB49E8">
              <w:rPr>
                <w:noProof/>
                <w:webHidden/>
              </w:rPr>
              <w:fldChar w:fldCharType="end"/>
            </w:r>
          </w:hyperlink>
        </w:p>
        <w:p w14:paraId="5F653A01" w14:textId="45B07809" w:rsidR="00BB49E8" w:rsidRDefault="002E6043">
          <w:pPr>
            <w:pStyle w:val="TOC1"/>
            <w:tabs>
              <w:tab w:val="right" w:leader="dot" w:pos="9350"/>
            </w:tabs>
            <w:rPr>
              <w:rFonts w:asciiTheme="minorHAnsi" w:eastAsiaTheme="minorEastAsia" w:hAnsiTheme="minorHAnsi"/>
              <w:noProof/>
              <w:sz w:val="22"/>
            </w:rPr>
          </w:pPr>
          <w:hyperlink w:anchor="_Toc58667094" w:history="1">
            <w:r w:rsidR="00BB49E8" w:rsidRPr="00973475">
              <w:rPr>
                <w:rStyle w:val="Hyperlink"/>
                <w:noProof/>
              </w:rPr>
              <w:t>Appendix</w:t>
            </w:r>
            <w:r w:rsidR="00BB49E8">
              <w:rPr>
                <w:noProof/>
                <w:webHidden/>
              </w:rPr>
              <w:tab/>
            </w:r>
            <w:r w:rsidR="00BB49E8">
              <w:rPr>
                <w:noProof/>
                <w:webHidden/>
              </w:rPr>
              <w:fldChar w:fldCharType="begin"/>
            </w:r>
            <w:r w:rsidR="00BB49E8">
              <w:rPr>
                <w:noProof/>
                <w:webHidden/>
              </w:rPr>
              <w:instrText xml:space="preserve"> PAGEREF _Toc58667094 \h </w:instrText>
            </w:r>
            <w:r w:rsidR="00BB49E8">
              <w:rPr>
                <w:noProof/>
                <w:webHidden/>
              </w:rPr>
            </w:r>
            <w:r w:rsidR="00BB49E8">
              <w:rPr>
                <w:noProof/>
                <w:webHidden/>
              </w:rPr>
              <w:fldChar w:fldCharType="separate"/>
            </w:r>
            <w:r w:rsidR="00D006A5">
              <w:rPr>
                <w:noProof/>
                <w:webHidden/>
              </w:rPr>
              <w:t>xvi</w:t>
            </w:r>
            <w:r w:rsidR="00BB49E8">
              <w:rPr>
                <w:noProof/>
                <w:webHidden/>
              </w:rPr>
              <w:fldChar w:fldCharType="end"/>
            </w:r>
          </w:hyperlink>
        </w:p>
        <w:p w14:paraId="496F2E60" w14:textId="121D0C6B" w:rsidR="00BB49E8" w:rsidRDefault="002E6043">
          <w:pPr>
            <w:pStyle w:val="TOC1"/>
            <w:tabs>
              <w:tab w:val="right" w:leader="dot" w:pos="9350"/>
            </w:tabs>
            <w:rPr>
              <w:rFonts w:asciiTheme="minorHAnsi" w:eastAsiaTheme="minorEastAsia" w:hAnsiTheme="minorHAnsi"/>
              <w:noProof/>
              <w:sz w:val="22"/>
            </w:rPr>
          </w:pPr>
          <w:hyperlink w:anchor="_Toc58667095" w:history="1">
            <w:r w:rsidR="00BB49E8" w:rsidRPr="00973475">
              <w:rPr>
                <w:rStyle w:val="Hyperlink"/>
                <w:noProof/>
              </w:rPr>
              <w:t>Abstract</w:t>
            </w:r>
            <w:r w:rsidR="00BB49E8">
              <w:rPr>
                <w:noProof/>
                <w:webHidden/>
              </w:rPr>
              <w:tab/>
            </w:r>
            <w:r w:rsidR="00BB49E8">
              <w:rPr>
                <w:noProof/>
                <w:webHidden/>
              </w:rPr>
              <w:fldChar w:fldCharType="begin"/>
            </w:r>
            <w:r w:rsidR="00BB49E8">
              <w:rPr>
                <w:noProof/>
                <w:webHidden/>
              </w:rPr>
              <w:instrText xml:space="preserve"> PAGEREF _Toc58667095 \h </w:instrText>
            </w:r>
            <w:r w:rsidR="00BB49E8">
              <w:rPr>
                <w:noProof/>
                <w:webHidden/>
              </w:rPr>
            </w:r>
            <w:r w:rsidR="00BB49E8">
              <w:rPr>
                <w:noProof/>
                <w:webHidden/>
              </w:rPr>
              <w:fldChar w:fldCharType="separate"/>
            </w:r>
            <w:r w:rsidR="00D006A5">
              <w:rPr>
                <w:noProof/>
                <w:webHidden/>
              </w:rPr>
              <w:t>xix</w:t>
            </w:r>
            <w:r w:rsidR="00BB49E8">
              <w:rPr>
                <w:noProof/>
                <w:webHidden/>
              </w:rPr>
              <w:fldChar w:fldCharType="end"/>
            </w:r>
          </w:hyperlink>
        </w:p>
        <w:p w14:paraId="4952F5F0" w14:textId="56C0E424" w:rsidR="00BB49E8" w:rsidRDefault="002E6043">
          <w:pPr>
            <w:pStyle w:val="TOC1"/>
            <w:tabs>
              <w:tab w:val="right" w:leader="dot" w:pos="9350"/>
            </w:tabs>
            <w:rPr>
              <w:rFonts w:asciiTheme="minorHAnsi" w:eastAsiaTheme="minorEastAsia" w:hAnsiTheme="minorHAnsi"/>
              <w:noProof/>
              <w:sz w:val="22"/>
            </w:rPr>
          </w:pPr>
          <w:hyperlink w:anchor="_Toc58667096" w:history="1">
            <w:r w:rsidR="00BB49E8" w:rsidRPr="00973475">
              <w:rPr>
                <w:rStyle w:val="Hyperlink"/>
                <w:noProof/>
              </w:rPr>
              <w:t>Chapter 1: Introduction</w:t>
            </w:r>
            <w:r w:rsidR="00BB49E8">
              <w:rPr>
                <w:noProof/>
                <w:webHidden/>
              </w:rPr>
              <w:tab/>
            </w:r>
            <w:r w:rsidR="00BB49E8">
              <w:rPr>
                <w:noProof/>
                <w:webHidden/>
              </w:rPr>
              <w:fldChar w:fldCharType="begin"/>
            </w:r>
            <w:r w:rsidR="00BB49E8">
              <w:rPr>
                <w:noProof/>
                <w:webHidden/>
              </w:rPr>
              <w:instrText xml:space="preserve"> PAGEREF _Toc58667096 \h </w:instrText>
            </w:r>
            <w:r w:rsidR="00BB49E8">
              <w:rPr>
                <w:noProof/>
                <w:webHidden/>
              </w:rPr>
            </w:r>
            <w:r w:rsidR="00BB49E8">
              <w:rPr>
                <w:noProof/>
                <w:webHidden/>
              </w:rPr>
              <w:fldChar w:fldCharType="separate"/>
            </w:r>
            <w:r w:rsidR="00D006A5">
              <w:rPr>
                <w:noProof/>
                <w:webHidden/>
              </w:rPr>
              <w:t>1</w:t>
            </w:r>
            <w:r w:rsidR="00BB49E8">
              <w:rPr>
                <w:noProof/>
                <w:webHidden/>
              </w:rPr>
              <w:fldChar w:fldCharType="end"/>
            </w:r>
          </w:hyperlink>
        </w:p>
        <w:p w14:paraId="0EB1C298" w14:textId="4A43F697" w:rsidR="00BB49E8" w:rsidRDefault="002E6043">
          <w:pPr>
            <w:pStyle w:val="TOC1"/>
            <w:tabs>
              <w:tab w:val="right" w:leader="dot" w:pos="9350"/>
            </w:tabs>
            <w:rPr>
              <w:rFonts w:asciiTheme="minorHAnsi" w:eastAsiaTheme="minorEastAsia" w:hAnsiTheme="minorHAnsi"/>
              <w:noProof/>
              <w:sz w:val="22"/>
            </w:rPr>
          </w:pPr>
          <w:hyperlink w:anchor="_Toc58667097" w:history="1">
            <w:r w:rsidR="00BB49E8" w:rsidRPr="00973475">
              <w:rPr>
                <w:rStyle w:val="Hyperlink"/>
                <w:rFonts w:eastAsia="Times New Roman"/>
                <w:noProof/>
              </w:rPr>
              <w:t>Chapter 2: Causality and Well Spacing Decisions</w:t>
            </w:r>
            <w:r w:rsidR="00BB49E8">
              <w:rPr>
                <w:noProof/>
                <w:webHidden/>
              </w:rPr>
              <w:tab/>
            </w:r>
            <w:r w:rsidR="00BB49E8">
              <w:rPr>
                <w:noProof/>
                <w:webHidden/>
              </w:rPr>
              <w:fldChar w:fldCharType="begin"/>
            </w:r>
            <w:r w:rsidR="00BB49E8">
              <w:rPr>
                <w:noProof/>
                <w:webHidden/>
              </w:rPr>
              <w:instrText xml:space="preserve"> PAGEREF _Toc58667097 \h </w:instrText>
            </w:r>
            <w:r w:rsidR="00BB49E8">
              <w:rPr>
                <w:noProof/>
                <w:webHidden/>
              </w:rPr>
            </w:r>
            <w:r w:rsidR="00BB49E8">
              <w:rPr>
                <w:noProof/>
                <w:webHidden/>
              </w:rPr>
              <w:fldChar w:fldCharType="separate"/>
            </w:r>
            <w:r w:rsidR="00D006A5">
              <w:rPr>
                <w:noProof/>
                <w:webHidden/>
              </w:rPr>
              <w:t>21</w:t>
            </w:r>
            <w:r w:rsidR="00BB49E8">
              <w:rPr>
                <w:noProof/>
                <w:webHidden/>
              </w:rPr>
              <w:fldChar w:fldCharType="end"/>
            </w:r>
          </w:hyperlink>
        </w:p>
        <w:p w14:paraId="548302DB" w14:textId="432C1ECC" w:rsidR="00BB49E8" w:rsidRDefault="002E6043">
          <w:pPr>
            <w:pStyle w:val="TOC2"/>
            <w:rPr>
              <w:rFonts w:asciiTheme="minorHAnsi" w:eastAsiaTheme="minorEastAsia" w:hAnsiTheme="minorHAnsi"/>
              <w:noProof/>
              <w:sz w:val="22"/>
            </w:rPr>
          </w:pPr>
          <w:hyperlink w:anchor="_Toc58667098" w:history="1">
            <w:r w:rsidR="00BB49E8" w:rsidRPr="00973475">
              <w:rPr>
                <w:rStyle w:val="Hyperlink"/>
                <w:noProof/>
              </w:rPr>
              <w:t>2.1 History of Causal Inference</w:t>
            </w:r>
            <w:r w:rsidR="00BB49E8">
              <w:rPr>
                <w:noProof/>
                <w:webHidden/>
              </w:rPr>
              <w:tab/>
            </w:r>
            <w:r w:rsidR="00BB49E8">
              <w:rPr>
                <w:noProof/>
                <w:webHidden/>
              </w:rPr>
              <w:fldChar w:fldCharType="begin"/>
            </w:r>
            <w:r w:rsidR="00BB49E8">
              <w:rPr>
                <w:noProof/>
                <w:webHidden/>
              </w:rPr>
              <w:instrText xml:space="preserve"> PAGEREF _Toc58667098 \h </w:instrText>
            </w:r>
            <w:r w:rsidR="00BB49E8">
              <w:rPr>
                <w:noProof/>
                <w:webHidden/>
              </w:rPr>
            </w:r>
            <w:r w:rsidR="00BB49E8">
              <w:rPr>
                <w:noProof/>
                <w:webHidden/>
              </w:rPr>
              <w:fldChar w:fldCharType="separate"/>
            </w:r>
            <w:r w:rsidR="00D006A5">
              <w:rPr>
                <w:noProof/>
                <w:webHidden/>
              </w:rPr>
              <w:t>21</w:t>
            </w:r>
            <w:r w:rsidR="00BB49E8">
              <w:rPr>
                <w:noProof/>
                <w:webHidden/>
              </w:rPr>
              <w:fldChar w:fldCharType="end"/>
            </w:r>
          </w:hyperlink>
        </w:p>
        <w:p w14:paraId="411169E5" w14:textId="20268BFC" w:rsidR="00BB49E8" w:rsidRDefault="002E6043">
          <w:pPr>
            <w:pStyle w:val="TOC2"/>
            <w:rPr>
              <w:rFonts w:asciiTheme="minorHAnsi" w:eastAsiaTheme="minorEastAsia" w:hAnsiTheme="minorHAnsi"/>
              <w:noProof/>
              <w:sz w:val="22"/>
            </w:rPr>
          </w:pPr>
          <w:hyperlink w:anchor="_Toc58667099" w:history="1">
            <w:r w:rsidR="00BB49E8" w:rsidRPr="00973475">
              <w:rPr>
                <w:rStyle w:val="Hyperlink"/>
                <w:noProof/>
              </w:rPr>
              <w:t>2.2 Potential Outcomes and the Fundamental Problem of Causal Inference</w:t>
            </w:r>
            <w:r w:rsidR="00BB49E8">
              <w:rPr>
                <w:noProof/>
                <w:webHidden/>
              </w:rPr>
              <w:tab/>
            </w:r>
            <w:r w:rsidR="00BB49E8">
              <w:rPr>
                <w:noProof/>
                <w:webHidden/>
              </w:rPr>
              <w:fldChar w:fldCharType="begin"/>
            </w:r>
            <w:r w:rsidR="00BB49E8">
              <w:rPr>
                <w:noProof/>
                <w:webHidden/>
              </w:rPr>
              <w:instrText xml:space="preserve"> PAGEREF _Toc58667099 \h </w:instrText>
            </w:r>
            <w:r w:rsidR="00BB49E8">
              <w:rPr>
                <w:noProof/>
                <w:webHidden/>
              </w:rPr>
            </w:r>
            <w:r w:rsidR="00BB49E8">
              <w:rPr>
                <w:noProof/>
                <w:webHidden/>
              </w:rPr>
              <w:fldChar w:fldCharType="separate"/>
            </w:r>
            <w:r w:rsidR="00D006A5">
              <w:rPr>
                <w:noProof/>
                <w:webHidden/>
              </w:rPr>
              <w:t>26</w:t>
            </w:r>
            <w:r w:rsidR="00BB49E8">
              <w:rPr>
                <w:noProof/>
                <w:webHidden/>
              </w:rPr>
              <w:fldChar w:fldCharType="end"/>
            </w:r>
          </w:hyperlink>
        </w:p>
        <w:p w14:paraId="541843F7" w14:textId="6181DAC4" w:rsidR="00BB49E8" w:rsidRDefault="002E6043">
          <w:pPr>
            <w:pStyle w:val="TOC2"/>
            <w:rPr>
              <w:rFonts w:asciiTheme="minorHAnsi" w:eastAsiaTheme="minorEastAsia" w:hAnsiTheme="minorHAnsi"/>
              <w:noProof/>
              <w:sz w:val="22"/>
            </w:rPr>
          </w:pPr>
          <w:hyperlink w:anchor="_Toc58667100" w:history="1">
            <w:r w:rsidR="00BB49E8" w:rsidRPr="00973475">
              <w:rPr>
                <w:rStyle w:val="Hyperlink"/>
                <w:noProof/>
              </w:rPr>
              <w:t>2.3 Assumptions behind Causal Inference</w:t>
            </w:r>
            <w:r w:rsidR="00BB49E8">
              <w:rPr>
                <w:noProof/>
                <w:webHidden/>
              </w:rPr>
              <w:tab/>
            </w:r>
            <w:r w:rsidR="00BB49E8">
              <w:rPr>
                <w:noProof/>
                <w:webHidden/>
              </w:rPr>
              <w:fldChar w:fldCharType="begin"/>
            </w:r>
            <w:r w:rsidR="00BB49E8">
              <w:rPr>
                <w:noProof/>
                <w:webHidden/>
              </w:rPr>
              <w:instrText xml:space="preserve"> PAGEREF _Toc58667100 \h </w:instrText>
            </w:r>
            <w:r w:rsidR="00BB49E8">
              <w:rPr>
                <w:noProof/>
                <w:webHidden/>
              </w:rPr>
            </w:r>
            <w:r w:rsidR="00BB49E8">
              <w:rPr>
                <w:noProof/>
                <w:webHidden/>
              </w:rPr>
              <w:fldChar w:fldCharType="separate"/>
            </w:r>
            <w:r w:rsidR="00D006A5">
              <w:rPr>
                <w:noProof/>
                <w:webHidden/>
              </w:rPr>
              <w:t>28</w:t>
            </w:r>
            <w:r w:rsidR="00BB49E8">
              <w:rPr>
                <w:noProof/>
                <w:webHidden/>
              </w:rPr>
              <w:fldChar w:fldCharType="end"/>
            </w:r>
          </w:hyperlink>
        </w:p>
        <w:p w14:paraId="41F44966" w14:textId="5128E904" w:rsidR="00BB49E8" w:rsidRDefault="002E6043">
          <w:pPr>
            <w:pStyle w:val="TOC2"/>
            <w:rPr>
              <w:rFonts w:asciiTheme="minorHAnsi" w:eastAsiaTheme="minorEastAsia" w:hAnsiTheme="minorHAnsi"/>
              <w:noProof/>
              <w:sz w:val="22"/>
            </w:rPr>
          </w:pPr>
          <w:hyperlink w:anchor="_Toc58667101" w:history="1">
            <w:r w:rsidR="00BB49E8" w:rsidRPr="00973475">
              <w:rPr>
                <w:rStyle w:val="Hyperlink"/>
                <w:noProof/>
              </w:rPr>
              <w:t>2.4 Confounding Bias and Directed Acyclic Graphs</w:t>
            </w:r>
            <w:r w:rsidR="00BB49E8">
              <w:rPr>
                <w:noProof/>
                <w:webHidden/>
              </w:rPr>
              <w:tab/>
            </w:r>
            <w:r w:rsidR="00BB49E8">
              <w:rPr>
                <w:noProof/>
                <w:webHidden/>
              </w:rPr>
              <w:fldChar w:fldCharType="begin"/>
            </w:r>
            <w:r w:rsidR="00BB49E8">
              <w:rPr>
                <w:noProof/>
                <w:webHidden/>
              </w:rPr>
              <w:instrText xml:space="preserve"> PAGEREF _Toc58667101 \h </w:instrText>
            </w:r>
            <w:r w:rsidR="00BB49E8">
              <w:rPr>
                <w:noProof/>
                <w:webHidden/>
              </w:rPr>
            </w:r>
            <w:r w:rsidR="00BB49E8">
              <w:rPr>
                <w:noProof/>
                <w:webHidden/>
              </w:rPr>
              <w:fldChar w:fldCharType="separate"/>
            </w:r>
            <w:r w:rsidR="00D006A5">
              <w:rPr>
                <w:noProof/>
                <w:webHidden/>
              </w:rPr>
              <w:t>29</w:t>
            </w:r>
            <w:r w:rsidR="00BB49E8">
              <w:rPr>
                <w:noProof/>
                <w:webHidden/>
              </w:rPr>
              <w:fldChar w:fldCharType="end"/>
            </w:r>
          </w:hyperlink>
        </w:p>
        <w:p w14:paraId="53B0B2C2" w14:textId="31872E8D" w:rsidR="00BB49E8" w:rsidRDefault="002E6043">
          <w:pPr>
            <w:pStyle w:val="TOC2"/>
            <w:rPr>
              <w:rFonts w:asciiTheme="minorHAnsi" w:eastAsiaTheme="minorEastAsia" w:hAnsiTheme="minorHAnsi"/>
              <w:noProof/>
              <w:sz w:val="22"/>
            </w:rPr>
          </w:pPr>
          <w:hyperlink w:anchor="_Toc58667102" w:history="1">
            <w:r w:rsidR="00BB49E8" w:rsidRPr="00973475">
              <w:rPr>
                <w:rStyle w:val="Hyperlink"/>
                <w:noProof/>
              </w:rPr>
              <w:t>2.5 Dataset Description</w:t>
            </w:r>
            <w:r w:rsidR="00BB49E8">
              <w:rPr>
                <w:noProof/>
                <w:webHidden/>
              </w:rPr>
              <w:tab/>
            </w:r>
            <w:r w:rsidR="00BB49E8">
              <w:rPr>
                <w:noProof/>
                <w:webHidden/>
              </w:rPr>
              <w:fldChar w:fldCharType="begin"/>
            </w:r>
            <w:r w:rsidR="00BB49E8">
              <w:rPr>
                <w:noProof/>
                <w:webHidden/>
              </w:rPr>
              <w:instrText xml:space="preserve"> PAGEREF _Toc58667102 \h </w:instrText>
            </w:r>
            <w:r w:rsidR="00BB49E8">
              <w:rPr>
                <w:noProof/>
                <w:webHidden/>
              </w:rPr>
            </w:r>
            <w:r w:rsidR="00BB49E8">
              <w:rPr>
                <w:noProof/>
                <w:webHidden/>
              </w:rPr>
              <w:fldChar w:fldCharType="separate"/>
            </w:r>
            <w:r w:rsidR="00D006A5">
              <w:rPr>
                <w:noProof/>
                <w:webHidden/>
              </w:rPr>
              <w:t>32</w:t>
            </w:r>
            <w:r w:rsidR="00BB49E8">
              <w:rPr>
                <w:noProof/>
                <w:webHidden/>
              </w:rPr>
              <w:fldChar w:fldCharType="end"/>
            </w:r>
          </w:hyperlink>
        </w:p>
        <w:p w14:paraId="3CC69B1D" w14:textId="7FE2D119" w:rsidR="00BB49E8" w:rsidRDefault="002E6043">
          <w:pPr>
            <w:pStyle w:val="TOC2"/>
            <w:rPr>
              <w:rFonts w:asciiTheme="minorHAnsi" w:eastAsiaTheme="minorEastAsia" w:hAnsiTheme="minorHAnsi"/>
              <w:noProof/>
              <w:sz w:val="22"/>
            </w:rPr>
          </w:pPr>
          <w:hyperlink w:anchor="_Toc58667103" w:history="1">
            <w:r w:rsidR="00BB49E8" w:rsidRPr="00973475">
              <w:rPr>
                <w:rStyle w:val="Hyperlink"/>
                <w:noProof/>
              </w:rPr>
              <w:t>2.6</w:t>
            </w:r>
            <w:r w:rsidR="00BB49E8">
              <w:rPr>
                <w:rFonts w:asciiTheme="minorHAnsi" w:eastAsiaTheme="minorEastAsia" w:hAnsiTheme="minorHAnsi"/>
                <w:noProof/>
                <w:sz w:val="22"/>
              </w:rPr>
              <w:tab/>
            </w:r>
            <w:r w:rsidR="00BB49E8" w:rsidRPr="00973475">
              <w:rPr>
                <w:rStyle w:val="Hyperlink"/>
                <w:noProof/>
              </w:rPr>
              <w:t>Design of the Experiment</w:t>
            </w:r>
            <w:r w:rsidR="00BB49E8">
              <w:rPr>
                <w:noProof/>
                <w:webHidden/>
              </w:rPr>
              <w:tab/>
            </w:r>
            <w:r w:rsidR="00BB49E8">
              <w:rPr>
                <w:noProof/>
                <w:webHidden/>
              </w:rPr>
              <w:fldChar w:fldCharType="begin"/>
            </w:r>
            <w:r w:rsidR="00BB49E8">
              <w:rPr>
                <w:noProof/>
                <w:webHidden/>
              </w:rPr>
              <w:instrText xml:space="preserve"> PAGEREF _Toc58667103 \h </w:instrText>
            </w:r>
            <w:r w:rsidR="00BB49E8">
              <w:rPr>
                <w:noProof/>
                <w:webHidden/>
              </w:rPr>
            </w:r>
            <w:r w:rsidR="00BB49E8">
              <w:rPr>
                <w:noProof/>
                <w:webHidden/>
              </w:rPr>
              <w:fldChar w:fldCharType="separate"/>
            </w:r>
            <w:r w:rsidR="00D006A5">
              <w:rPr>
                <w:noProof/>
                <w:webHidden/>
              </w:rPr>
              <w:t>36</w:t>
            </w:r>
            <w:r w:rsidR="00BB49E8">
              <w:rPr>
                <w:noProof/>
                <w:webHidden/>
              </w:rPr>
              <w:fldChar w:fldCharType="end"/>
            </w:r>
          </w:hyperlink>
        </w:p>
        <w:p w14:paraId="2A396AD3" w14:textId="39321AF5" w:rsidR="00BB49E8" w:rsidRDefault="002E6043">
          <w:pPr>
            <w:pStyle w:val="TOC2"/>
            <w:rPr>
              <w:rFonts w:asciiTheme="minorHAnsi" w:eastAsiaTheme="minorEastAsia" w:hAnsiTheme="minorHAnsi"/>
              <w:noProof/>
              <w:sz w:val="22"/>
            </w:rPr>
          </w:pPr>
          <w:hyperlink w:anchor="_Toc58667104" w:history="1">
            <w:r w:rsidR="00BB49E8" w:rsidRPr="00973475">
              <w:rPr>
                <w:rStyle w:val="Hyperlink"/>
                <w:noProof/>
              </w:rPr>
              <w:t>2.7 Methodology</w:t>
            </w:r>
            <w:r w:rsidR="00BB49E8">
              <w:rPr>
                <w:noProof/>
                <w:webHidden/>
              </w:rPr>
              <w:tab/>
            </w:r>
            <w:r w:rsidR="00BB49E8">
              <w:rPr>
                <w:noProof/>
                <w:webHidden/>
              </w:rPr>
              <w:fldChar w:fldCharType="begin"/>
            </w:r>
            <w:r w:rsidR="00BB49E8">
              <w:rPr>
                <w:noProof/>
                <w:webHidden/>
              </w:rPr>
              <w:instrText xml:space="preserve"> PAGEREF _Toc58667104 \h </w:instrText>
            </w:r>
            <w:r w:rsidR="00BB49E8">
              <w:rPr>
                <w:noProof/>
                <w:webHidden/>
              </w:rPr>
            </w:r>
            <w:r w:rsidR="00BB49E8">
              <w:rPr>
                <w:noProof/>
                <w:webHidden/>
              </w:rPr>
              <w:fldChar w:fldCharType="separate"/>
            </w:r>
            <w:r w:rsidR="00D006A5">
              <w:rPr>
                <w:noProof/>
                <w:webHidden/>
              </w:rPr>
              <w:t>38</w:t>
            </w:r>
            <w:r w:rsidR="00BB49E8">
              <w:rPr>
                <w:noProof/>
                <w:webHidden/>
              </w:rPr>
              <w:fldChar w:fldCharType="end"/>
            </w:r>
          </w:hyperlink>
        </w:p>
        <w:p w14:paraId="77C3D879" w14:textId="24D47619" w:rsidR="00BB49E8" w:rsidRDefault="002E6043">
          <w:pPr>
            <w:pStyle w:val="TOC2"/>
            <w:rPr>
              <w:rFonts w:asciiTheme="minorHAnsi" w:eastAsiaTheme="minorEastAsia" w:hAnsiTheme="minorHAnsi"/>
              <w:noProof/>
              <w:sz w:val="22"/>
            </w:rPr>
          </w:pPr>
          <w:hyperlink w:anchor="_Toc58667105" w:history="1">
            <w:r w:rsidR="00BB49E8" w:rsidRPr="00973475">
              <w:rPr>
                <w:rStyle w:val="Hyperlink"/>
                <w:noProof/>
              </w:rPr>
              <w:t>2.8 Results and Discussion</w:t>
            </w:r>
            <w:r w:rsidR="00BB49E8">
              <w:rPr>
                <w:noProof/>
                <w:webHidden/>
              </w:rPr>
              <w:tab/>
            </w:r>
            <w:r w:rsidR="00BB49E8">
              <w:rPr>
                <w:noProof/>
                <w:webHidden/>
              </w:rPr>
              <w:fldChar w:fldCharType="begin"/>
            </w:r>
            <w:r w:rsidR="00BB49E8">
              <w:rPr>
                <w:noProof/>
                <w:webHidden/>
              </w:rPr>
              <w:instrText xml:space="preserve"> PAGEREF _Toc58667105 \h </w:instrText>
            </w:r>
            <w:r w:rsidR="00BB49E8">
              <w:rPr>
                <w:noProof/>
                <w:webHidden/>
              </w:rPr>
            </w:r>
            <w:r w:rsidR="00BB49E8">
              <w:rPr>
                <w:noProof/>
                <w:webHidden/>
              </w:rPr>
              <w:fldChar w:fldCharType="separate"/>
            </w:r>
            <w:r w:rsidR="00D006A5">
              <w:rPr>
                <w:noProof/>
                <w:webHidden/>
              </w:rPr>
              <w:t>62</w:t>
            </w:r>
            <w:r w:rsidR="00BB49E8">
              <w:rPr>
                <w:noProof/>
                <w:webHidden/>
              </w:rPr>
              <w:fldChar w:fldCharType="end"/>
            </w:r>
          </w:hyperlink>
        </w:p>
        <w:p w14:paraId="2F548029" w14:textId="32E79940" w:rsidR="00BB49E8" w:rsidRDefault="002E6043">
          <w:pPr>
            <w:pStyle w:val="TOC2"/>
            <w:rPr>
              <w:rFonts w:asciiTheme="minorHAnsi" w:eastAsiaTheme="minorEastAsia" w:hAnsiTheme="minorHAnsi"/>
              <w:noProof/>
              <w:sz w:val="22"/>
            </w:rPr>
          </w:pPr>
          <w:hyperlink w:anchor="_Toc58667106" w:history="1">
            <w:r w:rsidR="00BB49E8" w:rsidRPr="00973475">
              <w:rPr>
                <w:rStyle w:val="Hyperlink"/>
                <w:noProof/>
              </w:rPr>
              <w:t>2.9 Conclusions</w:t>
            </w:r>
            <w:r w:rsidR="00BB49E8">
              <w:rPr>
                <w:noProof/>
                <w:webHidden/>
              </w:rPr>
              <w:tab/>
            </w:r>
            <w:r w:rsidR="00BB49E8">
              <w:rPr>
                <w:noProof/>
                <w:webHidden/>
              </w:rPr>
              <w:fldChar w:fldCharType="begin"/>
            </w:r>
            <w:r w:rsidR="00BB49E8">
              <w:rPr>
                <w:noProof/>
                <w:webHidden/>
              </w:rPr>
              <w:instrText xml:space="preserve"> PAGEREF _Toc58667106 \h </w:instrText>
            </w:r>
            <w:r w:rsidR="00BB49E8">
              <w:rPr>
                <w:noProof/>
                <w:webHidden/>
              </w:rPr>
            </w:r>
            <w:r w:rsidR="00BB49E8">
              <w:rPr>
                <w:noProof/>
                <w:webHidden/>
              </w:rPr>
              <w:fldChar w:fldCharType="separate"/>
            </w:r>
            <w:r w:rsidR="00D006A5">
              <w:rPr>
                <w:noProof/>
                <w:webHidden/>
              </w:rPr>
              <w:t>72</w:t>
            </w:r>
            <w:r w:rsidR="00BB49E8">
              <w:rPr>
                <w:noProof/>
                <w:webHidden/>
              </w:rPr>
              <w:fldChar w:fldCharType="end"/>
            </w:r>
          </w:hyperlink>
        </w:p>
        <w:p w14:paraId="57C57571" w14:textId="5E5CB978" w:rsidR="00BB49E8" w:rsidRDefault="002E6043">
          <w:pPr>
            <w:pStyle w:val="TOC1"/>
            <w:tabs>
              <w:tab w:val="right" w:leader="dot" w:pos="9350"/>
            </w:tabs>
            <w:rPr>
              <w:rFonts w:asciiTheme="minorHAnsi" w:eastAsiaTheme="minorEastAsia" w:hAnsiTheme="minorHAnsi"/>
              <w:noProof/>
              <w:sz w:val="22"/>
            </w:rPr>
          </w:pPr>
          <w:hyperlink w:anchor="_Toc58667107" w:history="1">
            <w:r w:rsidR="00BB49E8" w:rsidRPr="00973475">
              <w:rPr>
                <w:rStyle w:val="Hyperlink"/>
                <w:noProof/>
              </w:rPr>
              <w:t>Chapter 3: Anomaly Detection in Sucker Rod Pumps</w:t>
            </w:r>
            <w:r w:rsidR="00BB49E8">
              <w:rPr>
                <w:noProof/>
                <w:webHidden/>
              </w:rPr>
              <w:tab/>
            </w:r>
            <w:r w:rsidR="00BB49E8">
              <w:rPr>
                <w:noProof/>
                <w:webHidden/>
              </w:rPr>
              <w:fldChar w:fldCharType="begin"/>
            </w:r>
            <w:r w:rsidR="00BB49E8">
              <w:rPr>
                <w:noProof/>
                <w:webHidden/>
              </w:rPr>
              <w:instrText xml:space="preserve"> PAGEREF _Toc58667107 \h </w:instrText>
            </w:r>
            <w:r w:rsidR="00BB49E8">
              <w:rPr>
                <w:noProof/>
                <w:webHidden/>
              </w:rPr>
            </w:r>
            <w:r w:rsidR="00BB49E8">
              <w:rPr>
                <w:noProof/>
                <w:webHidden/>
              </w:rPr>
              <w:fldChar w:fldCharType="separate"/>
            </w:r>
            <w:r w:rsidR="00D006A5">
              <w:rPr>
                <w:noProof/>
                <w:webHidden/>
              </w:rPr>
              <w:t>73</w:t>
            </w:r>
            <w:r w:rsidR="00BB49E8">
              <w:rPr>
                <w:noProof/>
                <w:webHidden/>
              </w:rPr>
              <w:fldChar w:fldCharType="end"/>
            </w:r>
          </w:hyperlink>
        </w:p>
        <w:p w14:paraId="4D375401" w14:textId="1FA6A414" w:rsidR="00BB49E8" w:rsidRDefault="002E6043">
          <w:pPr>
            <w:pStyle w:val="TOC2"/>
            <w:rPr>
              <w:rFonts w:asciiTheme="minorHAnsi" w:eastAsiaTheme="minorEastAsia" w:hAnsiTheme="minorHAnsi"/>
              <w:noProof/>
              <w:sz w:val="22"/>
            </w:rPr>
          </w:pPr>
          <w:hyperlink w:anchor="_Toc58667108" w:history="1">
            <w:r w:rsidR="00BB49E8" w:rsidRPr="00973475">
              <w:rPr>
                <w:rStyle w:val="Hyperlink"/>
                <w:noProof/>
              </w:rPr>
              <w:t>3.1 Introduction</w:t>
            </w:r>
            <w:r w:rsidR="00BB49E8">
              <w:rPr>
                <w:noProof/>
                <w:webHidden/>
              </w:rPr>
              <w:tab/>
            </w:r>
            <w:r w:rsidR="00BB49E8">
              <w:rPr>
                <w:noProof/>
                <w:webHidden/>
              </w:rPr>
              <w:fldChar w:fldCharType="begin"/>
            </w:r>
            <w:r w:rsidR="00BB49E8">
              <w:rPr>
                <w:noProof/>
                <w:webHidden/>
              </w:rPr>
              <w:instrText xml:space="preserve"> PAGEREF _Toc58667108 \h </w:instrText>
            </w:r>
            <w:r w:rsidR="00BB49E8">
              <w:rPr>
                <w:noProof/>
                <w:webHidden/>
              </w:rPr>
            </w:r>
            <w:r w:rsidR="00BB49E8">
              <w:rPr>
                <w:noProof/>
                <w:webHidden/>
              </w:rPr>
              <w:fldChar w:fldCharType="separate"/>
            </w:r>
            <w:r w:rsidR="00D006A5">
              <w:rPr>
                <w:noProof/>
                <w:webHidden/>
              </w:rPr>
              <w:t>73</w:t>
            </w:r>
            <w:r w:rsidR="00BB49E8">
              <w:rPr>
                <w:noProof/>
                <w:webHidden/>
              </w:rPr>
              <w:fldChar w:fldCharType="end"/>
            </w:r>
          </w:hyperlink>
        </w:p>
        <w:p w14:paraId="5E9E900A" w14:textId="0436160A" w:rsidR="00BB49E8" w:rsidRDefault="002E6043">
          <w:pPr>
            <w:pStyle w:val="TOC2"/>
            <w:rPr>
              <w:rFonts w:asciiTheme="minorHAnsi" w:eastAsiaTheme="minorEastAsia" w:hAnsiTheme="minorHAnsi"/>
              <w:noProof/>
              <w:sz w:val="22"/>
            </w:rPr>
          </w:pPr>
          <w:hyperlink w:anchor="_Toc58667109" w:history="1">
            <w:r w:rsidR="00BB49E8" w:rsidRPr="00973475">
              <w:rPr>
                <w:rStyle w:val="Hyperlink"/>
                <w:noProof/>
              </w:rPr>
              <w:t>3.2 Architecture of the VGG16 model</w:t>
            </w:r>
            <w:r w:rsidR="00BB49E8">
              <w:rPr>
                <w:noProof/>
                <w:webHidden/>
              </w:rPr>
              <w:tab/>
            </w:r>
            <w:r w:rsidR="00BB49E8">
              <w:rPr>
                <w:noProof/>
                <w:webHidden/>
              </w:rPr>
              <w:fldChar w:fldCharType="begin"/>
            </w:r>
            <w:r w:rsidR="00BB49E8">
              <w:rPr>
                <w:noProof/>
                <w:webHidden/>
              </w:rPr>
              <w:instrText xml:space="preserve"> PAGEREF _Toc58667109 \h </w:instrText>
            </w:r>
            <w:r w:rsidR="00BB49E8">
              <w:rPr>
                <w:noProof/>
                <w:webHidden/>
              </w:rPr>
            </w:r>
            <w:r w:rsidR="00BB49E8">
              <w:rPr>
                <w:noProof/>
                <w:webHidden/>
              </w:rPr>
              <w:fldChar w:fldCharType="separate"/>
            </w:r>
            <w:r w:rsidR="00D006A5">
              <w:rPr>
                <w:noProof/>
                <w:webHidden/>
              </w:rPr>
              <w:t>87</w:t>
            </w:r>
            <w:r w:rsidR="00BB49E8">
              <w:rPr>
                <w:noProof/>
                <w:webHidden/>
              </w:rPr>
              <w:fldChar w:fldCharType="end"/>
            </w:r>
          </w:hyperlink>
        </w:p>
        <w:p w14:paraId="0408BC22" w14:textId="32A603A7" w:rsidR="00BB49E8" w:rsidRDefault="002E6043">
          <w:pPr>
            <w:pStyle w:val="TOC2"/>
            <w:rPr>
              <w:rFonts w:asciiTheme="minorHAnsi" w:eastAsiaTheme="minorEastAsia" w:hAnsiTheme="minorHAnsi"/>
              <w:noProof/>
              <w:sz w:val="22"/>
            </w:rPr>
          </w:pPr>
          <w:hyperlink w:anchor="_Toc58667110" w:history="1">
            <w:r w:rsidR="00BB49E8" w:rsidRPr="00973475">
              <w:rPr>
                <w:rStyle w:val="Hyperlink"/>
                <w:noProof/>
              </w:rPr>
              <w:t>3.3 Training the CNN</w:t>
            </w:r>
            <w:r w:rsidR="00BB49E8">
              <w:rPr>
                <w:noProof/>
                <w:webHidden/>
              </w:rPr>
              <w:tab/>
            </w:r>
            <w:r w:rsidR="00BB49E8">
              <w:rPr>
                <w:noProof/>
                <w:webHidden/>
              </w:rPr>
              <w:fldChar w:fldCharType="begin"/>
            </w:r>
            <w:r w:rsidR="00BB49E8">
              <w:rPr>
                <w:noProof/>
                <w:webHidden/>
              </w:rPr>
              <w:instrText xml:space="preserve"> PAGEREF _Toc58667110 \h </w:instrText>
            </w:r>
            <w:r w:rsidR="00BB49E8">
              <w:rPr>
                <w:noProof/>
                <w:webHidden/>
              </w:rPr>
            </w:r>
            <w:r w:rsidR="00BB49E8">
              <w:rPr>
                <w:noProof/>
                <w:webHidden/>
              </w:rPr>
              <w:fldChar w:fldCharType="separate"/>
            </w:r>
            <w:r w:rsidR="00D006A5">
              <w:rPr>
                <w:noProof/>
                <w:webHidden/>
              </w:rPr>
              <w:t>94</w:t>
            </w:r>
            <w:r w:rsidR="00BB49E8">
              <w:rPr>
                <w:noProof/>
                <w:webHidden/>
              </w:rPr>
              <w:fldChar w:fldCharType="end"/>
            </w:r>
          </w:hyperlink>
        </w:p>
        <w:p w14:paraId="5E26186D" w14:textId="28E005D5" w:rsidR="00BB49E8" w:rsidRDefault="002E6043">
          <w:pPr>
            <w:pStyle w:val="TOC2"/>
            <w:rPr>
              <w:rFonts w:asciiTheme="minorHAnsi" w:eastAsiaTheme="minorEastAsia" w:hAnsiTheme="minorHAnsi"/>
              <w:noProof/>
              <w:sz w:val="22"/>
            </w:rPr>
          </w:pPr>
          <w:hyperlink w:anchor="_Toc58667111" w:history="1">
            <w:r w:rsidR="00BB49E8" w:rsidRPr="00973475">
              <w:rPr>
                <w:rStyle w:val="Hyperlink"/>
                <w:noProof/>
              </w:rPr>
              <w:t>3.4 Dataset Description and Data Augmentation</w:t>
            </w:r>
            <w:r w:rsidR="00BB49E8">
              <w:rPr>
                <w:noProof/>
                <w:webHidden/>
              </w:rPr>
              <w:tab/>
            </w:r>
            <w:r w:rsidR="00BB49E8">
              <w:rPr>
                <w:noProof/>
                <w:webHidden/>
              </w:rPr>
              <w:fldChar w:fldCharType="begin"/>
            </w:r>
            <w:r w:rsidR="00BB49E8">
              <w:rPr>
                <w:noProof/>
                <w:webHidden/>
              </w:rPr>
              <w:instrText xml:space="preserve"> PAGEREF _Toc58667111 \h </w:instrText>
            </w:r>
            <w:r w:rsidR="00BB49E8">
              <w:rPr>
                <w:noProof/>
                <w:webHidden/>
              </w:rPr>
            </w:r>
            <w:r w:rsidR="00BB49E8">
              <w:rPr>
                <w:noProof/>
                <w:webHidden/>
              </w:rPr>
              <w:fldChar w:fldCharType="separate"/>
            </w:r>
            <w:r w:rsidR="00D006A5">
              <w:rPr>
                <w:noProof/>
                <w:webHidden/>
              </w:rPr>
              <w:t>96</w:t>
            </w:r>
            <w:r w:rsidR="00BB49E8">
              <w:rPr>
                <w:noProof/>
                <w:webHidden/>
              </w:rPr>
              <w:fldChar w:fldCharType="end"/>
            </w:r>
          </w:hyperlink>
        </w:p>
        <w:p w14:paraId="7683F0A6" w14:textId="51F8A462" w:rsidR="00BB49E8" w:rsidRDefault="002E6043">
          <w:pPr>
            <w:pStyle w:val="TOC2"/>
            <w:rPr>
              <w:rFonts w:asciiTheme="minorHAnsi" w:eastAsiaTheme="minorEastAsia" w:hAnsiTheme="minorHAnsi"/>
              <w:noProof/>
              <w:sz w:val="22"/>
            </w:rPr>
          </w:pPr>
          <w:hyperlink w:anchor="_Toc58667112" w:history="1">
            <w:r w:rsidR="00BB49E8" w:rsidRPr="00973475">
              <w:rPr>
                <w:rStyle w:val="Hyperlink"/>
                <w:noProof/>
              </w:rPr>
              <w:t>3.5 Results and Conclusions</w:t>
            </w:r>
            <w:r w:rsidR="00BB49E8">
              <w:rPr>
                <w:noProof/>
                <w:webHidden/>
              </w:rPr>
              <w:tab/>
            </w:r>
            <w:r w:rsidR="00BB49E8">
              <w:rPr>
                <w:noProof/>
                <w:webHidden/>
              </w:rPr>
              <w:fldChar w:fldCharType="begin"/>
            </w:r>
            <w:r w:rsidR="00BB49E8">
              <w:rPr>
                <w:noProof/>
                <w:webHidden/>
              </w:rPr>
              <w:instrText xml:space="preserve"> PAGEREF _Toc58667112 \h </w:instrText>
            </w:r>
            <w:r w:rsidR="00BB49E8">
              <w:rPr>
                <w:noProof/>
                <w:webHidden/>
              </w:rPr>
            </w:r>
            <w:r w:rsidR="00BB49E8">
              <w:rPr>
                <w:noProof/>
                <w:webHidden/>
              </w:rPr>
              <w:fldChar w:fldCharType="separate"/>
            </w:r>
            <w:r w:rsidR="00D006A5">
              <w:rPr>
                <w:noProof/>
                <w:webHidden/>
              </w:rPr>
              <w:t>100</w:t>
            </w:r>
            <w:r w:rsidR="00BB49E8">
              <w:rPr>
                <w:noProof/>
                <w:webHidden/>
              </w:rPr>
              <w:fldChar w:fldCharType="end"/>
            </w:r>
          </w:hyperlink>
        </w:p>
        <w:p w14:paraId="3EB41574" w14:textId="54B2BEDC" w:rsidR="00BB49E8" w:rsidRDefault="002E6043">
          <w:pPr>
            <w:pStyle w:val="TOC1"/>
            <w:tabs>
              <w:tab w:val="right" w:leader="dot" w:pos="9350"/>
            </w:tabs>
            <w:rPr>
              <w:rFonts w:asciiTheme="minorHAnsi" w:eastAsiaTheme="minorEastAsia" w:hAnsiTheme="minorHAnsi"/>
              <w:noProof/>
              <w:sz w:val="22"/>
            </w:rPr>
          </w:pPr>
          <w:hyperlink w:anchor="_Toc58667113" w:history="1">
            <w:r w:rsidR="00BB49E8" w:rsidRPr="00973475">
              <w:rPr>
                <w:rStyle w:val="Hyperlink"/>
                <w:noProof/>
              </w:rPr>
              <w:t>References</w:t>
            </w:r>
            <w:r w:rsidR="00BB49E8">
              <w:rPr>
                <w:noProof/>
                <w:webHidden/>
              </w:rPr>
              <w:tab/>
            </w:r>
            <w:r w:rsidR="00BB49E8">
              <w:rPr>
                <w:noProof/>
                <w:webHidden/>
              </w:rPr>
              <w:fldChar w:fldCharType="begin"/>
            </w:r>
            <w:r w:rsidR="00BB49E8">
              <w:rPr>
                <w:noProof/>
                <w:webHidden/>
              </w:rPr>
              <w:instrText xml:space="preserve"> PAGEREF _Toc58667113 \h </w:instrText>
            </w:r>
            <w:r w:rsidR="00BB49E8">
              <w:rPr>
                <w:noProof/>
                <w:webHidden/>
              </w:rPr>
            </w:r>
            <w:r w:rsidR="00BB49E8">
              <w:rPr>
                <w:noProof/>
                <w:webHidden/>
              </w:rPr>
              <w:fldChar w:fldCharType="separate"/>
            </w:r>
            <w:r w:rsidR="00D006A5">
              <w:rPr>
                <w:noProof/>
                <w:webHidden/>
              </w:rPr>
              <w:t>107</w:t>
            </w:r>
            <w:r w:rsidR="00BB49E8">
              <w:rPr>
                <w:noProof/>
                <w:webHidden/>
              </w:rPr>
              <w:fldChar w:fldCharType="end"/>
            </w:r>
          </w:hyperlink>
        </w:p>
        <w:p w14:paraId="1DA7D471" w14:textId="003E67D8" w:rsidR="00BB49E8" w:rsidRDefault="002E6043">
          <w:pPr>
            <w:pStyle w:val="TOC1"/>
            <w:tabs>
              <w:tab w:val="right" w:leader="dot" w:pos="9350"/>
            </w:tabs>
            <w:rPr>
              <w:rFonts w:asciiTheme="minorHAnsi" w:eastAsiaTheme="minorEastAsia" w:hAnsiTheme="minorHAnsi"/>
              <w:noProof/>
              <w:sz w:val="22"/>
            </w:rPr>
          </w:pPr>
          <w:hyperlink w:anchor="_Toc58667114" w:history="1">
            <w:r w:rsidR="00BB49E8" w:rsidRPr="00973475">
              <w:rPr>
                <w:rStyle w:val="Hyperlink"/>
                <w:noProof/>
              </w:rPr>
              <w:t>Appendix</w:t>
            </w:r>
            <w:r w:rsidR="00BB49E8">
              <w:rPr>
                <w:noProof/>
                <w:webHidden/>
              </w:rPr>
              <w:tab/>
            </w:r>
            <w:r w:rsidR="00BB49E8">
              <w:rPr>
                <w:noProof/>
                <w:webHidden/>
              </w:rPr>
              <w:fldChar w:fldCharType="begin"/>
            </w:r>
            <w:r w:rsidR="00BB49E8">
              <w:rPr>
                <w:noProof/>
                <w:webHidden/>
              </w:rPr>
              <w:instrText xml:space="preserve"> PAGEREF _Toc58667114 \h </w:instrText>
            </w:r>
            <w:r w:rsidR="00BB49E8">
              <w:rPr>
                <w:noProof/>
                <w:webHidden/>
              </w:rPr>
            </w:r>
            <w:r w:rsidR="00BB49E8">
              <w:rPr>
                <w:noProof/>
                <w:webHidden/>
              </w:rPr>
              <w:fldChar w:fldCharType="separate"/>
            </w:r>
            <w:r w:rsidR="00D006A5">
              <w:rPr>
                <w:noProof/>
                <w:webHidden/>
              </w:rPr>
              <w:t>116</w:t>
            </w:r>
            <w:r w:rsidR="00BB49E8">
              <w:rPr>
                <w:noProof/>
                <w:webHidden/>
              </w:rPr>
              <w:fldChar w:fldCharType="end"/>
            </w:r>
          </w:hyperlink>
        </w:p>
        <w:p w14:paraId="5E7CFCD0" w14:textId="4A8DA999" w:rsidR="00CA2A04" w:rsidRDefault="00801D96">
          <w:r>
            <w:fldChar w:fldCharType="end"/>
          </w:r>
        </w:p>
      </w:sdtContent>
    </w:sdt>
    <w:p w14:paraId="7A14F15C" w14:textId="0C0934DE" w:rsidR="00C92593" w:rsidRDefault="00C92593" w:rsidP="001E34DB"/>
    <w:p w14:paraId="583DDAB3" w14:textId="57FBEBC1" w:rsidR="00925759" w:rsidRDefault="00925759" w:rsidP="001E34DB"/>
    <w:p w14:paraId="76902613" w14:textId="13119460" w:rsidR="00925759" w:rsidRDefault="00925759" w:rsidP="001E34DB"/>
    <w:p w14:paraId="2475E8E4" w14:textId="77777777" w:rsidR="00925759" w:rsidRDefault="00925759" w:rsidP="001E34DB"/>
    <w:p w14:paraId="7D238921" w14:textId="2D7186F4" w:rsidR="00C92593" w:rsidRDefault="00C92593" w:rsidP="001E34DB"/>
    <w:p w14:paraId="7752FACE" w14:textId="3E6BE314" w:rsidR="00E52A7D" w:rsidRDefault="00E52A7D" w:rsidP="001E34DB"/>
    <w:p w14:paraId="4BF345FD" w14:textId="4ED0DEF0" w:rsidR="000E3847" w:rsidRDefault="000E3847" w:rsidP="001E34DB"/>
    <w:p w14:paraId="3E0589D5" w14:textId="758598C0" w:rsidR="000E3847" w:rsidRDefault="000E3847" w:rsidP="001E34DB"/>
    <w:p w14:paraId="2141FEEE" w14:textId="7BDDA9A1" w:rsidR="000E3847" w:rsidRDefault="000E3847" w:rsidP="001E34DB"/>
    <w:p w14:paraId="01C17609" w14:textId="75D9E426" w:rsidR="000E3847" w:rsidRDefault="000E3847" w:rsidP="001E34DB"/>
    <w:p w14:paraId="43127E71" w14:textId="3789908A" w:rsidR="000E3847" w:rsidRDefault="000E3847" w:rsidP="001E34DB"/>
    <w:p w14:paraId="6AA475EC" w14:textId="099445F4" w:rsidR="00E52A7D" w:rsidRDefault="00E52A7D" w:rsidP="001E34DB"/>
    <w:p w14:paraId="58A64D6D" w14:textId="15DEC89A" w:rsidR="00503A4B" w:rsidRDefault="00503A4B" w:rsidP="00503A4B">
      <w:pPr>
        <w:pStyle w:val="Heading1"/>
      </w:pPr>
      <w:bookmarkStart w:id="2" w:name="_Toc58667092"/>
      <w:r w:rsidRPr="009235D4">
        <w:lastRenderedPageBreak/>
        <w:t xml:space="preserve">List of </w:t>
      </w:r>
      <w:r>
        <w:t>Tables</w:t>
      </w:r>
      <w:bookmarkEnd w:id="2"/>
    </w:p>
    <w:p w14:paraId="13D44B6C" w14:textId="6792445E" w:rsidR="00BB49E8" w:rsidRPr="00BB530A" w:rsidRDefault="00195D3C">
      <w:pPr>
        <w:pStyle w:val="TableofFigures"/>
        <w:tabs>
          <w:tab w:val="right" w:leader="dot" w:pos="9350"/>
        </w:tabs>
        <w:rPr>
          <w:rFonts w:eastAsiaTheme="minorEastAsia" w:cs="Times New Roman"/>
          <w:noProof/>
          <w:sz w:val="22"/>
        </w:rPr>
      </w:pPr>
      <w:r w:rsidRPr="00A94156">
        <w:rPr>
          <w:rFonts w:cs="Times New Roman"/>
          <w:szCs w:val="24"/>
        </w:rPr>
        <w:fldChar w:fldCharType="begin"/>
      </w:r>
      <w:r w:rsidRPr="00A94156">
        <w:rPr>
          <w:rFonts w:cs="Times New Roman"/>
          <w:szCs w:val="24"/>
        </w:rPr>
        <w:instrText xml:space="preserve"> TOC \h \z \c "Table 2." </w:instrText>
      </w:r>
      <w:r w:rsidRPr="00A94156">
        <w:rPr>
          <w:rFonts w:cs="Times New Roman"/>
          <w:szCs w:val="24"/>
        </w:rPr>
        <w:fldChar w:fldCharType="separate"/>
      </w:r>
      <w:hyperlink w:anchor="_Toc58667115" w:history="1">
        <w:r w:rsidR="00BB49E8" w:rsidRPr="00BB530A">
          <w:rPr>
            <w:rStyle w:val="Hyperlink"/>
            <w:rFonts w:eastAsia="Times New Roman" w:cs="Times New Roman"/>
            <w:noProof/>
          </w:rPr>
          <w:t>Table 2. 1— Potential Outcomes (Rubin 2005).</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_Toc58667115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25</w:t>
        </w:r>
        <w:r w:rsidR="00BB49E8" w:rsidRPr="00BB530A">
          <w:rPr>
            <w:rFonts w:cs="Times New Roman"/>
            <w:noProof/>
            <w:webHidden/>
          </w:rPr>
          <w:fldChar w:fldCharType="end"/>
        </w:r>
      </w:hyperlink>
    </w:p>
    <w:p w14:paraId="525E20A9" w14:textId="0174C510" w:rsidR="00BB49E8" w:rsidRPr="00BB530A" w:rsidRDefault="002E6043">
      <w:pPr>
        <w:pStyle w:val="TableofFigures"/>
        <w:tabs>
          <w:tab w:val="right" w:leader="dot" w:pos="9350"/>
        </w:tabs>
        <w:rPr>
          <w:rFonts w:eastAsiaTheme="minorEastAsia" w:cs="Times New Roman"/>
          <w:noProof/>
          <w:sz w:val="22"/>
        </w:rPr>
      </w:pPr>
      <w:hyperlink w:anchor="_Toc58667116" w:history="1">
        <w:r w:rsidR="00BB49E8" w:rsidRPr="00BB530A">
          <w:rPr>
            <w:rStyle w:val="Hyperlink"/>
            <w:rFonts w:cs="Times New Roman"/>
            <w:noProof/>
          </w:rPr>
          <w:t>Table 2. 2—Analysis of Variance (ANOVA) for the logistic regression model with respect to all covariates.</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_Toc58667116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40</w:t>
        </w:r>
        <w:r w:rsidR="00BB49E8" w:rsidRPr="00BB530A">
          <w:rPr>
            <w:rFonts w:cs="Times New Roman"/>
            <w:noProof/>
            <w:webHidden/>
          </w:rPr>
          <w:fldChar w:fldCharType="end"/>
        </w:r>
      </w:hyperlink>
    </w:p>
    <w:p w14:paraId="0017D69B" w14:textId="03721EA9" w:rsidR="00BB49E8" w:rsidRPr="00BB530A" w:rsidRDefault="002E6043">
      <w:pPr>
        <w:pStyle w:val="TableofFigures"/>
        <w:tabs>
          <w:tab w:val="right" w:leader="dot" w:pos="9350"/>
        </w:tabs>
        <w:rPr>
          <w:rFonts w:eastAsiaTheme="minorEastAsia" w:cs="Times New Roman"/>
          <w:noProof/>
          <w:sz w:val="22"/>
        </w:rPr>
      </w:pPr>
      <w:hyperlink w:anchor="_Toc58667117" w:history="1">
        <w:r w:rsidR="00BB49E8" w:rsidRPr="00BB530A">
          <w:rPr>
            <w:rStyle w:val="Hyperlink"/>
            <w:rFonts w:cs="Times New Roman"/>
            <w:noProof/>
          </w:rPr>
          <w:t>Table 2. 3— Standardized mean differences (SMD) between parent (0) and child wells (1) groups at individual covariate levels (before matching).</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_Toc58667117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50</w:t>
        </w:r>
        <w:r w:rsidR="00BB49E8" w:rsidRPr="00BB530A">
          <w:rPr>
            <w:rFonts w:cs="Times New Roman"/>
            <w:noProof/>
            <w:webHidden/>
          </w:rPr>
          <w:fldChar w:fldCharType="end"/>
        </w:r>
      </w:hyperlink>
    </w:p>
    <w:p w14:paraId="2D90984E" w14:textId="75F7DDC8" w:rsidR="00BB49E8" w:rsidRPr="00BB530A" w:rsidRDefault="002E6043">
      <w:pPr>
        <w:pStyle w:val="TableofFigures"/>
        <w:tabs>
          <w:tab w:val="right" w:leader="dot" w:pos="9350"/>
        </w:tabs>
        <w:rPr>
          <w:rFonts w:eastAsiaTheme="minorEastAsia" w:cs="Times New Roman"/>
          <w:noProof/>
          <w:sz w:val="22"/>
        </w:rPr>
      </w:pPr>
      <w:hyperlink w:anchor="_Toc58667118" w:history="1">
        <w:r w:rsidR="00BB49E8" w:rsidRPr="00BB530A">
          <w:rPr>
            <w:rStyle w:val="Hyperlink"/>
            <w:rFonts w:cs="Times New Roman"/>
            <w:noProof/>
          </w:rPr>
          <w:t>Table 2. 4— Standardized mean differences (SMD) between parent (0) and child wells (1) groups at individual covariate levels (after matching).</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_Toc58667118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57</w:t>
        </w:r>
        <w:r w:rsidR="00BB49E8" w:rsidRPr="00BB530A">
          <w:rPr>
            <w:rFonts w:cs="Times New Roman"/>
            <w:noProof/>
            <w:webHidden/>
          </w:rPr>
          <w:fldChar w:fldCharType="end"/>
        </w:r>
      </w:hyperlink>
    </w:p>
    <w:p w14:paraId="1F2FB152" w14:textId="59543E34" w:rsidR="00BB49E8" w:rsidRPr="00BB530A" w:rsidRDefault="002E6043">
      <w:pPr>
        <w:pStyle w:val="TableofFigures"/>
        <w:tabs>
          <w:tab w:val="right" w:leader="dot" w:pos="9350"/>
        </w:tabs>
        <w:rPr>
          <w:rFonts w:eastAsiaTheme="minorEastAsia" w:cs="Times New Roman"/>
          <w:noProof/>
          <w:sz w:val="22"/>
        </w:rPr>
      </w:pPr>
      <w:hyperlink w:anchor="_Toc58667119" w:history="1">
        <w:r w:rsidR="00BB49E8" w:rsidRPr="00BB530A">
          <w:rPr>
            <w:rStyle w:val="Hyperlink"/>
            <w:rFonts w:cs="Times New Roman"/>
            <w:noProof/>
          </w:rPr>
          <w:t>Table 2. 5— The number of parent wells and child wells before and after matching along with the choice of the caliper used for obtaining the best possible balance in the matching process for the 4 well spacing options considered with outcome cumulative 180-day production normalized to lateral length.</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_Toc58667119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59</w:t>
        </w:r>
        <w:r w:rsidR="00BB49E8" w:rsidRPr="00BB530A">
          <w:rPr>
            <w:rFonts w:cs="Times New Roman"/>
            <w:noProof/>
            <w:webHidden/>
          </w:rPr>
          <w:fldChar w:fldCharType="end"/>
        </w:r>
      </w:hyperlink>
    </w:p>
    <w:p w14:paraId="03B254C2" w14:textId="1D0FC9E3" w:rsidR="00BB49E8" w:rsidRPr="00BB530A" w:rsidRDefault="002E6043">
      <w:pPr>
        <w:pStyle w:val="TableofFigures"/>
        <w:tabs>
          <w:tab w:val="right" w:leader="dot" w:pos="9350"/>
        </w:tabs>
        <w:rPr>
          <w:rFonts w:eastAsiaTheme="minorEastAsia" w:cs="Times New Roman"/>
          <w:noProof/>
          <w:sz w:val="22"/>
        </w:rPr>
      </w:pPr>
      <w:hyperlink w:anchor="_Toc58667120" w:history="1">
        <w:r w:rsidR="00BB49E8" w:rsidRPr="00BB530A">
          <w:rPr>
            <w:rStyle w:val="Hyperlink"/>
            <w:rFonts w:cs="Times New Roman"/>
            <w:noProof/>
          </w:rPr>
          <w:t>Table 2. 6—The number of parent wells and child wells before and after matching along with the choice of the caliper used for obtaining the best possible balance in the matching process for the 4 well spacing options considered with outcome cumulative 360-day production normalized to lateral length.</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_Toc58667120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59</w:t>
        </w:r>
        <w:r w:rsidR="00BB49E8" w:rsidRPr="00BB530A">
          <w:rPr>
            <w:rFonts w:cs="Times New Roman"/>
            <w:noProof/>
            <w:webHidden/>
          </w:rPr>
          <w:fldChar w:fldCharType="end"/>
        </w:r>
      </w:hyperlink>
    </w:p>
    <w:p w14:paraId="6B6A5244" w14:textId="5C1FC412" w:rsidR="00BB49E8" w:rsidRPr="00BB530A" w:rsidRDefault="002E6043">
      <w:pPr>
        <w:pStyle w:val="TableofFigures"/>
        <w:tabs>
          <w:tab w:val="right" w:leader="dot" w:pos="9350"/>
        </w:tabs>
        <w:rPr>
          <w:rFonts w:eastAsiaTheme="minorEastAsia" w:cs="Times New Roman"/>
          <w:noProof/>
          <w:sz w:val="22"/>
        </w:rPr>
      </w:pPr>
      <w:hyperlink w:anchor="_Toc58667121" w:history="1">
        <w:r w:rsidR="00BB49E8" w:rsidRPr="00BB530A">
          <w:rPr>
            <w:rStyle w:val="Hyperlink"/>
            <w:rFonts w:cs="Times New Roman"/>
            <w:noProof/>
          </w:rPr>
          <w:t>Table 2. 7—The number of unmatched parent wells and child wells at the 4 well spacing options used in the simple averages approach for outcome cumulative 180-day and 360-day production normalized to lateral length.</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_Toc58667121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62</w:t>
        </w:r>
        <w:r w:rsidR="00BB49E8" w:rsidRPr="00BB530A">
          <w:rPr>
            <w:rFonts w:cs="Times New Roman"/>
            <w:noProof/>
            <w:webHidden/>
          </w:rPr>
          <w:fldChar w:fldCharType="end"/>
        </w:r>
      </w:hyperlink>
    </w:p>
    <w:p w14:paraId="68E2F8F5" w14:textId="478C5F9B" w:rsidR="00BB49E8" w:rsidRPr="00BB530A" w:rsidRDefault="002E6043">
      <w:pPr>
        <w:pStyle w:val="TableofFigures"/>
        <w:tabs>
          <w:tab w:val="right" w:leader="dot" w:pos="9350"/>
        </w:tabs>
        <w:rPr>
          <w:rFonts w:eastAsiaTheme="minorEastAsia" w:cs="Times New Roman"/>
          <w:noProof/>
          <w:sz w:val="22"/>
        </w:rPr>
      </w:pPr>
      <w:hyperlink w:anchor="_Toc58667122" w:history="1">
        <w:r w:rsidR="00BB49E8" w:rsidRPr="00BB530A">
          <w:rPr>
            <w:rStyle w:val="Hyperlink"/>
            <w:rFonts w:cs="Times New Roman"/>
            <w:noProof/>
          </w:rPr>
          <w:t>Table 2. 8—Paired t-test output comparing the actual outcomes for 500 ft parent with 700 ft parent well group and 500 ft child well with 700 ft child well group using simple averages approach.</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_Toc58667122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64</w:t>
        </w:r>
        <w:r w:rsidR="00BB49E8" w:rsidRPr="00BB530A">
          <w:rPr>
            <w:rFonts w:cs="Times New Roman"/>
            <w:noProof/>
            <w:webHidden/>
          </w:rPr>
          <w:fldChar w:fldCharType="end"/>
        </w:r>
      </w:hyperlink>
    </w:p>
    <w:p w14:paraId="6675AB63" w14:textId="024BA0CF" w:rsidR="00BB49E8" w:rsidRPr="00BB530A" w:rsidRDefault="002E6043">
      <w:pPr>
        <w:pStyle w:val="TableofFigures"/>
        <w:tabs>
          <w:tab w:val="right" w:leader="dot" w:pos="9350"/>
        </w:tabs>
        <w:rPr>
          <w:rFonts w:eastAsiaTheme="minorEastAsia" w:cs="Times New Roman"/>
          <w:noProof/>
          <w:sz w:val="22"/>
        </w:rPr>
      </w:pPr>
      <w:hyperlink w:anchor="_Toc58667123" w:history="1">
        <w:r w:rsidR="00BB49E8" w:rsidRPr="00BB530A">
          <w:rPr>
            <w:rStyle w:val="Hyperlink"/>
            <w:rFonts w:eastAsia="Times New Roman" w:cs="Times New Roman"/>
            <w:noProof/>
          </w:rPr>
          <w:t>Table 2. 9— An example output of a paired t-test between the 500 ft parent well group and 800 ft parent well group with potential outcomes for 360-day cumulative production normalized to lateral length (bbl/ft).</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_Toc58667123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68</w:t>
        </w:r>
        <w:r w:rsidR="00BB49E8" w:rsidRPr="00BB530A">
          <w:rPr>
            <w:rFonts w:cs="Times New Roman"/>
            <w:noProof/>
            <w:webHidden/>
          </w:rPr>
          <w:fldChar w:fldCharType="end"/>
        </w:r>
      </w:hyperlink>
    </w:p>
    <w:p w14:paraId="4B3CF3BE" w14:textId="79663BB1" w:rsidR="00BB49E8" w:rsidRDefault="002E6043">
      <w:pPr>
        <w:pStyle w:val="TableofFigures"/>
        <w:tabs>
          <w:tab w:val="right" w:leader="dot" w:pos="9350"/>
        </w:tabs>
        <w:rPr>
          <w:rFonts w:asciiTheme="minorHAnsi" w:eastAsiaTheme="minorEastAsia" w:hAnsiTheme="minorHAnsi"/>
          <w:noProof/>
          <w:sz w:val="22"/>
        </w:rPr>
      </w:pPr>
      <w:hyperlink w:anchor="_Toc58667124" w:history="1">
        <w:r w:rsidR="00BB49E8" w:rsidRPr="00BB530A">
          <w:rPr>
            <w:rStyle w:val="Hyperlink"/>
            <w:rFonts w:cs="Times New Roman"/>
            <w:noProof/>
          </w:rPr>
          <w:t>Table 2. 10— Output from a paired t-test comparing 700 ft well spacing parent wells with 800 ft spacing parent wells for the outcome 180-day cumulative production normalized to lateral length (bbl/ft).</w:t>
        </w:r>
        <w:r w:rsidR="00BB49E8" w:rsidRPr="00BB530A">
          <w:rPr>
            <w:rFonts w:cs="Times New Roman"/>
            <w:noProof/>
            <w:webHidden/>
          </w:rPr>
          <w:tab/>
        </w:r>
        <w:r w:rsidR="00BB49E8" w:rsidRPr="00BB530A">
          <w:rPr>
            <w:rFonts w:cs="Times New Roman"/>
            <w:noProof/>
            <w:webHidden/>
          </w:rPr>
          <w:fldChar w:fldCharType="begin"/>
        </w:r>
        <w:r w:rsidR="00BB49E8" w:rsidRPr="00BB530A">
          <w:rPr>
            <w:rFonts w:cs="Times New Roman"/>
            <w:noProof/>
            <w:webHidden/>
          </w:rPr>
          <w:instrText xml:space="preserve"> PAGEREF _Toc58667124 \h </w:instrText>
        </w:r>
        <w:r w:rsidR="00BB49E8" w:rsidRPr="00BB530A">
          <w:rPr>
            <w:rFonts w:cs="Times New Roman"/>
            <w:noProof/>
            <w:webHidden/>
          </w:rPr>
        </w:r>
        <w:r w:rsidR="00BB49E8" w:rsidRPr="00BB530A">
          <w:rPr>
            <w:rFonts w:cs="Times New Roman"/>
            <w:noProof/>
            <w:webHidden/>
          </w:rPr>
          <w:fldChar w:fldCharType="separate"/>
        </w:r>
        <w:r w:rsidR="00D006A5">
          <w:rPr>
            <w:rFonts w:cs="Times New Roman"/>
            <w:noProof/>
            <w:webHidden/>
          </w:rPr>
          <w:t>71</w:t>
        </w:r>
        <w:r w:rsidR="00BB49E8" w:rsidRPr="00BB530A">
          <w:rPr>
            <w:rFonts w:cs="Times New Roman"/>
            <w:noProof/>
            <w:webHidden/>
          </w:rPr>
          <w:fldChar w:fldCharType="end"/>
        </w:r>
      </w:hyperlink>
    </w:p>
    <w:p w14:paraId="76AF4E1B" w14:textId="7C5FA6BF" w:rsidR="00195D3C" w:rsidRPr="00A94156" w:rsidRDefault="00195D3C" w:rsidP="00E250F2">
      <w:pPr>
        <w:pStyle w:val="Heading1"/>
        <w:rPr>
          <w:b w:val="0"/>
          <w:bCs w:val="0"/>
          <w:sz w:val="24"/>
          <w:szCs w:val="24"/>
        </w:rPr>
      </w:pPr>
      <w:r w:rsidRPr="00A94156">
        <w:rPr>
          <w:b w:val="0"/>
          <w:bCs w:val="0"/>
          <w:sz w:val="24"/>
          <w:szCs w:val="24"/>
        </w:rPr>
        <w:fldChar w:fldCharType="end"/>
      </w:r>
    </w:p>
    <w:p w14:paraId="44807303" w14:textId="77777777" w:rsidR="00195D3C" w:rsidRPr="00A94156" w:rsidRDefault="00195D3C" w:rsidP="00E250F2">
      <w:pPr>
        <w:pStyle w:val="Heading1"/>
        <w:rPr>
          <w:b w:val="0"/>
          <w:bCs w:val="0"/>
          <w:sz w:val="24"/>
          <w:szCs w:val="24"/>
        </w:rPr>
      </w:pPr>
    </w:p>
    <w:p w14:paraId="3828E6CE" w14:textId="395066EA" w:rsidR="00945A9B" w:rsidRPr="00A94156" w:rsidRDefault="00945A9B" w:rsidP="00853CD0">
      <w:pPr>
        <w:pStyle w:val="TableofFigures"/>
        <w:tabs>
          <w:tab w:val="right" w:leader="dot" w:pos="9350"/>
        </w:tabs>
        <w:rPr>
          <w:rFonts w:cs="Times New Roman"/>
          <w:szCs w:val="24"/>
        </w:rPr>
      </w:pPr>
    </w:p>
    <w:p w14:paraId="5C88FD0B" w14:textId="77777777" w:rsidR="00101691" w:rsidRPr="00A94156" w:rsidRDefault="00101691" w:rsidP="00101691">
      <w:pPr>
        <w:rPr>
          <w:rFonts w:cs="Times New Roman"/>
          <w:szCs w:val="24"/>
        </w:rPr>
      </w:pPr>
    </w:p>
    <w:p w14:paraId="507A6A2B" w14:textId="24BD8DF6" w:rsidR="0022722F" w:rsidRPr="00A94156" w:rsidRDefault="0022722F" w:rsidP="0022722F">
      <w:pPr>
        <w:rPr>
          <w:rFonts w:cs="Times New Roman"/>
          <w:szCs w:val="24"/>
        </w:rPr>
      </w:pPr>
    </w:p>
    <w:p w14:paraId="16FBCBA5" w14:textId="54C03209" w:rsidR="00503A4B" w:rsidRPr="00A94156" w:rsidRDefault="00503A4B" w:rsidP="0022722F">
      <w:pPr>
        <w:rPr>
          <w:rFonts w:cs="Times New Roman"/>
          <w:szCs w:val="24"/>
        </w:rPr>
      </w:pPr>
    </w:p>
    <w:p w14:paraId="6C4C6CD7" w14:textId="4AF871AF" w:rsidR="00503A4B" w:rsidRPr="00A94156" w:rsidRDefault="00503A4B" w:rsidP="0022722F">
      <w:pPr>
        <w:rPr>
          <w:rFonts w:cs="Times New Roman"/>
          <w:szCs w:val="24"/>
        </w:rPr>
      </w:pPr>
    </w:p>
    <w:p w14:paraId="382E30E6" w14:textId="5F16B7BA" w:rsidR="00503A4B" w:rsidRPr="00A94156" w:rsidRDefault="00503A4B" w:rsidP="0022722F">
      <w:pPr>
        <w:rPr>
          <w:rFonts w:cs="Times New Roman"/>
          <w:szCs w:val="24"/>
        </w:rPr>
      </w:pPr>
    </w:p>
    <w:p w14:paraId="0593420D" w14:textId="312B85CC" w:rsidR="00503A4B" w:rsidRDefault="00503A4B" w:rsidP="0022722F">
      <w:pPr>
        <w:rPr>
          <w:rFonts w:cs="Times New Roman"/>
          <w:szCs w:val="24"/>
        </w:rPr>
      </w:pPr>
    </w:p>
    <w:p w14:paraId="6DB8B454" w14:textId="28EB4B34" w:rsidR="001A6425" w:rsidRDefault="001A6425" w:rsidP="0022722F">
      <w:pPr>
        <w:rPr>
          <w:rFonts w:cs="Times New Roman"/>
          <w:szCs w:val="24"/>
        </w:rPr>
      </w:pPr>
    </w:p>
    <w:p w14:paraId="65B0CE99" w14:textId="599C6D12" w:rsidR="00885424" w:rsidRDefault="00885424" w:rsidP="0022722F">
      <w:pPr>
        <w:rPr>
          <w:rFonts w:cs="Times New Roman"/>
          <w:szCs w:val="24"/>
        </w:rPr>
      </w:pPr>
    </w:p>
    <w:p w14:paraId="6111394F" w14:textId="68F51481" w:rsidR="00885424" w:rsidRDefault="00885424" w:rsidP="0022722F">
      <w:pPr>
        <w:rPr>
          <w:rFonts w:cs="Times New Roman"/>
          <w:szCs w:val="24"/>
        </w:rPr>
      </w:pPr>
    </w:p>
    <w:p w14:paraId="1D2081EA" w14:textId="77777777" w:rsidR="00885424" w:rsidRPr="00A94156" w:rsidRDefault="00885424" w:rsidP="0022722F">
      <w:pPr>
        <w:rPr>
          <w:rFonts w:cs="Times New Roman"/>
          <w:szCs w:val="24"/>
        </w:rPr>
      </w:pPr>
    </w:p>
    <w:p w14:paraId="60FD1BEE" w14:textId="77777777" w:rsidR="00503A4B" w:rsidRPr="001A6425" w:rsidRDefault="00503A4B" w:rsidP="00503A4B">
      <w:pPr>
        <w:pStyle w:val="Heading1"/>
      </w:pPr>
      <w:bookmarkStart w:id="3" w:name="_Toc58667093"/>
      <w:r w:rsidRPr="001A6425">
        <w:lastRenderedPageBreak/>
        <w:t>List of Figures</w:t>
      </w:r>
      <w:bookmarkEnd w:id="3"/>
    </w:p>
    <w:p w14:paraId="1F507417" w14:textId="25898F2B" w:rsidR="00BB49E8" w:rsidRPr="005566AB" w:rsidRDefault="00503A4B">
      <w:pPr>
        <w:pStyle w:val="TableofFigures"/>
        <w:tabs>
          <w:tab w:val="right" w:leader="dot" w:pos="9350"/>
        </w:tabs>
        <w:rPr>
          <w:rFonts w:eastAsiaTheme="minorEastAsia" w:cs="Times New Roman"/>
          <w:noProof/>
          <w:szCs w:val="24"/>
        </w:rPr>
      </w:pPr>
      <w:r w:rsidRPr="005566AB">
        <w:rPr>
          <w:rFonts w:cs="Times New Roman"/>
          <w:szCs w:val="24"/>
        </w:rPr>
        <w:fldChar w:fldCharType="begin"/>
      </w:r>
      <w:r w:rsidRPr="005566AB">
        <w:rPr>
          <w:rFonts w:cs="Times New Roman"/>
          <w:szCs w:val="24"/>
        </w:rPr>
        <w:instrText xml:space="preserve"> TOC \h \z \c "Fig. 1." </w:instrText>
      </w:r>
      <w:r w:rsidRPr="005566AB">
        <w:rPr>
          <w:rFonts w:cs="Times New Roman"/>
          <w:szCs w:val="24"/>
        </w:rPr>
        <w:fldChar w:fldCharType="separate"/>
      </w:r>
      <w:hyperlink w:anchor="_Toc58667125" w:history="1">
        <w:r w:rsidR="00BB49E8" w:rsidRPr="005566AB">
          <w:rPr>
            <w:rStyle w:val="Hyperlink"/>
            <w:rFonts w:eastAsia="Times New Roman" w:cs="Times New Roman"/>
            <w:noProof/>
            <w:szCs w:val="24"/>
          </w:rPr>
          <w:t>Fig. 1. 1—Percentage of child and parent wells between years 2011 and 2018 (Xu et al.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_Toc58667125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2</w:t>
        </w:r>
        <w:r w:rsidR="00BB49E8" w:rsidRPr="005566AB">
          <w:rPr>
            <w:rFonts w:cs="Times New Roman"/>
            <w:noProof/>
            <w:webHidden/>
            <w:szCs w:val="24"/>
          </w:rPr>
          <w:fldChar w:fldCharType="end"/>
        </w:r>
      </w:hyperlink>
    </w:p>
    <w:p w14:paraId="6C825046" w14:textId="02F75329" w:rsidR="00BB49E8" w:rsidRPr="005566AB" w:rsidRDefault="002E6043">
      <w:pPr>
        <w:pStyle w:val="TableofFigures"/>
        <w:tabs>
          <w:tab w:val="right" w:leader="dot" w:pos="9350"/>
        </w:tabs>
        <w:rPr>
          <w:rFonts w:eastAsiaTheme="minorEastAsia" w:cs="Times New Roman"/>
          <w:noProof/>
          <w:szCs w:val="24"/>
        </w:rPr>
      </w:pPr>
      <w:hyperlink w:anchor="_Toc58667126" w:history="1">
        <w:r w:rsidR="00BB49E8" w:rsidRPr="005566AB">
          <w:rPr>
            <w:rStyle w:val="Hyperlink"/>
            <w:rFonts w:eastAsia="Times New Roman" w:cs="Times New Roman"/>
            <w:noProof/>
            <w:szCs w:val="24"/>
          </w:rPr>
          <w:t>Fig. 1. 2—(a) Inter-well communication in shales through hydraulic fracture network (b) Inter-well communication in shales through the matrix with no connected hydraulic fractures (c) Inter-well communication between parent and child wells through a natural fracture system (Gupta et al. 2020).</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_Toc58667126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w:t>
        </w:r>
        <w:r w:rsidR="00BB49E8" w:rsidRPr="005566AB">
          <w:rPr>
            <w:rFonts w:cs="Times New Roman"/>
            <w:noProof/>
            <w:webHidden/>
            <w:szCs w:val="24"/>
          </w:rPr>
          <w:fldChar w:fldCharType="end"/>
        </w:r>
      </w:hyperlink>
    </w:p>
    <w:p w14:paraId="5E4E76ED" w14:textId="16C28DF5" w:rsidR="00BB49E8" w:rsidRPr="005566AB" w:rsidRDefault="002E6043">
      <w:pPr>
        <w:pStyle w:val="TableofFigures"/>
        <w:tabs>
          <w:tab w:val="right" w:leader="dot" w:pos="9350"/>
        </w:tabs>
        <w:rPr>
          <w:rFonts w:eastAsiaTheme="minorEastAsia" w:cs="Times New Roman"/>
          <w:noProof/>
          <w:szCs w:val="24"/>
        </w:rPr>
      </w:pPr>
      <w:hyperlink w:anchor="_Toc58667127" w:history="1">
        <w:r w:rsidR="00BB49E8" w:rsidRPr="005566AB">
          <w:rPr>
            <w:rStyle w:val="Hyperlink"/>
            <w:rFonts w:cs="Times New Roman"/>
            <w:noProof/>
            <w:szCs w:val="24"/>
          </w:rPr>
          <w:t>Fig. 1. 3—Example showing the effect of a positive frac-hit (dotted black line) in Haynesville Shale. The parent well gets an uplift in its gas production rate (shown in red) after the child well gets completed in late 2014 (Esquivel and Blasingame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_Toc58667127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w:t>
        </w:r>
        <w:r w:rsidR="00BB49E8" w:rsidRPr="005566AB">
          <w:rPr>
            <w:rFonts w:cs="Times New Roman"/>
            <w:noProof/>
            <w:webHidden/>
            <w:szCs w:val="24"/>
          </w:rPr>
          <w:fldChar w:fldCharType="end"/>
        </w:r>
      </w:hyperlink>
    </w:p>
    <w:p w14:paraId="033558B7" w14:textId="0518BDD3" w:rsidR="00BB49E8" w:rsidRPr="005566AB" w:rsidRDefault="002E6043">
      <w:pPr>
        <w:pStyle w:val="TableofFigures"/>
        <w:tabs>
          <w:tab w:val="right" w:leader="dot" w:pos="9350"/>
        </w:tabs>
        <w:rPr>
          <w:rFonts w:eastAsiaTheme="minorEastAsia" w:cs="Times New Roman"/>
          <w:noProof/>
          <w:szCs w:val="24"/>
        </w:rPr>
      </w:pPr>
      <w:hyperlink w:anchor="_Toc58667128" w:history="1">
        <w:r w:rsidR="00BB49E8" w:rsidRPr="005566AB">
          <w:rPr>
            <w:rStyle w:val="Hyperlink"/>
            <w:rFonts w:eastAsia="Times New Roman" w:cs="Times New Roman"/>
            <w:noProof/>
            <w:szCs w:val="24"/>
          </w:rPr>
          <w:t>Fig. 1. 4—(a) Negative frac-hit from the child well on right with fractures growing in preferential manner towards the pressure depleted region of the parent well on left (b) Positive frac-hit between the child well on right and the parent well on left. Here the parent well has higher reservoir pressure and has not depleted as much in comparison (Kurtoglu and Salman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_Toc58667128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w:t>
        </w:r>
        <w:r w:rsidR="00BB49E8" w:rsidRPr="005566AB">
          <w:rPr>
            <w:rFonts w:cs="Times New Roman"/>
            <w:noProof/>
            <w:webHidden/>
            <w:szCs w:val="24"/>
          </w:rPr>
          <w:fldChar w:fldCharType="end"/>
        </w:r>
      </w:hyperlink>
    </w:p>
    <w:p w14:paraId="30990633" w14:textId="575DDADD" w:rsidR="00BB49E8" w:rsidRPr="005566AB" w:rsidRDefault="002E6043">
      <w:pPr>
        <w:pStyle w:val="TableofFigures"/>
        <w:tabs>
          <w:tab w:val="right" w:leader="dot" w:pos="9350"/>
        </w:tabs>
        <w:rPr>
          <w:rFonts w:eastAsiaTheme="minorEastAsia" w:cs="Times New Roman"/>
          <w:noProof/>
          <w:szCs w:val="24"/>
        </w:rPr>
      </w:pPr>
      <w:hyperlink w:anchor="_Toc58667129" w:history="1">
        <w:r w:rsidR="00BB49E8" w:rsidRPr="005566AB">
          <w:rPr>
            <w:rStyle w:val="Hyperlink"/>
            <w:rFonts w:cs="Times New Roman"/>
            <w:noProof/>
            <w:szCs w:val="24"/>
          </w:rPr>
          <w:t>Fig. 1. 5—Example showing the application of far-field diverters bridging the gap between a parent and child hydraulic fracture. This is used for preventing a frac-hit (Zhang et al. 2020).</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_Toc58667129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w:t>
        </w:r>
        <w:r w:rsidR="00BB49E8" w:rsidRPr="005566AB">
          <w:rPr>
            <w:rFonts w:cs="Times New Roman"/>
            <w:noProof/>
            <w:webHidden/>
            <w:szCs w:val="24"/>
          </w:rPr>
          <w:fldChar w:fldCharType="end"/>
        </w:r>
      </w:hyperlink>
    </w:p>
    <w:p w14:paraId="798FA253" w14:textId="577E908D" w:rsidR="00BB49E8" w:rsidRPr="005566AB" w:rsidRDefault="002E6043">
      <w:pPr>
        <w:pStyle w:val="TableofFigures"/>
        <w:tabs>
          <w:tab w:val="right" w:leader="dot" w:pos="9350"/>
        </w:tabs>
        <w:rPr>
          <w:rFonts w:eastAsiaTheme="minorEastAsia" w:cs="Times New Roman"/>
          <w:noProof/>
          <w:szCs w:val="24"/>
        </w:rPr>
      </w:pPr>
      <w:hyperlink w:anchor="_Toc58667130" w:history="1">
        <w:r w:rsidR="00BB49E8" w:rsidRPr="005566AB">
          <w:rPr>
            <w:rStyle w:val="Hyperlink"/>
            <w:rFonts w:cs="Times New Roman"/>
            <w:noProof/>
            <w:szCs w:val="24"/>
          </w:rPr>
          <w:t>Fig. 1. 6—(Top) Change point detection applied to a nuclear magnetic response during drilling of a well. (Bottom) Linear increase in run length and its reset to zero indicates the time until a change point occurs. Darker regions show high probability of a change (Adams and MacKay 2007).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13</w:t>
        </w:r>
        <w:r w:rsidR="00BB49E8" w:rsidRPr="005566AB">
          <w:rPr>
            <w:rFonts w:cs="Times New Roman"/>
            <w:noProof/>
            <w:webHidden/>
            <w:szCs w:val="24"/>
          </w:rPr>
          <w:fldChar w:fldCharType="end"/>
        </w:r>
      </w:hyperlink>
    </w:p>
    <w:p w14:paraId="16534C28" w14:textId="189CC558" w:rsidR="00BB49E8" w:rsidRPr="005566AB" w:rsidRDefault="002E6043">
      <w:pPr>
        <w:pStyle w:val="TableofFigures"/>
        <w:tabs>
          <w:tab w:val="right" w:leader="dot" w:pos="9350"/>
        </w:tabs>
        <w:rPr>
          <w:rFonts w:eastAsiaTheme="minorEastAsia" w:cs="Times New Roman"/>
          <w:noProof/>
          <w:szCs w:val="24"/>
        </w:rPr>
      </w:pPr>
      <w:hyperlink w:anchor="_Toc58667131" w:history="1">
        <w:r w:rsidR="00BB49E8" w:rsidRPr="005566AB">
          <w:rPr>
            <w:rStyle w:val="Hyperlink"/>
            <w:rFonts w:eastAsia="Times New Roman" w:cs="Times New Roman"/>
            <w:noProof/>
            <w:szCs w:val="24"/>
          </w:rPr>
          <w:t>Fig. 1. 7—Example of a multivariate heat map for PCP flow, speed and torque plotted over a period of 24 hours. Heat maps are shown for each 1-hour time window (Saghir et al.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17</w:t>
        </w:r>
        <w:r w:rsidR="00BB49E8" w:rsidRPr="005566AB">
          <w:rPr>
            <w:rFonts w:cs="Times New Roman"/>
            <w:noProof/>
            <w:webHidden/>
            <w:szCs w:val="24"/>
          </w:rPr>
          <w:fldChar w:fldCharType="end"/>
        </w:r>
      </w:hyperlink>
    </w:p>
    <w:p w14:paraId="149D53B4" w14:textId="57B63FF6" w:rsidR="00BB49E8" w:rsidRPr="005566AB" w:rsidRDefault="002E6043">
      <w:pPr>
        <w:pStyle w:val="TableofFigures"/>
        <w:tabs>
          <w:tab w:val="right" w:leader="dot" w:pos="9350"/>
        </w:tabs>
        <w:rPr>
          <w:rFonts w:eastAsiaTheme="minorEastAsia" w:cs="Times New Roman"/>
          <w:noProof/>
          <w:szCs w:val="24"/>
        </w:rPr>
      </w:pPr>
      <w:hyperlink w:anchor="_Toc58667132" w:history="1">
        <w:r w:rsidR="00BB49E8" w:rsidRPr="005566AB">
          <w:rPr>
            <w:rStyle w:val="Hyperlink"/>
            <w:rFonts w:eastAsia="Times New Roman" w:cs="Times New Roman"/>
            <w:noProof/>
            <w:szCs w:val="24"/>
          </w:rPr>
          <w:t>Fig. 1. 8—Example of the architecture in a digital oil field (Cadei et al. 2020).</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18</w:t>
        </w:r>
        <w:r w:rsidR="00BB49E8" w:rsidRPr="005566AB">
          <w:rPr>
            <w:rFonts w:cs="Times New Roman"/>
            <w:noProof/>
            <w:webHidden/>
            <w:szCs w:val="24"/>
          </w:rPr>
          <w:fldChar w:fldCharType="end"/>
        </w:r>
      </w:hyperlink>
    </w:p>
    <w:p w14:paraId="40809D75" w14:textId="4D388344" w:rsidR="00BB49E8" w:rsidRPr="005566AB" w:rsidRDefault="002E6043">
      <w:pPr>
        <w:pStyle w:val="TableofFigures"/>
        <w:tabs>
          <w:tab w:val="right" w:leader="dot" w:pos="9350"/>
        </w:tabs>
        <w:rPr>
          <w:rFonts w:cs="Times New Roman"/>
          <w:noProof/>
          <w:szCs w:val="24"/>
        </w:rPr>
      </w:pPr>
      <w:hyperlink w:anchor="_Toc58667133" w:history="1">
        <w:r w:rsidR="00BB49E8" w:rsidRPr="005566AB">
          <w:rPr>
            <w:rStyle w:val="Hyperlink"/>
            <w:rFonts w:eastAsia="Times New Roman" w:cs="Times New Roman"/>
            <w:noProof/>
            <w:szCs w:val="24"/>
          </w:rPr>
          <w:t>Fig. 1. 9—Self-adjusting detection system using a dynamic threshold and a model statistic</w:t>
        </w:r>
        <w:r w:rsidR="00BB49E8" w:rsidRPr="005566AB">
          <w:rPr>
            <w:rStyle w:val="Hyperlink"/>
            <w:rFonts w:cs="Times New Roman"/>
            <w:noProof/>
            <w:szCs w:val="24"/>
          </w:rPr>
          <w:t xml:space="preserve"> </w:t>
        </w:r>
        <w:r w:rsidR="00BB49E8" w:rsidRPr="005566AB">
          <w:rPr>
            <w:rStyle w:val="Hyperlink"/>
            <w:rFonts w:eastAsia="Times New Roman" w:cs="Times New Roman"/>
            <w:noProof/>
            <w:szCs w:val="24"/>
          </w:rPr>
          <w:t>(Snyder et al.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19</w:t>
        </w:r>
        <w:r w:rsidR="00BB49E8" w:rsidRPr="005566AB">
          <w:rPr>
            <w:rFonts w:cs="Times New Roman"/>
            <w:noProof/>
            <w:webHidden/>
            <w:szCs w:val="24"/>
          </w:rPr>
          <w:fldChar w:fldCharType="end"/>
        </w:r>
      </w:hyperlink>
      <w:r w:rsidR="00503A4B" w:rsidRPr="005566AB">
        <w:rPr>
          <w:rFonts w:cs="Times New Roman"/>
          <w:szCs w:val="24"/>
        </w:rPr>
        <w:fldChar w:fldCharType="end"/>
      </w:r>
      <w:r w:rsidR="0027656C" w:rsidRPr="005566AB">
        <w:rPr>
          <w:rFonts w:cs="Times New Roman"/>
          <w:szCs w:val="24"/>
        </w:rPr>
        <w:fldChar w:fldCharType="begin"/>
      </w:r>
      <w:r w:rsidR="0027656C" w:rsidRPr="005566AB">
        <w:rPr>
          <w:rFonts w:cs="Times New Roman"/>
          <w:szCs w:val="24"/>
        </w:rPr>
        <w:instrText xml:space="preserve"> TOC \h \z \c "Fig. 2." </w:instrText>
      </w:r>
      <w:r w:rsidR="0027656C" w:rsidRPr="005566AB">
        <w:rPr>
          <w:rFonts w:cs="Times New Roman"/>
          <w:szCs w:val="24"/>
        </w:rPr>
        <w:fldChar w:fldCharType="separate"/>
      </w:r>
    </w:p>
    <w:p w14:paraId="31497B06" w14:textId="7390F47F" w:rsidR="00BB49E8" w:rsidRPr="005566AB" w:rsidRDefault="002E6043">
      <w:pPr>
        <w:pStyle w:val="TableofFigures"/>
        <w:tabs>
          <w:tab w:val="right" w:leader="dot" w:pos="9350"/>
        </w:tabs>
        <w:rPr>
          <w:rFonts w:eastAsiaTheme="minorEastAsia" w:cs="Times New Roman"/>
          <w:noProof/>
          <w:szCs w:val="24"/>
        </w:rPr>
      </w:pPr>
      <w:hyperlink w:anchor="_Toc58667134" w:history="1">
        <w:r w:rsidR="00BB49E8" w:rsidRPr="005566AB">
          <w:rPr>
            <w:rStyle w:val="Hyperlink"/>
            <w:rFonts w:cs="Times New Roman"/>
            <w:noProof/>
            <w:szCs w:val="24"/>
          </w:rPr>
          <w:t>Fig. 2. 1— Divorce rate in Maine and per capita consumption of margarine plotted versus time between years 2000 and 2009 https://blogs.ams.org/blogonmathblogs/2017/04/10/divorce-and-margarine/ (accessed 11 October 2020) (Vigen 2014).</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21</w:t>
        </w:r>
        <w:r w:rsidR="00BB49E8" w:rsidRPr="005566AB">
          <w:rPr>
            <w:rFonts w:cs="Times New Roman"/>
            <w:noProof/>
            <w:webHidden/>
            <w:szCs w:val="24"/>
          </w:rPr>
          <w:fldChar w:fldCharType="end"/>
        </w:r>
      </w:hyperlink>
    </w:p>
    <w:p w14:paraId="6B016B45" w14:textId="00540039" w:rsidR="00BB49E8" w:rsidRPr="005566AB" w:rsidRDefault="002E6043">
      <w:pPr>
        <w:pStyle w:val="TableofFigures"/>
        <w:tabs>
          <w:tab w:val="right" w:leader="dot" w:pos="9350"/>
        </w:tabs>
        <w:rPr>
          <w:rFonts w:eastAsiaTheme="minorEastAsia" w:cs="Times New Roman"/>
          <w:noProof/>
          <w:szCs w:val="24"/>
        </w:rPr>
      </w:pPr>
      <w:hyperlink w:anchor="_Toc58667135" w:history="1">
        <w:r w:rsidR="00BB49E8" w:rsidRPr="005566AB">
          <w:rPr>
            <w:rStyle w:val="Hyperlink"/>
            <w:rFonts w:cs="Times New Roman"/>
            <w:noProof/>
            <w:szCs w:val="24"/>
          </w:rPr>
          <w:t xml:space="preserve">Fig. 2. 2—Rooster’s crow heralds the sunrise https://www.trialrun.us/roosters-crow-causes-sun-rise-eat-chocolate-win-nobel-prize-statements-not-make-sense-blog-will/ (accessed 11 October 2020) </w:t>
        </w:r>
        <w:r w:rsidR="00BB49E8" w:rsidRPr="005566AB">
          <w:rPr>
            <w:rStyle w:val="Hyperlink"/>
            <w:rFonts w:eastAsia="Times New Roman" w:cs="Times New Roman"/>
            <w:noProof/>
            <w:szCs w:val="24"/>
          </w:rPr>
          <w:t>(Trial Run 2020).</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22</w:t>
        </w:r>
        <w:r w:rsidR="00BB49E8" w:rsidRPr="005566AB">
          <w:rPr>
            <w:rFonts w:cs="Times New Roman"/>
            <w:noProof/>
            <w:webHidden/>
            <w:szCs w:val="24"/>
          </w:rPr>
          <w:fldChar w:fldCharType="end"/>
        </w:r>
      </w:hyperlink>
    </w:p>
    <w:p w14:paraId="307D2AF5" w14:textId="5F9CFB1E" w:rsidR="00BB49E8" w:rsidRPr="005566AB" w:rsidRDefault="002E6043">
      <w:pPr>
        <w:pStyle w:val="TableofFigures"/>
        <w:tabs>
          <w:tab w:val="right" w:leader="dot" w:pos="9350"/>
        </w:tabs>
        <w:rPr>
          <w:rFonts w:eastAsiaTheme="minorEastAsia" w:cs="Times New Roman"/>
          <w:noProof/>
          <w:szCs w:val="24"/>
        </w:rPr>
      </w:pPr>
      <w:hyperlink w:anchor="_Toc58667136" w:history="1">
        <w:r w:rsidR="00BB49E8" w:rsidRPr="005566AB">
          <w:rPr>
            <w:rStyle w:val="Hyperlink"/>
            <w:rFonts w:cs="Times New Roman"/>
            <w:noProof/>
            <w:szCs w:val="24"/>
          </w:rPr>
          <w:t>Fig. 2. 3—Controversial advertisement in 1948 reassures the public that smoking is not injurious to health (Pearl and Mackenzie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23</w:t>
        </w:r>
        <w:r w:rsidR="00BB49E8" w:rsidRPr="005566AB">
          <w:rPr>
            <w:rFonts w:cs="Times New Roman"/>
            <w:noProof/>
            <w:webHidden/>
            <w:szCs w:val="24"/>
          </w:rPr>
          <w:fldChar w:fldCharType="end"/>
        </w:r>
      </w:hyperlink>
    </w:p>
    <w:p w14:paraId="4CE5BA44" w14:textId="403B8DA7" w:rsidR="00BB49E8" w:rsidRPr="005566AB" w:rsidRDefault="002E6043">
      <w:pPr>
        <w:pStyle w:val="TableofFigures"/>
        <w:tabs>
          <w:tab w:val="right" w:leader="dot" w:pos="9350"/>
        </w:tabs>
        <w:rPr>
          <w:rFonts w:eastAsiaTheme="minorEastAsia" w:cs="Times New Roman"/>
          <w:noProof/>
          <w:szCs w:val="24"/>
        </w:rPr>
      </w:pPr>
      <w:hyperlink w:anchor="_Toc58667137" w:history="1">
        <w:r w:rsidR="00BB49E8" w:rsidRPr="005566AB">
          <w:rPr>
            <w:rStyle w:val="Hyperlink"/>
            <w:rFonts w:cs="Times New Roman"/>
            <w:noProof/>
            <w:szCs w:val="24"/>
          </w:rPr>
          <w:t>Fig. 2. 4—Example of potential outcomes illustrating the fundamental problem of causal inference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28</w:t>
        </w:r>
        <w:r w:rsidR="00BB49E8" w:rsidRPr="005566AB">
          <w:rPr>
            <w:rFonts w:cs="Times New Roman"/>
            <w:noProof/>
            <w:webHidden/>
            <w:szCs w:val="24"/>
          </w:rPr>
          <w:fldChar w:fldCharType="end"/>
        </w:r>
      </w:hyperlink>
    </w:p>
    <w:p w14:paraId="2427A490" w14:textId="2DA49CEE" w:rsidR="00BB49E8" w:rsidRPr="005566AB" w:rsidRDefault="002E6043">
      <w:pPr>
        <w:pStyle w:val="TableofFigures"/>
        <w:tabs>
          <w:tab w:val="right" w:leader="dot" w:pos="9350"/>
        </w:tabs>
        <w:rPr>
          <w:rFonts w:eastAsiaTheme="minorEastAsia" w:cs="Times New Roman"/>
          <w:noProof/>
          <w:szCs w:val="24"/>
        </w:rPr>
      </w:pPr>
      <w:hyperlink w:anchor="_Toc58667138" w:history="1">
        <w:r w:rsidR="00BB49E8" w:rsidRPr="005566AB">
          <w:rPr>
            <w:rStyle w:val="Hyperlink"/>
            <w:rFonts w:cs="Times New Roman"/>
            <w:noProof/>
            <w:szCs w:val="24"/>
          </w:rPr>
          <w:t>Fig. 2. 5— An example of a simple directed graph</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30</w:t>
        </w:r>
        <w:r w:rsidR="00BB49E8" w:rsidRPr="005566AB">
          <w:rPr>
            <w:rFonts w:cs="Times New Roman"/>
            <w:noProof/>
            <w:webHidden/>
            <w:szCs w:val="24"/>
          </w:rPr>
          <w:fldChar w:fldCharType="end"/>
        </w:r>
      </w:hyperlink>
    </w:p>
    <w:p w14:paraId="1FE0E455" w14:textId="6D81D0C2" w:rsidR="00BB49E8" w:rsidRPr="005566AB" w:rsidRDefault="002E6043">
      <w:pPr>
        <w:pStyle w:val="TableofFigures"/>
        <w:tabs>
          <w:tab w:val="right" w:leader="dot" w:pos="9350"/>
        </w:tabs>
        <w:rPr>
          <w:rFonts w:eastAsiaTheme="minorEastAsia" w:cs="Times New Roman"/>
          <w:noProof/>
          <w:szCs w:val="24"/>
        </w:rPr>
      </w:pPr>
      <w:hyperlink w:anchor="_Toc58667139" w:history="1">
        <w:r w:rsidR="00BB49E8" w:rsidRPr="005566AB">
          <w:rPr>
            <w:rStyle w:val="Hyperlink"/>
            <w:rFonts w:cs="Times New Roman"/>
            <w:noProof/>
            <w:szCs w:val="24"/>
          </w:rPr>
          <w:t>Fig. 2. 6— An example of a directed acyclic graph (DAG)</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_Toc58667139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31</w:t>
        </w:r>
        <w:r w:rsidR="00BB49E8" w:rsidRPr="005566AB">
          <w:rPr>
            <w:rFonts w:cs="Times New Roman"/>
            <w:noProof/>
            <w:webHidden/>
            <w:szCs w:val="24"/>
          </w:rPr>
          <w:fldChar w:fldCharType="end"/>
        </w:r>
      </w:hyperlink>
    </w:p>
    <w:p w14:paraId="11A45751" w14:textId="388C6B10" w:rsidR="00BB49E8" w:rsidRPr="005566AB" w:rsidRDefault="002E6043">
      <w:pPr>
        <w:pStyle w:val="TableofFigures"/>
        <w:tabs>
          <w:tab w:val="right" w:leader="dot" w:pos="9350"/>
        </w:tabs>
        <w:rPr>
          <w:rFonts w:eastAsiaTheme="minorEastAsia" w:cs="Times New Roman"/>
          <w:noProof/>
          <w:szCs w:val="24"/>
        </w:rPr>
      </w:pPr>
      <w:hyperlink w:anchor="_Toc58667140" w:history="1">
        <w:r w:rsidR="00BB49E8" w:rsidRPr="005566AB">
          <w:rPr>
            <w:rStyle w:val="Hyperlink"/>
            <w:rFonts w:cs="Times New Roman"/>
            <w:noProof/>
            <w:szCs w:val="24"/>
          </w:rPr>
          <w:t>Fig. 2. 7— Conditioning on a confounder X.</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31</w:t>
        </w:r>
        <w:r w:rsidR="00BB49E8" w:rsidRPr="005566AB">
          <w:rPr>
            <w:rFonts w:cs="Times New Roman"/>
            <w:noProof/>
            <w:webHidden/>
            <w:szCs w:val="24"/>
          </w:rPr>
          <w:fldChar w:fldCharType="end"/>
        </w:r>
      </w:hyperlink>
    </w:p>
    <w:p w14:paraId="68B66802" w14:textId="158009ED" w:rsidR="00BB49E8" w:rsidRPr="005566AB" w:rsidRDefault="002E6043">
      <w:pPr>
        <w:pStyle w:val="TableofFigures"/>
        <w:tabs>
          <w:tab w:val="right" w:leader="dot" w:pos="9350"/>
        </w:tabs>
        <w:rPr>
          <w:rFonts w:eastAsiaTheme="minorEastAsia" w:cs="Times New Roman"/>
          <w:noProof/>
          <w:szCs w:val="24"/>
        </w:rPr>
      </w:pPr>
      <w:hyperlink w:anchor="_Toc58667141" w:history="1">
        <w:r w:rsidR="00BB49E8" w:rsidRPr="005566AB">
          <w:rPr>
            <w:rStyle w:val="Hyperlink"/>
            <w:rFonts w:cs="Times New Roman"/>
            <w:noProof/>
            <w:szCs w:val="24"/>
          </w:rPr>
          <w:t>Fig. 2. 8— A plot of actual 360-day cumulative production normalized to lateral length (bbl/ft) for all wells versus proppant weight  normalized to lateral length (lb/ft).</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34</w:t>
        </w:r>
        <w:r w:rsidR="00BB49E8" w:rsidRPr="005566AB">
          <w:rPr>
            <w:rFonts w:cs="Times New Roman"/>
            <w:noProof/>
            <w:webHidden/>
            <w:szCs w:val="24"/>
          </w:rPr>
          <w:fldChar w:fldCharType="end"/>
        </w:r>
      </w:hyperlink>
    </w:p>
    <w:p w14:paraId="38C10DA9" w14:textId="44169866" w:rsidR="00BB49E8" w:rsidRPr="005566AB" w:rsidRDefault="002E6043">
      <w:pPr>
        <w:pStyle w:val="TableofFigures"/>
        <w:tabs>
          <w:tab w:val="right" w:leader="dot" w:pos="9350"/>
        </w:tabs>
        <w:rPr>
          <w:rFonts w:eastAsiaTheme="minorEastAsia" w:cs="Times New Roman"/>
          <w:noProof/>
          <w:szCs w:val="24"/>
        </w:rPr>
      </w:pPr>
      <w:hyperlink w:anchor="_Toc58667142" w:history="1">
        <w:r w:rsidR="00BB49E8" w:rsidRPr="005566AB">
          <w:rPr>
            <w:rStyle w:val="Hyperlink"/>
            <w:rFonts w:cs="Times New Roman"/>
            <w:noProof/>
            <w:szCs w:val="24"/>
          </w:rPr>
          <w:t>Fig. 2. 9— A plot of actual 360-day cumulative production normalized to lateral length (bbl/ft) for all wells versus fracture fluid volume normalized to lateral length (bbl/ft).</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34</w:t>
        </w:r>
        <w:r w:rsidR="00BB49E8" w:rsidRPr="005566AB">
          <w:rPr>
            <w:rFonts w:cs="Times New Roman"/>
            <w:noProof/>
            <w:webHidden/>
            <w:szCs w:val="24"/>
          </w:rPr>
          <w:fldChar w:fldCharType="end"/>
        </w:r>
      </w:hyperlink>
    </w:p>
    <w:p w14:paraId="6135ECAD" w14:textId="300F3658" w:rsidR="00BB49E8" w:rsidRPr="005566AB" w:rsidRDefault="002E6043">
      <w:pPr>
        <w:pStyle w:val="TableofFigures"/>
        <w:tabs>
          <w:tab w:val="right" w:leader="dot" w:pos="9350"/>
        </w:tabs>
        <w:rPr>
          <w:rFonts w:eastAsiaTheme="minorEastAsia" w:cs="Times New Roman"/>
          <w:noProof/>
          <w:szCs w:val="24"/>
        </w:rPr>
      </w:pPr>
      <w:hyperlink w:anchor="_Toc58667143" w:history="1">
        <w:r w:rsidR="00BB49E8" w:rsidRPr="005566AB">
          <w:rPr>
            <w:rStyle w:val="Hyperlink"/>
            <w:rFonts w:cs="Times New Roman"/>
            <w:noProof/>
            <w:szCs w:val="24"/>
          </w:rPr>
          <w:t>Fig. 2. 10— A Scree plot showing that 80% of cumulative variance (y-axis) is represented by 5 Principal components (x-axis).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35</w:t>
        </w:r>
        <w:r w:rsidR="00BB49E8" w:rsidRPr="005566AB">
          <w:rPr>
            <w:rFonts w:cs="Times New Roman"/>
            <w:noProof/>
            <w:webHidden/>
            <w:szCs w:val="24"/>
          </w:rPr>
          <w:fldChar w:fldCharType="end"/>
        </w:r>
      </w:hyperlink>
    </w:p>
    <w:p w14:paraId="6CC59258" w14:textId="0FAFD9EE" w:rsidR="00BB49E8" w:rsidRPr="005566AB" w:rsidRDefault="002E6043">
      <w:pPr>
        <w:pStyle w:val="TableofFigures"/>
        <w:tabs>
          <w:tab w:val="right" w:leader="dot" w:pos="9350"/>
        </w:tabs>
        <w:rPr>
          <w:rFonts w:eastAsiaTheme="minorEastAsia" w:cs="Times New Roman"/>
          <w:noProof/>
          <w:szCs w:val="24"/>
        </w:rPr>
      </w:pPr>
      <w:hyperlink w:anchor="_Toc58667144" w:history="1">
        <w:r w:rsidR="00BB49E8" w:rsidRPr="005566AB">
          <w:rPr>
            <w:rStyle w:val="Hyperlink"/>
            <w:rFonts w:cs="Times New Roman"/>
            <w:noProof/>
            <w:szCs w:val="24"/>
          </w:rPr>
          <w:t>Fig. 2. 11—Association between well spacing, covariates and well performance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38</w:t>
        </w:r>
        <w:r w:rsidR="00BB49E8" w:rsidRPr="005566AB">
          <w:rPr>
            <w:rFonts w:cs="Times New Roman"/>
            <w:noProof/>
            <w:webHidden/>
            <w:szCs w:val="24"/>
          </w:rPr>
          <w:fldChar w:fldCharType="end"/>
        </w:r>
      </w:hyperlink>
    </w:p>
    <w:p w14:paraId="728C3094" w14:textId="34A8F4EE" w:rsidR="00BB49E8" w:rsidRPr="005566AB" w:rsidRDefault="002E6043">
      <w:pPr>
        <w:pStyle w:val="TableofFigures"/>
        <w:tabs>
          <w:tab w:val="right" w:leader="dot" w:pos="9350"/>
        </w:tabs>
        <w:rPr>
          <w:rFonts w:eastAsiaTheme="minorEastAsia" w:cs="Times New Roman"/>
          <w:noProof/>
          <w:szCs w:val="24"/>
        </w:rPr>
      </w:pPr>
      <w:hyperlink w:anchor="_Toc58667145" w:history="1">
        <w:r w:rsidR="00BB49E8" w:rsidRPr="005566AB">
          <w:rPr>
            <w:rStyle w:val="Hyperlink"/>
            <w:rFonts w:cs="Times New Roman"/>
            <w:noProof/>
            <w:szCs w:val="24"/>
          </w:rPr>
          <w:t>Fig. 2. 12—(a) Plot of propensity score versus proppant weight normalized to lateral length (lb/ft) for unmatched child wells (b) Plot of propensity score versus proppant weight normalized to lateral length (lb/ft) for unmatched parent wells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41</w:t>
        </w:r>
        <w:r w:rsidR="00BB49E8" w:rsidRPr="005566AB">
          <w:rPr>
            <w:rFonts w:cs="Times New Roman"/>
            <w:noProof/>
            <w:webHidden/>
            <w:szCs w:val="24"/>
          </w:rPr>
          <w:fldChar w:fldCharType="end"/>
        </w:r>
      </w:hyperlink>
    </w:p>
    <w:p w14:paraId="07308C4A" w14:textId="4E6CB70B" w:rsidR="00BB49E8" w:rsidRPr="005566AB" w:rsidRDefault="002E6043">
      <w:pPr>
        <w:pStyle w:val="TableofFigures"/>
        <w:tabs>
          <w:tab w:val="right" w:leader="dot" w:pos="9350"/>
        </w:tabs>
        <w:rPr>
          <w:rFonts w:eastAsiaTheme="minorEastAsia" w:cs="Times New Roman"/>
          <w:noProof/>
          <w:szCs w:val="24"/>
        </w:rPr>
      </w:pPr>
      <w:hyperlink w:anchor="_Toc58667146" w:history="1">
        <w:r w:rsidR="00BB49E8" w:rsidRPr="005566AB">
          <w:rPr>
            <w:rStyle w:val="Hyperlink"/>
            <w:rFonts w:cs="Times New Roman"/>
            <w:noProof/>
            <w:szCs w:val="24"/>
          </w:rPr>
          <w:t>Fig. 2. 13—(a) Plot of propensity score versus fracture fluid volume normalized to lateral length (bbl/ft) for unmatched child wells (b) Plot of propensity score versus fracture fluid volume normalized to lateral length (bbl/ft) for unmatched parent wells.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43</w:t>
        </w:r>
        <w:r w:rsidR="00BB49E8" w:rsidRPr="005566AB">
          <w:rPr>
            <w:rFonts w:cs="Times New Roman"/>
            <w:noProof/>
            <w:webHidden/>
            <w:szCs w:val="24"/>
          </w:rPr>
          <w:fldChar w:fldCharType="end"/>
        </w:r>
      </w:hyperlink>
    </w:p>
    <w:p w14:paraId="6C82A35C" w14:textId="76572EB0" w:rsidR="00BB49E8" w:rsidRPr="005566AB" w:rsidRDefault="002E6043">
      <w:pPr>
        <w:pStyle w:val="TableofFigures"/>
        <w:tabs>
          <w:tab w:val="right" w:leader="dot" w:pos="9350"/>
        </w:tabs>
        <w:rPr>
          <w:rFonts w:eastAsiaTheme="minorEastAsia" w:cs="Times New Roman"/>
          <w:noProof/>
          <w:szCs w:val="24"/>
        </w:rPr>
      </w:pPr>
      <w:hyperlink w:anchor="_Toc58667147" w:history="1">
        <w:r w:rsidR="00BB49E8" w:rsidRPr="005566AB">
          <w:rPr>
            <w:rStyle w:val="Hyperlink"/>
            <w:rFonts w:cs="Times New Roman"/>
            <w:noProof/>
            <w:szCs w:val="24"/>
          </w:rPr>
          <w:t>Fig. 2. 14—(a) Plot of propensity score versus true vertical depth (ft) for unmatched child wells (b) Plot of propensity score versus true vertical depth (ft) for unmatched parent wells.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44</w:t>
        </w:r>
        <w:r w:rsidR="00BB49E8" w:rsidRPr="005566AB">
          <w:rPr>
            <w:rFonts w:cs="Times New Roman"/>
            <w:noProof/>
            <w:webHidden/>
            <w:szCs w:val="24"/>
          </w:rPr>
          <w:fldChar w:fldCharType="end"/>
        </w:r>
      </w:hyperlink>
    </w:p>
    <w:p w14:paraId="6AC1EE44" w14:textId="66999C66" w:rsidR="00BB49E8" w:rsidRPr="005566AB" w:rsidRDefault="002E6043">
      <w:pPr>
        <w:pStyle w:val="TableofFigures"/>
        <w:tabs>
          <w:tab w:val="right" w:leader="dot" w:pos="9350"/>
        </w:tabs>
        <w:rPr>
          <w:rFonts w:eastAsiaTheme="minorEastAsia" w:cs="Times New Roman"/>
          <w:noProof/>
          <w:szCs w:val="24"/>
        </w:rPr>
      </w:pPr>
      <w:hyperlink w:anchor="_Toc58667148" w:history="1">
        <w:r w:rsidR="00BB49E8" w:rsidRPr="005566AB">
          <w:rPr>
            <w:rStyle w:val="Hyperlink"/>
            <w:rFonts w:cs="Times New Roman"/>
            <w:noProof/>
            <w:szCs w:val="24"/>
          </w:rPr>
          <w:t>Fig. 2. 15—(a) Distribution of propensity score for unmatched child wells (b) Distribution of propensity score for unmatched parent wells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46</w:t>
        </w:r>
        <w:r w:rsidR="00BB49E8" w:rsidRPr="005566AB">
          <w:rPr>
            <w:rFonts w:cs="Times New Roman"/>
            <w:noProof/>
            <w:webHidden/>
            <w:szCs w:val="24"/>
          </w:rPr>
          <w:fldChar w:fldCharType="end"/>
        </w:r>
      </w:hyperlink>
    </w:p>
    <w:p w14:paraId="2CDE8BA2" w14:textId="7C775625" w:rsidR="00BB49E8" w:rsidRPr="005566AB" w:rsidRDefault="002E6043">
      <w:pPr>
        <w:pStyle w:val="TableofFigures"/>
        <w:tabs>
          <w:tab w:val="right" w:leader="dot" w:pos="9350"/>
        </w:tabs>
        <w:rPr>
          <w:rFonts w:eastAsiaTheme="minorEastAsia" w:cs="Times New Roman"/>
          <w:noProof/>
          <w:szCs w:val="24"/>
        </w:rPr>
      </w:pPr>
      <w:hyperlink w:anchor="_Toc58667149" w:history="1">
        <w:r w:rsidR="00BB49E8" w:rsidRPr="005566AB">
          <w:rPr>
            <w:rStyle w:val="Hyperlink"/>
            <w:rFonts w:cs="Times New Roman"/>
            <w:noProof/>
            <w:szCs w:val="24"/>
          </w:rPr>
          <w:t>Fig. 2. 16—True vertical depth (ft) box plots for parent (0) and child (1) well group.</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_Toc58667149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47</w:t>
        </w:r>
        <w:r w:rsidR="00BB49E8" w:rsidRPr="005566AB">
          <w:rPr>
            <w:rFonts w:cs="Times New Roman"/>
            <w:noProof/>
            <w:webHidden/>
            <w:szCs w:val="24"/>
          </w:rPr>
          <w:fldChar w:fldCharType="end"/>
        </w:r>
      </w:hyperlink>
    </w:p>
    <w:p w14:paraId="709F9306" w14:textId="2E2AC27B" w:rsidR="00BB49E8" w:rsidRPr="005566AB" w:rsidRDefault="002E6043">
      <w:pPr>
        <w:pStyle w:val="TableofFigures"/>
        <w:tabs>
          <w:tab w:val="right" w:leader="dot" w:pos="9350"/>
        </w:tabs>
        <w:rPr>
          <w:rFonts w:eastAsiaTheme="minorEastAsia" w:cs="Times New Roman"/>
          <w:noProof/>
          <w:szCs w:val="24"/>
        </w:rPr>
      </w:pPr>
      <w:hyperlink w:anchor="_Toc58667150" w:history="1">
        <w:r w:rsidR="00BB49E8" w:rsidRPr="005566AB">
          <w:rPr>
            <w:rStyle w:val="Hyperlink"/>
            <w:rFonts w:cs="Times New Roman"/>
            <w:noProof/>
            <w:szCs w:val="24"/>
          </w:rPr>
          <w:t>Fig. 2. 17—Proppant weight normalized to lateral length (lb/ft) box plots for parent (0) and child (1) well group.</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47</w:t>
        </w:r>
        <w:r w:rsidR="00BB49E8" w:rsidRPr="005566AB">
          <w:rPr>
            <w:rFonts w:cs="Times New Roman"/>
            <w:noProof/>
            <w:webHidden/>
            <w:szCs w:val="24"/>
          </w:rPr>
          <w:fldChar w:fldCharType="end"/>
        </w:r>
      </w:hyperlink>
    </w:p>
    <w:p w14:paraId="34D850D4" w14:textId="295EFBD4" w:rsidR="00BB49E8" w:rsidRPr="005566AB" w:rsidRDefault="002E6043">
      <w:pPr>
        <w:pStyle w:val="TableofFigures"/>
        <w:tabs>
          <w:tab w:val="right" w:leader="dot" w:pos="9350"/>
        </w:tabs>
        <w:rPr>
          <w:rFonts w:eastAsiaTheme="minorEastAsia" w:cs="Times New Roman"/>
          <w:noProof/>
          <w:szCs w:val="24"/>
        </w:rPr>
      </w:pPr>
      <w:hyperlink w:anchor="_Toc58667151" w:history="1">
        <w:r w:rsidR="00BB49E8" w:rsidRPr="005566AB">
          <w:rPr>
            <w:rStyle w:val="Hyperlink"/>
            <w:rFonts w:cs="Times New Roman"/>
            <w:noProof/>
            <w:szCs w:val="24"/>
          </w:rPr>
          <w:t>Fig. 2. 18—Fracture fluid volume normalized to lateral length (bbl/ft) box plots for parent (0) and child (1) well group.</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48</w:t>
        </w:r>
        <w:r w:rsidR="00BB49E8" w:rsidRPr="005566AB">
          <w:rPr>
            <w:rFonts w:cs="Times New Roman"/>
            <w:noProof/>
            <w:webHidden/>
            <w:szCs w:val="24"/>
          </w:rPr>
          <w:fldChar w:fldCharType="end"/>
        </w:r>
      </w:hyperlink>
    </w:p>
    <w:p w14:paraId="69A1B466" w14:textId="7549AF50" w:rsidR="00BB49E8" w:rsidRPr="005566AB" w:rsidRDefault="002E6043">
      <w:pPr>
        <w:pStyle w:val="TableofFigures"/>
        <w:tabs>
          <w:tab w:val="right" w:leader="dot" w:pos="9350"/>
        </w:tabs>
        <w:rPr>
          <w:rFonts w:eastAsiaTheme="minorEastAsia" w:cs="Times New Roman"/>
          <w:noProof/>
          <w:szCs w:val="24"/>
        </w:rPr>
      </w:pPr>
      <w:hyperlink w:anchor="_Toc58667152" w:history="1">
        <w:r w:rsidR="00BB49E8" w:rsidRPr="005566AB">
          <w:rPr>
            <w:rStyle w:val="Hyperlink"/>
            <w:rFonts w:cs="Times New Roman"/>
            <w:noProof/>
            <w:szCs w:val="24"/>
          </w:rPr>
          <w:t>Fig. 2. 19—(a) Plot of propensity score versus proppant weight normalized to lateral length (lb/ft) for matched child wells (b) Plot of propensity score versus proppant weight normalized to lateral length (lb/ft) for matched parent wells.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52</w:t>
        </w:r>
        <w:r w:rsidR="00BB49E8" w:rsidRPr="005566AB">
          <w:rPr>
            <w:rFonts w:cs="Times New Roman"/>
            <w:noProof/>
            <w:webHidden/>
            <w:szCs w:val="24"/>
          </w:rPr>
          <w:fldChar w:fldCharType="end"/>
        </w:r>
      </w:hyperlink>
    </w:p>
    <w:p w14:paraId="7B928FA8" w14:textId="337098F0" w:rsidR="00BB49E8" w:rsidRPr="005566AB" w:rsidRDefault="002E6043">
      <w:pPr>
        <w:pStyle w:val="TableofFigures"/>
        <w:tabs>
          <w:tab w:val="right" w:leader="dot" w:pos="9350"/>
        </w:tabs>
        <w:rPr>
          <w:rFonts w:eastAsiaTheme="minorEastAsia" w:cs="Times New Roman"/>
          <w:noProof/>
          <w:szCs w:val="24"/>
        </w:rPr>
      </w:pPr>
      <w:hyperlink w:anchor="_Toc58667153" w:history="1">
        <w:r w:rsidR="00BB49E8" w:rsidRPr="005566AB">
          <w:rPr>
            <w:rStyle w:val="Hyperlink"/>
            <w:rFonts w:cs="Times New Roman"/>
            <w:noProof/>
            <w:szCs w:val="24"/>
          </w:rPr>
          <w:t>Fig. 2. 20—(a) Plot of propensity score versus fracture fluid volume normalized to lateral length (bbl/ft) for matched child wells (b) Plot of propensity score versus fracture fluid volume normalized to lateral length (bbl/ft) for matched parent wells.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53</w:t>
        </w:r>
        <w:r w:rsidR="00BB49E8" w:rsidRPr="005566AB">
          <w:rPr>
            <w:rFonts w:cs="Times New Roman"/>
            <w:noProof/>
            <w:webHidden/>
            <w:szCs w:val="24"/>
          </w:rPr>
          <w:fldChar w:fldCharType="end"/>
        </w:r>
      </w:hyperlink>
    </w:p>
    <w:p w14:paraId="409E21BB" w14:textId="2227F47D" w:rsidR="00BB49E8" w:rsidRPr="005566AB" w:rsidRDefault="002E6043">
      <w:pPr>
        <w:pStyle w:val="TableofFigures"/>
        <w:tabs>
          <w:tab w:val="right" w:leader="dot" w:pos="9350"/>
        </w:tabs>
        <w:rPr>
          <w:rFonts w:eastAsiaTheme="minorEastAsia" w:cs="Times New Roman"/>
          <w:noProof/>
          <w:szCs w:val="24"/>
        </w:rPr>
      </w:pPr>
      <w:hyperlink w:anchor="_Toc58667154" w:history="1">
        <w:r w:rsidR="00BB49E8" w:rsidRPr="005566AB">
          <w:rPr>
            <w:rStyle w:val="Hyperlink"/>
            <w:rFonts w:cs="Times New Roman"/>
            <w:noProof/>
            <w:szCs w:val="24"/>
          </w:rPr>
          <w:t>Fig. 2. 21 —(a) Plot of propensity score versus true vertical depth (ft) for matched child wells (b) Plot of propensity score versus true vertical depth (ft) for matched parent wells.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54</w:t>
        </w:r>
        <w:r w:rsidR="00BB49E8" w:rsidRPr="005566AB">
          <w:rPr>
            <w:rFonts w:cs="Times New Roman"/>
            <w:noProof/>
            <w:webHidden/>
            <w:szCs w:val="24"/>
          </w:rPr>
          <w:fldChar w:fldCharType="end"/>
        </w:r>
      </w:hyperlink>
    </w:p>
    <w:p w14:paraId="0D80ECF6" w14:textId="01B48EFD" w:rsidR="00BB49E8" w:rsidRPr="005566AB" w:rsidRDefault="002E6043">
      <w:pPr>
        <w:pStyle w:val="TableofFigures"/>
        <w:tabs>
          <w:tab w:val="right" w:leader="dot" w:pos="9350"/>
        </w:tabs>
        <w:rPr>
          <w:rFonts w:eastAsiaTheme="minorEastAsia" w:cs="Times New Roman"/>
          <w:noProof/>
          <w:szCs w:val="24"/>
        </w:rPr>
      </w:pPr>
      <w:hyperlink w:anchor="_Toc58667155" w:history="1">
        <w:r w:rsidR="00BB49E8" w:rsidRPr="005566AB">
          <w:rPr>
            <w:rStyle w:val="Hyperlink"/>
            <w:rFonts w:cs="Times New Roman"/>
            <w:noProof/>
            <w:szCs w:val="24"/>
          </w:rPr>
          <w:t>Fig. 2. 22—Plot illustrating the density of propensity scores for wells after matching.</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56</w:t>
        </w:r>
        <w:r w:rsidR="00BB49E8" w:rsidRPr="005566AB">
          <w:rPr>
            <w:rFonts w:cs="Times New Roman"/>
            <w:noProof/>
            <w:webHidden/>
            <w:szCs w:val="24"/>
          </w:rPr>
          <w:fldChar w:fldCharType="end"/>
        </w:r>
      </w:hyperlink>
    </w:p>
    <w:p w14:paraId="260F4DAB" w14:textId="155AAF29" w:rsidR="00BB49E8" w:rsidRPr="005566AB" w:rsidRDefault="002E6043">
      <w:pPr>
        <w:pStyle w:val="TableofFigures"/>
        <w:tabs>
          <w:tab w:val="right" w:leader="dot" w:pos="9350"/>
        </w:tabs>
        <w:rPr>
          <w:rFonts w:eastAsiaTheme="minorEastAsia" w:cs="Times New Roman"/>
          <w:noProof/>
          <w:szCs w:val="24"/>
        </w:rPr>
      </w:pPr>
      <w:hyperlink w:anchor="_Toc58667156" w:history="1">
        <w:r w:rsidR="00BB49E8" w:rsidRPr="005566AB">
          <w:rPr>
            <w:rStyle w:val="Hyperlink"/>
            <w:rFonts w:cs="Times New Roman"/>
            <w:noProof/>
            <w:szCs w:val="24"/>
          </w:rPr>
          <w:t>Fig. 2. 23—(a) Distribution of propensity score for matched child wells (b) Distribution of propensity score for matched parent wells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56</w:t>
        </w:r>
        <w:r w:rsidR="00BB49E8" w:rsidRPr="005566AB">
          <w:rPr>
            <w:rFonts w:cs="Times New Roman"/>
            <w:noProof/>
            <w:webHidden/>
            <w:szCs w:val="24"/>
          </w:rPr>
          <w:fldChar w:fldCharType="end"/>
        </w:r>
      </w:hyperlink>
    </w:p>
    <w:p w14:paraId="34236AB8" w14:textId="0583700D" w:rsidR="00BB49E8" w:rsidRPr="005566AB" w:rsidRDefault="002E6043">
      <w:pPr>
        <w:pStyle w:val="TableofFigures"/>
        <w:tabs>
          <w:tab w:val="right" w:leader="dot" w:pos="9350"/>
        </w:tabs>
        <w:rPr>
          <w:rFonts w:eastAsiaTheme="minorEastAsia" w:cs="Times New Roman"/>
          <w:noProof/>
          <w:szCs w:val="24"/>
        </w:rPr>
      </w:pPr>
      <w:hyperlink w:anchor="_Toc58667157" w:history="1">
        <w:r w:rsidR="00BB49E8" w:rsidRPr="005566AB">
          <w:rPr>
            <w:rStyle w:val="Hyperlink"/>
            <w:rFonts w:cs="Times New Roman"/>
            <w:noProof/>
            <w:szCs w:val="24"/>
          </w:rPr>
          <w:t>Fig. 2. 24— Plot of child well potential outcome (bbl/ft) versus child well actual outcome (bbl/ft).</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61</w:t>
        </w:r>
        <w:r w:rsidR="00BB49E8" w:rsidRPr="005566AB">
          <w:rPr>
            <w:rFonts w:cs="Times New Roman"/>
            <w:noProof/>
            <w:webHidden/>
            <w:szCs w:val="24"/>
          </w:rPr>
          <w:fldChar w:fldCharType="end"/>
        </w:r>
      </w:hyperlink>
    </w:p>
    <w:p w14:paraId="4DC1E744" w14:textId="0761318F" w:rsidR="00BB49E8" w:rsidRPr="005566AB" w:rsidRDefault="002E6043">
      <w:pPr>
        <w:pStyle w:val="TableofFigures"/>
        <w:tabs>
          <w:tab w:val="right" w:leader="dot" w:pos="9350"/>
        </w:tabs>
        <w:rPr>
          <w:rFonts w:eastAsiaTheme="minorEastAsia" w:cs="Times New Roman"/>
          <w:noProof/>
          <w:szCs w:val="24"/>
        </w:rPr>
      </w:pPr>
      <w:hyperlink w:anchor="_Toc58667158" w:history="1">
        <w:r w:rsidR="00BB49E8" w:rsidRPr="005566AB">
          <w:rPr>
            <w:rStyle w:val="Hyperlink"/>
            <w:rFonts w:cs="Times New Roman"/>
            <w:noProof/>
            <w:szCs w:val="24"/>
          </w:rPr>
          <w:t>Fig. 2. 25—Plot of parent well potential outcome (bbl/ft) versus parent well actual outcome (bbl/ft).</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61</w:t>
        </w:r>
        <w:r w:rsidR="00BB49E8" w:rsidRPr="005566AB">
          <w:rPr>
            <w:rFonts w:cs="Times New Roman"/>
            <w:noProof/>
            <w:webHidden/>
            <w:szCs w:val="24"/>
          </w:rPr>
          <w:fldChar w:fldCharType="end"/>
        </w:r>
      </w:hyperlink>
    </w:p>
    <w:p w14:paraId="22D1EE0D" w14:textId="250AA492" w:rsidR="00BB49E8" w:rsidRPr="005566AB" w:rsidRDefault="002E6043">
      <w:pPr>
        <w:pStyle w:val="TableofFigures"/>
        <w:tabs>
          <w:tab w:val="right" w:leader="dot" w:pos="9350"/>
        </w:tabs>
        <w:rPr>
          <w:rFonts w:eastAsiaTheme="minorEastAsia" w:cs="Times New Roman"/>
          <w:noProof/>
          <w:szCs w:val="24"/>
        </w:rPr>
      </w:pPr>
      <w:hyperlink w:anchor="_Toc58667159" w:history="1">
        <w:r w:rsidR="00BB49E8" w:rsidRPr="005566AB">
          <w:rPr>
            <w:rStyle w:val="Hyperlink"/>
            <w:rFonts w:cs="Times New Roman"/>
            <w:noProof/>
            <w:szCs w:val="24"/>
          </w:rPr>
          <w:t>Fig. 2. 26— Bar chart comparing 360-day cumulative production normalized to lateral length of parent-child wells and difference estimates for each well spacing option from the routinely used simple average approach.</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_Toc58667159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63</w:t>
        </w:r>
        <w:r w:rsidR="00BB49E8" w:rsidRPr="005566AB">
          <w:rPr>
            <w:rFonts w:cs="Times New Roman"/>
            <w:noProof/>
            <w:webHidden/>
            <w:szCs w:val="24"/>
          </w:rPr>
          <w:fldChar w:fldCharType="end"/>
        </w:r>
      </w:hyperlink>
    </w:p>
    <w:p w14:paraId="6AA63419" w14:textId="67CBE275" w:rsidR="00BB49E8" w:rsidRPr="005566AB" w:rsidRDefault="002E6043">
      <w:pPr>
        <w:pStyle w:val="TableofFigures"/>
        <w:tabs>
          <w:tab w:val="right" w:leader="dot" w:pos="9350"/>
        </w:tabs>
        <w:rPr>
          <w:rFonts w:eastAsiaTheme="minorEastAsia" w:cs="Times New Roman"/>
          <w:noProof/>
          <w:szCs w:val="24"/>
        </w:rPr>
      </w:pPr>
      <w:hyperlink w:anchor="_Toc58667160" w:history="1">
        <w:r w:rsidR="00BB49E8" w:rsidRPr="005566AB">
          <w:rPr>
            <w:rStyle w:val="Hyperlink"/>
            <w:rFonts w:cs="Times New Roman"/>
            <w:noProof/>
            <w:szCs w:val="24"/>
          </w:rPr>
          <w:t>Fig. 2. 27—(a) TVD boxplots of parent (0) and child wells (1)  (b) Scatter plot of Cum-360-day production normalized to lateral length (bbl/ft) versus TVD (ft) for parent (0) and child wells (1) at 500 ft spacing (Sakhardande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65</w:t>
        </w:r>
        <w:r w:rsidR="00BB49E8" w:rsidRPr="005566AB">
          <w:rPr>
            <w:rFonts w:cs="Times New Roman"/>
            <w:noProof/>
            <w:webHidden/>
            <w:szCs w:val="24"/>
          </w:rPr>
          <w:fldChar w:fldCharType="end"/>
        </w:r>
      </w:hyperlink>
    </w:p>
    <w:p w14:paraId="052998F3" w14:textId="1B30A70C" w:rsidR="00BB49E8" w:rsidRPr="005566AB" w:rsidRDefault="002E6043">
      <w:pPr>
        <w:pStyle w:val="TableofFigures"/>
        <w:tabs>
          <w:tab w:val="right" w:leader="dot" w:pos="9350"/>
        </w:tabs>
        <w:rPr>
          <w:rFonts w:eastAsiaTheme="minorEastAsia" w:cs="Times New Roman"/>
          <w:noProof/>
          <w:szCs w:val="24"/>
        </w:rPr>
      </w:pPr>
      <w:hyperlink w:anchor="_Toc58667161" w:history="1">
        <w:r w:rsidR="00BB49E8" w:rsidRPr="005566AB">
          <w:rPr>
            <w:rStyle w:val="Hyperlink"/>
            <w:rFonts w:eastAsia="Times New Roman" w:cs="Times New Roman"/>
            <w:noProof/>
            <w:szCs w:val="24"/>
          </w:rPr>
          <w:t xml:space="preserve">Fig. 2. 28—Bar chart comparing potential outcomes for 360-day cumulative production normalized to lateral length (bbl/ft) of parent-child well groups and causal estimates for each well spacing option using causal inference </w:t>
        </w:r>
        <w:r w:rsidR="00BB49E8" w:rsidRPr="005566AB">
          <w:rPr>
            <w:rStyle w:val="Hyperlink"/>
            <w:rFonts w:cs="Times New Roman"/>
            <w:noProof/>
            <w:szCs w:val="24"/>
          </w:rPr>
          <w:t>(Sakhardande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67</w:t>
        </w:r>
        <w:r w:rsidR="00BB49E8" w:rsidRPr="005566AB">
          <w:rPr>
            <w:rFonts w:cs="Times New Roman"/>
            <w:noProof/>
            <w:webHidden/>
            <w:szCs w:val="24"/>
          </w:rPr>
          <w:fldChar w:fldCharType="end"/>
        </w:r>
      </w:hyperlink>
    </w:p>
    <w:p w14:paraId="3A5E21BB" w14:textId="76B763A8" w:rsidR="00A14BB3" w:rsidRPr="005566AB" w:rsidRDefault="002E6043">
      <w:pPr>
        <w:pStyle w:val="TableofFigures"/>
        <w:tabs>
          <w:tab w:val="right" w:leader="dot" w:pos="9350"/>
        </w:tabs>
        <w:rPr>
          <w:rFonts w:cs="Times New Roman"/>
          <w:szCs w:val="24"/>
        </w:rPr>
      </w:pPr>
      <w:hyperlink w:anchor="_Toc58667162" w:history="1">
        <w:r w:rsidR="00BB49E8" w:rsidRPr="005566AB">
          <w:rPr>
            <w:rStyle w:val="Hyperlink"/>
            <w:rFonts w:eastAsia="Times New Roman" w:cs="Times New Roman"/>
            <w:noProof/>
            <w:szCs w:val="24"/>
          </w:rPr>
          <w:t>Fig. 2. 29—Bar chart comparing potential outcomes for 180-day cumulative production normalized to lateral length (bbl/ft) of parent-child well groups and causal estimates for each well spacing option using causal inference</w:t>
        </w:r>
        <w:r w:rsidR="00BB49E8" w:rsidRPr="005566AB">
          <w:rPr>
            <w:rStyle w:val="Hyperlink"/>
            <w:rFonts w:cs="Times New Roman"/>
            <w:noProof/>
            <w:szCs w:val="24"/>
          </w:rPr>
          <w:t xml:space="preserve"> </w:t>
        </w:r>
        <w:r w:rsidR="00BB49E8" w:rsidRPr="005566AB">
          <w:rPr>
            <w:rStyle w:val="Hyperlink"/>
            <w:rFonts w:eastAsia="Times New Roman" w:cs="Times New Roman"/>
            <w:noProof/>
            <w:szCs w:val="24"/>
          </w:rPr>
          <w:t>(Sakhardande and Devegowda 2021).</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70</w:t>
        </w:r>
        <w:r w:rsidR="00BB49E8" w:rsidRPr="005566AB">
          <w:rPr>
            <w:rFonts w:cs="Times New Roman"/>
            <w:noProof/>
            <w:webHidden/>
            <w:szCs w:val="24"/>
          </w:rPr>
          <w:fldChar w:fldCharType="end"/>
        </w:r>
      </w:hyperlink>
      <w:r w:rsidR="0027656C" w:rsidRPr="005566AB">
        <w:rPr>
          <w:rFonts w:cs="Times New Roman"/>
          <w:szCs w:val="24"/>
        </w:rPr>
        <w:fldChar w:fldCharType="end"/>
      </w:r>
    </w:p>
    <w:p w14:paraId="4EBDAD2B" w14:textId="196E06DB" w:rsidR="00BB49E8" w:rsidRPr="005566AB" w:rsidRDefault="00A94156">
      <w:pPr>
        <w:pStyle w:val="TableofFigures"/>
        <w:tabs>
          <w:tab w:val="right" w:leader="dot" w:pos="9350"/>
        </w:tabs>
        <w:rPr>
          <w:rFonts w:eastAsiaTheme="minorEastAsia" w:cs="Times New Roman"/>
          <w:noProof/>
          <w:szCs w:val="24"/>
        </w:rPr>
      </w:pPr>
      <w:r w:rsidRPr="005566AB">
        <w:rPr>
          <w:rFonts w:cs="Times New Roman"/>
          <w:szCs w:val="24"/>
        </w:rPr>
        <w:fldChar w:fldCharType="begin"/>
      </w:r>
      <w:r w:rsidRPr="005566AB">
        <w:rPr>
          <w:rFonts w:cs="Times New Roman"/>
          <w:szCs w:val="24"/>
        </w:rPr>
        <w:instrText xml:space="preserve"> TOC \h \z \c "Fig. 3." </w:instrText>
      </w:r>
      <w:r w:rsidRPr="005566AB">
        <w:rPr>
          <w:rFonts w:cs="Times New Roman"/>
          <w:szCs w:val="24"/>
        </w:rPr>
        <w:fldChar w:fldCharType="separate"/>
      </w:r>
      <w:hyperlink w:anchor="_Toc58667163" w:history="1">
        <w:r w:rsidR="00BB49E8" w:rsidRPr="005566AB">
          <w:rPr>
            <w:rStyle w:val="Hyperlink"/>
            <w:rFonts w:eastAsia="Times New Roman" w:cs="Times New Roman"/>
            <w:noProof/>
            <w:szCs w:val="24"/>
          </w:rPr>
          <w:t>Fig. 3. 1— Components of a Sucker Rod Pump (Golan and Whitson 1991; Takacs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74</w:t>
        </w:r>
        <w:r w:rsidR="00BB49E8" w:rsidRPr="005566AB">
          <w:rPr>
            <w:rFonts w:cs="Times New Roman"/>
            <w:noProof/>
            <w:webHidden/>
            <w:szCs w:val="24"/>
          </w:rPr>
          <w:fldChar w:fldCharType="end"/>
        </w:r>
      </w:hyperlink>
    </w:p>
    <w:p w14:paraId="5DA93026" w14:textId="685FAF5A" w:rsidR="00BB49E8" w:rsidRPr="005566AB" w:rsidRDefault="002E6043">
      <w:pPr>
        <w:pStyle w:val="TableofFigures"/>
        <w:tabs>
          <w:tab w:val="right" w:leader="dot" w:pos="9350"/>
        </w:tabs>
        <w:rPr>
          <w:rFonts w:eastAsiaTheme="minorEastAsia" w:cs="Times New Roman"/>
          <w:noProof/>
          <w:szCs w:val="24"/>
        </w:rPr>
      </w:pPr>
      <w:hyperlink w:anchor="_Toc58667164" w:history="1">
        <w:r w:rsidR="00BB49E8" w:rsidRPr="005566AB">
          <w:rPr>
            <w:rStyle w:val="Hyperlink"/>
            <w:rFonts w:eastAsia="Times New Roman" w:cs="Times New Roman"/>
            <w:noProof/>
            <w:szCs w:val="24"/>
          </w:rPr>
          <w:t>Fig. 3. 2—Typical Sucker Rod Pump cycle (Brown 1980; Apergy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76</w:t>
        </w:r>
        <w:r w:rsidR="00BB49E8" w:rsidRPr="005566AB">
          <w:rPr>
            <w:rFonts w:cs="Times New Roman"/>
            <w:noProof/>
            <w:webHidden/>
            <w:szCs w:val="24"/>
          </w:rPr>
          <w:fldChar w:fldCharType="end"/>
        </w:r>
      </w:hyperlink>
    </w:p>
    <w:p w14:paraId="3EA9005D" w14:textId="099E06D6" w:rsidR="00BB49E8" w:rsidRPr="005566AB" w:rsidRDefault="002E6043">
      <w:pPr>
        <w:pStyle w:val="TableofFigures"/>
        <w:tabs>
          <w:tab w:val="right" w:leader="dot" w:pos="9350"/>
        </w:tabs>
        <w:rPr>
          <w:rFonts w:eastAsiaTheme="minorEastAsia" w:cs="Times New Roman"/>
          <w:noProof/>
          <w:szCs w:val="24"/>
        </w:rPr>
      </w:pPr>
      <w:hyperlink w:anchor="_Toc58667165" w:history="1">
        <w:r w:rsidR="00BB49E8" w:rsidRPr="005566AB">
          <w:rPr>
            <w:rStyle w:val="Hyperlink"/>
            <w:rFonts w:cs="Times New Roman"/>
            <w:noProof/>
            <w:szCs w:val="24"/>
          </w:rPr>
          <w:t xml:space="preserve">Fig. 3. 3—Pump card (bottom) and surface card (top) for a normal operating </w:t>
        </w:r>
        <w:r w:rsidR="00BB49E8" w:rsidRPr="005566AB">
          <w:rPr>
            <w:rStyle w:val="Hyperlink"/>
            <w:rFonts w:eastAsia="Times New Roman" w:cs="Times New Roman"/>
            <w:noProof/>
            <w:szCs w:val="24"/>
          </w:rPr>
          <w:t>condition (Sharaf et al.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78</w:t>
        </w:r>
        <w:r w:rsidR="00BB49E8" w:rsidRPr="005566AB">
          <w:rPr>
            <w:rFonts w:cs="Times New Roman"/>
            <w:noProof/>
            <w:webHidden/>
            <w:szCs w:val="24"/>
          </w:rPr>
          <w:fldChar w:fldCharType="end"/>
        </w:r>
      </w:hyperlink>
    </w:p>
    <w:p w14:paraId="747FD276" w14:textId="4FEC8A77" w:rsidR="00BB49E8" w:rsidRPr="005566AB" w:rsidRDefault="002E6043" w:rsidP="005566AB">
      <w:pPr>
        <w:pStyle w:val="TableofFigures"/>
        <w:tabs>
          <w:tab w:val="right" w:leader="dot" w:pos="9350"/>
        </w:tabs>
        <w:jc w:val="left"/>
        <w:rPr>
          <w:rFonts w:eastAsiaTheme="minorEastAsia" w:cs="Times New Roman"/>
          <w:noProof/>
          <w:szCs w:val="24"/>
        </w:rPr>
      </w:pPr>
      <w:hyperlink w:anchor="_Toc58667166" w:history="1">
        <w:r w:rsidR="00BB49E8" w:rsidRPr="005566AB">
          <w:rPr>
            <w:rStyle w:val="Hyperlink"/>
            <w:rFonts w:eastAsia="Times New Roman" w:cs="Times New Roman"/>
            <w:noProof/>
            <w:szCs w:val="24"/>
          </w:rPr>
          <w:t>Fig. 3. 4—Pump Dynamometer cards (a) Ideal Pump Card (b) Fluid Pound (c) Gas Compression on Downstroke (d) Vibration during Fluid Pound (e) Gas Expansion on Upstroke (f) Gas Lock</w:t>
        </w:r>
        <w:r w:rsidR="005566AB" w:rsidRPr="005566AB">
          <w:rPr>
            <w:rStyle w:val="Hyperlink"/>
            <w:rFonts w:eastAsia="Times New Roman" w:cs="Times New Roman"/>
            <w:noProof/>
            <w:webHidden/>
            <w:szCs w:val="24"/>
          </w:rPr>
          <w:tab/>
        </w:r>
        <w:r w:rsidR="00BB49E8" w:rsidRPr="005566AB">
          <w:rPr>
            <w:rStyle w:val="Hyperlink"/>
            <w:rFonts w:eastAsia="Times New Roman" w:cs="Times New Roman"/>
            <w:noProof/>
            <w:szCs w:val="24"/>
          </w:rPr>
          <w:t xml:space="preserve"> (Nind 1964).</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79</w:t>
        </w:r>
        <w:r w:rsidR="00BB49E8" w:rsidRPr="005566AB">
          <w:rPr>
            <w:rFonts w:cs="Times New Roman"/>
            <w:noProof/>
            <w:webHidden/>
            <w:szCs w:val="24"/>
          </w:rPr>
          <w:fldChar w:fldCharType="end"/>
        </w:r>
      </w:hyperlink>
    </w:p>
    <w:p w14:paraId="66BA0189" w14:textId="5CB5269B" w:rsidR="00BB49E8" w:rsidRPr="005566AB" w:rsidRDefault="002E6043">
      <w:pPr>
        <w:pStyle w:val="TableofFigures"/>
        <w:tabs>
          <w:tab w:val="right" w:leader="dot" w:pos="9350"/>
        </w:tabs>
        <w:rPr>
          <w:rFonts w:eastAsiaTheme="minorEastAsia" w:cs="Times New Roman"/>
          <w:noProof/>
          <w:szCs w:val="24"/>
        </w:rPr>
      </w:pPr>
      <w:hyperlink w:anchor="_Toc58667167" w:history="1">
        <w:r w:rsidR="00BB49E8" w:rsidRPr="005566AB">
          <w:rPr>
            <w:rStyle w:val="Hyperlink"/>
            <w:rFonts w:eastAsia="Times New Roman" w:cs="Times New Roman"/>
            <w:noProof/>
            <w:szCs w:val="24"/>
          </w:rPr>
          <w:t>Fig. 3. 5—Ensemble of 4 machine learning models (Boguslawski et al. 2018).</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82</w:t>
        </w:r>
        <w:r w:rsidR="00BB49E8" w:rsidRPr="005566AB">
          <w:rPr>
            <w:rFonts w:cs="Times New Roman"/>
            <w:noProof/>
            <w:webHidden/>
            <w:szCs w:val="24"/>
          </w:rPr>
          <w:fldChar w:fldCharType="end"/>
        </w:r>
      </w:hyperlink>
    </w:p>
    <w:p w14:paraId="08D9CA9A" w14:textId="34771194" w:rsidR="00BB49E8" w:rsidRPr="005566AB" w:rsidRDefault="002E6043">
      <w:pPr>
        <w:pStyle w:val="TableofFigures"/>
        <w:tabs>
          <w:tab w:val="right" w:leader="dot" w:pos="9350"/>
        </w:tabs>
        <w:rPr>
          <w:rFonts w:eastAsiaTheme="minorEastAsia" w:cs="Times New Roman"/>
          <w:noProof/>
          <w:szCs w:val="24"/>
        </w:rPr>
      </w:pPr>
      <w:hyperlink w:anchor="_Toc58667168" w:history="1">
        <w:r w:rsidR="00BB49E8" w:rsidRPr="005566AB">
          <w:rPr>
            <w:rStyle w:val="Hyperlink"/>
            <w:rFonts w:eastAsia="Times New Roman" w:cs="Times New Roman"/>
            <w:noProof/>
            <w:szCs w:val="24"/>
          </w:rPr>
          <w:t>Fig. 3. 6— Instrumentation for data acquisition and control on the Sucker Rod Pump (Boguslawski et al. 2018).</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84</w:t>
        </w:r>
        <w:r w:rsidR="00BB49E8" w:rsidRPr="005566AB">
          <w:rPr>
            <w:rFonts w:cs="Times New Roman"/>
            <w:noProof/>
            <w:webHidden/>
            <w:szCs w:val="24"/>
          </w:rPr>
          <w:fldChar w:fldCharType="end"/>
        </w:r>
      </w:hyperlink>
    </w:p>
    <w:p w14:paraId="263E23A7" w14:textId="728C28FE" w:rsidR="00BB49E8" w:rsidRPr="005566AB" w:rsidRDefault="002E6043">
      <w:pPr>
        <w:pStyle w:val="TableofFigures"/>
        <w:tabs>
          <w:tab w:val="right" w:leader="dot" w:pos="9350"/>
        </w:tabs>
        <w:rPr>
          <w:rFonts w:eastAsiaTheme="minorEastAsia" w:cs="Times New Roman"/>
          <w:noProof/>
          <w:szCs w:val="24"/>
        </w:rPr>
      </w:pPr>
      <w:hyperlink w:anchor="_Toc58667169" w:history="1">
        <w:r w:rsidR="00BB49E8" w:rsidRPr="005566AB">
          <w:rPr>
            <w:rStyle w:val="Hyperlink"/>
            <w:rFonts w:eastAsia="Times New Roman" w:cs="Times New Roman"/>
            <w:noProof/>
            <w:szCs w:val="24"/>
          </w:rPr>
          <w:t>Fig. 3. 7—Illustration of a Convolutional Neural Network (Lecun et al. 1998).</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_Toc58667169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85</w:t>
        </w:r>
        <w:r w:rsidR="00BB49E8" w:rsidRPr="005566AB">
          <w:rPr>
            <w:rFonts w:cs="Times New Roman"/>
            <w:noProof/>
            <w:webHidden/>
            <w:szCs w:val="24"/>
          </w:rPr>
          <w:fldChar w:fldCharType="end"/>
        </w:r>
      </w:hyperlink>
    </w:p>
    <w:p w14:paraId="38EA8FDD" w14:textId="53B345A7" w:rsidR="00BB49E8" w:rsidRPr="005566AB" w:rsidRDefault="002E6043">
      <w:pPr>
        <w:pStyle w:val="TableofFigures"/>
        <w:tabs>
          <w:tab w:val="right" w:leader="dot" w:pos="9350"/>
        </w:tabs>
        <w:rPr>
          <w:rFonts w:eastAsiaTheme="minorEastAsia" w:cs="Times New Roman"/>
          <w:noProof/>
          <w:szCs w:val="24"/>
        </w:rPr>
      </w:pPr>
      <w:hyperlink w:anchor="_Toc58667170" w:history="1">
        <w:r w:rsidR="00BB49E8" w:rsidRPr="005566AB">
          <w:rPr>
            <w:rStyle w:val="Hyperlink"/>
            <w:rFonts w:cs="Times New Roman"/>
            <w:noProof/>
            <w:szCs w:val="24"/>
          </w:rPr>
          <w:t xml:space="preserve">Fig. 3. 8— Revolution of depth in CNN models between years 2010 and 2015 </w:t>
        </w:r>
        <w:r w:rsidR="00BB49E8" w:rsidRPr="005566AB">
          <w:rPr>
            <w:rStyle w:val="Hyperlink"/>
            <w:rFonts w:eastAsia="Times New Roman" w:cs="Times New Roman"/>
            <w:noProof/>
            <w:szCs w:val="24"/>
          </w:rPr>
          <w:t>(He et al. 2016).</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86</w:t>
        </w:r>
        <w:r w:rsidR="00BB49E8" w:rsidRPr="005566AB">
          <w:rPr>
            <w:rFonts w:cs="Times New Roman"/>
            <w:noProof/>
            <w:webHidden/>
            <w:szCs w:val="24"/>
          </w:rPr>
          <w:fldChar w:fldCharType="end"/>
        </w:r>
      </w:hyperlink>
    </w:p>
    <w:p w14:paraId="199DF518" w14:textId="23030357" w:rsidR="00BB49E8" w:rsidRPr="005566AB" w:rsidRDefault="002E6043" w:rsidP="005566AB">
      <w:pPr>
        <w:pStyle w:val="TableofFigures"/>
        <w:tabs>
          <w:tab w:val="right" w:leader="dot" w:pos="9350"/>
        </w:tabs>
        <w:jc w:val="left"/>
        <w:rPr>
          <w:rFonts w:eastAsiaTheme="minorEastAsia" w:cs="Times New Roman"/>
          <w:noProof/>
          <w:szCs w:val="24"/>
        </w:rPr>
      </w:pPr>
      <w:hyperlink w:anchor="_Toc58667171" w:history="1">
        <w:r w:rsidR="00BB49E8" w:rsidRPr="005566AB">
          <w:rPr>
            <w:rStyle w:val="Hyperlink"/>
            <w:rFonts w:eastAsia="Times New Roman" w:cs="Times New Roman"/>
            <w:noProof/>
            <w:szCs w:val="24"/>
          </w:rPr>
          <w:t>Fig. 3. 9 —VGG16 Architecture https://medium.com/towards-artificial-intelligence/the-</w:t>
        </w:r>
        <w:r w:rsidR="005566AB" w:rsidRPr="005566AB">
          <w:rPr>
            <w:rStyle w:val="Hyperlink"/>
            <w:rFonts w:eastAsia="Times New Roman" w:cs="Times New Roman"/>
            <w:noProof/>
            <w:webHidden/>
            <w:szCs w:val="24"/>
          </w:rPr>
          <w:tab/>
        </w:r>
        <w:r w:rsidR="00BB49E8" w:rsidRPr="005566AB">
          <w:rPr>
            <w:rStyle w:val="Hyperlink"/>
            <w:rFonts w:eastAsia="Times New Roman" w:cs="Times New Roman"/>
            <w:noProof/>
            <w:szCs w:val="24"/>
          </w:rPr>
          <w:t>architecture-and-implementation-of-vgg-16-b050e5a5920b (accessed 15 September 2020) (Khandelwal 2020).</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87</w:t>
        </w:r>
        <w:r w:rsidR="00BB49E8" w:rsidRPr="005566AB">
          <w:rPr>
            <w:rFonts w:cs="Times New Roman"/>
            <w:noProof/>
            <w:webHidden/>
            <w:szCs w:val="24"/>
          </w:rPr>
          <w:fldChar w:fldCharType="end"/>
        </w:r>
      </w:hyperlink>
    </w:p>
    <w:p w14:paraId="5BD04B18" w14:textId="3DD1A456" w:rsidR="00BB49E8" w:rsidRPr="005566AB" w:rsidRDefault="002E6043">
      <w:pPr>
        <w:pStyle w:val="TableofFigures"/>
        <w:tabs>
          <w:tab w:val="right" w:leader="dot" w:pos="9350"/>
        </w:tabs>
        <w:rPr>
          <w:rFonts w:eastAsiaTheme="minorEastAsia" w:cs="Times New Roman"/>
          <w:noProof/>
          <w:szCs w:val="24"/>
        </w:rPr>
      </w:pPr>
      <w:hyperlink w:anchor="_Toc58667172" w:history="1">
        <w:r w:rsidR="00BB49E8" w:rsidRPr="005566AB">
          <w:rPr>
            <w:rStyle w:val="Hyperlink"/>
            <w:rFonts w:eastAsia="Times New Roman" w:cs="Times New Roman"/>
            <w:noProof/>
            <w:szCs w:val="24"/>
          </w:rPr>
          <w:t>Fig. 3. 10— Example of Convolution https://cs231n.github.io/convolutional-networks (accessed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88</w:t>
        </w:r>
        <w:r w:rsidR="00BB49E8" w:rsidRPr="005566AB">
          <w:rPr>
            <w:rFonts w:cs="Times New Roman"/>
            <w:noProof/>
            <w:webHidden/>
            <w:szCs w:val="24"/>
          </w:rPr>
          <w:fldChar w:fldCharType="end"/>
        </w:r>
      </w:hyperlink>
    </w:p>
    <w:p w14:paraId="60DDCC75" w14:textId="7310EE2F" w:rsidR="00BB49E8" w:rsidRPr="005566AB" w:rsidRDefault="002E6043">
      <w:pPr>
        <w:pStyle w:val="TableofFigures"/>
        <w:tabs>
          <w:tab w:val="right" w:leader="dot" w:pos="9350"/>
        </w:tabs>
        <w:rPr>
          <w:rFonts w:eastAsiaTheme="minorEastAsia" w:cs="Times New Roman"/>
          <w:noProof/>
          <w:szCs w:val="24"/>
        </w:rPr>
      </w:pPr>
      <w:hyperlink w:anchor="_Toc58667173" w:history="1">
        <w:r w:rsidR="00BB49E8" w:rsidRPr="005566AB">
          <w:rPr>
            <w:rStyle w:val="Hyperlink"/>
            <w:rFonts w:eastAsia="Times New Roman" w:cs="Times New Roman"/>
            <w:noProof/>
            <w:szCs w:val="24"/>
          </w:rPr>
          <w:t>Fig. 3. 11—An illustration of a 2-dimensional input convolved with a 3 x 3 filter with a stride of 2 https://cs231n.github.io/convolutional-networks (accessed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89</w:t>
        </w:r>
        <w:r w:rsidR="00BB49E8" w:rsidRPr="005566AB">
          <w:rPr>
            <w:rFonts w:cs="Times New Roman"/>
            <w:noProof/>
            <w:webHidden/>
            <w:szCs w:val="24"/>
          </w:rPr>
          <w:fldChar w:fldCharType="end"/>
        </w:r>
      </w:hyperlink>
    </w:p>
    <w:p w14:paraId="37F97E32" w14:textId="52D1CBAF" w:rsidR="00BB49E8" w:rsidRPr="005566AB" w:rsidRDefault="002E6043">
      <w:pPr>
        <w:pStyle w:val="TableofFigures"/>
        <w:tabs>
          <w:tab w:val="right" w:leader="dot" w:pos="9350"/>
        </w:tabs>
        <w:rPr>
          <w:rFonts w:eastAsiaTheme="minorEastAsia" w:cs="Times New Roman"/>
          <w:noProof/>
          <w:szCs w:val="24"/>
        </w:rPr>
      </w:pPr>
      <w:hyperlink w:anchor="_Toc58667174" w:history="1">
        <w:r w:rsidR="00BB49E8" w:rsidRPr="005566AB">
          <w:rPr>
            <w:rStyle w:val="Hyperlink"/>
            <w:rFonts w:eastAsia="Times New Roman" w:cs="Times New Roman"/>
            <w:noProof/>
            <w:szCs w:val="24"/>
          </w:rPr>
          <w:t xml:space="preserve">Fig. 3. 12—Example of a 3-dimensional input image convolved with 3-dimensional filter                                                                                  </w:t>
        </w:r>
        <w:r w:rsidR="00BB49E8" w:rsidRPr="005566AB">
          <w:rPr>
            <w:rStyle w:val="Hyperlink"/>
            <w:rFonts w:cs="Times New Roman"/>
            <w:noProof/>
            <w:szCs w:val="24"/>
          </w:rPr>
          <w:t xml:space="preserve"> </w:t>
        </w:r>
        <w:r w:rsidR="00BB49E8" w:rsidRPr="005566AB">
          <w:rPr>
            <w:rStyle w:val="Hyperlink"/>
            <w:rFonts w:eastAsia="Times New Roman" w:cs="Times New Roman"/>
            <w:noProof/>
            <w:szCs w:val="24"/>
          </w:rPr>
          <w:t>https://cs231n.github.io/convolutional-networks (accessed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90</w:t>
        </w:r>
        <w:r w:rsidR="00BB49E8" w:rsidRPr="005566AB">
          <w:rPr>
            <w:rFonts w:cs="Times New Roman"/>
            <w:noProof/>
            <w:webHidden/>
            <w:szCs w:val="24"/>
          </w:rPr>
          <w:fldChar w:fldCharType="end"/>
        </w:r>
      </w:hyperlink>
    </w:p>
    <w:p w14:paraId="796B07E5" w14:textId="235C0252" w:rsidR="00BB49E8" w:rsidRPr="005566AB" w:rsidRDefault="002E6043" w:rsidP="005566AB">
      <w:pPr>
        <w:pStyle w:val="TableofFigures"/>
        <w:tabs>
          <w:tab w:val="right" w:leader="dot" w:pos="9350"/>
        </w:tabs>
        <w:jc w:val="left"/>
        <w:rPr>
          <w:rFonts w:eastAsiaTheme="minorEastAsia" w:cs="Times New Roman"/>
          <w:noProof/>
          <w:szCs w:val="24"/>
        </w:rPr>
      </w:pPr>
      <w:hyperlink w:anchor="_Toc58667175" w:history="1">
        <w:r w:rsidR="00BB49E8" w:rsidRPr="005566AB">
          <w:rPr>
            <w:rStyle w:val="Hyperlink"/>
            <w:rFonts w:eastAsia="Times New Roman" w:cs="Times New Roman"/>
            <w:noProof/>
            <w:szCs w:val="24"/>
          </w:rPr>
          <w:t>Fig. 3. 13—Example of Rectified Linear Activation Function</w:t>
        </w:r>
        <w:r w:rsidR="005566AB" w:rsidRPr="005566AB">
          <w:rPr>
            <w:rStyle w:val="Hyperlink"/>
            <w:rFonts w:eastAsia="Times New Roman" w:cs="Times New Roman"/>
            <w:noProof/>
            <w:webHidden/>
            <w:szCs w:val="24"/>
          </w:rPr>
          <w:tab/>
        </w:r>
        <w:r w:rsidR="00BB49E8" w:rsidRPr="005566AB">
          <w:rPr>
            <w:rStyle w:val="Hyperlink"/>
            <w:rFonts w:eastAsia="Times New Roman" w:cs="Times New Roman"/>
            <w:noProof/>
            <w:szCs w:val="24"/>
          </w:rPr>
          <w:t xml:space="preserve">                                                                                                     </w:t>
        </w:r>
        <w:r w:rsidR="00BB49E8" w:rsidRPr="005566AB">
          <w:rPr>
            <w:rStyle w:val="Hyperlink"/>
            <w:rFonts w:cs="Times New Roman"/>
            <w:noProof/>
            <w:szCs w:val="24"/>
          </w:rPr>
          <w:t xml:space="preserve"> </w:t>
        </w:r>
        <w:r w:rsidR="00BB49E8" w:rsidRPr="005566AB">
          <w:rPr>
            <w:rStyle w:val="Hyperlink"/>
            <w:rFonts w:eastAsia="Times New Roman" w:cs="Times New Roman"/>
            <w:noProof/>
            <w:szCs w:val="24"/>
          </w:rPr>
          <w:t>https://machinelearningmastery.com/rectified-linear-activation-function-for-deep-learning-neural-networks (accessed September 21 2020) (Brownlee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91</w:t>
        </w:r>
        <w:r w:rsidR="00BB49E8" w:rsidRPr="005566AB">
          <w:rPr>
            <w:rFonts w:cs="Times New Roman"/>
            <w:noProof/>
            <w:webHidden/>
            <w:szCs w:val="24"/>
          </w:rPr>
          <w:fldChar w:fldCharType="end"/>
        </w:r>
      </w:hyperlink>
    </w:p>
    <w:p w14:paraId="1A1AE430" w14:textId="59E3212E" w:rsidR="00BB49E8" w:rsidRPr="005566AB" w:rsidRDefault="002E6043" w:rsidP="005566AB">
      <w:pPr>
        <w:pStyle w:val="TableofFigures"/>
        <w:tabs>
          <w:tab w:val="right" w:leader="dot" w:pos="9350"/>
        </w:tabs>
        <w:jc w:val="left"/>
        <w:rPr>
          <w:rFonts w:eastAsiaTheme="minorEastAsia" w:cs="Times New Roman"/>
          <w:noProof/>
          <w:szCs w:val="24"/>
        </w:rPr>
      </w:pPr>
      <w:hyperlink w:anchor="_Toc58667176" w:history="1">
        <w:r w:rsidR="00BB49E8" w:rsidRPr="005566AB">
          <w:rPr>
            <w:rStyle w:val="Hyperlink"/>
            <w:rFonts w:eastAsia="Times New Roman" w:cs="Times New Roman"/>
            <w:noProof/>
            <w:szCs w:val="24"/>
          </w:rPr>
          <w:t>Fig.3.14—Example of ReLU function indicated by the circled operator applied on an activation map</w:t>
        </w:r>
        <w:r w:rsidR="005566AB">
          <w:rPr>
            <w:rStyle w:val="Hyperlink"/>
            <w:rFonts w:eastAsia="Times New Roman" w:cs="Times New Roman"/>
            <w:noProof/>
            <w:szCs w:val="24"/>
          </w:rPr>
          <w:t xml:space="preserve"> </w:t>
        </w:r>
        <w:r w:rsidR="00BB49E8" w:rsidRPr="005566AB">
          <w:rPr>
            <w:rStyle w:val="Hyperlink"/>
            <w:rFonts w:cs="Times New Roman"/>
            <w:noProof/>
            <w:szCs w:val="24"/>
          </w:rPr>
          <w:t>https://e2eml.school/how_convolutional_neural_networks_work.html</w:t>
        </w:r>
        <w:r w:rsidR="005566AB">
          <w:rPr>
            <w:rStyle w:val="Hyperlink"/>
            <w:rFonts w:cs="Times New Roman"/>
            <w:noProof/>
            <w:szCs w:val="24"/>
          </w:rPr>
          <w:t xml:space="preserve"> </w:t>
        </w:r>
        <w:r w:rsidR="00BB49E8" w:rsidRPr="005566AB">
          <w:rPr>
            <w:rStyle w:val="Hyperlink"/>
            <w:rFonts w:eastAsia="Times New Roman" w:cs="Times New Roman"/>
            <w:noProof/>
            <w:szCs w:val="24"/>
          </w:rPr>
          <w:t>(accessed 15</w:t>
        </w:r>
        <w:r w:rsidR="005566AB" w:rsidRPr="005566AB">
          <w:rPr>
            <w:rStyle w:val="Hyperlink"/>
            <w:rFonts w:eastAsia="Times New Roman" w:cs="Times New Roman"/>
            <w:noProof/>
            <w:webHidden/>
            <w:szCs w:val="24"/>
          </w:rPr>
          <w:tab/>
        </w:r>
        <w:r w:rsidR="00BB49E8" w:rsidRPr="005566AB">
          <w:rPr>
            <w:rStyle w:val="Hyperlink"/>
            <w:rFonts w:eastAsia="Times New Roman" w:cs="Times New Roman"/>
            <w:noProof/>
            <w:szCs w:val="24"/>
          </w:rPr>
          <w:t xml:space="preserve"> September 2020) (Rohrer 2019).</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92</w:t>
        </w:r>
        <w:r w:rsidR="00BB49E8" w:rsidRPr="005566AB">
          <w:rPr>
            <w:rFonts w:cs="Times New Roman"/>
            <w:noProof/>
            <w:webHidden/>
            <w:szCs w:val="24"/>
          </w:rPr>
          <w:fldChar w:fldCharType="end"/>
        </w:r>
      </w:hyperlink>
    </w:p>
    <w:p w14:paraId="14B0D2FE" w14:textId="447B3C22" w:rsidR="00BB49E8" w:rsidRPr="005566AB" w:rsidRDefault="002E6043" w:rsidP="005566AB">
      <w:pPr>
        <w:pStyle w:val="TableofFigures"/>
        <w:tabs>
          <w:tab w:val="right" w:leader="dot" w:pos="9350"/>
        </w:tabs>
        <w:jc w:val="left"/>
        <w:rPr>
          <w:rFonts w:eastAsiaTheme="minorEastAsia" w:cs="Times New Roman"/>
          <w:noProof/>
          <w:szCs w:val="24"/>
        </w:rPr>
      </w:pPr>
      <w:hyperlink w:anchor="_Toc58667177" w:history="1">
        <w:r w:rsidR="00BB49E8" w:rsidRPr="005566AB">
          <w:rPr>
            <w:rStyle w:val="Hyperlink"/>
            <w:rFonts w:cs="Times New Roman"/>
            <w:noProof/>
            <w:szCs w:val="24"/>
          </w:rPr>
          <w:t>Fig. 3. 15—Example of downsampling using the Pooling Layer</w:t>
        </w:r>
        <w:r w:rsidR="005566AB" w:rsidRPr="005566AB">
          <w:rPr>
            <w:rStyle w:val="Hyperlink"/>
            <w:rFonts w:cs="Times New Roman"/>
            <w:noProof/>
            <w:webHidden/>
            <w:szCs w:val="24"/>
          </w:rPr>
          <w:tab/>
        </w:r>
        <w:r w:rsidR="00BB49E8" w:rsidRPr="005566AB">
          <w:rPr>
            <w:rStyle w:val="Hyperlink"/>
            <w:rFonts w:cs="Times New Roman"/>
            <w:noProof/>
            <w:szCs w:val="24"/>
          </w:rPr>
          <w:t xml:space="preserve"> </w:t>
        </w:r>
        <w:r w:rsidR="00BB49E8" w:rsidRPr="005566AB">
          <w:rPr>
            <w:rStyle w:val="Hyperlink"/>
            <w:rFonts w:eastAsia="Times New Roman" w:cs="Times New Roman"/>
            <w:noProof/>
            <w:szCs w:val="24"/>
          </w:rPr>
          <w:t>https://cs231n.github.io/convolutional-networks (accessed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93</w:t>
        </w:r>
        <w:r w:rsidR="00BB49E8" w:rsidRPr="005566AB">
          <w:rPr>
            <w:rFonts w:cs="Times New Roman"/>
            <w:noProof/>
            <w:webHidden/>
            <w:szCs w:val="24"/>
          </w:rPr>
          <w:fldChar w:fldCharType="end"/>
        </w:r>
      </w:hyperlink>
    </w:p>
    <w:p w14:paraId="5E9B0DAC" w14:textId="1C6B484E" w:rsidR="00BB49E8" w:rsidRPr="005566AB" w:rsidRDefault="002E6043">
      <w:pPr>
        <w:pStyle w:val="TableofFigures"/>
        <w:tabs>
          <w:tab w:val="right" w:leader="dot" w:pos="9350"/>
        </w:tabs>
        <w:rPr>
          <w:rFonts w:eastAsiaTheme="minorEastAsia" w:cs="Times New Roman"/>
          <w:noProof/>
          <w:szCs w:val="24"/>
        </w:rPr>
      </w:pPr>
      <w:hyperlink w:anchor="_Toc58667178" w:history="1">
        <w:r w:rsidR="00BB49E8" w:rsidRPr="005566AB">
          <w:rPr>
            <w:rStyle w:val="Hyperlink"/>
            <w:rFonts w:cs="Times New Roman"/>
            <w:noProof/>
            <w:szCs w:val="24"/>
          </w:rPr>
          <w:t xml:space="preserve">Fig. 3. 16—Example of Max Pooling using a stride of 2 </w:t>
        </w:r>
        <w:r w:rsidR="00BB49E8" w:rsidRPr="005566AB">
          <w:rPr>
            <w:rStyle w:val="Hyperlink"/>
            <w:rFonts w:eastAsia="Times New Roman" w:cs="Times New Roman"/>
            <w:noProof/>
            <w:szCs w:val="24"/>
          </w:rPr>
          <w:t>https://cs231n.github.io/convolutional-networks (accessed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_Toc58667178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93</w:t>
        </w:r>
        <w:r w:rsidR="00BB49E8" w:rsidRPr="005566AB">
          <w:rPr>
            <w:rFonts w:cs="Times New Roman"/>
            <w:noProof/>
            <w:webHidden/>
            <w:szCs w:val="24"/>
          </w:rPr>
          <w:fldChar w:fldCharType="end"/>
        </w:r>
      </w:hyperlink>
    </w:p>
    <w:p w14:paraId="7D68708C" w14:textId="51A413A0" w:rsidR="00BB49E8" w:rsidRPr="005566AB" w:rsidRDefault="002E6043">
      <w:pPr>
        <w:pStyle w:val="TableofFigures"/>
        <w:tabs>
          <w:tab w:val="right" w:leader="dot" w:pos="9350"/>
        </w:tabs>
        <w:rPr>
          <w:rFonts w:eastAsiaTheme="minorEastAsia" w:cs="Times New Roman"/>
          <w:noProof/>
          <w:szCs w:val="24"/>
        </w:rPr>
      </w:pPr>
      <w:hyperlink w:anchor="_Toc58667179" w:history="1">
        <w:r w:rsidR="00BB49E8" w:rsidRPr="005566AB">
          <w:rPr>
            <w:rStyle w:val="Hyperlink"/>
            <w:rFonts w:cs="Times New Roman"/>
            <w:noProof/>
            <w:szCs w:val="24"/>
          </w:rPr>
          <w:t xml:space="preserve">Fig. 3. 17—Example of a Fully Connected Layer output https://cs231n.github.io/convolutional-networks </w:t>
        </w:r>
        <w:r w:rsidR="00BB49E8" w:rsidRPr="005566AB">
          <w:rPr>
            <w:rStyle w:val="Hyperlink"/>
            <w:rFonts w:eastAsia="Times New Roman" w:cs="Times New Roman"/>
            <w:noProof/>
            <w:szCs w:val="24"/>
          </w:rPr>
          <w:t>(accessed 21 September 2020) (Li et al. 2017).</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_Toc58667179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94</w:t>
        </w:r>
        <w:r w:rsidR="00BB49E8" w:rsidRPr="005566AB">
          <w:rPr>
            <w:rFonts w:cs="Times New Roman"/>
            <w:noProof/>
            <w:webHidden/>
            <w:szCs w:val="24"/>
          </w:rPr>
          <w:fldChar w:fldCharType="end"/>
        </w:r>
      </w:hyperlink>
    </w:p>
    <w:p w14:paraId="2AB2AEBC" w14:textId="5939D655" w:rsidR="00BB49E8" w:rsidRPr="005566AB" w:rsidRDefault="002E6043">
      <w:pPr>
        <w:pStyle w:val="TableofFigures"/>
        <w:tabs>
          <w:tab w:val="right" w:leader="dot" w:pos="9350"/>
        </w:tabs>
        <w:rPr>
          <w:rFonts w:eastAsiaTheme="minorEastAsia" w:cs="Times New Roman"/>
          <w:noProof/>
          <w:szCs w:val="24"/>
        </w:rPr>
      </w:pPr>
      <w:hyperlink w:anchor="_Toc58667180" w:history="1">
        <w:r w:rsidR="00BB49E8" w:rsidRPr="005566AB">
          <w:rPr>
            <w:rStyle w:val="Hyperlink"/>
            <w:rFonts w:cs="Times New Roman"/>
            <w:noProof/>
            <w:szCs w:val="24"/>
          </w:rPr>
          <w:t xml:space="preserve">Fig. 3. 18— Example of Rod Pump Failures modes through downhole dynamometer cards </w:t>
        </w:r>
        <w:r w:rsidR="00BB49E8" w:rsidRPr="005566AB">
          <w:rPr>
            <w:rStyle w:val="Hyperlink"/>
            <w:rFonts w:eastAsia="Times New Roman" w:cs="Times New Roman"/>
            <w:noProof/>
            <w:szCs w:val="24"/>
          </w:rPr>
          <w:t>(Tan et al.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_Toc58667180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97</w:t>
        </w:r>
        <w:r w:rsidR="00BB49E8" w:rsidRPr="005566AB">
          <w:rPr>
            <w:rFonts w:cs="Times New Roman"/>
            <w:noProof/>
            <w:webHidden/>
            <w:szCs w:val="24"/>
          </w:rPr>
          <w:fldChar w:fldCharType="end"/>
        </w:r>
      </w:hyperlink>
    </w:p>
    <w:p w14:paraId="23E63026" w14:textId="2A053531" w:rsidR="00BB49E8" w:rsidRPr="005566AB" w:rsidRDefault="002E6043">
      <w:pPr>
        <w:pStyle w:val="TableofFigures"/>
        <w:tabs>
          <w:tab w:val="right" w:leader="dot" w:pos="9350"/>
        </w:tabs>
        <w:rPr>
          <w:rFonts w:eastAsiaTheme="minorEastAsia" w:cs="Times New Roman"/>
          <w:noProof/>
          <w:szCs w:val="24"/>
        </w:rPr>
      </w:pPr>
      <w:hyperlink w:anchor="_Toc58667181" w:history="1">
        <w:r w:rsidR="00BB49E8" w:rsidRPr="005566AB">
          <w:rPr>
            <w:rStyle w:val="Hyperlink"/>
            <w:rFonts w:cs="Times New Roman"/>
            <w:noProof/>
            <w:szCs w:val="24"/>
          </w:rPr>
          <w:t>Fig. 3. 19—(a) Plot of VGG16 model accuracy and (b) model loss during training and testing.</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_Toc58667181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101</w:t>
        </w:r>
        <w:r w:rsidR="00BB49E8" w:rsidRPr="005566AB">
          <w:rPr>
            <w:rFonts w:cs="Times New Roman"/>
            <w:noProof/>
            <w:webHidden/>
            <w:szCs w:val="24"/>
          </w:rPr>
          <w:fldChar w:fldCharType="end"/>
        </w:r>
      </w:hyperlink>
    </w:p>
    <w:p w14:paraId="50D1F114" w14:textId="4F2FEF52" w:rsidR="00BB49E8" w:rsidRPr="005566AB" w:rsidRDefault="002E6043">
      <w:pPr>
        <w:pStyle w:val="TableofFigures"/>
        <w:tabs>
          <w:tab w:val="right" w:leader="dot" w:pos="9350"/>
        </w:tabs>
        <w:rPr>
          <w:rFonts w:eastAsiaTheme="minorEastAsia" w:cs="Times New Roman"/>
          <w:noProof/>
          <w:szCs w:val="24"/>
        </w:rPr>
      </w:pPr>
      <w:hyperlink w:anchor="_Toc58667182" w:history="1">
        <w:r w:rsidR="00BB49E8" w:rsidRPr="005566AB">
          <w:rPr>
            <w:rStyle w:val="Hyperlink"/>
            <w:rFonts w:cs="Times New Roman"/>
            <w:noProof/>
            <w:szCs w:val="24"/>
          </w:rPr>
          <w:t>Fig. 3. 20—Confusion Matrix showing True labels versus Predicted Labels.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_Toc58667182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102</w:t>
        </w:r>
        <w:r w:rsidR="00BB49E8" w:rsidRPr="005566AB">
          <w:rPr>
            <w:rFonts w:cs="Times New Roman"/>
            <w:noProof/>
            <w:webHidden/>
            <w:szCs w:val="24"/>
          </w:rPr>
          <w:fldChar w:fldCharType="end"/>
        </w:r>
      </w:hyperlink>
    </w:p>
    <w:p w14:paraId="211A6CDA" w14:textId="132BE685" w:rsidR="00BB49E8" w:rsidRPr="005566AB" w:rsidRDefault="002E6043">
      <w:pPr>
        <w:pStyle w:val="TableofFigures"/>
        <w:tabs>
          <w:tab w:val="right" w:leader="dot" w:pos="9350"/>
        </w:tabs>
        <w:rPr>
          <w:rFonts w:eastAsiaTheme="minorEastAsia" w:cs="Times New Roman"/>
          <w:noProof/>
          <w:szCs w:val="24"/>
        </w:rPr>
      </w:pPr>
      <w:hyperlink w:anchor="_Toc58667183" w:history="1">
        <w:r w:rsidR="00BB49E8" w:rsidRPr="005566AB">
          <w:rPr>
            <w:rStyle w:val="Hyperlink"/>
            <w:rFonts w:cs="Times New Roman"/>
            <w:noProof/>
            <w:szCs w:val="24"/>
          </w:rPr>
          <w:t>Fig. 3. 21— Confusion Matrix without normalization showing True labels versus Predicted Labels.</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_Toc58667183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103</w:t>
        </w:r>
        <w:r w:rsidR="00BB49E8" w:rsidRPr="005566AB">
          <w:rPr>
            <w:rFonts w:cs="Times New Roman"/>
            <w:noProof/>
            <w:webHidden/>
            <w:szCs w:val="24"/>
          </w:rPr>
          <w:fldChar w:fldCharType="end"/>
        </w:r>
      </w:hyperlink>
    </w:p>
    <w:p w14:paraId="0DCE9FD8" w14:textId="607BB609" w:rsidR="00BB49E8" w:rsidRPr="005566AB" w:rsidRDefault="002E6043">
      <w:pPr>
        <w:pStyle w:val="TableofFigures"/>
        <w:tabs>
          <w:tab w:val="right" w:leader="dot" w:pos="9350"/>
        </w:tabs>
        <w:rPr>
          <w:rFonts w:eastAsiaTheme="minorEastAsia" w:cs="Times New Roman"/>
          <w:noProof/>
          <w:szCs w:val="24"/>
        </w:rPr>
      </w:pPr>
      <w:hyperlink w:anchor="_Toc58667184" w:history="1">
        <w:r w:rsidR="00BB49E8" w:rsidRPr="005566AB">
          <w:rPr>
            <w:rStyle w:val="Hyperlink"/>
            <w:rFonts w:cs="Times New Roman"/>
            <w:noProof/>
            <w:szCs w:val="24"/>
          </w:rPr>
          <w:t>Fig. 3. 22—An example of model’s misclassification (a) True label related to the severe mode of pump fillage problem (b) Model Predicted label related to the moderate case of gas interference (Tan et al.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_Toc58667184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103</w:t>
        </w:r>
        <w:r w:rsidR="00BB49E8" w:rsidRPr="005566AB">
          <w:rPr>
            <w:rFonts w:cs="Times New Roman"/>
            <w:noProof/>
            <w:webHidden/>
            <w:szCs w:val="24"/>
          </w:rPr>
          <w:fldChar w:fldCharType="end"/>
        </w:r>
      </w:hyperlink>
    </w:p>
    <w:p w14:paraId="4AD6E13B" w14:textId="6BB8ABED" w:rsidR="00BB49E8" w:rsidRPr="005566AB" w:rsidRDefault="002E6043">
      <w:pPr>
        <w:pStyle w:val="TableofFigures"/>
        <w:tabs>
          <w:tab w:val="right" w:leader="dot" w:pos="9350"/>
        </w:tabs>
        <w:rPr>
          <w:rFonts w:eastAsiaTheme="minorEastAsia" w:cs="Times New Roman"/>
          <w:noProof/>
          <w:szCs w:val="24"/>
        </w:rPr>
      </w:pPr>
      <w:hyperlink w:anchor="_Toc58667185" w:history="1">
        <w:r w:rsidR="00BB49E8" w:rsidRPr="005566AB">
          <w:rPr>
            <w:rStyle w:val="Hyperlink"/>
            <w:rFonts w:cs="Times New Roman"/>
            <w:noProof/>
            <w:szCs w:val="24"/>
          </w:rPr>
          <w:t>Fig. 3. 23— An example of model’s misclassification (a) True label related to the leaking standing valve (b) Model Predicted label related to the delay in closing of the standing valve (Tan et al.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_Toc58667185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104</w:t>
        </w:r>
        <w:r w:rsidR="00BB49E8" w:rsidRPr="005566AB">
          <w:rPr>
            <w:rFonts w:cs="Times New Roman"/>
            <w:noProof/>
            <w:webHidden/>
            <w:szCs w:val="24"/>
          </w:rPr>
          <w:fldChar w:fldCharType="end"/>
        </w:r>
      </w:hyperlink>
    </w:p>
    <w:p w14:paraId="308B8461" w14:textId="2E0398EE" w:rsidR="00BB49E8" w:rsidRPr="005566AB" w:rsidRDefault="002E6043">
      <w:pPr>
        <w:pStyle w:val="TableofFigures"/>
        <w:tabs>
          <w:tab w:val="right" w:leader="dot" w:pos="9350"/>
        </w:tabs>
        <w:rPr>
          <w:rFonts w:eastAsiaTheme="minorEastAsia" w:cs="Times New Roman"/>
          <w:noProof/>
          <w:szCs w:val="24"/>
        </w:rPr>
      </w:pPr>
      <w:hyperlink w:anchor="_Toc58667186" w:history="1">
        <w:r w:rsidR="00BB49E8" w:rsidRPr="005566AB">
          <w:rPr>
            <w:rStyle w:val="Hyperlink"/>
            <w:rFonts w:cs="Times New Roman"/>
            <w:noProof/>
            <w:szCs w:val="24"/>
          </w:rPr>
          <w:t>Fig. 3. 24— An example of model’s accurate classification (a) True label related to presence of sand (b) Model predicted label related to the presence of sand (Tan et al.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_Toc58667186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105</w:t>
        </w:r>
        <w:r w:rsidR="00BB49E8" w:rsidRPr="005566AB">
          <w:rPr>
            <w:rFonts w:cs="Times New Roman"/>
            <w:noProof/>
            <w:webHidden/>
            <w:szCs w:val="24"/>
          </w:rPr>
          <w:fldChar w:fldCharType="end"/>
        </w:r>
      </w:hyperlink>
    </w:p>
    <w:p w14:paraId="73623EF3" w14:textId="5B7AF443" w:rsidR="00BB49E8" w:rsidRPr="005566AB" w:rsidRDefault="002E6043">
      <w:pPr>
        <w:pStyle w:val="TableofFigures"/>
        <w:tabs>
          <w:tab w:val="right" w:leader="dot" w:pos="9350"/>
        </w:tabs>
        <w:rPr>
          <w:rFonts w:eastAsiaTheme="minorEastAsia" w:cs="Times New Roman"/>
          <w:noProof/>
          <w:szCs w:val="24"/>
        </w:rPr>
      </w:pPr>
      <w:hyperlink w:anchor="_Toc58667187" w:history="1">
        <w:r w:rsidR="00BB49E8" w:rsidRPr="005566AB">
          <w:rPr>
            <w:rStyle w:val="Hyperlink"/>
            <w:rFonts w:cs="Times New Roman"/>
            <w:noProof/>
            <w:szCs w:val="24"/>
          </w:rPr>
          <w:t>Fig. 3. 25— An example of model’s accurate classification (a) True label related to severe case of gas interference (b) Model predicted label related to the severe gas of gas interference (Tan et al. 2015).</w:t>
        </w:r>
        <w:r w:rsidR="00BB49E8" w:rsidRPr="005566AB">
          <w:rPr>
            <w:rFonts w:cs="Times New Roman"/>
            <w:noProof/>
            <w:webHidden/>
            <w:szCs w:val="24"/>
          </w:rPr>
          <w:tab/>
        </w:r>
        <w:r w:rsidR="00BB49E8" w:rsidRPr="005566AB">
          <w:rPr>
            <w:rFonts w:cs="Times New Roman"/>
            <w:noProof/>
            <w:webHidden/>
            <w:szCs w:val="24"/>
          </w:rPr>
          <w:fldChar w:fldCharType="begin"/>
        </w:r>
        <w:r w:rsidR="00BB49E8" w:rsidRPr="005566AB">
          <w:rPr>
            <w:rFonts w:cs="Times New Roman"/>
            <w:noProof/>
            <w:webHidden/>
            <w:szCs w:val="24"/>
          </w:rPr>
          <w:instrText xml:space="preserve"> PAGEREF _Toc58667187 \h </w:instrText>
        </w:r>
        <w:r w:rsidR="00BB49E8" w:rsidRPr="005566AB">
          <w:rPr>
            <w:rFonts w:cs="Times New Roman"/>
            <w:noProof/>
            <w:webHidden/>
            <w:szCs w:val="24"/>
          </w:rPr>
        </w:r>
        <w:r w:rsidR="00BB49E8" w:rsidRPr="005566AB">
          <w:rPr>
            <w:rFonts w:cs="Times New Roman"/>
            <w:noProof/>
            <w:webHidden/>
            <w:szCs w:val="24"/>
          </w:rPr>
          <w:fldChar w:fldCharType="separate"/>
        </w:r>
        <w:r w:rsidR="00D006A5">
          <w:rPr>
            <w:rFonts w:cs="Times New Roman"/>
            <w:noProof/>
            <w:webHidden/>
            <w:szCs w:val="24"/>
          </w:rPr>
          <w:t>105</w:t>
        </w:r>
        <w:r w:rsidR="00BB49E8" w:rsidRPr="005566AB">
          <w:rPr>
            <w:rFonts w:cs="Times New Roman"/>
            <w:noProof/>
            <w:webHidden/>
            <w:szCs w:val="24"/>
          </w:rPr>
          <w:fldChar w:fldCharType="end"/>
        </w:r>
      </w:hyperlink>
    </w:p>
    <w:p w14:paraId="7180806A" w14:textId="1B15D595" w:rsidR="00503A4B" w:rsidRDefault="00A94156" w:rsidP="0022722F">
      <w:pPr>
        <w:rPr>
          <w:rFonts w:cs="Times New Roman"/>
          <w:szCs w:val="24"/>
        </w:rPr>
      </w:pPr>
      <w:r w:rsidRPr="005566AB">
        <w:rPr>
          <w:rFonts w:cs="Times New Roman"/>
          <w:szCs w:val="24"/>
        </w:rPr>
        <w:fldChar w:fldCharType="end"/>
      </w:r>
    </w:p>
    <w:p w14:paraId="78C776DA" w14:textId="172788F3" w:rsidR="001A6425" w:rsidRDefault="001A6425" w:rsidP="0022722F">
      <w:pPr>
        <w:rPr>
          <w:rFonts w:cs="Times New Roman"/>
          <w:szCs w:val="24"/>
        </w:rPr>
      </w:pPr>
    </w:p>
    <w:p w14:paraId="62BDA093" w14:textId="54F6744E" w:rsidR="001A6425" w:rsidRDefault="001A6425" w:rsidP="0022722F">
      <w:pPr>
        <w:rPr>
          <w:rFonts w:cs="Times New Roman"/>
          <w:szCs w:val="24"/>
        </w:rPr>
      </w:pPr>
    </w:p>
    <w:p w14:paraId="0DD8B1ED" w14:textId="4D2E7F8D" w:rsidR="00A14BB3" w:rsidRDefault="00A14BB3" w:rsidP="0022722F">
      <w:pPr>
        <w:rPr>
          <w:rFonts w:cs="Times New Roman"/>
          <w:szCs w:val="24"/>
        </w:rPr>
      </w:pPr>
    </w:p>
    <w:p w14:paraId="0BE035BE" w14:textId="337A749E" w:rsidR="00A14BB3" w:rsidRDefault="00A14BB3" w:rsidP="0022722F">
      <w:pPr>
        <w:rPr>
          <w:rFonts w:cs="Times New Roman"/>
          <w:szCs w:val="24"/>
        </w:rPr>
      </w:pPr>
    </w:p>
    <w:p w14:paraId="7BD8ACE2" w14:textId="426D51FD" w:rsidR="00A14BB3" w:rsidRDefault="00A14BB3" w:rsidP="0022722F">
      <w:pPr>
        <w:rPr>
          <w:rFonts w:cs="Times New Roman"/>
          <w:szCs w:val="24"/>
        </w:rPr>
      </w:pPr>
    </w:p>
    <w:p w14:paraId="76EF225C" w14:textId="74332B66" w:rsidR="00A14BB3" w:rsidRDefault="00A14BB3" w:rsidP="0022722F">
      <w:pPr>
        <w:rPr>
          <w:rFonts w:cs="Times New Roman"/>
          <w:szCs w:val="24"/>
        </w:rPr>
      </w:pPr>
    </w:p>
    <w:p w14:paraId="6A14F0CC" w14:textId="4066AEFB" w:rsidR="00FD255B" w:rsidRDefault="00FD255B" w:rsidP="0022722F">
      <w:pPr>
        <w:rPr>
          <w:rFonts w:cs="Times New Roman"/>
          <w:szCs w:val="24"/>
        </w:rPr>
      </w:pPr>
    </w:p>
    <w:p w14:paraId="3E53AA1A" w14:textId="504E14CF" w:rsidR="00FD255B" w:rsidRDefault="00FD255B" w:rsidP="0022722F">
      <w:pPr>
        <w:rPr>
          <w:rFonts w:cs="Times New Roman"/>
          <w:szCs w:val="24"/>
        </w:rPr>
      </w:pPr>
    </w:p>
    <w:p w14:paraId="5E812B47" w14:textId="211947DC" w:rsidR="00FD255B" w:rsidRDefault="00FD255B" w:rsidP="0022722F">
      <w:pPr>
        <w:rPr>
          <w:rFonts w:cs="Times New Roman"/>
          <w:szCs w:val="24"/>
        </w:rPr>
      </w:pPr>
    </w:p>
    <w:p w14:paraId="61E67C17" w14:textId="24E70B01" w:rsidR="007203E6" w:rsidRDefault="007203E6" w:rsidP="0022722F">
      <w:pPr>
        <w:rPr>
          <w:rFonts w:cs="Times New Roman"/>
          <w:szCs w:val="24"/>
        </w:rPr>
      </w:pPr>
    </w:p>
    <w:p w14:paraId="4E9DF204" w14:textId="5208B3EE" w:rsidR="007203E6" w:rsidRDefault="007203E6" w:rsidP="0022722F">
      <w:pPr>
        <w:rPr>
          <w:rFonts w:cs="Times New Roman"/>
          <w:szCs w:val="24"/>
        </w:rPr>
      </w:pPr>
    </w:p>
    <w:p w14:paraId="32EB8335" w14:textId="77777777" w:rsidR="007203E6" w:rsidRDefault="007203E6" w:rsidP="0022722F">
      <w:pPr>
        <w:rPr>
          <w:rFonts w:cs="Times New Roman"/>
          <w:szCs w:val="24"/>
        </w:rPr>
      </w:pPr>
    </w:p>
    <w:p w14:paraId="74ADF776" w14:textId="17F5D0A6" w:rsidR="00D66DDD" w:rsidRDefault="00830020" w:rsidP="003741C0">
      <w:pPr>
        <w:pStyle w:val="Heading1"/>
        <w:rPr>
          <w:rFonts w:eastAsiaTheme="minorEastAsia"/>
        </w:rPr>
      </w:pPr>
      <w:bookmarkStart w:id="4" w:name="_Toc58667094"/>
      <w:r w:rsidRPr="00381FC7">
        <w:rPr>
          <w:rFonts w:eastAsiaTheme="minorEastAsia"/>
        </w:rPr>
        <w:lastRenderedPageBreak/>
        <w:t>Appendix</w:t>
      </w:r>
      <w:bookmarkEnd w:id="4"/>
    </w:p>
    <w:p w14:paraId="12CF07B6" w14:textId="7E31FB25" w:rsidR="00AC1E47" w:rsidRPr="009C5E10" w:rsidRDefault="00F76D49">
      <w:pPr>
        <w:pStyle w:val="TableofFigures"/>
        <w:tabs>
          <w:tab w:val="right" w:leader="dot" w:pos="9350"/>
        </w:tabs>
        <w:rPr>
          <w:rFonts w:asciiTheme="minorHAnsi" w:eastAsiaTheme="minorEastAsia" w:hAnsiTheme="minorHAnsi"/>
          <w:bCs/>
          <w:noProof/>
          <w:sz w:val="22"/>
        </w:rPr>
      </w:pPr>
      <w:r w:rsidRPr="009C5E10">
        <w:rPr>
          <w:rFonts w:eastAsiaTheme="minorEastAsia" w:cs="Times New Roman"/>
          <w:bCs/>
          <w:szCs w:val="24"/>
        </w:rPr>
        <w:fldChar w:fldCharType="begin"/>
      </w:r>
      <w:r w:rsidRPr="009C5E10">
        <w:rPr>
          <w:rFonts w:eastAsiaTheme="minorEastAsia" w:cs="Times New Roman"/>
          <w:bCs/>
          <w:szCs w:val="24"/>
        </w:rPr>
        <w:instrText xml:space="preserve"> TOC \h \z \c "Fig. A" </w:instrText>
      </w:r>
      <w:r w:rsidRPr="009C5E10">
        <w:rPr>
          <w:rFonts w:eastAsiaTheme="minorEastAsia" w:cs="Times New Roman"/>
          <w:bCs/>
          <w:szCs w:val="24"/>
        </w:rPr>
        <w:fldChar w:fldCharType="separate"/>
      </w:r>
      <w:hyperlink w:anchor="_Toc58625276" w:history="1">
        <w:r w:rsidR="00AC1E47" w:rsidRPr="009C5E10">
          <w:rPr>
            <w:rStyle w:val="Hyperlink"/>
            <w:rFonts w:ascii="Arial" w:hAnsi="Arial" w:cs="Arial"/>
            <w:bCs/>
            <w:noProof/>
          </w:rPr>
          <w:t>Fig. A1—Propensity Score Distribution before and after matching at 500 ft well spacing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_Toc58625276 \h </w:instrText>
        </w:r>
        <w:r w:rsidR="00AC1E47" w:rsidRPr="009C5E10">
          <w:rPr>
            <w:bCs/>
            <w:noProof/>
            <w:webHidden/>
          </w:rPr>
        </w:r>
        <w:r w:rsidR="00AC1E47" w:rsidRPr="009C5E10">
          <w:rPr>
            <w:bCs/>
            <w:noProof/>
            <w:webHidden/>
          </w:rPr>
          <w:fldChar w:fldCharType="separate"/>
        </w:r>
        <w:r w:rsidR="00D006A5">
          <w:rPr>
            <w:bCs/>
            <w:noProof/>
            <w:webHidden/>
          </w:rPr>
          <w:t>116</w:t>
        </w:r>
        <w:r w:rsidR="00AC1E47" w:rsidRPr="009C5E10">
          <w:rPr>
            <w:bCs/>
            <w:noProof/>
            <w:webHidden/>
          </w:rPr>
          <w:fldChar w:fldCharType="end"/>
        </w:r>
      </w:hyperlink>
    </w:p>
    <w:p w14:paraId="2B6789D7" w14:textId="73CEA9B7"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77" w:history="1">
        <w:r w:rsidR="00AC1E47" w:rsidRPr="009C5E10">
          <w:rPr>
            <w:rStyle w:val="Hyperlink"/>
            <w:rFonts w:ascii="Arial" w:hAnsi="Arial" w:cs="Arial"/>
            <w:bCs/>
            <w:noProof/>
          </w:rPr>
          <w:t>Fig. A2—Density of the propensity scores at 500 ft well spacing across matched and unmatched parent-child well groups with outcome 180-day cumulative production 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_Toc58625277 \h </w:instrText>
        </w:r>
        <w:r w:rsidR="00AC1E47" w:rsidRPr="009C5E10">
          <w:rPr>
            <w:bCs/>
            <w:noProof/>
            <w:webHidden/>
          </w:rPr>
        </w:r>
        <w:r w:rsidR="00AC1E47" w:rsidRPr="009C5E10">
          <w:rPr>
            <w:bCs/>
            <w:noProof/>
            <w:webHidden/>
          </w:rPr>
          <w:fldChar w:fldCharType="separate"/>
        </w:r>
        <w:r w:rsidR="00D006A5">
          <w:rPr>
            <w:bCs/>
            <w:noProof/>
            <w:webHidden/>
          </w:rPr>
          <w:t>117</w:t>
        </w:r>
        <w:r w:rsidR="00AC1E47" w:rsidRPr="009C5E10">
          <w:rPr>
            <w:bCs/>
            <w:noProof/>
            <w:webHidden/>
          </w:rPr>
          <w:fldChar w:fldCharType="end"/>
        </w:r>
      </w:hyperlink>
    </w:p>
    <w:p w14:paraId="3E1FC3D7" w14:textId="0E2E2C30"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78" w:history="1">
        <w:r w:rsidR="00AC1E47" w:rsidRPr="009C5E10">
          <w:rPr>
            <w:rStyle w:val="Hyperlink"/>
            <w:rFonts w:ascii="Arial" w:hAnsi="Arial" w:cs="Arial"/>
            <w:bCs/>
            <w:noProof/>
          </w:rPr>
          <w:t>Fig. A3—Propensity Score Distribution before and after matching at 600 ft well spacing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_Toc58625278 \h </w:instrText>
        </w:r>
        <w:r w:rsidR="00AC1E47" w:rsidRPr="009C5E10">
          <w:rPr>
            <w:bCs/>
            <w:noProof/>
            <w:webHidden/>
          </w:rPr>
        </w:r>
        <w:r w:rsidR="00AC1E47" w:rsidRPr="009C5E10">
          <w:rPr>
            <w:bCs/>
            <w:noProof/>
            <w:webHidden/>
          </w:rPr>
          <w:fldChar w:fldCharType="separate"/>
        </w:r>
        <w:r w:rsidR="00D006A5">
          <w:rPr>
            <w:bCs/>
            <w:noProof/>
            <w:webHidden/>
          </w:rPr>
          <w:t>118</w:t>
        </w:r>
        <w:r w:rsidR="00AC1E47" w:rsidRPr="009C5E10">
          <w:rPr>
            <w:bCs/>
            <w:noProof/>
            <w:webHidden/>
          </w:rPr>
          <w:fldChar w:fldCharType="end"/>
        </w:r>
      </w:hyperlink>
    </w:p>
    <w:p w14:paraId="63A8D490" w14:textId="70C4F0C6"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79" w:history="1">
        <w:r w:rsidR="00AC1E47" w:rsidRPr="009C5E10">
          <w:rPr>
            <w:rStyle w:val="Hyperlink"/>
            <w:rFonts w:ascii="Arial" w:hAnsi="Arial" w:cs="Arial"/>
            <w:bCs/>
            <w:noProof/>
          </w:rPr>
          <w:t>Fig. A4—Density of the propensity scores at 600 ft well spacing across matched and unmatched parent-child well groups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_Toc58625279 \h </w:instrText>
        </w:r>
        <w:r w:rsidR="00AC1E47" w:rsidRPr="009C5E10">
          <w:rPr>
            <w:bCs/>
            <w:noProof/>
            <w:webHidden/>
          </w:rPr>
        </w:r>
        <w:r w:rsidR="00AC1E47" w:rsidRPr="009C5E10">
          <w:rPr>
            <w:bCs/>
            <w:noProof/>
            <w:webHidden/>
          </w:rPr>
          <w:fldChar w:fldCharType="separate"/>
        </w:r>
        <w:r w:rsidR="00D006A5">
          <w:rPr>
            <w:bCs/>
            <w:noProof/>
            <w:webHidden/>
          </w:rPr>
          <w:t>119</w:t>
        </w:r>
        <w:r w:rsidR="00AC1E47" w:rsidRPr="009C5E10">
          <w:rPr>
            <w:bCs/>
            <w:noProof/>
            <w:webHidden/>
          </w:rPr>
          <w:fldChar w:fldCharType="end"/>
        </w:r>
      </w:hyperlink>
    </w:p>
    <w:p w14:paraId="5EEF80C3" w14:textId="4D2D4A12"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0" w:history="1">
        <w:r w:rsidR="00AC1E47" w:rsidRPr="009C5E10">
          <w:rPr>
            <w:rStyle w:val="Hyperlink"/>
            <w:rFonts w:ascii="Arial" w:hAnsi="Arial" w:cs="Arial"/>
            <w:bCs/>
            <w:noProof/>
          </w:rPr>
          <w:t>Fig. A5—Propensity Score Distribution before and after matching at 700 ft well spacing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_Toc58625280 \h </w:instrText>
        </w:r>
        <w:r w:rsidR="00AC1E47" w:rsidRPr="009C5E10">
          <w:rPr>
            <w:bCs/>
            <w:noProof/>
            <w:webHidden/>
          </w:rPr>
        </w:r>
        <w:r w:rsidR="00AC1E47" w:rsidRPr="009C5E10">
          <w:rPr>
            <w:bCs/>
            <w:noProof/>
            <w:webHidden/>
          </w:rPr>
          <w:fldChar w:fldCharType="separate"/>
        </w:r>
        <w:r w:rsidR="00D006A5">
          <w:rPr>
            <w:bCs/>
            <w:noProof/>
            <w:webHidden/>
          </w:rPr>
          <w:t>120</w:t>
        </w:r>
        <w:r w:rsidR="00AC1E47" w:rsidRPr="009C5E10">
          <w:rPr>
            <w:bCs/>
            <w:noProof/>
            <w:webHidden/>
          </w:rPr>
          <w:fldChar w:fldCharType="end"/>
        </w:r>
      </w:hyperlink>
    </w:p>
    <w:p w14:paraId="252B9AA0" w14:textId="7AA688D5"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1" w:history="1">
        <w:r w:rsidR="00AC1E47" w:rsidRPr="009C5E10">
          <w:rPr>
            <w:rStyle w:val="Hyperlink"/>
            <w:rFonts w:ascii="Arial" w:hAnsi="Arial" w:cs="Arial"/>
            <w:bCs/>
            <w:noProof/>
          </w:rPr>
          <w:t>Fig. A 6—Density of the propensity scores at 700 ft well spacing across matched and unmatched parent-child well groups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_Toc58625281 \h </w:instrText>
        </w:r>
        <w:r w:rsidR="00AC1E47" w:rsidRPr="009C5E10">
          <w:rPr>
            <w:bCs/>
            <w:noProof/>
            <w:webHidden/>
          </w:rPr>
        </w:r>
        <w:r w:rsidR="00AC1E47" w:rsidRPr="009C5E10">
          <w:rPr>
            <w:bCs/>
            <w:noProof/>
            <w:webHidden/>
          </w:rPr>
          <w:fldChar w:fldCharType="separate"/>
        </w:r>
        <w:r w:rsidR="00D006A5">
          <w:rPr>
            <w:bCs/>
            <w:noProof/>
            <w:webHidden/>
          </w:rPr>
          <w:t>121</w:t>
        </w:r>
        <w:r w:rsidR="00AC1E47" w:rsidRPr="009C5E10">
          <w:rPr>
            <w:bCs/>
            <w:noProof/>
            <w:webHidden/>
          </w:rPr>
          <w:fldChar w:fldCharType="end"/>
        </w:r>
      </w:hyperlink>
    </w:p>
    <w:p w14:paraId="14D7A12D" w14:textId="5BB335FB"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2" w:history="1">
        <w:r w:rsidR="00AC1E47" w:rsidRPr="009C5E10">
          <w:rPr>
            <w:rStyle w:val="Hyperlink"/>
            <w:rFonts w:ascii="Arial" w:hAnsi="Arial" w:cs="Arial"/>
            <w:bCs/>
            <w:noProof/>
          </w:rPr>
          <w:t>Fig. A 7—Propensity Score Distribution before and after matching at 800 ft well spacing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_Toc58625282 \h </w:instrText>
        </w:r>
        <w:r w:rsidR="00AC1E47" w:rsidRPr="009C5E10">
          <w:rPr>
            <w:bCs/>
            <w:noProof/>
            <w:webHidden/>
          </w:rPr>
        </w:r>
        <w:r w:rsidR="00AC1E47" w:rsidRPr="009C5E10">
          <w:rPr>
            <w:bCs/>
            <w:noProof/>
            <w:webHidden/>
          </w:rPr>
          <w:fldChar w:fldCharType="separate"/>
        </w:r>
        <w:r w:rsidR="00D006A5">
          <w:rPr>
            <w:bCs/>
            <w:noProof/>
            <w:webHidden/>
          </w:rPr>
          <w:t>122</w:t>
        </w:r>
        <w:r w:rsidR="00AC1E47" w:rsidRPr="009C5E10">
          <w:rPr>
            <w:bCs/>
            <w:noProof/>
            <w:webHidden/>
          </w:rPr>
          <w:fldChar w:fldCharType="end"/>
        </w:r>
      </w:hyperlink>
    </w:p>
    <w:p w14:paraId="2F4F05E7" w14:textId="566C071D"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3" w:history="1">
        <w:r w:rsidR="00AC1E47" w:rsidRPr="009C5E10">
          <w:rPr>
            <w:rStyle w:val="Hyperlink"/>
            <w:rFonts w:ascii="Arial" w:hAnsi="Arial" w:cs="Arial"/>
            <w:bCs/>
            <w:noProof/>
          </w:rPr>
          <w:t>Fig. A 8—Density of the propensity scores at 800 ft well spacing across matched and unmatched parent-child well groups with outcome 180-day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_Toc58625283 \h </w:instrText>
        </w:r>
        <w:r w:rsidR="00AC1E47" w:rsidRPr="009C5E10">
          <w:rPr>
            <w:bCs/>
            <w:noProof/>
            <w:webHidden/>
          </w:rPr>
        </w:r>
        <w:r w:rsidR="00AC1E47" w:rsidRPr="009C5E10">
          <w:rPr>
            <w:bCs/>
            <w:noProof/>
            <w:webHidden/>
          </w:rPr>
          <w:fldChar w:fldCharType="separate"/>
        </w:r>
        <w:r w:rsidR="00D006A5">
          <w:rPr>
            <w:bCs/>
            <w:noProof/>
            <w:webHidden/>
          </w:rPr>
          <w:t>123</w:t>
        </w:r>
        <w:r w:rsidR="00AC1E47" w:rsidRPr="009C5E10">
          <w:rPr>
            <w:bCs/>
            <w:noProof/>
            <w:webHidden/>
          </w:rPr>
          <w:fldChar w:fldCharType="end"/>
        </w:r>
      </w:hyperlink>
    </w:p>
    <w:p w14:paraId="05A23E7F" w14:textId="53A03396"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4" w:history="1">
        <w:r w:rsidR="00AC1E47" w:rsidRPr="009C5E10">
          <w:rPr>
            <w:rStyle w:val="Hyperlink"/>
            <w:rFonts w:ascii="Arial" w:hAnsi="Arial" w:cs="Arial"/>
            <w:bCs/>
            <w:noProof/>
          </w:rPr>
          <w:t>Fig. A 9—Propensity score distribution before and after matching at 500 ft well spacing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_Toc58625284 \h </w:instrText>
        </w:r>
        <w:r w:rsidR="00AC1E47" w:rsidRPr="009C5E10">
          <w:rPr>
            <w:bCs/>
            <w:noProof/>
            <w:webHidden/>
          </w:rPr>
        </w:r>
        <w:r w:rsidR="00AC1E47" w:rsidRPr="009C5E10">
          <w:rPr>
            <w:bCs/>
            <w:noProof/>
            <w:webHidden/>
          </w:rPr>
          <w:fldChar w:fldCharType="separate"/>
        </w:r>
        <w:r w:rsidR="00D006A5">
          <w:rPr>
            <w:bCs/>
            <w:noProof/>
            <w:webHidden/>
          </w:rPr>
          <w:t>124</w:t>
        </w:r>
        <w:r w:rsidR="00AC1E47" w:rsidRPr="009C5E10">
          <w:rPr>
            <w:bCs/>
            <w:noProof/>
            <w:webHidden/>
          </w:rPr>
          <w:fldChar w:fldCharType="end"/>
        </w:r>
      </w:hyperlink>
    </w:p>
    <w:p w14:paraId="3C443DDE" w14:textId="34F50E17"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5" w:history="1">
        <w:r w:rsidR="00AC1E47" w:rsidRPr="009C5E10">
          <w:rPr>
            <w:rStyle w:val="Hyperlink"/>
            <w:rFonts w:ascii="Arial" w:hAnsi="Arial" w:cs="Arial"/>
            <w:bCs/>
            <w:noProof/>
          </w:rPr>
          <w:t>Fig. A 10—Density of the propensity scores at 500 ft well spacing across matched and unmatched parent-child well groups</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_Toc58625285 \h </w:instrText>
        </w:r>
        <w:r w:rsidR="00AC1E47" w:rsidRPr="009C5E10">
          <w:rPr>
            <w:bCs/>
            <w:noProof/>
            <w:webHidden/>
          </w:rPr>
        </w:r>
        <w:r w:rsidR="00AC1E47" w:rsidRPr="009C5E10">
          <w:rPr>
            <w:bCs/>
            <w:noProof/>
            <w:webHidden/>
          </w:rPr>
          <w:fldChar w:fldCharType="separate"/>
        </w:r>
        <w:r w:rsidR="00D006A5">
          <w:rPr>
            <w:bCs/>
            <w:noProof/>
            <w:webHidden/>
          </w:rPr>
          <w:t>125</w:t>
        </w:r>
        <w:r w:rsidR="00AC1E47" w:rsidRPr="009C5E10">
          <w:rPr>
            <w:bCs/>
            <w:noProof/>
            <w:webHidden/>
          </w:rPr>
          <w:fldChar w:fldCharType="end"/>
        </w:r>
      </w:hyperlink>
    </w:p>
    <w:p w14:paraId="21063C2D" w14:textId="4A84E6AD"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6" w:history="1">
        <w:r w:rsidR="00AC1E47" w:rsidRPr="009C5E10">
          <w:rPr>
            <w:rStyle w:val="Hyperlink"/>
            <w:rFonts w:ascii="Arial" w:hAnsi="Arial" w:cs="Arial"/>
            <w:bCs/>
            <w:noProof/>
          </w:rPr>
          <w:t>Fig. A 11—Propensity Score Distribution before and after matching at 600 ft well spacing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_Toc58625286 \h </w:instrText>
        </w:r>
        <w:r w:rsidR="00AC1E47" w:rsidRPr="009C5E10">
          <w:rPr>
            <w:bCs/>
            <w:noProof/>
            <w:webHidden/>
          </w:rPr>
        </w:r>
        <w:r w:rsidR="00AC1E47" w:rsidRPr="009C5E10">
          <w:rPr>
            <w:bCs/>
            <w:noProof/>
            <w:webHidden/>
          </w:rPr>
          <w:fldChar w:fldCharType="separate"/>
        </w:r>
        <w:r w:rsidR="00D006A5">
          <w:rPr>
            <w:bCs/>
            <w:noProof/>
            <w:webHidden/>
          </w:rPr>
          <w:t>126</w:t>
        </w:r>
        <w:r w:rsidR="00AC1E47" w:rsidRPr="009C5E10">
          <w:rPr>
            <w:bCs/>
            <w:noProof/>
            <w:webHidden/>
          </w:rPr>
          <w:fldChar w:fldCharType="end"/>
        </w:r>
      </w:hyperlink>
    </w:p>
    <w:p w14:paraId="073F4B9D" w14:textId="7374595B"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7" w:history="1">
        <w:r w:rsidR="00AC1E47" w:rsidRPr="009C5E10">
          <w:rPr>
            <w:rStyle w:val="Hyperlink"/>
            <w:rFonts w:ascii="Arial" w:hAnsi="Arial" w:cs="Arial"/>
            <w:bCs/>
            <w:noProof/>
          </w:rPr>
          <w:t>Fig. A 12—Density of the propensity scores at 600 ft well spacing across matched and unmatched parent-child well groups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_Toc58625287 \h </w:instrText>
        </w:r>
        <w:r w:rsidR="00AC1E47" w:rsidRPr="009C5E10">
          <w:rPr>
            <w:bCs/>
            <w:noProof/>
            <w:webHidden/>
          </w:rPr>
        </w:r>
        <w:r w:rsidR="00AC1E47" w:rsidRPr="009C5E10">
          <w:rPr>
            <w:bCs/>
            <w:noProof/>
            <w:webHidden/>
          </w:rPr>
          <w:fldChar w:fldCharType="separate"/>
        </w:r>
        <w:r w:rsidR="00D006A5">
          <w:rPr>
            <w:bCs/>
            <w:noProof/>
            <w:webHidden/>
          </w:rPr>
          <w:t>127</w:t>
        </w:r>
        <w:r w:rsidR="00AC1E47" w:rsidRPr="009C5E10">
          <w:rPr>
            <w:bCs/>
            <w:noProof/>
            <w:webHidden/>
          </w:rPr>
          <w:fldChar w:fldCharType="end"/>
        </w:r>
      </w:hyperlink>
    </w:p>
    <w:p w14:paraId="22448188" w14:textId="5B9D4D28"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8" w:history="1">
        <w:r w:rsidR="00AC1E47" w:rsidRPr="009C5E10">
          <w:rPr>
            <w:rStyle w:val="Hyperlink"/>
            <w:rFonts w:ascii="Arial" w:hAnsi="Arial" w:cs="Arial"/>
            <w:bCs/>
            <w:noProof/>
          </w:rPr>
          <w:t>Fig. A 13—Propensity Score Distribution before and after matching at 700 ft well spacing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_Toc58625288 \h </w:instrText>
        </w:r>
        <w:r w:rsidR="00AC1E47" w:rsidRPr="009C5E10">
          <w:rPr>
            <w:bCs/>
            <w:noProof/>
            <w:webHidden/>
          </w:rPr>
        </w:r>
        <w:r w:rsidR="00AC1E47" w:rsidRPr="009C5E10">
          <w:rPr>
            <w:bCs/>
            <w:noProof/>
            <w:webHidden/>
          </w:rPr>
          <w:fldChar w:fldCharType="separate"/>
        </w:r>
        <w:r w:rsidR="00D006A5">
          <w:rPr>
            <w:bCs/>
            <w:noProof/>
            <w:webHidden/>
          </w:rPr>
          <w:t>128</w:t>
        </w:r>
        <w:r w:rsidR="00AC1E47" w:rsidRPr="009C5E10">
          <w:rPr>
            <w:bCs/>
            <w:noProof/>
            <w:webHidden/>
          </w:rPr>
          <w:fldChar w:fldCharType="end"/>
        </w:r>
      </w:hyperlink>
    </w:p>
    <w:p w14:paraId="3929FA6D" w14:textId="421007A8"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89" w:history="1">
        <w:r w:rsidR="00AC1E47" w:rsidRPr="009C5E10">
          <w:rPr>
            <w:rStyle w:val="Hyperlink"/>
            <w:rFonts w:ascii="Arial" w:hAnsi="Arial" w:cs="Arial"/>
            <w:bCs/>
            <w:noProof/>
          </w:rPr>
          <w:t>Fig. A 14—Density of the propensity scores at 700 ft well spacing across matched and unmatched parent-child well groups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_Toc58625289 \h </w:instrText>
        </w:r>
        <w:r w:rsidR="00AC1E47" w:rsidRPr="009C5E10">
          <w:rPr>
            <w:bCs/>
            <w:noProof/>
            <w:webHidden/>
          </w:rPr>
        </w:r>
        <w:r w:rsidR="00AC1E47" w:rsidRPr="009C5E10">
          <w:rPr>
            <w:bCs/>
            <w:noProof/>
            <w:webHidden/>
          </w:rPr>
          <w:fldChar w:fldCharType="separate"/>
        </w:r>
        <w:r w:rsidR="00D006A5">
          <w:rPr>
            <w:bCs/>
            <w:noProof/>
            <w:webHidden/>
          </w:rPr>
          <w:t>129</w:t>
        </w:r>
        <w:r w:rsidR="00AC1E47" w:rsidRPr="009C5E10">
          <w:rPr>
            <w:bCs/>
            <w:noProof/>
            <w:webHidden/>
          </w:rPr>
          <w:fldChar w:fldCharType="end"/>
        </w:r>
      </w:hyperlink>
    </w:p>
    <w:p w14:paraId="1A78EE08" w14:textId="084CD914"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0" w:history="1">
        <w:r w:rsidR="00AC1E47" w:rsidRPr="009C5E10">
          <w:rPr>
            <w:rStyle w:val="Hyperlink"/>
            <w:rFonts w:ascii="Arial" w:hAnsi="Arial" w:cs="Arial"/>
            <w:bCs/>
            <w:noProof/>
          </w:rPr>
          <w:t>Fig. A 15—Propensity Score Distribution before and after matching at 800 ft well spacing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_Toc58625290 \h </w:instrText>
        </w:r>
        <w:r w:rsidR="00AC1E47" w:rsidRPr="009C5E10">
          <w:rPr>
            <w:bCs/>
            <w:noProof/>
            <w:webHidden/>
          </w:rPr>
        </w:r>
        <w:r w:rsidR="00AC1E47" w:rsidRPr="009C5E10">
          <w:rPr>
            <w:bCs/>
            <w:noProof/>
            <w:webHidden/>
          </w:rPr>
          <w:fldChar w:fldCharType="separate"/>
        </w:r>
        <w:r w:rsidR="00D006A5">
          <w:rPr>
            <w:bCs/>
            <w:noProof/>
            <w:webHidden/>
          </w:rPr>
          <w:t>130</w:t>
        </w:r>
        <w:r w:rsidR="00AC1E47" w:rsidRPr="009C5E10">
          <w:rPr>
            <w:bCs/>
            <w:noProof/>
            <w:webHidden/>
          </w:rPr>
          <w:fldChar w:fldCharType="end"/>
        </w:r>
      </w:hyperlink>
    </w:p>
    <w:p w14:paraId="2C5078DB" w14:textId="6A86E4B2"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1" w:history="1">
        <w:r w:rsidR="00AC1E47" w:rsidRPr="009C5E10">
          <w:rPr>
            <w:rStyle w:val="Hyperlink"/>
            <w:rFonts w:ascii="Arial" w:hAnsi="Arial" w:cs="Arial"/>
            <w:bCs/>
            <w:noProof/>
          </w:rPr>
          <w:t>Fig. A 16—Density of the propensity scores at 800 ft well spacing across matched and unmatched parent-child well groups with outcome 360-day cumulative production</w:t>
        </w:r>
        <w:r w:rsidR="00AC1E47" w:rsidRPr="009C5E10">
          <w:rPr>
            <w:rStyle w:val="Hyperlink"/>
            <w:rFonts w:ascii="Arial" w:eastAsia="Times New Roman" w:hAnsi="Arial" w:cs="Times New Roman"/>
            <w:bCs/>
            <w:i/>
            <w:iCs/>
            <w:noProof/>
          </w:rPr>
          <w:t xml:space="preserve"> </w:t>
        </w:r>
        <w:r w:rsidR="00AC1E47" w:rsidRPr="009C5E10">
          <w:rPr>
            <w:rStyle w:val="Hyperlink"/>
            <w:rFonts w:ascii="Arial" w:hAnsi="Arial" w:cs="Arial"/>
            <w:bCs/>
            <w:noProof/>
          </w:rPr>
          <w:t>normalized to lateral length (bbl/ft).</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_Toc58625291 \h </w:instrText>
        </w:r>
        <w:r w:rsidR="00AC1E47" w:rsidRPr="009C5E10">
          <w:rPr>
            <w:bCs/>
            <w:noProof/>
            <w:webHidden/>
          </w:rPr>
        </w:r>
        <w:r w:rsidR="00AC1E47" w:rsidRPr="009C5E10">
          <w:rPr>
            <w:bCs/>
            <w:noProof/>
            <w:webHidden/>
          </w:rPr>
          <w:fldChar w:fldCharType="separate"/>
        </w:r>
        <w:r w:rsidR="00D006A5">
          <w:rPr>
            <w:bCs/>
            <w:noProof/>
            <w:webHidden/>
          </w:rPr>
          <w:t>131</w:t>
        </w:r>
        <w:r w:rsidR="00AC1E47" w:rsidRPr="009C5E10">
          <w:rPr>
            <w:bCs/>
            <w:noProof/>
            <w:webHidden/>
          </w:rPr>
          <w:fldChar w:fldCharType="end"/>
        </w:r>
      </w:hyperlink>
    </w:p>
    <w:p w14:paraId="26393C22" w14:textId="2F31FACB"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2" w:history="1">
        <w:r w:rsidR="00AC1E47" w:rsidRPr="009C5E10">
          <w:rPr>
            <w:rStyle w:val="Hyperlink"/>
            <w:rFonts w:ascii="Arial" w:eastAsia="Times New Roman" w:hAnsi="Arial" w:cs="Times New Roman"/>
            <w:bCs/>
            <w:noProof/>
          </w:rPr>
          <w:t>Fig. A 17—Normal Pump card</w:t>
        </w:r>
        <w:r w:rsidR="00AC1E47" w:rsidRPr="009C5E10">
          <w:rPr>
            <w:rStyle w:val="Hyperlink"/>
            <w:bCs/>
            <w:i/>
            <w:iCs/>
            <w:noProof/>
          </w:rPr>
          <w:t xml:space="preserve"> </w:t>
        </w:r>
        <w:r w:rsidR="00AC1E47" w:rsidRPr="009C5E10">
          <w:rPr>
            <w:rStyle w:val="Hyperlink"/>
            <w:rFonts w:ascii="Arial" w:eastAsia="Times New Roman" w:hAnsi="Arial" w:cs="Times New Roman"/>
            <w:bCs/>
            <w:noProof/>
          </w:rPr>
          <w:t>(Tan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_Toc58625292 \h </w:instrText>
        </w:r>
        <w:r w:rsidR="00AC1E47" w:rsidRPr="009C5E10">
          <w:rPr>
            <w:bCs/>
            <w:noProof/>
            <w:webHidden/>
          </w:rPr>
        </w:r>
        <w:r w:rsidR="00AC1E47" w:rsidRPr="009C5E10">
          <w:rPr>
            <w:bCs/>
            <w:noProof/>
            <w:webHidden/>
          </w:rPr>
          <w:fldChar w:fldCharType="separate"/>
        </w:r>
        <w:r w:rsidR="00D006A5">
          <w:rPr>
            <w:bCs/>
            <w:noProof/>
            <w:webHidden/>
          </w:rPr>
          <w:t>131</w:t>
        </w:r>
        <w:r w:rsidR="00AC1E47" w:rsidRPr="009C5E10">
          <w:rPr>
            <w:bCs/>
            <w:noProof/>
            <w:webHidden/>
          </w:rPr>
          <w:fldChar w:fldCharType="end"/>
        </w:r>
      </w:hyperlink>
    </w:p>
    <w:p w14:paraId="7CC49E45" w14:textId="5BC6D6C1"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3" w:history="1">
        <w:r w:rsidR="00AC1E47" w:rsidRPr="009C5E10">
          <w:rPr>
            <w:rStyle w:val="Hyperlink"/>
            <w:rFonts w:ascii="Arial" w:eastAsia="Times New Roman" w:hAnsi="Arial" w:cs="Times New Roman"/>
            <w:bCs/>
            <w:noProof/>
          </w:rPr>
          <w:t>Fig. A 18—Severe case of fluid pound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_Toc58625293 \h </w:instrText>
        </w:r>
        <w:r w:rsidR="00AC1E47" w:rsidRPr="009C5E10">
          <w:rPr>
            <w:bCs/>
            <w:noProof/>
            <w:webHidden/>
          </w:rPr>
        </w:r>
        <w:r w:rsidR="00AC1E47" w:rsidRPr="009C5E10">
          <w:rPr>
            <w:bCs/>
            <w:noProof/>
            <w:webHidden/>
          </w:rPr>
          <w:fldChar w:fldCharType="separate"/>
        </w:r>
        <w:r w:rsidR="00D006A5">
          <w:rPr>
            <w:bCs/>
            <w:noProof/>
            <w:webHidden/>
          </w:rPr>
          <w:t>132</w:t>
        </w:r>
        <w:r w:rsidR="00AC1E47" w:rsidRPr="009C5E10">
          <w:rPr>
            <w:bCs/>
            <w:noProof/>
            <w:webHidden/>
          </w:rPr>
          <w:fldChar w:fldCharType="end"/>
        </w:r>
      </w:hyperlink>
    </w:p>
    <w:p w14:paraId="1DF8A691" w14:textId="34B496EA"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4" w:history="1">
        <w:r w:rsidR="00AC1E47" w:rsidRPr="009C5E10">
          <w:rPr>
            <w:rStyle w:val="Hyperlink"/>
            <w:rFonts w:ascii="Arial" w:eastAsia="Times New Roman" w:hAnsi="Arial" w:cs="Times New Roman"/>
            <w:bCs/>
            <w:noProof/>
          </w:rPr>
          <w:t>Fig. A 19—Light case of fluid pound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_Toc58625294 \h </w:instrText>
        </w:r>
        <w:r w:rsidR="00AC1E47" w:rsidRPr="009C5E10">
          <w:rPr>
            <w:bCs/>
            <w:noProof/>
            <w:webHidden/>
          </w:rPr>
        </w:r>
        <w:r w:rsidR="00AC1E47" w:rsidRPr="009C5E10">
          <w:rPr>
            <w:bCs/>
            <w:noProof/>
            <w:webHidden/>
          </w:rPr>
          <w:fldChar w:fldCharType="separate"/>
        </w:r>
        <w:r w:rsidR="00D006A5">
          <w:rPr>
            <w:bCs/>
            <w:noProof/>
            <w:webHidden/>
          </w:rPr>
          <w:t>132</w:t>
        </w:r>
        <w:r w:rsidR="00AC1E47" w:rsidRPr="009C5E10">
          <w:rPr>
            <w:bCs/>
            <w:noProof/>
            <w:webHidden/>
          </w:rPr>
          <w:fldChar w:fldCharType="end"/>
        </w:r>
      </w:hyperlink>
    </w:p>
    <w:p w14:paraId="671AD8EC" w14:textId="337AC54D"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5" w:history="1">
        <w:r w:rsidR="00AC1E47" w:rsidRPr="009C5E10">
          <w:rPr>
            <w:rStyle w:val="Hyperlink"/>
            <w:rFonts w:ascii="Arial" w:eastAsia="Times New Roman" w:hAnsi="Arial" w:cs="Times New Roman"/>
            <w:bCs/>
            <w:noProof/>
          </w:rPr>
          <w:t>Fig. A 20—Pump with high viscosity oil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_Toc58625295 \h </w:instrText>
        </w:r>
        <w:r w:rsidR="00AC1E47" w:rsidRPr="009C5E10">
          <w:rPr>
            <w:bCs/>
            <w:noProof/>
            <w:webHidden/>
          </w:rPr>
        </w:r>
        <w:r w:rsidR="00AC1E47" w:rsidRPr="009C5E10">
          <w:rPr>
            <w:bCs/>
            <w:noProof/>
            <w:webHidden/>
          </w:rPr>
          <w:fldChar w:fldCharType="separate"/>
        </w:r>
        <w:r w:rsidR="00D006A5">
          <w:rPr>
            <w:bCs/>
            <w:noProof/>
            <w:webHidden/>
          </w:rPr>
          <w:t>132</w:t>
        </w:r>
        <w:r w:rsidR="00AC1E47" w:rsidRPr="009C5E10">
          <w:rPr>
            <w:bCs/>
            <w:noProof/>
            <w:webHidden/>
          </w:rPr>
          <w:fldChar w:fldCharType="end"/>
        </w:r>
      </w:hyperlink>
    </w:p>
    <w:p w14:paraId="0C00C42F" w14:textId="1CCBD303"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6" w:history="1">
        <w:r w:rsidR="00AC1E47" w:rsidRPr="009C5E10">
          <w:rPr>
            <w:rStyle w:val="Hyperlink"/>
            <w:rFonts w:ascii="Arial" w:eastAsia="Times New Roman" w:hAnsi="Arial" w:cs="Times New Roman"/>
            <w:bCs/>
            <w:noProof/>
          </w:rPr>
          <w:t>Fig. A 21—Sand interference inside the pump</w:t>
        </w:r>
        <w:r w:rsidR="00AC1E47" w:rsidRPr="009C5E10">
          <w:rPr>
            <w:rStyle w:val="Hyperlink"/>
            <w:bCs/>
            <w:i/>
            <w:iCs/>
            <w:noProof/>
          </w:rPr>
          <w:t xml:space="preserve"> </w:t>
        </w:r>
        <w:r w:rsidR="00AC1E47" w:rsidRPr="009C5E10">
          <w:rPr>
            <w:rStyle w:val="Hyperlink"/>
            <w:rFonts w:ascii="Arial" w:eastAsia="Times New Roman" w:hAnsi="Arial" w:cs="Times New Roman"/>
            <w:bCs/>
            <w:noProof/>
          </w:rPr>
          <w:t>(Tan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_Toc58625296 \h </w:instrText>
        </w:r>
        <w:r w:rsidR="00AC1E47" w:rsidRPr="009C5E10">
          <w:rPr>
            <w:bCs/>
            <w:noProof/>
            <w:webHidden/>
          </w:rPr>
        </w:r>
        <w:r w:rsidR="00AC1E47" w:rsidRPr="009C5E10">
          <w:rPr>
            <w:bCs/>
            <w:noProof/>
            <w:webHidden/>
          </w:rPr>
          <w:fldChar w:fldCharType="separate"/>
        </w:r>
        <w:r w:rsidR="00D006A5">
          <w:rPr>
            <w:bCs/>
            <w:noProof/>
            <w:webHidden/>
          </w:rPr>
          <w:t>133</w:t>
        </w:r>
        <w:r w:rsidR="00AC1E47" w:rsidRPr="009C5E10">
          <w:rPr>
            <w:bCs/>
            <w:noProof/>
            <w:webHidden/>
          </w:rPr>
          <w:fldChar w:fldCharType="end"/>
        </w:r>
      </w:hyperlink>
    </w:p>
    <w:p w14:paraId="1472E883" w14:textId="6759F9F7"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7" w:history="1">
        <w:r w:rsidR="00AC1E47" w:rsidRPr="009C5E10">
          <w:rPr>
            <w:rStyle w:val="Hyperlink"/>
            <w:rFonts w:ascii="Arial" w:eastAsia="Times New Roman" w:hAnsi="Arial" w:cs="Times New Roman"/>
            <w:bCs/>
            <w:noProof/>
          </w:rPr>
          <w:t>Fig. A 22—Severe gas interference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_Toc58625297 \h </w:instrText>
        </w:r>
        <w:r w:rsidR="00AC1E47" w:rsidRPr="009C5E10">
          <w:rPr>
            <w:bCs/>
            <w:noProof/>
            <w:webHidden/>
          </w:rPr>
        </w:r>
        <w:r w:rsidR="00AC1E47" w:rsidRPr="009C5E10">
          <w:rPr>
            <w:bCs/>
            <w:noProof/>
            <w:webHidden/>
          </w:rPr>
          <w:fldChar w:fldCharType="separate"/>
        </w:r>
        <w:r w:rsidR="00D006A5">
          <w:rPr>
            <w:bCs/>
            <w:noProof/>
            <w:webHidden/>
          </w:rPr>
          <w:t>133</w:t>
        </w:r>
        <w:r w:rsidR="00AC1E47" w:rsidRPr="009C5E10">
          <w:rPr>
            <w:bCs/>
            <w:noProof/>
            <w:webHidden/>
          </w:rPr>
          <w:fldChar w:fldCharType="end"/>
        </w:r>
      </w:hyperlink>
    </w:p>
    <w:p w14:paraId="174EAE3A" w14:textId="3F9B1947"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8" w:history="1">
        <w:r w:rsidR="00AC1E47" w:rsidRPr="009C5E10">
          <w:rPr>
            <w:rStyle w:val="Hyperlink"/>
            <w:rFonts w:ascii="Arial" w:eastAsia="Times New Roman" w:hAnsi="Arial" w:cs="Times New Roman"/>
            <w:bCs/>
            <w:noProof/>
          </w:rPr>
          <w:t>Fig. A 23—Light case of gas interference</w:t>
        </w:r>
        <w:r w:rsidR="00AC1E47" w:rsidRPr="009C5E10">
          <w:rPr>
            <w:rStyle w:val="Hyperlink"/>
            <w:bCs/>
            <w:i/>
            <w:iCs/>
            <w:noProof/>
          </w:rPr>
          <w:t xml:space="preserve"> </w:t>
        </w:r>
        <w:r w:rsidR="00AC1E47" w:rsidRPr="009C5E10">
          <w:rPr>
            <w:rStyle w:val="Hyperlink"/>
            <w:rFonts w:ascii="Arial" w:eastAsia="Times New Roman" w:hAnsi="Arial" w:cs="Times New Roman"/>
            <w:bCs/>
            <w:noProof/>
          </w:rPr>
          <w:t>(Tan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_Toc58625298 \h </w:instrText>
        </w:r>
        <w:r w:rsidR="00AC1E47" w:rsidRPr="009C5E10">
          <w:rPr>
            <w:bCs/>
            <w:noProof/>
            <w:webHidden/>
          </w:rPr>
        </w:r>
        <w:r w:rsidR="00AC1E47" w:rsidRPr="009C5E10">
          <w:rPr>
            <w:bCs/>
            <w:noProof/>
            <w:webHidden/>
          </w:rPr>
          <w:fldChar w:fldCharType="separate"/>
        </w:r>
        <w:r w:rsidR="00D006A5">
          <w:rPr>
            <w:bCs/>
            <w:noProof/>
            <w:webHidden/>
          </w:rPr>
          <w:t>134</w:t>
        </w:r>
        <w:r w:rsidR="00AC1E47" w:rsidRPr="009C5E10">
          <w:rPr>
            <w:bCs/>
            <w:noProof/>
            <w:webHidden/>
          </w:rPr>
          <w:fldChar w:fldCharType="end"/>
        </w:r>
      </w:hyperlink>
    </w:p>
    <w:p w14:paraId="407EA93B" w14:textId="05E7D704"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299" w:history="1">
        <w:r w:rsidR="00AC1E47" w:rsidRPr="009C5E10">
          <w:rPr>
            <w:rStyle w:val="Hyperlink"/>
            <w:rFonts w:ascii="Arial" w:eastAsia="Times New Roman" w:hAnsi="Arial" w:cs="Times New Roman"/>
            <w:bCs/>
            <w:noProof/>
          </w:rPr>
          <w:t>Fig. A 24—Leaking inlet valve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_Toc58625299 \h </w:instrText>
        </w:r>
        <w:r w:rsidR="00AC1E47" w:rsidRPr="009C5E10">
          <w:rPr>
            <w:bCs/>
            <w:noProof/>
            <w:webHidden/>
          </w:rPr>
        </w:r>
        <w:r w:rsidR="00AC1E47" w:rsidRPr="009C5E10">
          <w:rPr>
            <w:bCs/>
            <w:noProof/>
            <w:webHidden/>
          </w:rPr>
          <w:fldChar w:fldCharType="separate"/>
        </w:r>
        <w:r w:rsidR="00D006A5">
          <w:rPr>
            <w:bCs/>
            <w:noProof/>
            <w:webHidden/>
          </w:rPr>
          <w:t>134</w:t>
        </w:r>
        <w:r w:rsidR="00AC1E47" w:rsidRPr="009C5E10">
          <w:rPr>
            <w:bCs/>
            <w:noProof/>
            <w:webHidden/>
          </w:rPr>
          <w:fldChar w:fldCharType="end"/>
        </w:r>
      </w:hyperlink>
    </w:p>
    <w:p w14:paraId="562F252F" w14:textId="1F7736F8"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300" w:history="1">
        <w:r w:rsidR="00AC1E47" w:rsidRPr="009C5E10">
          <w:rPr>
            <w:rStyle w:val="Hyperlink"/>
            <w:rFonts w:ascii="Arial" w:eastAsia="Times New Roman" w:hAnsi="Arial" w:cs="Times New Roman"/>
            <w:bCs/>
            <w:noProof/>
          </w:rPr>
          <w:t>Fig. A 25—Leaking outlet valve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_Toc58625300 \h </w:instrText>
        </w:r>
        <w:r w:rsidR="00AC1E47" w:rsidRPr="009C5E10">
          <w:rPr>
            <w:bCs/>
            <w:noProof/>
            <w:webHidden/>
          </w:rPr>
        </w:r>
        <w:r w:rsidR="00AC1E47" w:rsidRPr="009C5E10">
          <w:rPr>
            <w:bCs/>
            <w:noProof/>
            <w:webHidden/>
          </w:rPr>
          <w:fldChar w:fldCharType="separate"/>
        </w:r>
        <w:r w:rsidR="00D006A5">
          <w:rPr>
            <w:bCs/>
            <w:noProof/>
            <w:webHidden/>
          </w:rPr>
          <w:t>134</w:t>
        </w:r>
        <w:r w:rsidR="00AC1E47" w:rsidRPr="009C5E10">
          <w:rPr>
            <w:bCs/>
            <w:noProof/>
            <w:webHidden/>
          </w:rPr>
          <w:fldChar w:fldCharType="end"/>
        </w:r>
      </w:hyperlink>
    </w:p>
    <w:p w14:paraId="69B2535D" w14:textId="67BE5C98"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301" w:history="1">
        <w:r w:rsidR="00AC1E47" w:rsidRPr="009C5E10">
          <w:rPr>
            <w:rStyle w:val="Hyperlink"/>
            <w:rFonts w:ascii="Arial" w:eastAsia="Times New Roman" w:hAnsi="Arial" w:cs="Times New Roman"/>
            <w:bCs/>
            <w:noProof/>
          </w:rPr>
          <w:t>Fig. A 26—Both valves leaking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_Toc58625301 \h </w:instrText>
        </w:r>
        <w:r w:rsidR="00AC1E47" w:rsidRPr="009C5E10">
          <w:rPr>
            <w:bCs/>
            <w:noProof/>
            <w:webHidden/>
          </w:rPr>
        </w:r>
        <w:r w:rsidR="00AC1E47" w:rsidRPr="009C5E10">
          <w:rPr>
            <w:bCs/>
            <w:noProof/>
            <w:webHidden/>
          </w:rPr>
          <w:fldChar w:fldCharType="separate"/>
        </w:r>
        <w:r w:rsidR="00D006A5">
          <w:rPr>
            <w:bCs/>
            <w:noProof/>
            <w:webHidden/>
          </w:rPr>
          <w:t>135</w:t>
        </w:r>
        <w:r w:rsidR="00AC1E47" w:rsidRPr="009C5E10">
          <w:rPr>
            <w:bCs/>
            <w:noProof/>
            <w:webHidden/>
          </w:rPr>
          <w:fldChar w:fldCharType="end"/>
        </w:r>
      </w:hyperlink>
    </w:p>
    <w:p w14:paraId="79350813" w14:textId="64319FA5"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302" w:history="1">
        <w:r w:rsidR="00AC1E47" w:rsidRPr="009C5E10">
          <w:rPr>
            <w:rStyle w:val="Hyperlink"/>
            <w:rFonts w:ascii="Arial" w:eastAsia="Times New Roman" w:hAnsi="Arial" w:cs="Times New Roman"/>
            <w:bCs/>
            <w:noProof/>
          </w:rPr>
          <w:t>Fig. A 27—Delay in closing of Standing valve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_Toc58625302 \h </w:instrText>
        </w:r>
        <w:r w:rsidR="00AC1E47" w:rsidRPr="009C5E10">
          <w:rPr>
            <w:bCs/>
            <w:noProof/>
            <w:webHidden/>
          </w:rPr>
        </w:r>
        <w:r w:rsidR="00AC1E47" w:rsidRPr="009C5E10">
          <w:rPr>
            <w:bCs/>
            <w:noProof/>
            <w:webHidden/>
          </w:rPr>
          <w:fldChar w:fldCharType="separate"/>
        </w:r>
        <w:r w:rsidR="00D006A5">
          <w:rPr>
            <w:bCs/>
            <w:noProof/>
            <w:webHidden/>
          </w:rPr>
          <w:t>135</w:t>
        </w:r>
        <w:r w:rsidR="00AC1E47" w:rsidRPr="009C5E10">
          <w:rPr>
            <w:bCs/>
            <w:noProof/>
            <w:webHidden/>
          </w:rPr>
          <w:fldChar w:fldCharType="end"/>
        </w:r>
      </w:hyperlink>
    </w:p>
    <w:p w14:paraId="0283B352" w14:textId="7BA29550" w:rsidR="00AC1E47" w:rsidRPr="009C5E10" w:rsidRDefault="002E6043">
      <w:pPr>
        <w:pStyle w:val="TableofFigures"/>
        <w:tabs>
          <w:tab w:val="right" w:leader="dot" w:pos="9350"/>
        </w:tabs>
        <w:rPr>
          <w:rFonts w:asciiTheme="minorHAnsi" w:eastAsiaTheme="minorEastAsia" w:hAnsiTheme="minorHAnsi"/>
          <w:bCs/>
          <w:noProof/>
          <w:sz w:val="22"/>
        </w:rPr>
      </w:pPr>
      <w:hyperlink w:anchor="_Toc58625303" w:history="1">
        <w:r w:rsidR="00AC1E47" w:rsidRPr="009C5E10">
          <w:rPr>
            <w:rStyle w:val="Hyperlink"/>
            <w:rFonts w:ascii="Arial" w:eastAsia="Times New Roman" w:hAnsi="Arial" w:cs="Times New Roman"/>
            <w:bCs/>
            <w:noProof/>
          </w:rPr>
          <w:t>Fig. A 28—Collision between plunger and guide ring (Tan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_Toc58625303 \h </w:instrText>
        </w:r>
        <w:r w:rsidR="00AC1E47" w:rsidRPr="009C5E10">
          <w:rPr>
            <w:bCs/>
            <w:noProof/>
            <w:webHidden/>
          </w:rPr>
        </w:r>
        <w:r w:rsidR="00AC1E47" w:rsidRPr="009C5E10">
          <w:rPr>
            <w:bCs/>
            <w:noProof/>
            <w:webHidden/>
          </w:rPr>
          <w:fldChar w:fldCharType="separate"/>
        </w:r>
        <w:r w:rsidR="00D006A5">
          <w:rPr>
            <w:bCs/>
            <w:noProof/>
            <w:webHidden/>
          </w:rPr>
          <w:t>135</w:t>
        </w:r>
        <w:r w:rsidR="00AC1E47" w:rsidRPr="009C5E10">
          <w:rPr>
            <w:bCs/>
            <w:noProof/>
            <w:webHidden/>
          </w:rPr>
          <w:fldChar w:fldCharType="end"/>
        </w:r>
      </w:hyperlink>
    </w:p>
    <w:p w14:paraId="140FD705" w14:textId="6F833B4F" w:rsidR="0016548E" w:rsidRPr="009C5E10" w:rsidRDefault="002E6043">
      <w:pPr>
        <w:pStyle w:val="TableofFigures"/>
        <w:tabs>
          <w:tab w:val="right" w:leader="dot" w:pos="9350"/>
        </w:tabs>
        <w:rPr>
          <w:bCs/>
          <w:noProof/>
        </w:rPr>
      </w:pPr>
      <w:hyperlink w:anchor="_Toc58625304" w:history="1">
        <w:r w:rsidR="00AC1E47" w:rsidRPr="009C5E10">
          <w:rPr>
            <w:rStyle w:val="Hyperlink"/>
            <w:rFonts w:ascii="Arial" w:eastAsia="Times New Roman" w:hAnsi="Arial" w:cs="Times New Roman"/>
            <w:bCs/>
            <w:noProof/>
          </w:rPr>
          <w:t>Fig. A 29—Resistance to oil flow</w:t>
        </w:r>
        <w:r w:rsidR="00AC1E47" w:rsidRPr="009C5E10">
          <w:rPr>
            <w:rStyle w:val="Hyperlink"/>
            <w:bCs/>
            <w:i/>
            <w:iCs/>
            <w:noProof/>
          </w:rPr>
          <w:t xml:space="preserve"> </w:t>
        </w:r>
        <w:r w:rsidR="00AC1E47" w:rsidRPr="009C5E10">
          <w:rPr>
            <w:rStyle w:val="Hyperlink"/>
            <w:rFonts w:ascii="Arial" w:eastAsia="Times New Roman" w:hAnsi="Arial" w:cs="Times New Roman"/>
            <w:bCs/>
            <w:noProof/>
          </w:rPr>
          <w:t>(Tan et al. 2015).</w:t>
        </w:r>
        <w:r w:rsidR="00AC1E47" w:rsidRPr="009C5E10">
          <w:rPr>
            <w:bCs/>
            <w:noProof/>
            <w:webHidden/>
          </w:rPr>
          <w:tab/>
        </w:r>
        <w:r w:rsidR="00AC1E47" w:rsidRPr="009C5E10">
          <w:rPr>
            <w:bCs/>
            <w:noProof/>
            <w:webHidden/>
          </w:rPr>
          <w:fldChar w:fldCharType="begin"/>
        </w:r>
        <w:r w:rsidR="00AC1E47" w:rsidRPr="009C5E10">
          <w:rPr>
            <w:bCs/>
            <w:noProof/>
            <w:webHidden/>
          </w:rPr>
          <w:instrText xml:space="preserve"> PAGEREF _Toc58625304 \h </w:instrText>
        </w:r>
        <w:r w:rsidR="00AC1E47" w:rsidRPr="009C5E10">
          <w:rPr>
            <w:bCs/>
            <w:noProof/>
            <w:webHidden/>
          </w:rPr>
        </w:r>
        <w:r w:rsidR="00AC1E47" w:rsidRPr="009C5E10">
          <w:rPr>
            <w:bCs/>
            <w:noProof/>
            <w:webHidden/>
          </w:rPr>
          <w:fldChar w:fldCharType="separate"/>
        </w:r>
        <w:r w:rsidR="00D006A5">
          <w:rPr>
            <w:bCs/>
            <w:noProof/>
            <w:webHidden/>
          </w:rPr>
          <w:t>136</w:t>
        </w:r>
        <w:r w:rsidR="00AC1E47" w:rsidRPr="009C5E10">
          <w:rPr>
            <w:bCs/>
            <w:noProof/>
            <w:webHidden/>
          </w:rPr>
          <w:fldChar w:fldCharType="end"/>
        </w:r>
      </w:hyperlink>
      <w:r w:rsidR="00F76D49" w:rsidRPr="009C5E10">
        <w:rPr>
          <w:rFonts w:eastAsiaTheme="minorEastAsia" w:cs="Times New Roman"/>
          <w:bCs/>
          <w:szCs w:val="24"/>
        </w:rPr>
        <w:fldChar w:fldCharType="end"/>
      </w:r>
      <w:r w:rsidR="00B76AD8" w:rsidRPr="009C5E10">
        <w:rPr>
          <w:rFonts w:eastAsiaTheme="minorEastAsia" w:cs="Times New Roman"/>
          <w:bCs/>
          <w:szCs w:val="24"/>
        </w:rPr>
        <w:fldChar w:fldCharType="begin"/>
      </w:r>
      <w:r w:rsidR="00B76AD8" w:rsidRPr="009C5E10">
        <w:rPr>
          <w:rFonts w:eastAsiaTheme="minorEastAsia" w:cs="Times New Roman"/>
          <w:bCs/>
          <w:szCs w:val="24"/>
        </w:rPr>
        <w:instrText xml:space="preserve"> TOC \h \z \c "Table A" </w:instrText>
      </w:r>
      <w:r w:rsidR="00B76AD8" w:rsidRPr="009C5E10">
        <w:rPr>
          <w:rFonts w:eastAsiaTheme="minorEastAsia" w:cs="Times New Roman"/>
          <w:bCs/>
          <w:szCs w:val="24"/>
        </w:rPr>
        <w:fldChar w:fldCharType="separate"/>
      </w:r>
    </w:p>
    <w:p w14:paraId="3EB8A226" w14:textId="195D978F" w:rsidR="0016548E" w:rsidRPr="009C5E10" w:rsidRDefault="002E6043">
      <w:pPr>
        <w:pStyle w:val="TableofFigures"/>
        <w:tabs>
          <w:tab w:val="right" w:leader="dot" w:pos="9350"/>
        </w:tabs>
        <w:rPr>
          <w:rFonts w:asciiTheme="minorHAnsi" w:eastAsiaTheme="minorEastAsia" w:hAnsiTheme="minorHAnsi"/>
          <w:bCs/>
          <w:noProof/>
          <w:sz w:val="22"/>
        </w:rPr>
      </w:pPr>
      <w:hyperlink w:anchor="_Toc58621624" w:history="1">
        <w:r w:rsidR="0016548E" w:rsidRPr="009C5E10">
          <w:rPr>
            <w:rStyle w:val="Hyperlink"/>
            <w:rFonts w:ascii="Arial" w:hAnsi="Arial" w:cs="Arial"/>
            <w:bCs/>
            <w:noProof/>
          </w:rPr>
          <w:t>Table A1—Causal estimates for all well spacing options with 95% confidence intervals. Outcome is 180-day cumulative production normalized to lateral length (bbl/ft).</w:t>
        </w:r>
        <w:r w:rsidR="0016548E" w:rsidRPr="009C5E10">
          <w:rPr>
            <w:bCs/>
            <w:noProof/>
            <w:webHidden/>
          </w:rPr>
          <w:tab/>
        </w:r>
        <w:r w:rsidR="0016548E" w:rsidRPr="009C5E10">
          <w:rPr>
            <w:bCs/>
            <w:noProof/>
            <w:webHidden/>
          </w:rPr>
          <w:fldChar w:fldCharType="begin"/>
        </w:r>
        <w:r w:rsidR="0016548E" w:rsidRPr="009C5E10">
          <w:rPr>
            <w:bCs/>
            <w:noProof/>
            <w:webHidden/>
          </w:rPr>
          <w:instrText xml:space="preserve"> PAGEREF _Toc58621624 \h </w:instrText>
        </w:r>
        <w:r w:rsidR="0016548E" w:rsidRPr="009C5E10">
          <w:rPr>
            <w:bCs/>
            <w:noProof/>
            <w:webHidden/>
          </w:rPr>
        </w:r>
        <w:r w:rsidR="0016548E" w:rsidRPr="009C5E10">
          <w:rPr>
            <w:bCs/>
            <w:noProof/>
            <w:webHidden/>
          </w:rPr>
          <w:fldChar w:fldCharType="separate"/>
        </w:r>
        <w:r w:rsidR="00D006A5">
          <w:rPr>
            <w:bCs/>
            <w:noProof/>
            <w:webHidden/>
          </w:rPr>
          <w:t>137</w:t>
        </w:r>
        <w:r w:rsidR="0016548E" w:rsidRPr="009C5E10">
          <w:rPr>
            <w:bCs/>
            <w:noProof/>
            <w:webHidden/>
          </w:rPr>
          <w:fldChar w:fldCharType="end"/>
        </w:r>
      </w:hyperlink>
    </w:p>
    <w:p w14:paraId="4C3162A5" w14:textId="378A234A" w:rsidR="0016548E" w:rsidRPr="009C5E10" w:rsidRDefault="002E6043">
      <w:pPr>
        <w:pStyle w:val="TableofFigures"/>
        <w:tabs>
          <w:tab w:val="right" w:leader="dot" w:pos="9350"/>
        </w:tabs>
        <w:rPr>
          <w:rFonts w:asciiTheme="minorHAnsi" w:eastAsiaTheme="minorEastAsia" w:hAnsiTheme="minorHAnsi"/>
          <w:bCs/>
          <w:noProof/>
          <w:sz w:val="22"/>
        </w:rPr>
      </w:pPr>
      <w:hyperlink w:anchor="_Toc58621625" w:history="1">
        <w:r w:rsidR="0016548E" w:rsidRPr="009C5E10">
          <w:rPr>
            <w:rStyle w:val="Hyperlink"/>
            <w:rFonts w:ascii="Arial" w:hAnsi="Arial" w:cs="Arial"/>
            <w:bCs/>
            <w:noProof/>
          </w:rPr>
          <w:t>Table A2—Causal estimates for all well spacing options with 95% confidence intervals. Outcome is 360-day cumulative production normalized to lateral length production (bbl/ft).</w:t>
        </w:r>
        <w:r w:rsidR="0016548E" w:rsidRPr="009C5E10">
          <w:rPr>
            <w:bCs/>
            <w:noProof/>
            <w:webHidden/>
          </w:rPr>
          <w:tab/>
        </w:r>
        <w:r w:rsidR="0016548E" w:rsidRPr="009C5E10">
          <w:rPr>
            <w:bCs/>
            <w:noProof/>
            <w:webHidden/>
          </w:rPr>
          <w:fldChar w:fldCharType="begin"/>
        </w:r>
        <w:r w:rsidR="0016548E" w:rsidRPr="009C5E10">
          <w:rPr>
            <w:bCs/>
            <w:noProof/>
            <w:webHidden/>
          </w:rPr>
          <w:instrText xml:space="preserve"> PAGEREF _Toc58621625 \h </w:instrText>
        </w:r>
        <w:r w:rsidR="0016548E" w:rsidRPr="009C5E10">
          <w:rPr>
            <w:bCs/>
            <w:noProof/>
            <w:webHidden/>
          </w:rPr>
        </w:r>
        <w:r w:rsidR="0016548E" w:rsidRPr="009C5E10">
          <w:rPr>
            <w:bCs/>
            <w:noProof/>
            <w:webHidden/>
          </w:rPr>
          <w:fldChar w:fldCharType="separate"/>
        </w:r>
        <w:r w:rsidR="00D006A5">
          <w:rPr>
            <w:bCs/>
            <w:noProof/>
            <w:webHidden/>
          </w:rPr>
          <w:t>137</w:t>
        </w:r>
        <w:r w:rsidR="0016548E" w:rsidRPr="009C5E10">
          <w:rPr>
            <w:bCs/>
            <w:noProof/>
            <w:webHidden/>
          </w:rPr>
          <w:fldChar w:fldCharType="end"/>
        </w:r>
      </w:hyperlink>
    </w:p>
    <w:p w14:paraId="1DA241CA" w14:textId="358D8CF5" w:rsidR="0016548E" w:rsidRPr="009C5E10" w:rsidRDefault="002E6043">
      <w:pPr>
        <w:pStyle w:val="TableofFigures"/>
        <w:tabs>
          <w:tab w:val="right" w:leader="dot" w:pos="9350"/>
        </w:tabs>
        <w:rPr>
          <w:rFonts w:asciiTheme="minorHAnsi" w:eastAsiaTheme="minorEastAsia" w:hAnsiTheme="minorHAnsi"/>
          <w:bCs/>
          <w:noProof/>
          <w:sz w:val="22"/>
        </w:rPr>
      </w:pPr>
      <w:hyperlink w:anchor="_Toc58621626" w:history="1">
        <w:r w:rsidR="0016548E" w:rsidRPr="009C5E10">
          <w:rPr>
            <w:rStyle w:val="Hyperlink"/>
            <w:rFonts w:ascii="Arial" w:hAnsi="Arial" w:cs="Arial"/>
            <w:bCs/>
            <w:noProof/>
          </w:rPr>
          <w:t>Table A3 - Paired t-test outputs conducted between the parent well groups at 800 ft spacing and the parent well groups at the rest of spacings with outcome 180-day cumulative production</w:t>
        </w:r>
        <w:r w:rsidR="0016548E" w:rsidRPr="009C5E10">
          <w:rPr>
            <w:rStyle w:val="Hyperlink"/>
            <w:rFonts w:ascii="Arial" w:eastAsia="Times New Roman" w:hAnsi="Arial" w:cs="Times New Roman"/>
            <w:bCs/>
            <w:i/>
            <w:iCs/>
            <w:noProof/>
          </w:rPr>
          <w:t xml:space="preserve"> </w:t>
        </w:r>
        <w:r w:rsidR="0016548E" w:rsidRPr="009C5E10">
          <w:rPr>
            <w:rStyle w:val="Hyperlink"/>
            <w:rFonts w:ascii="Arial" w:hAnsi="Arial" w:cs="Arial"/>
            <w:bCs/>
            <w:noProof/>
          </w:rPr>
          <w:t>normalized to lateral length production (bbl/ft).</w:t>
        </w:r>
        <w:r w:rsidR="0016548E" w:rsidRPr="009C5E10">
          <w:rPr>
            <w:bCs/>
            <w:noProof/>
            <w:webHidden/>
          </w:rPr>
          <w:tab/>
        </w:r>
        <w:r w:rsidR="0016548E" w:rsidRPr="009C5E10">
          <w:rPr>
            <w:bCs/>
            <w:noProof/>
            <w:webHidden/>
          </w:rPr>
          <w:fldChar w:fldCharType="begin"/>
        </w:r>
        <w:r w:rsidR="0016548E" w:rsidRPr="009C5E10">
          <w:rPr>
            <w:bCs/>
            <w:noProof/>
            <w:webHidden/>
          </w:rPr>
          <w:instrText xml:space="preserve"> PAGEREF _Toc58621626 \h </w:instrText>
        </w:r>
        <w:r w:rsidR="0016548E" w:rsidRPr="009C5E10">
          <w:rPr>
            <w:bCs/>
            <w:noProof/>
            <w:webHidden/>
          </w:rPr>
        </w:r>
        <w:r w:rsidR="0016548E" w:rsidRPr="009C5E10">
          <w:rPr>
            <w:bCs/>
            <w:noProof/>
            <w:webHidden/>
          </w:rPr>
          <w:fldChar w:fldCharType="separate"/>
        </w:r>
        <w:r w:rsidR="00D006A5">
          <w:rPr>
            <w:bCs/>
            <w:noProof/>
            <w:webHidden/>
          </w:rPr>
          <w:t>138</w:t>
        </w:r>
        <w:r w:rsidR="0016548E" w:rsidRPr="009C5E10">
          <w:rPr>
            <w:bCs/>
            <w:noProof/>
            <w:webHidden/>
          </w:rPr>
          <w:fldChar w:fldCharType="end"/>
        </w:r>
      </w:hyperlink>
    </w:p>
    <w:p w14:paraId="74C2A0CC" w14:textId="559DA834" w:rsidR="0016548E" w:rsidRPr="009C5E10" w:rsidRDefault="002E6043">
      <w:pPr>
        <w:pStyle w:val="TableofFigures"/>
        <w:tabs>
          <w:tab w:val="right" w:leader="dot" w:pos="9350"/>
        </w:tabs>
        <w:rPr>
          <w:rFonts w:asciiTheme="minorHAnsi" w:eastAsiaTheme="minorEastAsia" w:hAnsiTheme="minorHAnsi"/>
          <w:bCs/>
          <w:noProof/>
          <w:sz w:val="22"/>
        </w:rPr>
      </w:pPr>
      <w:hyperlink w:anchor="_Toc58621627" w:history="1">
        <w:r w:rsidR="0016548E" w:rsidRPr="009C5E10">
          <w:rPr>
            <w:rStyle w:val="Hyperlink"/>
            <w:rFonts w:ascii="Arial" w:hAnsi="Arial" w:cs="Arial"/>
            <w:bCs/>
            <w:noProof/>
          </w:rPr>
          <w:t>Table A 4—Paired t-test outputs conducted between the parent well groups at 800 ft spacing and the parent well groups at the rest of spacings with outcome</w:t>
        </w:r>
        <w:r w:rsidR="0016548E" w:rsidRPr="009C5E10">
          <w:rPr>
            <w:rStyle w:val="Hyperlink"/>
            <w:rFonts w:ascii="Arial" w:eastAsia="Times New Roman" w:hAnsi="Arial" w:cs="Times New Roman"/>
            <w:bCs/>
            <w:noProof/>
          </w:rPr>
          <w:t xml:space="preserve"> </w:t>
        </w:r>
        <w:r w:rsidR="0016548E" w:rsidRPr="009C5E10">
          <w:rPr>
            <w:rStyle w:val="Hyperlink"/>
            <w:rFonts w:ascii="Arial" w:hAnsi="Arial" w:cs="Arial"/>
            <w:bCs/>
            <w:noProof/>
          </w:rPr>
          <w:t>360-day cumulative production</w:t>
        </w:r>
        <w:r w:rsidR="0016548E" w:rsidRPr="009C5E10">
          <w:rPr>
            <w:rStyle w:val="Hyperlink"/>
            <w:rFonts w:ascii="Arial" w:eastAsia="Times New Roman" w:hAnsi="Arial" w:cs="Times New Roman"/>
            <w:bCs/>
            <w:i/>
            <w:iCs/>
            <w:noProof/>
          </w:rPr>
          <w:t xml:space="preserve"> </w:t>
        </w:r>
        <w:r w:rsidR="0016548E" w:rsidRPr="009C5E10">
          <w:rPr>
            <w:rStyle w:val="Hyperlink"/>
            <w:rFonts w:ascii="Arial" w:hAnsi="Arial" w:cs="Arial"/>
            <w:bCs/>
            <w:noProof/>
          </w:rPr>
          <w:t>normalized to lateral length production (bbl/ft).</w:t>
        </w:r>
        <w:r w:rsidR="0016548E" w:rsidRPr="009C5E10">
          <w:rPr>
            <w:bCs/>
            <w:noProof/>
            <w:webHidden/>
          </w:rPr>
          <w:tab/>
        </w:r>
        <w:r w:rsidR="0016548E" w:rsidRPr="009C5E10">
          <w:rPr>
            <w:bCs/>
            <w:noProof/>
            <w:webHidden/>
          </w:rPr>
          <w:fldChar w:fldCharType="begin"/>
        </w:r>
        <w:r w:rsidR="0016548E" w:rsidRPr="009C5E10">
          <w:rPr>
            <w:bCs/>
            <w:noProof/>
            <w:webHidden/>
          </w:rPr>
          <w:instrText xml:space="preserve"> PAGEREF _Toc58621627 \h </w:instrText>
        </w:r>
        <w:r w:rsidR="0016548E" w:rsidRPr="009C5E10">
          <w:rPr>
            <w:bCs/>
            <w:noProof/>
            <w:webHidden/>
          </w:rPr>
        </w:r>
        <w:r w:rsidR="0016548E" w:rsidRPr="009C5E10">
          <w:rPr>
            <w:bCs/>
            <w:noProof/>
            <w:webHidden/>
          </w:rPr>
          <w:fldChar w:fldCharType="separate"/>
        </w:r>
        <w:r w:rsidR="00D006A5">
          <w:rPr>
            <w:bCs/>
            <w:noProof/>
            <w:webHidden/>
          </w:rPr>
          <w:t>139</w:t>
        </w:r>
        <w:r w:rsidR="0016548E" w:rsidRPr="009C5E10">
          <w:rPr>
            <w:bCs/>
            <w:noProof/>
            <w:webHidden/>
          </w:rPr>
          <w:fldChar w:fldCharType="end"/>
        </w:r>
      </w:hyperlink>
    </w:p>
    <w:p w14:paraId="3E5DE931" w14:textId="71213DE8" w:rsidR="00F76D49" w:rsidRDefault="00B76AD8" w:rsidP="009E168B">
      <w:pPr>
        <w:tabs>
          <w:tab w:val="right" w:pos="9346"/>
        </w:tabs>
        <w:spacing w:after="0"/>
        <w:jc w:val="center"/>
        <w:rPr>
          <w:rFonts w:eastAsiaTheme="minorEastAsia" w:cs="Times New Roman"/>
          <w:bCs/>
          <w:szCs w:val="24"/>
        </w:rPr>
      </w:pPr>
      <w:r w:rsidRPr="009C5E10">
        <w:rPr>
          <w:rFonts w:eastAsiaTheme="minorEastAsia" w:cs="Times New Roman"/>
          <w:bCs/>
          <w:szCs w:val="24"/>
        </w:rPr>
        <w:fldChar w:fldCharType="end"/>
      </w:r>
    </w:p>
    <w:p w14:paraId="69E43B39" w14:textId="2BB0CB2C" w:rsidR="00B76AD8" w:rsidRDefault="00B76AD8" w:rsidP="009E168B">
      <w:pPr>
        <w:tabs>
          <w:tab w:val="right" w:pos="9346"/>
        </w:tabs>
        <w:spacing w:after="0"/>
        <w:jc w:val="center"/>
        <w:rPr>
          <w:rFonts w:eastAsiaTheme="minorEastAsia" w:cs="Times New Roman"/>
          <w:bCs/>
          <w:szCs w:val="24"/>
        </w:rPr>
      </w:pPr>
    </w:p>
    <w:p w14:paraId="386F15ED" w14:textId="7DA623D0" w:rsidR="00B76AD8" w:rsidRDefault="00B76AD8" w:rsidP="009E168B">
      <w:pPr>
        <w:tabs>
          <w:tab w:val="right" w:pos="9346"/>
        </w:tabs>
        <w:spacing w:after="0"/>
        <w:jc w:val="center"/>
        <w:rPr>
          <w:rFonts w:eastAsiaTheme="minorEastAsia" w:cs="Times New Roman"/>
          <w:bCs/>
          <w:szCs w:val="24"/>
        </w:rPr>
      </w:pPr>
    </w:p>
    <w:p w14:paraId="69B8E755" w14:textId="758FA2FC" w:rsidR="0016548E" w:rsidRDefault="0016548E" w:rsidP="009E168B">
      <w:pPr>
        <w:tabs>
          <w:tab w:val="right" w:pos="9346"/>
        </w:tabs>
        <w:spacing w:after="0"/>
        <w:jc w:val="center"/>
        <w:rPr>
          <w:rFonts w:eastAsiaTheme="minorEastAsia" w:cs="Times New Roman"/>
          <w:bCs/>
          <w:szCs w:val="24"/>
        </w:rPr>
      </w:pPr>
    </w:p>
    <w:p w14:paraId="226C8819" w14:textId="06309989" w:rsidR="0016548E" w:rsidRDefault="0016548E" w:rsidP="009E168B">
      <w:pPr>
        <w:tabs>
          <w:tab w:val="right" w:pos="9346"/>
        </w:tabs>
        <w:spacing w:after="0"/>
        <w:jc w:val="center"/>
        <w:rPr>
          <w:rFonts w:eastAsiaTheme="minorEastAsia" w:cs="Times New Roman"/>
          <w:bCs/>
          <w:szCs w:val="24"/>
        </w:rPr>
      </w:pPr>
    </w:p>
    <w:p w14:paraId="1AAD0A0C" w14:textId="15ACAD84" w:rsidR="008B22FD" w:rsidRDefault="008B22FD" w:rsidP="001A374C">
      <w:pPr>
        <w:pStyle w:val="Heading1"/>
      </w:pPr>
      <w:bookmarkStart w:id="5" w:name="_Toc58667095"/>
      <w:r>
        <w:lastRenderedPageBreak/>
        <w:t>A</w:t>
      </w:r>
      <w:r w:rsidR="00640D0C">
        <w:t>bstract</w:t>
      </w:r>
      <w:bookmarkEnd w:id="5"/>
    </w:p>
    <w:p w14:paraId="60BC14A5" w14:textId="62B00B98" w:rsidR="00EB4450" w:rsidRPr="001533E3" w:rsidRDefault="00F84D14" w:rsidP="00F77298">
      <w:pPr>
        <w:ind w:firstLine="288"/>
        <w:rPr>
          <w:rFonts w:eastAsia="Times New Roman" w:cs="Times New Roman"/>
          <w:szCs w:val="20"/>
        </w:rPr>
      </w:pPr>
      <w:r>
        <w:t xml:space="preserve">   </w:t>
      </w:r>
      <w:bookmarkStart w:id="6" w:name="_Hlk57880474"/>
      <w:r w:rsidR="00822E32">
        <w:t xml:space="preserve">The study of </w:t>
      </w:r>
      <w:r w:rsidR="00822E32">
        <w:rPr>
          <w:rFonts w:eastAsia="Times New Roman" w:cs="Times New Roman"/>
          <w:szCs w:val="20"/>
        </w:rPr>
        <w:t>p</w:t>
      </w:r>
      <w:r w:rsidR="00C80F91" w:rsidRPr="001533E3">
        <w:rPr>
          <w:rFonts w:eastAsia="Times New Roman" w:cs="Times New Roman"/>
          <w:szCs w:val="20"/>
        </w:rPr>
        <w:t>arent-child</w:t>
      </w:r>
      <w:r w:rsidR="0015788B" w:rsidRPr="001533E3">
        <w:rPr>
          <w:rFonts w:eastAsia="Times New Roman" w:cs="Times New Roman"/>
          <w:szCs w:val="20"/>
        </w:rPr>
        <w:t xml:space="preserve"> well</w:t>
      </w:r>
      <w:r w:rsidR="00C80F91" w:rsidRPr="001533E3">
        <w:rPr>
          <w:rFonts w:eastAsia="Times New Roman" w:cs="Times New Roman"/>
          <w:szCs w:val="20"/>
        </w:rPr>
        <w:t xml:space="preserve"> interactions </w:t>
      </w:r>
      <w:r w:rsidR="0015788B" w:rsidRPr="001533E3">
        <w:rPr>
          <w:rFonts w:eastAsia="Times New Roman" w:cs="Times New Roman"/>
          <w:szCs w:val="20"/>
        </w:rPr>
        <w:t xml:space="preserve">in unconventional shales </w:t>
      </w:r>
      <w:r w:rsidR="00822E32">
        <w:rPr>
          <w:rFonts w:eastAsia="Times New Roman" w:cs="Times New Roman"/>
          <w:szCs w:val="20"/>
        </w:rPr>
        <w:t>has generated high interest both</w:t>
      </w:r>
      <w:r w:rsidR="00DC0173" w:rsidRPr="001533E3">
        <w:rPr>
          <w:rFonts w:eastAsia="Times New Roman" w:cs="Times New Roman"/>
          <w:szCs w:val="20"/>
        </w:rPr>
        <w:t xml:space="preserve"> in the industry and academia</w:t>
      </w:r>
      <w:r w:rsidR="00B1474E" w:rsidRPr="001533E3">
        <w:rPr>
          <w:rFonts w:eastAsia="Times New Roman" w:cs="Times New Roman"/>
          <w:szCs w:val="20"/>
        </w:rPr>
        <w:t xml:space="preserve"> over the last decade. </w:t>
      </w:r>
      <w:r w:rsidR="009F0A28">
        <w:rPr>
          <w:rFonts w:eastAsia="Times New Roman" w:cs="Times New Roman"/>
          <w:szCs w:val="20"/>
        </w:rPr>
        <w:t>This is largely</w:t>
      </w:r>
      <w:r w:rsidR="00551F14">
        <w:rPr>
          <w:rFonts w:eastAsia="Times New Roman" w:cs="Times New Roman"/>
          <w:szCs w:val="20"/>
        </w:rPr>
        <w:t xml:space="preserve"> because of the </w:t>
      </w:r>
      <w:r w:rsidR="003171C0">
        <w:rPr>
          <w:rFonts w:eastAsia="Times New Roman" w:cs="Times New Roman"/>
          <w:szCs w:val="20"/>
        </w:rPr>
        <w:t>growing number of child wells and their immediate impact on the parent well production</w:t>
      </w:r>
      <w:r w:rsidR="00F05F99">
        <w:rPr>
          <w:rFonts w:eastAsia="Times New Roman" w:cs="Times New Roman"/>
          <w:szCs w:val="20"/>
        </w:rPr>
        <w:t xml:space="preserve"> </w:t>
      </w:r>
      <w:r w:rsidR="00FE4143">
        <w:rPr>
          <w:rFonts w:eastAsia="Times New Roman" w:cs="Times New Roman"/>
          <w:szCs w:val="20"/>
        </w:rPr>
        <w:t>owing</w:t>
      </w:r>
      <w:r w:rsidR="00F05F99">
        <w:rPr>
          <w:rFonts w:eastAsia="Times New Roman" w:cs="Times New Roman"/>
          <w:szCs w:val="20"/>
        </w:rPr>
        <w:t xml:space="preserve"> to </w:t>
      </w:r>
      <w:r w:rsidR="00D75DFA">
        <w:rPr>
          <w:rFonts w:eastAsia="Times New Roman" w:cs="Times New Roman"/>
          <w:szCs w:val="20"/>
        </w:rPr>
        <w:t>several dynamic factors</w:t>
      </w:r>
      <w:r w:rsidR="00FA7342">
        <w:rPr>
          <w:rFonts w:eastAsia="Times New Roman" w:cs="Times New Roman"/>
          <w:szCs w:val="20"/>
        </w:rPr>
        <w:t xml:space="preserve">, one of them, </w:t>
      </w:r>
      <w:r w:rsidR="00D75DFA">
        <w:rPr>
          <w:rFonts w:eastAsia="Times New Roman" w:cs="Times New Roman"/>
          <w:szCs w:val="20"/>
        </w:rPr>
        <w:t>including well spacing</w:t>
      </w:r>
      <w:r w:rsidR="00A63F73">
        <w:rPr>
          <w:rFonts w:eastAsia="Times New Roman" w:cs="Times New Roman"/>
          <w:szCs w:val="20"/>
        </w:rPr>
        <w:t>.</w:t>
      </w:r>
      <w:r w:rsidR="00575F86">
        <w:rPr>
          <w:rFonts w:eastAsia="Times New Roman" w:cs="Times New Roman"/>
          <w:szCs w:val="20"/>
        </w:rPr>
        <w:t xml:space="preserve"> </w:t>
      </w:r>
      <w:r w:rsidR="00782106">
        <w:rPr>
          <w:rFonts w:eastAsia="Times New Roman" w:cs="Times New Roman"/>
          <w:szCs w:val="20"/>
        </w:rPr>
        <w:t>E</w:t>
      </w:r>
      <w:r w:rsidR="008B6185" w:rsidRPr="001533E3">
        <w:rPr>
          <w:rFonts w:eastAsia="Times New Roman" w:cs="Times New Roman"/>
          <w:szCs w:val="20"/>
        </w:rPr>
        <w:t xml:space="preserve">valuating the </w:t>
      </w:r>
      <w:r w:rsidR="00E26C4B" w:rsidRPr="001533E3">
        <w:rPr>
          <w:rFonts w:eastAsia="Times New Roman" w:cs="Times New Roman"/>
          <w:szCs w:val="20"/>
        </w:rPr>
        <w:t>impact of well spacing on parent</w:t>
      </w:r>
      <w:r w:rsidR="00903EEF" w:rsidRPr="001533E3">
        <w:rPr>
          <w:rFonts w:eastAsia="Times New Roman" w:cs="Times New Roman"/>
          <w:szCs w:val="20"/>
        </w:rPr>
        <w:t xml:space="preserve"> and </w:t>
      </w:r>
      <w:r w:rsidR="00E26C4B" w:rsidRPr="001533E3">
        <w:rPr>
          <w:rFonts w:eastAsia="Times New Roman" w:cs="Times New Roman"/>
          <w:szCs w:val="20"/>
        </w:rPr>
        <w:t>child well p</w:t>
      </w:r>
      <w:r w:rsidR="00903EEF" w:rsidRPr="001533E3">
        <w:rPr>
          <w:rFonts w:eastAsia="Times New Roman" w:cs="Times New Roman"/>
          <w:szCs w:val="20"/>
        </w:rPr>
        <w:t>roduction</w:t>
      </w:r>
      <w:r w:rsidR="00822E32">
        <w:rPr>
          <w:rFonts w:eastAsia="Times New Roman" w:cs="Times New Roman"/>
          <w:szCs w:val="20"/>
        </w:rPr>
        <w:t xml:space="preserve"> performance</w:t>
      </w:r>
      <w:r w:rsidR="00E26C4B" w:rsidRPr="001533E3">
        <w:rPr>
          <w:rFonts w:eastAsia="Times New Roman" w:cs="Times New Roman"/>
          <w:szCs w:val="20"/>
        </w:rPr>
        <w:t xml:space="preserve"> is </w:t>
      </w:r>
      <w:r w:rsidR="00D91161" w:rsidRPr="001533E3">
        <w:rPr>
          <w:rFonts w:eastAsia="Times New Roman" w:cs="Times New Roman"/>
          <w:szCs w:val="20"/>
        </w:rPr>
        <w:t>challenging.</w:t>
      </w:r>
      <w:r w:rsidR="005157A9" w:rsidRPr="001533E3">
        <w:rPr>
          <w:rFonts w:eastAsia="Times New Roman" w:cs="Times New Roman"/>
          <w:szCs w:val="20"/>
        </w:rPr>
        <w:t xml:space="preserve"> </w:t>
      </w:r>
      <w:r w:rsidR="00822E32">
        <w:rPr>
          <w:rFonts w:eastAsia="Times New Roman" w:cs="Times New Roman"/>
          <w:szCs w:val="20"/>
        </w:rPr>
        <w:t>Several studies have resorted to geom</w:t>
      </w:r>
      <w:r w:rsidR="00503945" w:rsidRPr="001533E3">
        <w:rPr>
          <w:rFonts w:eastAsia="Times New Roman" w:cs="Times New Roman"/>
          <w:szCs w:val="20"/>
        </w:rPr>
        <w:t xml:space="preserve">echanical </w:t>
      </w:r>
      <w:r w:rsidR="00822E32">
        <w:rPr>
          <w:rFonts w:eastAsia="Times New Roman" w:cs="Times New Roman"/>
          <w:szCs w:val="20"/>
        </w:rPr>
        <w:t xml:space="preserve">stress and </w:t>
      </w:r>
      <w:r w:rsidR="00F43EC9" w:rsidRPr="001533E3">
        <w:rPr>
          <w:rFonts w:eastAsia="Times New Roman" w:cs="Times New Roman"/>
          <w:szCs w:val="20"/>
        </w:rPr>
        <w:t xml:space="preserve">fracture </w:t>
      </w:r>
      <w:r w:rsidR="00283536" w:rsidRPr="001533E3">
        <w:rPr>
          <w:rFonts w:eastAsia="Times New Roman" w:cs="Times New Roman"/>
          <w:szCs w:val="20"/>
        </w:rPr>
        <w:t>modeling</w:t>
      </w:r>
      <w:r w:rsidR="00822E32">
        <w:rPr>
          <w:rFonts w:eastAsia="Times New Roman" w:cs="Times New Roman"/>
          <w:szCs w:val="20"/>
        </w:rPr>
        <w:t xml:space="preserve"> combined with</w:t>
      </w:r>
      <w:r w:rsidR="00057F0E">
        <w:rPr>
          <w:rFonts w:eastAsia="Times New Roman" w:cs="Times New Roman"/>
          <w:szCs w:val="20"/>
        </w:rPr>
        <w:t xml:space="preserve"> </w:t>
      </w:r>
      <w:r w:rsidR="00283536" w:rsidRPr="001533E3">
        <w:rPr>
          <w:rFonts w:eastAsia="Times New Roman" w:cs="Times New Roman"/>
          <w:szCs w:val="20"/>
        </w:rPr>
        <w:t xml:space="preserve">dynamic </w:t>
      </w:r>
      <w:r w:rsidR="00727FFD" w:rsidRPr="001533E3">
        <w:rPr>
          <w:rFonts w:eastAsia="Times New Roman" w:cs="Times New Roman"/>
          <w:szCs w:val="20"/>
        </w:rPr>
        <w:t>simulation</w:t>
      </w:r>
      <w:r w:rsidR="00654D1D" w:rsidRPr="001533E3">
        <w:rPr>
          <w:rFonts w:eastAsia="Times New Roman" w:cs="Times New Roman"/>
          <w:szCs w:val="20"/>
        </w:rPr>
        <w:t xml:space="preserve"> </w:t>
      </w:r>
      <w:r w:rsidR="00F777C1" w:rsidRPr="001533E3">
        <w:rPr>
          <w:rFonts w:eastAsia="Times New Roman" w:cs="Times New Roman"/>
          <w:szCs w:val="20"/>
        </w:rPr>
        <w:t>techniques</w:t>
      </w:r>
      <w:r w:rsidR="00822E32">
        <w:rPr>
          <w:rFonts w:eastAsia="Times New Roman" w:cs="Times New Roman"/>
          <w:szCs w:val="20"/>
        </w:rPr>
        <w:t xml:space="preserve"> while a few operators have chosen field trials to evaluate optimal well spacing. </w:t>
      </w:r>
      <w:r w:rsidR="00A01CF6">
        <w:rPr>
          <w:rFonts w:eastAsia="Times New Roman" w:cs="Times New Roman"/>
          <w:szCs w:val="20"/>
        </w:rPr>
        <w:t>S</w:t>
      </w:r>
      <w:r w:rsidR="004B5A65" w:rsidRPr="001533E3">
        <w:rPr>
          <w:rFonts w:eastAsia="Times New Roman" w:cs="Times New Roman"/>
          <w:szCs w:val="20"/>
        </w:rPr>
        <w:t xml:space="preserve">everal </w:t>
      </w:r>
      <w:r w:rsidR="00671879">
        <w:rPr>
          <w:rFonts w:eastAsia="Times New Roman" w:cs="Times New Roman"/>
          <w:szCs w:val="20"/>
        </w:rPr>
        <w:t>data-driven</w:t>
      </w:r>
      <w:r w:rsidR="004B5A65" w:rsidRPr="001533E3">
        <w:rPr>
          <w:rFonts w:eastAsia="Times New Roman" w:cs="Times New Roman"/>
          <w:szCs w:val="20"/>
        </w:rPr>
        <w:t xml:space="preserve"> approaches</w:t>
      </w:r>
      <w:r w:rsidR="00A01CF6">
        <w:rPr>
          <w:rFonts w:eastAsia="Times New Roman" w:cs="Times New Roman"/>
          <w:szCs w:val="20"/>
        </w:rPr>
        <w:t xml:space="preserve"> to address the well-spacing problem have also become popular. </w:t>
      </w:r>
      <w:r w:rsidR="004B5A65" w:rsidRPr="001533E3">
        <w:rPr>
          <w:rFonts w:eastAsia="Times New Roman" w:cs="Times New Roman"/>
          <w:szCs w:val="20"/>
        </w:rPr>
        <w:t xml:space="preserve"> </w:t>
      </w:r>
      <w:r w:rsidR="00503945" w:rsidRPr="001533E3">
        <w:rPr>
          <w:rFonts w:eastAsia="Times New Roman" w:cs="Times New Roman"/>
          <w:szCs w:val="20"/>
        </w:rPr>
        <w:t>One such</w:t>
      </w:r>
      <w:r w:rsidR="00CD5B35" w:rsidRPr="001533E3">
        <w:rPr>
          <w:rFonts w:eastAsia="Times New Roman" w:cs="Times New Roman"/>
          <w:szCs w:val="20"/>
        </w:rPr>
        <w:t xml:space="preserve"> commonly used</w:t>
      </w:r>
      <w:r w:rsidR="00503945" w:rsidRPr="001533E3">
        <w:rPr>
          <w:rFonts w:eastAsia="Times New Roman" w:cs="Times New Roman"/>
          <w:szCs w:val="20"/>
        </w:rPr>
        <w:t xml:space="preserve"> </w:t>
      </w:r>
      <w:r w:rsidR="00671879">
        <w:rPr>
          <w:rFonts w:eastAsia="Times New Roman" w:cs="Times New Roman"/>
          <w:szCs w:val="20"/>
        </w:rPr>
        <w:t>data-driven</w:t>
      </w:r>
      <w:r w:rsidR="00503945" w:rsidRPr="001533E3">
        <w:rPr>
          <w:rFonts w:eastAsia="Times New Roman" w:cs="Times New Roman"/>
          <w:szCs w:val="20"/>
        </w:rPr>
        <w:t xml:space="preserve"> approach</w:t>
      </w:r>
      <w:r w:rsidR="00671879">
        <w:rPr>
          <w:rFonts w:eastAsia="Times New Roman" w:cs="Times New Roman"/>
          <w:szCs w:val="20"/>
        </w:rPr>
        <w:t xml:space="preserve"> simply calculates the </w:t>
      </w:r>
      <w:r w:rsidR="00671879" w:rsidRPr="00507A84">
        <w:rPr>
          <w:rFonts w:eastAsia="Times New Roman" w:cs="Times New Roman"/>
          <w:szCs w:val="20"/>
        </w:rPr>
        <w:t>differe</w:t>
      </w:r>
      <w:r w:rsidR="00FB7D22" w:rsidRPr="00507A84">
        <w:rPr>
          <w:rFonts w:eastAsia="Times New Roman" w:cs="Times New Roman"/>
          <w:szCs w:val="20"/>
        </w:rPr>
        <w:t>nce</w:t>
      </w:r>
      <w:r w:rsidR="00671879">
        <w:rPr>
          <w:rFonts w:eastAsia="Times New Roman" w:cs="Times New Roman"/>
          <w:szCs w:val="20"/>
        </w:rPr>
        <w:t xml:space="preserve"> in cumulative production over a specified period of time for parent and child wells grouped by spacing.</w:t>
      </w:r>
      <w:r w:rsidR="00650C1E" w:rsidRPr="001533E3">
        <w:rPr>
          <w:rFonts w:eastAsia="Times New Roman" w:cs="Times New Roman"/>
          <w:szCs w:val="20"/>
        </w:rPr>
        <w:t xml:space="preserve"> </w:t>
      </w:r>
      <w:r w:rsidR="00671879">
        <w:rPr>
          <w:rFonts w:eastAsia="Times New Roman" w:cs="Times New Roman"/>
          <w:szCs w:val="20"/>
        </w:rPr>
        <w:t xml:space="preserve">This approach has been the method of choice for several different recent analyses of well spacing; however, given that the method of simple averages does not </w:t>
      </w:r>
      <w:r w:rsidR="00790CA1">
        <w:rPr>
          <w:rFonts w:eastAsia="Times New Roman" w:cs="Times New Roman"/>
          <w:szCs w:val="20"/>
        </w:rPr>
        <w:t>account</w:t>
      </w:r>
      <w:r w:rsidR="00671879">
        <w:rPr>
          <w:rFonts w:eastAsia="Times New Roman" w:cs="Times New Roman"/>
          <w:szCs w:val="20"/>
        </w:rPr>
        <w:t xml:space="preserve"> for formation properties or completion design, </w:t>
      </w:r>
      <w:r w:rsidR="00CA2BFD">
        <w:rPr>
          <w:rFonts w:eastAsia="Times New Roman" w:cs="Times New Roman"/>
          <w:szCs w:val="20"/>
        </w:rPr>
        <w:t xml:space="preserve">the results may be compromised and can lead to counterintuitive results.  </w:t>
      </w:r>
    </w:p>
    <w:p w14:paraId="5C3953E1" w14:textId="173A8535" w:rsidR="00B04077" w:rsidRPr="001533E3" w:rsidRDefault="00CA2BFD" w:rsidP="00F77298">
      <w:pPr>
        <w:ind w:firstLine="288"/>
        <w:rPr>
          <w:rFonts w:eastAsia="Times New Roman" w:cs="Times New Roman"/>
          <w:szCs w:val="20"/>
        </w:rPr>
      </w:pPr>
      <w:r>
        <w:rPr>
          <w:rFonts w:eastAsia="Times New Roman" w:cs="Times New Roman"/>
          <w:szCs w:val="20"/>
        </w:rPr>
        <w:t xml:space="preserve">In this thesis, </w:t>
      </w:r>
      <w:r w:rsidR="008029A6" w:rsidRPr="001533E3">
        <w:rPr>
          <w:rFonts w:eastAsia="Times New Roman" w:cs="Times New Roman"/>
          <w:szCs w:val="20"/>
        </w:rPr>
        <w:t xml:space="preserve">I </w:t>
      </w:r>
      <w:r w:rsidR="00FC3ABC" w:rsidRPr="001533E3">
        <w:rPr>
          <w:rFonts w:eastAsia="Times New Roman" w:cs="Times New Roman"/>
          <w:szCs w:val="20"/>
        </w:rPr>
        <w:t xml:space="preserve">introduce a new data-driven approach </w:t>
      </w:r>
      <w:r w:rsidR="00D6252C" w:rsidRPr="001533E3">
        <w:rPr>
          <w:rFonts w:eastAsia="Times New Roman" w:cs="Times New Roman"/>
          <w:szCs w:val="20"/>
        </w:rPr>
        <w:t xml:space="preserve">leveraging the power of </w:t>
      </w:r>
      <w:r w:rsidR="001C0B42">
        <w:rPr>
          <w:rFonts w:eastAsia="Times New Roman" w:cs="Times New Roman"/>
          <w:szCs w:val="20"/>
        </w:rPr>
        <w:t>causal</w:t>
      </w:r>
      <w:r w:rsidR="00FC7E05">
        <w:rPr>
          <w:rFonts w:eastAsia="Times New Roman" w:cs="Times New Roman"/>
          <w:szCs w:val="20"/>
        </w:rPr>
        <w:t xml:space="preserve"> inference</w:t>
      </w:r>
      <w:r w:rsidR="0038323A" w:rsidRPr="001533E3">
        <w:rPr>
          <w:rFonts w:eastAsia="Times New Roman" w:cs="Times New Roman"/>
          <w:szCs w:val="20"/>
        </w:rPr>
        <w:t xml:space="preserve"> </w:t>
      </w:r>
      <w:r w:rsidR="00A247DC">
        <w:rPr>
          <w:rFonts w:eastAsia="Times New Roman" w:cs="Times New Roman"/>
          <w:szCs w:val="20"/>
        </w:rPr>
        <w:t xml:space="preserve">as </w:t>
      </w:r>
      <w:r w:rsidR="00112489" w:rsidRPr="001533E3">
        <w:rPr>
          <w:rFonts w:eastAsia="Times New Roman" w:cs="Times New Roman"/>
          <w:szCs w:val="20"/>
        </w:rPr>
        <w:t>seen in clin</w:t>
      </w:r>
      <w:r w:rsidR="00BA3D3D" w:rsidRPr="001533E3">
        <w:rPr>
          <w:rFonts w:eastAsia="Times New Roman" w:cs="Times New Roman"/>
          <w:szCs w:val="20"/>
        </w:rPr>
        <w:t>ic</w:t>
      </w:r>
      <w:r w:rsidR="00112489" w:rsidRPr="001533E3">
        <w:rPr>
          <w:rFonts w:eastAsia="Times New Roman" w:cs="Times New Roman"/>
          <w:szCs w:val="20"/>
        </w:rPr>
        <w:t xml:space="preserve">al trials </w:t>
      </w:r>
      <w:r w:rsidR="0038323A" w:rsidRPr="001533E3">
        <w:rPr>
          <w:rFonts w:eastAsia="Times New Roman" w:cs="Times New Roman"/>
          <w:szCs w:val="20"/>
        </w:rPr>
        <w:t xml:space="preserve">for </w:t>
      </w:r>
      <w:r w:rsidR="00FA5D32" w:rsidRPr="001533E3">
        <w:rPr>
          <w:rFonts w:eastAsia="Times New Roman" w:cs="Times New Roman"/>
          <w:szCs w:val="20"/>
        </w:rPr>
        <w:t xml:space="preserve">multivariate </w:t>
      </w:r>
      <w:r w:rsidR="0038323A" w:rsidRPr="001533E3">
        <w:rPr>
          <w:rFonts w:eastAsia="Times New Roman" w:cs="Times New Roman"/>
          <w:szCs w:val="20"/>
        </w:rPr>
        <w:t>observational studies.</w:t>
      </w:r>
      <w:r w:rsidR="006C4BF8" w:rsidRPr="001533E3">
        <w:rPr>
          <w:rFonts w:eastAsia="Times New Roman" w:cs="Times New Roman"/>
          <w:szCs w:val="20"/>
        </w:rPr>
        <w:t xml:space="preserve"> </w:t>
      </w:r>
      <w:r>
        <w:rPr>
          <w:rFonts w:eastAsia="Times New Roman" w:cs="Times New Roman"/>
          <w:szCs w:val="20"/>
        </w:rPr>
        <w:t xml:space="preserve">The </w:t>
      </w:r>
      <w:r w:rsidR="001C0B42">
        <w:rPr>
          <w:rFonts w:eastAsia="Times New Roman" w:cs="Times New Roman"/>
          <w:szCs w:val="20"/>
        </w:rPr>
        <w:t>causal</w:t>
      </w:r>
      <w:r>
        <w:rPr>
          <w:rFonts w:eastAsia="Times New Roman" w:cs="Times New Roman"/>
          <w:szCs w:val="20"/>
        </w:rPr>
        <w:t xml:space="preserve"> approach</w:t>
      </w:r>
      <w:r w:rsidR="006C4BF8" w:rsidRPr="001533E3">
        <w:rPr>
          <w:rFonts w:eastAsia="Times New Roman" w:cs="Times New Roman"/>
          <w:szCs w:val="20"/>
        </w:rPr>
        <w:t xml:space="preserve"> </w:t>
      </w:r>
      <w:r>
        <w:rPr>
          <w:rFonts w:eastAsia="Times New Roman" w:cs="Times New Roman"/>
          <w:szCs w:val="20"/>
        </w:rPr>
        <w:t>addresses</w:t>
      </w:r>
      <w:r w:rsidRPr="001533E3">
        <w:rPr>
          <w:rFonts w:eastAsia="Times New Roman" w:cs="Times New Roman"/>
          <w:szCs w:val="20"/>
        </w:rPr>
        <w:t xml:space="preserve"> </w:t>
      </w:r>
      <w:r w:rsidR="006C4BF8" w:rsidRPr="001533E3">
        <w:rPr>
          <w:rFonts w:eastAsia="Times New Roman" w:cs="Times New Roman"/>
          <w:szCs w:val="20"/>
        </w:rPr>
        <w:t xml:space="preserve">the problem behind the </w:t>
      </w:r>
      <w:r w:rsidR="009E1CC2" w:rsidRPr="001533E3">
        <w:rPr>
          <w:rFonts w:eastAsia="Times New Roman" w:cs="Times New Roman"/>
          <w:szCs w:val="20"/>
        </w:rPr>
        <w:t xml:space="preserve">routinely used </w:t>
      </w:r>
      <w:r w:rsidR="006C4BF8" w:rsidRPr="001533E3">
        <w:rPr>
          <w:rFonts w:eastAsia="Times New Roman" w:cs="Times New Roman"/>
          <w:szCs w:val="20"/>
        </w:rPr>
        <w:t>simple average</w:t>
      </w:r>
      <w:r w:rsidR="000903DD" w:rsidRPr="001533E3">
        <w:rPr>
          <w:rFonts w:eastAsia="Times New Roman" w:cs="Times New Roman"/>
          <w:szCs w:val="20"/>
        </w:rPr>
        <w:t>s</w:t>
      </w:r>
      <w:r w:rsidR="006C4BF8" w:rsidRPr="001533E3">
        <w:rPr>
          <w:rFonts w:eastAsia="Times New Roman" w:cs="Times New Roman"/>
          <w:szCs w:val="20"/>
        </w:rPr>
        <w:t xml:space="preserve"> approac</w:t>
      </w:r>
      <w:r>
        <w:rPr>
          <w:rFonts w:eastAsia="Times New Roman" w:cs="Times New Roman"/>
          <w:szCs w:val="20"/>
        </w:rPr>
        <w:t xml:space="preserve">h by providing a formalism to control for reservoir and completion variables when evaluating the impact of well spacing on production performance. I apply the </w:t>
      </w:r>
      <w:r w:rsidR="001C0B42">
        <w:rPr>
          <w:rFonts w:eastAsia="Times New Roman" w:cs="Times New Roman"/>
          <w:szCs w:val="20"/>
        </w:rPr>
        <w:t>causal</w:t>
      </w:r>
      <w:r w:rsidR="00FC7E05">
        <w:rPr>
          <w:rFonts w:eastAsia="Times New Roman" w:cs="Times New Roman"/>
          <w:szCs w:val="20"/>
        </w:rPr>
        <w:t xml:space="preserve"> inference</w:t>
      </w:r>
      <w:r>
        <w:rPr>
          <w:rFonts w:eastAsia="Times New Roman" w:cs="Times New Roman"/>
          <w:szCs w:val="20"/>
        </w:rPr>
        <w:t xml:space="preserve"> workflow to a dataset </w:t>
      </w:r>
      <w:r w:rsidR="00083B25" w:rsidRPr="001533E3">
        <w:rPr>
          <w:rFonts w:eastAsia="Times New Roman" w:cs="Times New Roman"/>
          <w:szCs w:val="20"/>
        </w:rPr>
        <w:t>from a prolific oil basin in Texas</w:t>
      </w:r>
      <w:r w:rsidR="00346917" w:rsidRPr="001533E3">
        <w:rPr>
          <w:rFonts w:eastAsia="Times New Roman" w:cs="Times New Roman"/>
          <w:szCs w:val="20"/>
        </w:rPr>
        <w:t xml:space="preserve"> with over </w:t>
      </w:r>
      <w:r w:rsidR="008260E7">
        <w:rPr>
          <w:rFonts w:eastAsia="Times New Roman" w:cs="Times New Roman"/>
          <w:szCs w:val="20"/>
        </w:rPr>
        <w:t>7</w:t>
      </w:r>
      <w:r w:rsidR="00346917" w:rsidRPr="001533E3">
        <w:rPr>
          <w:rFonts w:eastAsia="Times New Roman" w:cs="Times New Roman"/>
          <w:szCs w:val="20"/>
        </w:rPr>
        <w:t>00 wells in the ana</w:t>
      </w:r>
      <w:r w:rsidR="00820288" w:rsidRPr="001533E3">
        <w:rPr>
          <w:rFonts w:eastAsia="Times New Roman" w:cs="Times New Roman"/>
          <w:szCs w:val="20"/>
        </w:rPr>
        <w:t xml:space="preserve">lyses. </w:t>
      </w:r>
      <w:r w:rsidR="00712225" w:rsidRPr="001533E3">
        <w:rPr>
          <w:rFonts w:eastAsia="Times New Roman" w:cs="Times New Roman"/>
          <w:szCs w:val="20"/>
        </w:rPr>
        <w:t>It includes the formation properties, fluid</w:t>
      </w:r>
      <w:r w:rsidR="007166BC">
        <w:rPr>
          <w:rFonts w:eastAsia="Times New Roman" w:cs="Times New Roman"/>
          <w:szCs w:val="20"/>
        </w:rPr>
        <w:t xml:space="preserve"> volume, </w:t>
      </w:r>
      <w:r w:rsidR="0002242A">
        <w:rPr>
          <w:rFonts w:eastAsia="Times New Roman" w:cs="Times New Roman"/>
          <w:szCs w:val="20"/>
        </w:rPr>
        <w:t>proppant weight</w:t>
      </w:r>
      <w:r w:rsidR="009657D9" w:rsidRPr="001533E3">
        <w:rPr>
          <w:rFonts w:eastAsia="Times New Roman" w:cs="Times New Roman"/>
          <w:szCs w:val="20"/>
        </w:rPr>
        <w:t>, landing zones and the downhole locations of the wells.</w:t>
      </w:r>
      <w:r w:rsidR="000F2E8F" w:rsidRPr="001533E3">
        <w:rPr>
          <w:rFonts w:eastAsia="Times New Roman" w:cs="Times New Roman"/>
          <w:szCs w:val="20"/>
        </w:rPr>
        <w:t xml:space="preserve"> Using the </w:t>
      </w:r>
      <w:r w:rsidR="001C0B42">
        <w:rPr>
          <w:rFonts w:eastAsia="Times New Roman" w:cs="Times New Roman"/>
          <w:szCs w:val="20"/>
        </w:rPr>
        <w:t>causal</w:t>
      </w:r>
      <w:r w:rsidR="00FC7E05">
        <w:rPr>
          <w:rFonts w:eastAsia="Times New Roman" w:cs="Times New Roman"/>
          <w:szCs w:val="20"/>
        </w:rPr>
        <w:t xml:space="preserve"> inference</w:t>
      </w:r>
      <w:r w:rsidR="000F2E8F" w:rsidRPr="001533E3">
        <w:rPr>
          <w:rFonts w:eastAsia="Times New Roman" w:cs="Times New Roman"/>
          <w:szCs w:val="20"/>
        </w:rPr>
        <w:t xml:space="preserve"> workflow, </w:t>
      </w:r>
      <w:r w:rsidR="00433893" w:rsidRPr="001533E3">
        <w:rPr>
          <w:rFonts w:eastAsia="Times New Roman" w:cs="Times New Roman"/>
          <w:szCs w:val="20"/>
        </w:rPr>
        <w:t xml:space="preserve">I </w:t>
      </w:r>
      <w:r w:rsidR="000F2E8F" w:rsidRPr="001533E3">
        <w:rPr>
          <w:rFonts w:eastAsia="Times New Roman" w:cs="Times New Roman"/>
          <w:szCs w:val="20"/>
        </w:rPr>
        <w:t xml:space="preserve">evaluate the effect of </w:t>
      </w:r>
      <w:r w:rsidR="00433893" w:rsidRPr="001533E3">
        <w:rPr>
          <w:rFonts w:eastAsia="Times New Roman" w:cs="Times New Roman"/>
          <w:szCs w:val="20"/>
        </w:rPr>
        <w:t xml:space="preserve">well spacing on well performance at different </w:t>
      </w:r>
      <w:r w:rsidR="009F171A" w:rsidRPr="001533E3">
        <w:rPr>
          <w:rFonts w:eastAsia="Times New Roman" w:cs="Times New Roman"/>
          <w:szCs w:val="20"/>
        </w:rPr>
        <w:t xml:space="preserve">parent-child </w:t>
      </w:r>
      <w:r w:rsidR="00433893" w:rsidRPr="001533E3">
        <w:rPr>
          <w:rFonts w:eastAsia="Times New Roman" w:cs="Times New Roman"/>
          <w:szCs w:val="20"/>
        </w:rPr>
        <w:t xml:space="preserve">spacing </w:t>
      </w:r>
      <w:r w:rsidR="009F171A" w:rsidRPr="001533E3">
        <w:rPr>
          <w:rFonts w:eastAsia="Times New Roman" w:cs="Times New Roman"/>
          <w:szCs w:val="20"/>
        </w:rPr>
        <w:t>ranges.</w:t>
      </w:r>
      <w:r w:rsidR="00A52220" w:rsidRPr="001533E3">
        <w:rPr>
          <w:rFonts w:eastAsia="Times New Roman" w:cs="Times New Roman"/>
          <w:szCs w:val="20"/>
        </w:rPr>
        <w:t xml:space="preserve"> The </w:t>
      </w:r>
      <w:r w:rsidR="00811CC7" w:rsidRPr="001533E3">
        <w:rPr>
          <w:rFonts w:eastAsia="Times New Roman" w:cs="Times New Roman"/>
          <w:szCs w:val="20"/>
        </w:rPr>
        <w:t>optimal well spacing is then estimated f</w:t>
      </w:r>
      <w:r w:rsidR="00DD7F58" w:rsidRPr="001533E3">
        <w:rPr>
          <w:rFonts w:eastAsia="Times New Roman" w:cs="Times New Roman"/>
          <w:szCs w:val="20"/>
        </w:rPr>
        <w:t>or</w:t>
      </w:r>
      <w:r w:rsidR="00811CC7" w:rsidRPr="001533E3">
        <w:rPr>
          <w:rFonts w:eastAsia="Times New Roman" w:cs="Times New Roman"/>
          <w:szCs w:val="20"/>
        </w:rPr>
        <w:t xml:space="preserve"> this </w:t>
      </w:r>
      <w:r w:rsidR="00DD7F58" w:rsidRPr="001533E3">
        <w:rPr>
          <w:rFonts w:eastAsia="Times New Roman" w:cs="Times New Roman"/>
          <w:szCs w:val="20"/>
        </w:rPr>
        <w:t>shale</w:t>
      </w:r>
      <w:r w:rsidR="00705E67" w:rsidRPr="001533E3">
        <w:rPr>
          <w:rFonts w:eastAsia="Times New Roman" w:cs="Times New Roman"/>
          <w:szCs w:val="20"/>
        </w:rPr>
        <w:t xml:space="preserve"> play </w:t>
      </w:r>
      <w:r w:rsidR="00DD7F58" w:rsidRPr="001533E3">
        <w:rPr>
          <w:rFonts w:eastAsia="Times New Roman" w:cs="Times New Roman"/>
          <w:szCs w:val="20"/>
        </w:rPr>
        <w:t xml:space="preserve">based on the </w:t>
      </w:r>
      <w:r w:rsidR="00CA2CEF" w:rsidRPr="001533E3">
        <w:rPr>
          <w:rFonts w:eastAsia="Times New Roman" w:cs="Times New Roman"/>
          <w:szCs w:val="20"/>
        </w:rPr>
        <w:lastRenderedPageBreak/>
        <w:t xml:space="preserve">magnitude of the </w:t>
      </w:r>
      <w:r w:rsidR="001C0B42">
        <w:rPr>
          <w:rFonts w:eastAsia="Times New Roman" w:cs="Times New Roman"/>
          <w:szCs w:val="20"/>
        </w:rPr>
        <w:t>causal</w:t>
      </w:r>
      <w:r w:rsidR="00A52220" w:rsidRPr="001533E3">
        <w:rPr>
          <w:rFonts w:eastAsia="Times New Roman" w:cs="Times New Roman"/>
          <w:szCs w:val="20"/>
        </w:rPr>
        <w:t xml:space="preserve"> e</w:t>
      </w:r>
      <w:r w:rsidR="00CA2CEF" w:rsidRPr="001533E3">
        <w:rPr>
          <w:rFonts w:eastAsia="Times New Roman" w:cs="Times New Roman"/>
          <w:szCs w:val="20"/>
        </w:rPr>
        <w:t>ffects</w:t>
      </w:r>
      <w:r w:rsidR="00DD7F58" w:rsidRPr="001533E3">
        <w:rPr>
          <w:rFonts w:eastAsia="Times New Roman" w:cs="Times New Roman"/>
          <w:szCs w:val="20"/>
        </w:rPr>
        <w:t xml:space="preserve">. </w:t>
      </w:r>
      <w:r w:rsidR="009F171A" w:rsidRPr="001533E3">
        <w:rPr>
          <w:rFonts w:eastAsia="Times New Roman" w:cs="Times New Roman"/>
          <w:szCs w:val="20"/>
        </w:rPr>
        <w:t>Th</w:t>
      </w:r>
      <w:r w:rsidR="009F4824" w:rsidRPr="001533E3">
        <w:rPr>
          <w:rFonts w:eastAsia="Times New Roman" w:cs="Times New Roman"/>
          <w:szCs w:val="20"/>
        </w:rPr>
        <w:t>ese estimates are then compared with the simple averages approach</w:t>
      </w:r>
      <w:r w:rsidR="00C10B3C" w:rsidRPr="001533E3">
        <w:rPr>
          <w:rFonts w:eastAsia="Times New Roman" w:cs="Times New Roman"/>
          <w:szCs w:val="20"/>
        </w:rPr>
        <w:t xml:space="preserve"> </w:t>
      </w:r>
      <w:r>
        <w:rPr>
          <w:rFonts w:eastAsia="Times New Roman" w:cs="Times New Roman"/>
          <w:szCs w:val="20"/>
        </w:rPr>
        <w:t xml:space="preserve">to demonstrate the power and utility of </w:t>
      </w:r>
      <w:r w:rsidR="001C0B42">
        <w:rPr>
          <w:rFonts w:eastAsia="Times New Roman" w:cs="Times New Roman"/>
          <w:szCs w:val="20"/>
        </w:rPr>
        <w:t>causal</w:t>
      </w:r>
      <w:r>
        <w:rPr>
          <w:rFonts w:eastAsia="Times New Roman" w:cs="Times New Roman"/>
          <w:szCs w:val="20"/>
        </w:rPr>
        <w:t>ity</w:t>
      </w:r>
      <w:r w:rsidR="00C10B3C" w:rsidRPr="001533E3">
        <w:rPr>
          <w:rFonts w:eastAsia="Times New Roman" w:cs="Times New Roman"/>
          <w:szCs w:val="20"/>
        </w:rPr>
        <w:t>.</w:t>
      </w:r>
    </w:p>
    <w:p w14:paraId="0F0BE165" w14:textId="01705A32" w:rsidR="00CC09A5" w:rsidRPr="001533E3" w:rsidRDefault="00B04077" w:rsidP="00F77298">
      <w:pPr>
        <w:ind w:firstLine="288"/>
        <w:rPr>
          <w:rFonts w:eastAsia="Times New Roman" w:cs="Times New Roman"/>
          <w:szCs w:val="20"/>
        </w:rPr>
      </w:pPr>
      <w:r w:rsidRPr="001533E3">
        <w:rPr>
          <w:rFonts w:eastAsia="Times New Roman" w:cs="Times New Roman"/>
          <w:szCs w:val="20"/>
        </w:rPr>
        <w:t xml:space="preserve">In the second part of the thesis, I </w:t>
      </w:r>
      <w:r w:rsidR="00161924" w:rsidRPr="001533E3">
        <w:rPr>
          <w:rFonts w:eastAsia="Times New Roman" w:cs="Times New Roman"/>
          <w:szCs w:val="20"/>
        </w:rPr>
        <w:t xml:space="preserve">transition into a discussion on </w:t>
      </w:r>
      <w:r w:rsidRPr="001533E3">
        <w:rPr>
          <w:rFonts w:eastAsia="Times New Roman" w:cs="Times New Roman"/>
          <w:szCs w:val="20"/>
        </w:rPr>
        <w:t xml:space="preserve">anomaly detection approaches </w:t>
      </w:r>
      <w:r w:rsidR="00161924" w:rsidRPr="001533E3">
        <w:rPr>
          <w:rFonts w:eastAsia="Times New Roman" w:cs="Times New Roman"/>
          <w:szCs w:val="20"/>
        </w:rPr>
        <w:t>applied in the oil and gas industry.</w:t>
      </w:r>
      <w:r w:rsidR="002525BD" w:rsidRPr="001533E3">
        <w:rPr>
          <w:rFonts w:eastAsia="Times New Roman" w:cs="Times New Roman"/>
          <w:szCs w:val="20"/>
        </w:rPr>
        <w:t xml:space="preserve"> I </w:t>
      </w:r>
      <w:r w:rsidR="00653166">
        <w:rPr>
          <w:rFonts w:eastAsia="Times New Roman" w:cs="Times New Roman"/>
          <w:szCs w:val="20"/>
        </w:rPr>
        <w:t>discuss</w:t>
      </w:r>
      <w:r w:rsidR="002525BD" w:rsidRPr="001533E3">
        <w:rPr>
          <w:rFonts w:eastAsia="Times New Roman" w:cs="Times New Roman"/>
          <w:szCs w:val="20"/>
        </w:rPr>
        <w:t xml:space="preserve"> current anomaly detection methods for </w:t>
      </w:r>
      <w:r w:rsidR="00CA2BFD">
        <w:rPr>
          <w:rFonts w:eastAsia="Times New Roman" w:cs="Times New Roman"/>
          <w:szCs w:val="20"/>
        </w:rPr>
        <w:t>a</w:t>
      </w:r>
      <w:r w:rsidR="002525BD" w:rsidRPr="001533E3">
        <w:rPr>
          <w:rFonts w:eastAsia="Times New Roman" w:cs="Times New Roman"/>
          <w:szCs w:val="20"/>
        </w:rPr>
        <w:t xml:space="preserve"> widely used </w:t>
      </w:r>
      <w:r w:rsidR="00A3241C" w:rsidRPr="001533E3">
        <w:rPr>
          <w:rFonts w:eastAsia="Times New Roman" w:cs="Times New Roman"/>
          <w:szCs w:val="20"/>
        </w:rPr>
        <w:t>artificial lift</w:t>
      </w:r>
      <w:r w:rsidR="00CA2BFD">
        <w:rPr>
          <w:rFonts w:eastAsia="Times New Roman" w:cs="Times New Roman"/>
          <w:szCs w:val="20"/>
        </w:rPr>
        <w:t xml:space="preserve"> method</w:t>
      </w:r>
      <w:r w:rsidR="00A3241C" w:rsidRPr="001533E3">
        <w:rPr>
          <w:rFonts w:eastAsia="Times New Roman" w:cs="Times New Roman"/>
          <w:szCs w:val="20"/>
        </w:rPr>
        <w:t xml:space="preserve"> – the Sucker Rod Pump</w:t>
      </w:r>
      <w:r w:rsidR="0058277C" w:rsidRPr="001533E3">
        <w:rPr>
          <w:rFonts w:eastAsia="Times New Roman" w:cs="Times New Roman"/>
          <w:szCs w:val="20"/>
        </w:rPr>
        <w:t xml:space="preserve"> (SRP)</w:t>
      </w:r>
      <w:r w:rsidR="00A3241C" w:rsidRPr="001533E3">
        <w:rPr>
          <w:rFonts w:eastAsia="Times New Roman" w:cs="Times New Roman"/>
          <w:szCs w:val="20"/>
        </w:rPr>
        <w:t xml:space="preserve">. </w:t>
      </w:r>
      <w:r w:rsidR="004A7B20">
        <w:rPr>
          <w:rFonts w:eastAsia="Times New Roman" w:cs="Times New Roman"/>
          <w:szCs w:val="20"/>
        </w:rPr>
        <w:t>Today, t</w:t>
      </w:r>
      <w:r w:rsidR="007D1ABF" w:rsidRPr="001533E3">
        <w:rPr>
          <w:rFonts w:eastAsia="Times New Roman" w:cs="Times New Roman"/>
          <w:szCs w:val="20"/>
        </w:rPr>
        <w:t xml:space="preserve">here is a </w:t>
      </w:r>
      <w:r w:rsidR="00D62B7B" w:rsidRPr="001533E3">
        <w:rPr>
          <w:rFonts w:eastAsia="Times New Roman" w:cs="Times New Roman"/>
          <w:szCs w:val="20"/>
        </w:rPr>
        <w:t xml:space="preserve">growing </w:t>
      </w:r>
      <w:r w:rsidR="007D1ABF" w:rsidRPr="001533E3">
        <w:rPr>
          <w:rFonts w:eastAsia="Times New Roman" w:cs="Times New Roman"/>
          <w:szCs w:val="20"/>
        </w:rPr>
        <w:t xml:space="preserve">need for </w:t>
      </w:r>
      <w:r w:rsidR="00D62B7B" w:rsidRPr="001533E3">
        <w:rPr>
          <w:rFonts w:eastAsia="Times New Roman" w:cs="Times New Roman"/>
          <w:szCs w:val="20"/>
        </w:rPr>
        <w:t>fast</w:t>
      </w:r>
      <w:r w:rsidR="00003BE4" w:rsidRPr="001533E3">
        <w:rPr>
          <w:rFonts w:eastAsia="Times New Roman" w:cs="Times New Roman"/>
          <w:szCs w:val="20"/>
        </w:rPr>
        <w:t xml:space="preserve"> and accurate</w:t>
      </w:r>
      <w:r w:rsidR="00D62B7B" w:rsidRPr="001533E3">
        <w:rPr>
          <w:rFonts w:eastAsia="Times New Roman" w:cs="Times New Roman"/>
          <w:szCs w:val="20"/>
        </w:rPr>
        <w:t xml:space="preserve"> anomaly detection systems given the </w:t>
      </w:r>
      <w:r w:rsidR="006760B1" w:rsidRPr="001533E3">
        <w:rPr>
          <w:rFonts w:eastAsia="Times New Roman" w:cs="Times New Roman"/>
          <w:szCs w:val="20"/>
        </w:rPr>
        <w:t xml:space="preserve">emergence of Internet of Things (IoT) and </w:t>
      </w:r>
      <w:r w:rsidR="008E5028" w:rsidRPr="001533E3">
        <w:rPr>
          <w:rFonts w:eastAsia="Times New Roman" w:cs="Times New Roman"/>
          <w:szCs w:val="20"/>
        </w:rPr>
        <w:t xml:space="preserve">access to </w:t>
      </w:r>
      <w:r w:rsidR="00003BE4" w:rsidRPr="001533E3">
        <w:rPr>
          <w:rFonts w:eastAsia="Times New Roman" w:cs="Times New Roman"/>
          <w:szCs w:val="20"/>
        </w:rPr>
        <w:t>B</w:t>
      </w:r>
      <w:r w:rsidR="006760B1" w:rsidRPr="001533E3">
        <w:rPr>
          <w:rFonts w:eastAsia="Times New Roman" w:cs="Times New Roman"/>
          <w:szCs w:val="20"/>
        </w:rPr>
        <w:t xml:space="preserve">ig </w:t>
      </w:r>
      <w:r w:rsidR="00003BE4" w:rsidRPr="001533E3">
        <w:rPr>
          <w:rFonts w:eastAsia="Times New Roman" w:cs="Times New Roman"/>
          <w:szCs w:val="20"/>
        </w:rPr>
        <w:t>D</w:t>
      </w:r>
      <w:r w:rsidR="006760B1" w:rsidRPr="001533E3">
        <w:rPr>
          <w:rFonts w:eastAsia="Times New Roman" w:cs="Times New Roman"/>
          <w:szCs w:val="20"/>
        </w:rPr>
        <w:t xml:space="preserve">ata. </w:t>
      </w:r>
      <w:r w:rsidR="00CA2BFD">
        <w:rPr>
          <w:rFonts w:eastAsia="Times New Roman" w:cs="Times New Roman"/>
          <w:szCs w:val="20"/>
        </w:rPr>
        <w:t xml:space="preserve">Anomaly detection using human </w:t>
      </w:r>
      <w:r w:rsidR="006E1DF3" w:rsidRPr="001533E3">
        <w:rPr>
          <w:rFonts w:eastAsia="Times New Roman" w:cs="Times New Roman"/>
          <w:szCs w:val="20"/>
        </w:rPr>
        <w:t>operators</w:t>
      </w:r>
      <w:r w:rsidR="00CA2BFD">
        <w:rPr>
          <w:rFonts w:eastAsia="Times New Roman" w:cs="Times New Roman"/>
          <w:szCs w:val="20"/>
        </w:rPr>
        <w:t xml:space="preserve"> can be expensive, is often subject to bias and experience-levels and does not scale very well with the need to monitor more than a few </w:t>
      </w:r>
      <w:r w:rsidR="00B348E8">
        <w:rPr>
          <w:rFonts w:eastAsia="Times New Roman" w:cs="Times New Roman"/>
          <w:szCs w:val="20"/>
        </w:rPr>
        <w:t xml:space="preserve">tens of wells. With SRPs, the problem of anomaly detection becomes a problem of image classification where dynamometer cards are evaluated for signatures of failure. While this has been the mainstay of anomaly detection for pumpjacks, in this thesis, I </w:t>
      </w:r>
      <w:r w:rsidR="005E452E" w:rsidRPr="001533E3">
        <w:rPr>
          <w:rFonts w:eastAsia="Times New Roman" w:cs="Times New Roman"/>
          <w:szCs w:val="20"/>
        </w:rPr>
        <w:t>automate th</w:t>
      </w:r>
      <w:r w:rsidR="00CC09A5" w:rsidRPr="001533E3">
        <w:rPr>
          <w:rFonts w:eastAsia="Times New Roman" w:cs="Times New Roman"/>
          <w:szCs w:val="20"/>
        </w:rPr>
        <w:t>is</w:t>
      </w:r>
      <w:r w:rsidR="005E452E" w:rsidRPr="001533E3">
        <w:rPr>
          <w:rFonts w:eastAsia="Times New Roman" w:cs="Times New Roman"/>
          <w:szCs w:val="20"/>
        </w:rPr>
        <w:t xml:space="preserve"> task of mo</w:t>
      </w:r>
      <w:r w:rsidR="00D04CCA" w:rsidRPr="001533E3">
        <w:rPr>
          <w:rFonts w:eastAsia="Times New Roman" w:cs="Times New Roman"/>
          <w:szCs w:val="20"/>
        </w:rPr>
        <w:t xml:space="preserve">nitoring and detecting the anomalies from the SRP pump cards. </w:t>
      </w:r>
    </w:p>
    <w:p w14:paraId="114A8A85" w14:textId="2D7B53B1" w:rsidR="005E452E" w:rsidRPr="001533E3" w:rsidRDefault="00D04CCA" w:rsidP="00F77298">
      <w:pPr>
        <w:ind w:firstLine="288"/>
        <w:rPr>
          <w:rFonts w:eastAsia="Times New Roman" w:cs="Times New Roman"/>
          <w:szCs w:val="20"/>
        </w:rPr>
      </w:pPr>
      <w:r w:rsidRPr="001533E3">
        <w:rPr>
          <w:rFonts w:eastAsia="Times New Roman" w:cs="Times New Roman"/>
          <w:szCs w:val="20"/>
        </w:rPr>
        <w:t xml:space="preserve">Several thousand synthetic pump cards </w:t>
      </w:r>
      <w:r w:rsidR="004B3E4F">
        <w:rPr>
          <w:rFonts w:eastAsia="Times New Roman" w:cs="Times New Roman"/>
          <w:szCs w:val="20"/>
        </w:rPr>
        <w:t xml:space="preserve">specific to </w:t>
      </w:r>
      <w:r w:rsidR="004F1012">
        <w:rPr>
          <w:rFonts w:eastAsia="Times New Roman" w:cs="Times New Roman"/>
          <w:szCs w:val="20"/>
        </w:rPr>
        <w:t xml:space="preserve">pump failures modes </w:t>
      </w:r>
      <w:r w:rsidRPr="001533E3">
        <w:rPr>
          <w:rFonts w:eastAsia="Times New Roman" w:cs="Times New Roman"/>
          <w:szCs w:val="20"/>
        </w:rPr>
        <w:t xml:space="preserve">are generated from the literature </w:t>
      </w:r>
      <w:r w:rsidR="004A6F01" w:rsidRPr="001533E3">
        <w:rPr>
          <w:rFonts w:eastAsia="Times New Roman" w:cs="Times New Roman"/>
          <w:szCs w:val="20"/>
        </w:rPr>
        <w:t xml:space="preserve">and fed to a deep learning model. This deep learning model is a Convolutional </w:t>
      </w:r>
      <w:r w:rsidR="00554893" w:rsidRPr="001533E3">
        <w:rPr>
          <w:rFonts w:eastAsia="Times New Roman" w:cs="Times New Roman"/>
          <w:szCs w:val="20"/>
        </w:rPr>
        <w:t xml:space="preserve">Neural </w:t>
      </w:r>
      <w:r w:rsidR="004A6F01" w:rsidRPr="001533E3">
        <w:rPr>
          <w:rFonts w:eastAsia="Times New Roman" w:cs="Times New Roman"/>
          <w:szCs w:val="20"/>
        </w:rPr>
        <w:t xml:space="preserve">Network </w:t>
      </w:r>
      <w:r w:rsidR="00554893" w:rsidRPr="001533E3">
        <w:rPr>
          <w:rFonts w:eastAsia="Times New Roman" w:cs="Times New Roman"/>
          <w:szCs w:val="20"/>
        </w:rPr>
        <w:t xml:space="preserve">(CNN) </w:t>
      </w:r>
      <w:r w:rsidR="00934E71" w:rsidRPr="001533E3">
        <w:rPr>
          <w:rFonts w:eastAsia="Times New Roman" w:cs="Times New Roman"/>
          <w:szCs w:val="20"/>
        </w:rPr>
        <w:t xml:space="preserve">which </w:t>
      </w:r>
      <w:r w:rsidR="00554893" w:rsidRPr="001533E3">
        <w:rPr>
          <w:rFonts w:eastAsia="Times New Roman" w:cs="Times New Roman"/>
          <w:szCs w:val="20"/>
        </w:rPr>
        <w:t>is</w:t>
      </w:r>
      <w:r w:rsidR="00934E71" w:rsidRPr="001533E3">
        <w:rPr>
          <w:rFonts w:eastAsia="Times New Roman" w:cs="Times New Roman"/>
          <w:szCs w:val="20"/>
        </w:rPr>
        <w:t xml:space="preserve"> commonly used in image</w:t>
      </w:r>
      <w:r w:rsidR="004A3479" w:rsidRPr="001533E3">
        <w:rPr>
          <w:rFonts w:eastAsia="Times New Roman" w:cs="Times New Roman"/>
          <w:szCs w:val="20"/>
        </w:rPr>
        <w:t xml:space="preserve"> classification</w:t>
      </w:r>
      <w:r w:rsidR="00E1005E" w:rsidRPr="001533E3">
        <w:rPr>
          <w:rFonts w:eastAsia="Times New Roman" w:cs="Times New Roman"/>
          <w:szCs w:val="20"/>
        </w:rPr>
        <w:t xml:space="preserve"> tasks</w:t>
      </w:r>
      <w:r w:rsidR="004A3479" w:rsidRPr="001533E3">
        <w:rPr>
          <w:rFonts w:eastAsia="Times New Roman" w:cs="Times New Roman"/>
          <w:szCs w:val="20"/>
        </w:rPr>
        <w:t>, sp</w:t>
      </w:r>
      <w:r w:rsidR="00960406" w:rsidRPr="001533E3">
        <w:rPr>
          <w:rFonts w:eastAsia="Times New Roman" w:cs="Times New Roman"/>
          <w:szCs w:val="20"/>
        </w:rPr>
        <w:t>eech</w:t>
      </w:r>
      <w:r w:rsidR="004A3479" w:rsidRPr="001533E3">
        <w:rPr>
          <w:rFonts w:eastAsia="Times New Roman" w:cs="Times New Roman"/>
          <w:szCs w:val="20"/>
        </w:rPr>
        <w:t xml:space="preserve"> recognition </w:t>
      </w:r>
      <w:r w:rsidR="0028204F" w:rsidRPr="001533E3">
        <w:rPr>
          <w:rFonts w:eastAsia="Times New Roman" w:cs="Times New Roman"/>
          <w:szCs w:val="20"/>
        </w:rPr>
        <w:t xml:space="preserve">tasks </w:t>
      </w:r>
      <w:r w:rsidR="004A3479" w:rsidRPr="001533E3">
        <w:rPr>
          <w:rFonts w:eastAsia="Times New Roman" w:cs="Times New Roman"/>
          <w:szCs w:val="20"/>
        </w:rPr>
        <w:t xml:space="preserve">as well as many other </w:t>
      </w:r>
      <w:r w:rsidR="00F148FA" w:rsidRPr="001533E3">
        <w:rPr>
          <w:rFonts w:eastAsia="Times New Roman" w:cs="Times New Roman"/>
          <w:szCs w:val="20"/>
        </w:rPr>
        <w:t>modern-day</w:t>
      </w:r>
      <w:r w:rsidR="004A3479" w:rsidRPr="001533E3">
        <w:rPr>
          <w:rFonts w:eastAsia="Times New Roman" w:cs="Times New Roman"/>
          <w:szCs w:val="20"/>
        </w:rPr>
        <w:t xml:space="preserve"> </w:t>
      </w:r>
      <w:r w:rsidR="00960406" w:rsidRPr="001533E3">
        <w:rPr>
          <w:rFonts w:eastAsia="Times New Roman" w:cs="Times New Roman"/>
          <w:szCs w:val="20"/>
        </w:rPr>
        <w:t xml:space="preserve">technology </w:t>
      </w:r>
      <w:r w:rsidR="004A3479" w:rsidRPr="001533E3">
        <w:rPr>
          <w:rFonts w:eastAsia="Times New Roman" w:cs="Times New Roman"/>
          <w:szCs w:val="20"/>
        </w:rPr>
        <w:t>applications</w:t>
      </w:r>
      <w:r w:rsidR="00960406" w:rsidRPr="001533E3">
        <w:rPr>
          <w:rFonts w:eastAsia="Times New Roman" w:cs="Times New Roman"/>
          <w:szCs w:val="20"/>
        </w:rPr>
        <w:t xml:space="preserve"> </w:t>
      </w:r>
      <w:r w:rsidR="0028204F" w:rsidRPr="001533E3">
        <w:rPr>
          <w:rFonts w:eastAsia="Times New Roman" w:cs="Times New Roman"/>
          <w:szCs w:val="20"/>
        </w:rPr>
        <w:t>including</w:t>
      </w:r>
      <w:r w:rsidR="00960406" w:rsidRPr="001533E3">
        <w:rPr>
          <w:rFonts w:eastAsia="Times New Roman" w:cs="Times New Roman"/>
          <w:szCs w:val="20"/>
        </w:rPr>
        <w:t xml:space="preserve"> </w:t>
      </w:r>
      <w:r w:rsidR="00E1005E" w:rsidRPr="001533E3">
        <w:rPr>
          <w:rFonts w:eastAsia="Times New Roman" w:cs="Times New Roman"/>
          <w:szCs w:val="20"/>
        </w:rPr>
        <w:t>smart phones, self-driving cars</w:t>
      </w:r>
      <w:r w:rsidR="00F148FA" w:rsidRPr="001533E3">
        <w:rPr>
          <w:rFonts w:eastAsia="Times New Roman" w:cs="Times New Roman"/>
          <w:szCs w:val="20"/>
        </w:rPr>
        <w:t>, aerospace</w:t>
      </w:r>
      <w:r w:rsidR="00E1005E" w:rsidRPr="001533E3">
        <w:rPr>
          <w:rFonts w:eastAsia="Times New Roman" w:cs="Times New Roman"/>
          <w:szCs w:val="20"/>
        </w:rPr>
        <w:t xml:space="preserve"> etc.</w:t>
      </w:r>
      <w:r w:rsidR="00C16DC4" w:rsidRPr="001533E3">
        <w:rPr>
          <w:rFonts w:eastAsia="Times New Roman" w:cs="Times New Roman"/>
          <w:szCs w:val="20"/>
        </w:rPr>
        <w:t xml:space="preserve"> The CNN used in </w:t>
      </w:r>
      <w:r w:rsidR="00D2234E" w:rsidRPr="001533E3">
        <w:rPr>
          <w:rFonts w:eastAsia="Times New Roman" w:cs="Times New Roman"/>
          <w:szCs w:val="20"/>
        </w:rPr>
        <w:t>this work offers a very high accuracy for detecting a variety of pump failures modes</w:t>
      </w:r>
      <w:r w:rsidR="00AE245C" w:rsidRPr="001533E3">
        <w:rPr>
          <w:rFonts w:eastAsia="Times New Roman" w:cs="Times New Roman"/>
          <w:szCs w:val="20"/>
        </w:rPr>
        <w:t xml:space="preserve"> thereby</w:t>
      </w:r>
      <w:r w:rsidR="00B348E8">
        <w:rPr>
          <w:rFonts w:eastAsia="Times New Roman" w:cs="Times New Roman"/>
          <w:szCs w:val="20"/>
        </w:rPr>
        <w:t xml:space="preserve"> offering the potential to save costs, time and unnecessary workovers for </w:t>
      </w:r>
      <w:r w:rsidR="00AE245C" w:rsidRPr="001533E3">
        <w:rPr>
          <w:rFonts w:eastAsia="Times New Roman" w:cs="Times New Roman"/>
          <w:szCs w:val="20"/>
        </w:rPr>
        <w:t>the operator.</w:t>
      </w:r>
    </w:p>
    <w:bookmarkEnd w:id="6"/>
    <w:p w14:paraId="632FF994" w14:textId="77777777" w:rsidR="00367B42" w:rsidRDefault="00367B42" w:rsidP="00F77298">
      <w:pPr>
        <w:sectPr w:rsidR="00367B42" w:rsidSect="009069A1">
          <w:pgSz w:w="12240" w:h="15840"/>
          <w:pgMar w:top="1440" w:right="1440" w:bottom="1440" w:left="1440" w:header="720" w:footer="720" w:gutter="0"/>
          <w:pgNumType w:fmt="lowerRoman" w:start="4"/>
          <w:cols w:space="720"/>
          <w:docGrid w:linePitch="360"/>
        </w:sectPr>
      </w:pPr>
    </w:p>
    <w:p w14:paraId="08C7E7C5" w14:textId="77777777" w:rsidR="00135C3F" w:rsidRPr="00963CF3" w:rsidRDefault="0038281E" w:rsidP="0098170C">
      <w:pPr>
        <w:pStyle w:val="Heading1"/>
      </w:pPr>
      <w:bookmarkStart w:id="7" w:name="_Toc58667096"/>
      <w:r w:rsidRPr="00963CF3">
        <w:lastRenderedPageBreak/>
        <w:t>Chapter 1</w:t>
      </w:r>
      <w:r w:rsidR="00135C3F" w:rsidRPr="00963CF3">
        <w:t>: Introduction</w:t>
      </w:r>
      <w:bookmarkEnd w:id="7"/>
    </w:p>
    <w:p w14:paraId="16CFDFBE" w14:textId="5754E3C8" w:rsidR="0038281E" w:rsidRPr="00E072EB" w:rsidRDefault="0038281E" w:rsidP="00F77298">
      <w:pPr>
        <w:ind w:firstLine="288"/>
        <w:rPr>
          <w:rFonts w:eastAsia="Times New Roman" w:cs="Times New Roman"/>
          <w:szCs w:val="20"/>
        </w:rPr>
      </w:pPr>
      <w:r w:rsidRPr="00E072EB">
        <w:rPr>
          <w:rFonts w:eastAsia="Times New Roman" w:cs="Times New Roman"/>
          <w:szCs w:val="20"/>
        </w:rPr>
        <w:t xml:space="preserve">The cumulative US production per day from shale plays as of August 2020 </w:t>
      </w:r>
      <w:r w:rsidR="00572F30">
        <w:rPr>
          <w:rFonts w:eastAsia="Times New Roman" w:cs="Times New Roman"/>
          <w:szCs w:val="20"/>
        </w:rPr>
        <w:t>i</w:t>
      </w:r>
      <w:r w:rsidRPr="00E072EB">
        <w:rPr>
          <w:rFonts w:eastAsia="Times New Roman" w:cs="Times New Roman"/>
          <w:szCs w:val="20"/>
        </w:rPr>
        <w:t xml:space="preserve">s approximately 7 MMbbl of crude oil per day and 68 Bcf of gas per day (EIA 2020). The number of wells drilled and completed in the US since 2014 is over 100,000 </w:t>
      </w:r>
      <w:r w:rsidR="00572F30">
        <w:rPr>
          <w:rFonts w:eastAsia="Times New Roman" w:cs="Times New Roman"/>
          <w:szCs w:val="20"/>
        </w:rPr>
        <w:t xml:space="preserve">and </w:t>
      </w:r>
      <w:r w:rsidRPr="00E072EB">
        <w:rPr>
          <w:rFonts w:eastAsia="Times New Roman" w:cs="Times New Roman"/>
          <w:szCs w:val="20"/>
        </w:rPr>
        <w:t>continues to rise despite the recent downturn and a global health pandemic clouding the industry’s near future</w:t>
      </w:r>
      <w:r w:rsidR="001135D6">
        <w:rPr>
          <w:rFonts w:eastAsia="Times New Roman" w:cs="Times New Roman"/>
          <w:szCs w:val="20"/>
        </w:rPr>
        <w:t>, signifying the importance of unconventional shales in securing the nation’s energy supply.</w:t>
      </w:r>
    </w:p>
    <w:p w14:paraId="3FC729CE" w14:textId="0898B0FA" w:rsidR="0038281E" w:rsidRPr="00E072EB" w:rsidRDefault="001135D6" w:rsidP="00F77298">
      <w:pPr>
        <w:ind w:firstLine="288"/>
        <w:rPr>
          <w:rFonts w:eastAsia="Times New Roman" w:cs="Times New Roman"/>
          <w:szCs w:val="20"/>
        </w:rPr>
      </w:pPr>
      <w:r>
        <w:rPr>
          <w:rFonts w:eastAsia="Times New Roman" w:cs="Times New Roman"/>
          <w:szCs w:val="20"/>
        </w:rPr>
        <w:t>The</w:t>
      </w:r>
      <w:r w:rsidR="0038281E" w:rsidRPr="00E072EB">
        <w:rPr>
          <w:rFonts w:eastAsia="Times New Roman" w:cs="Times New Roman"/>
          <w:szCs w:val="20"/>
        </w:rPr>
        <w:t xml:space="preserve"> success </w:t>
      </w:r>
      <w:r>
        <w:rPr>
          <w:rFonts w:eastAsia="Times New Roman" w:cs="Times New Roman"/>
          <w:szCs w:val="20"/>
        </w:rPr>
        <w:t xml:space="preserve">of </w:t>
      </w:r>
      <w:r w:rsidR="0038281E" w:rsidRPr="00E072EB">
        <w:rPr>
          <w:rFonts w:eastAsia="Times New Roman" w:cs="Times New Roman"/>
          <w:szCs w:val="20"/>
        </w:rPr>
        <w:t xml:space="preserve">shale plays </w:t>
      </w:r>
      <w:r>
        <w:rPr>
          <w:rFonts w:eastAsia="Times New Roman" w:cs="Times New Roman"/>
          <w:szCs w:val="20"/>
        </w:rPr>
        <w:t xml:space="preserve">owes a lot to </w:t>
      </w:r>
      <w:r w:rsidR="0038281E" w:rsidRPr="00E072EB">
        <w:rPr>
          <w:rFonts w:eastAsia="Times New Roman" w:cs="Times New Roman"/>
          <w:szCs w:val="20"/>
        </w:rPr>
        <w:t>advancements in horizontal drilling and hydraulic fracturing. Shale</w:t>
      </w:r>
      <w:r>
        <w:rPr>
          <w:rFonts w:eastAsia="Times New Roman" w:cs="Times New Roman"/>
          <w:szCs w:val="20"/>
        </w:rPr>
        <w:t>s</w:t>
      </w:r>
      <w:r w:rsidR="0038281E" w:rsidRPr="00E072EB">
        <w:rPr>
          <w:rFonts w:eastAsia="Times New Roman" w:cs="Times New Roman"/>
          <w:szCs w:val="20"/>
        </w:rPr>
        <w:t xml:space="preserve"> are typically tight rock formations with very low permeability and porosity. In order to extract hydrocarbons from these formations, wells are first drilled vertically up to a certain depth and then deviated to drill a horizontal section which is then perforated in stages from the toe to the heel along the lateral length. </w:t>
      </w:r>
      <w:r>
        <w:rPr>
          <w:rFonts w:eastAsia="Times New Roman" w:cs="Times New Roman"/>
          <w:szCs w:val="20"/>
        </w:rPr>
        <w:t>F</w:t>
      </w:r>
      <w:r w:rsidR="0038281E" w:rsidRPr="00E072EB">
        <w:rPr>
          <w:rFonts w:eastAsia="Times New Roman" w:cs="Times New Roman"/>
          <w:szCs w:val="20"/>
        </w:rPr>
        <w:t>luid mixture</w:t>
      </w:r>
      <w:r>
        <w:rPr>
          <w:rFonts w:eastAsia="Times New Roman" w:cs="Times New Roman"/>
          <w:szCs w:val="20"/>
        </w:rPr>
        <w:t>s</w:t>
      </w:r>
      <w:r w:rsidR="0038281E" w:rsidRPr="00E072EB">
        <w:rPr>
          <w:rFonts w:eastAsia="Times New Roman" w:cs="Times New Roman"/>
          <w:szCs w:val="20"/>
        </w:rPr>
        <w:t xml:space="preserve"> mainly comprising of water, sand and chemical additives </w:t>
      </w:r>
      <w:r>
        <w:rPr>
          <w:rFonts w:eastAsia="Times New Roman" w:cs="Times New Roman"/>
          <w:szCs w:val="20"/>
        </w:rPr>
        <w:t>are</w:t>
      </w:r>
      <w:r w:rsidR="0038281E" w:rsidRPr="00E072EB">
        <w:rPr>
          <w:rFonts w:eastAsia="Times New Roman" w:cs="Times New Roman"/>
          <w:szCs w:val="20"/>
        </w:rPr>
        <w:t xml:space="preserve"> then pumped under high pressure to create additional fractures in the formation. The sand or the proppant keep the fractures open</w:t>
      </w:r>
      <w:r>
        <w:rPr>
          <w:rFonts w:eastAsia="Times New Roman" w:cs="Times New Roman"/>
          <w:szCs w:val="20"/>
        </w:rPr>
        <w:t>,</w:t>
      </w:r>
      <w:r w:rsidR="0038281E" w:rsidRPr="00E072EB">
        <w:rPr>
          <w:rFonts w:eastAsia="Times New Roman" w:cs="Times New Roman"/>
          <w:szCs w:val="20"/>
        </w:rPr>
        <w:t xml:space="preserve"> allowing oil and natural gas trapped inside the tight rocks to flow into wellbore.</w:t>
      </w:r>
    </w:p>
    <w:p w14:paraId="252504E0" w14:textId="01362737" w:rsidR="001135D6" w:rsidRDefault="0038281E" w:rsidP="00EE2526">
      <w:pPr>
        <w:pStyle w:val="Default"/>
        <w:spacing w:line="480" w:lineRule="auto"/>
        <w:ind w:firstLine="288"/>
        <w:jc w:val="both"/>
        <w:rPr>
          <w:rFonts w:eastAsia="Times New Roman"/>
          <w:color w:val="auto"/>
          <w:szCs w:val="20"/>
        </w:rPr>
      </w:pPr>
      <w:r w:rsidRPr="00E072EB">
        <w:rPr>
          <w:rFonts w:eastAsia="Times New Roman"/>
          <w:color w:val="auto"/>
          <w:szCs w:val="20"/>
        </w:rPr>
        <w:t>As oil and gas operators continue to exploit these hydrocarbon rich res</w:t>
      </w:r>
      <w:r w:rsidR="001135D6">
        <w:rPr>
          <w:rFonts w:eastAsia="Times New Roman"/>
          <w:color w:val="auto"/>
          <w:szCs w:val="20"/>
        </w:rPr>
        <w:t>ources</w:t>
      </w:r>
      <w:r w:rsidRPr="00E072EB">
        <w:rPr>
          <w:rFonts w:eastAsia="Times New Roman"/>
          <w:color w:val="auto"/>
          <w:szCs w:val="20"/>
        </w:rPr>
        <w:t xml:space="preserve"> through horizontal drilling and hydraulic fracturing, the density of the wells per acre also increases with time. The wells which are drilled, completed and put on production </w:t>
      </w:r>
      <w:r w:rsidR="001135D6">
        <w:rPr>
          <w:rFonts w:eastAsia="Times New Roman"/>
          <w:color w:val="auto"/>
          <w:szCs w:val="20"/>
        </w:rPr>
        <w:t xml:space="preserve">following lease </w:t>
      </w:r>
      <w:r w:rsidR="003E619C">
        <w:rPr>
          <w:rFonts w:eastAsia="Times New Roman"/>
          <w:color w:val="auto"/>
          <w:szCs w:val="20"/>
        </w:rPr>
        <w:t>acquisition</w:t>
      </w:r>
      <w:r w:rsidRPr="00E072EB">
        <w:rPr>
          <w:rFonts w:eastAsia="Times New Roman"/>
          <w:color w:val="auto"/>
          <w:szCs w:val="20"/>
        </w:rPr>
        <w:t xml:space="preserve"> are called the “Parent” wells. After a </w:t>
      </w:r>
      <w:r w:rsidR="001135D6">
        <w:rPr>
          <w:rFonts w:eastAsia="Times New Roman"/>
          <w:color w:val="auto"/>
          <w:szCs w:val="20"/>
        </w:rPr>
        <w:t xml:space="preserve">period of time, </w:t>
      </w:r>
      <w:r w:rsidRPr="00E072EB">
        <w:rPr>
          <w:rFonts w:eastAsia="Times New Roman"/>
          <w:color w:val="auto"/>
          <w:szCs w:val="20"/>
        </w:rPr>
        <w:t xml:space="preserve">the operator drills more wells in order to continue to legally hold the lease economically by production. These newer infill wells are called the “Child” wells. Of course, with time factored in, some </w:t>
      </w:r>
      <w:r w:rsidR="005B215E">
        <w:rPr>
          <w:rFonts w:eastAsia="Times New Roman"/>
          <w:color w:val="auto"/>
          <w:szCs w:val="20"/>
        </w:rPr>
        <w:t>C</w:t>
      </w:r>
      <w:r w:rsidRPr="00E072EB">
        <w:rPr>
          <w:rFonts w:eastAsia="Times New Roman"/>
          <w:color w:val="auto"/>
          <w:szCs w:val="20"/>
        </w:rPr>
        <w:t xml:space="preserve">hild wells can become Parent wells to other newer infill wells. </w:t>
      </w:r>
    </w:p>
    <w:p w14:paraId="2660CC06" w14:textId="1B449240" w:rsidR="00E02988" w:rsidRPr="00E072EB" w:rsidRDefault="0038281E" w:rsidP="00EE2526">
      <w:pPr>
        <w:pStyle w:val="Default"/>
        <w:spacing w:line="480" w:lineRule="auto"/>
        <w:ind w:firstLine="288"/>
        <w:jc w:val="both"/>
        <w:rPr>
          <w:rFonts w:eastAsia="Times New Roman"/>
          <w:color w:val="auto"/>
          <w:szCs w:val="20"/>
        </w:rPr>
      </w:pPr>
      <w:r w:rsidRPr="00CF74AD">
        <w:rPr>
          <w:color w:val="002060"/>
        </w:rPr>
        <w:t>Miller et al.</w:t>
      </w:r>
      <w:r w:rsidR="00FF1F3D">
        <w:rPr>
          <w:color w:val="002060"/>
        </w:rPr>
        <w:t xml:space="preserve"> </w:t>
      </w:r>
      <w:r w:rsidR="00F22B5B">
        <w:rPr>
          <w:color w:val="002060"/>
        </w:rPr>
        <w:t>(</w:t>
      </w:r>
      <w:r w:rsidRPr="00CF74AD">
        <w:rPr>
          <w:color w:val="002060"/>
        </w:rPr>
        <w:t>2016</w:t>
      </w:r>
      <w:r w:rsidR="00046346" w:rsidRPr="00E072EB">
        <w:rPr>
          <w:rFonts w:eastAsia="Times New Roman"/>
          <w:color w:val="auto"/>
          <w:szCs w:val="20"/>
        </w:rPr>
        <w:t>)</w:t>
      </w:r>
      <w:r w:rsidRPr="00E072EB">
        <w:rPr>
          <w:rFonts w:eastAsia="Times New Roman"/>
          <w:color w:val="auto"/>
          <w:szCs w:val="20"/>
        </w:rPr>
        <w:t xml:space="preserve"> and </w:t>
      </w:r>
      <w:r w:rsidRPr="00CF74AD">
        <w:rPr>
          <w:color w:val="002060"/>
        </w:rPr>
        <w:t>Xu et al</w:t>
      </w:r>
      <w:r w:rsidR="00F22B5B">
        <w:rPr>
          <w:color w:val="002060"/>
        </w:rPr>
        <w:t>.</w:t>
      </w:r>
      <w:r w:rsidRPr="00CF74AD">
        <w:rPr>
          <w:color w:val="002060"/>
        </w:rPr>
        <w:t xml:space="preserve"> </w:t>
      </w:r>
      <w:r w:rsidR="00F22B5B">
        <w:rPr>
          <w:color w:val="002060"/>
        </w:rPr>
        <w:t>(</w:t>
      </w:r>
      <w:r w:rsidRPr="00CF74AD">
        <w:rPr>
          <w:color w:val="002060"/>
        </w:rPr>
        <w:t>2019</w:t>
      </w:r>
      <w:r w:rsidR="00046346" w:rsidRPr="00E072EB">
        <w:rPr>
          <w:rFonts w:eastAsia="Times New Roman"/>
          <w:color w:val="auto"/>
          <w:szCs w:val="20"/>
        </w:rPr>
        <w:t>)</w:t>
      </w:r>
      <w:r w:rsidRPr="00E072EB">
        <w:rPr>
          <w:rFonts w:eastAsia="Times New Roman"/>
          <w:color w:val="auto"/>
          <w:szCs w:val="20"/>
        </w:rPr>
        <w:t xml:space="preserve"> compare the number of </w:t>
      </w:r>
      <w:r w:rsidR="00BB402A">
        <w:rPr>
          <w:rFonts w:eastAsia="Times New Roman"/>
          <w:color w:val="auto"/>
          <w:szCs w:val="20"/>
        </w:rPr>
        <w:t xml:space="preserve">parent and child </w:t>
      </w:r>
      <w:r w:rsidRPr="00E072EB">
        <w:rPr>
          <w:rFonts w:eastAsia="Times New Roman"/>
          <w:color w:val="auto"/>
          <w:szCs w:val="20"/>
        </w:rPr>
        <w:t xml:space="preserve">wells </w:t>
      </w:r>
      <w:r w:rsidR="00BB402A" w:rsidRPr="00E072EB">
        <w:rPr>
          <w:rFonts w:eastAsia="Times New Roman"/>
          <w:color w:val="auto"/>
          <w:szCs w:val="20"/>
        </w:rPr>
        <w:t xml:space="preserve">brought on production </w:t>
      </w:r>
      <w:r w:rsidR="00BB402A">
        <w:rPr>
          <w:rFonts w:eastAsia="Times New Roman"/>
          <w:color w:val="auto"/>
          <w:szCs w:val="20"/>
        </w:rPr>
        <w:t>between</w:t>
      </w:r>
      <w:r w:rsidR="00BB402A" w:rsidRPr="00E072EB">
        <w:rPr>
          <w:rFonts w:eastAsia="Times New Roman"/>
          <w:color w:val="auto"/>
          <w:szCs w:val="20"/>
        </w:rPr>
        <w:t xml:space="preserve"> years 2005 to 2018</w:t>
      </w:r>
      <w:r w:rsidR="00BB402A">
        <w:rPr>
          <w:rFonts w:eastAsia="Times New Roman"/>
          <w:color w:val="auto"/>
          <w:szCs w:val="20"/>
        </w:rPr>
        <w:t xml:space="preserve"> </w:t>
      </w:r>
      <w:r w:rsidRPr="00E072EB">
        <w:rPr>
          <w:rFonts w:eastAsia="Times New Roman"/>
          <w:color w:val="auto"/>
          <w:szCs w:val="20"/>
        </w:rPr>
        <w:t xml:space="preserve">for 5 </w:t>
      </w:r>
      <w:r w:rsidR="00BB402A">
        <w:rPr>
          <w:rFonts w:eastAsia="Times New Roman"/>
          <w:color w:val="auto"/>
          <w:szCs w:val="20"/>
        </w:rPr>
        <w:t xml:space="preserve">different </w:t>
      </w:r>
      <w:r w:rsidRPr="00E072EB">
        <w:rPr>
          <w:rFonts w:eastAsia="Times New Roman"/>
          <w:color w:val="auto"/>
          <w:szCs w:val="20"/>
        </w:rPr>
        <w:t>unconventional basins</w:t>
      </w:r>
      <w:r w:rsidR="00BB402A">
        <w:rPr>
          <w:rFonts w:eastAsia="Times New Roman"/>
          <w:color w:val="auto"/>
          <w:szCs w:val="20"/>
        </w:rPr>
        <w:t xml:space="preserve">. </w:t>
      </w:r>
      <w:r w:rsidRPr="00E072EB">
        <w:rPr>
          <w:rFonts w:eastAsia="Times New Roman"/>
          <w:color w:val="auto"/>
          <w:szCs w:val="20"/>
        </w:rPr>
        <w:t xml:space="preserve">The trends </w:t>
      </w:r>
      <w:r w:rsidRPr="00E072EB">
        <w:rPr>
          <w:rFonts w:eastAsia="Times New Roman"/>
          <w:color w:val="auto"/>
          <w:szCs w:val="20"/>
        </w:rPr>
        <w:lastRenderedPageBreak/>
        <w:t xml:space="preserve">observed </w:t>
      </w:r>
      <w:r w:rsidR="00C6209D" w:rsidRPr="00E072EB">
        <w:rPr>
          <w:rFonts w:eastAsia="Times New Roman"/>
          <w:color w:val="auto"/>
          <w:szCs w:val="20"/>
        </w:rPr>
        <w:t xml:space="preserve">in </w:t>
      </w:r>
      <w:r w:rsidR="00C6209D" w:rsidRPr="00A03A99">
        <w:rPr>
          <w:rFonts w:eastAsia="Times New Roman"/>
          <w:b/>
          <w:bCs/>
          <w:color w:val="auto"/>
          <w:szCs w:val="20"/>
        </w:rPr>
        <w:t>Fig</w:t>
      </w:r>
      <w:r w:rsidR="00500539" w:rsidRPr="00A03A99">
        <w:rPr>
          <w:rFonts w:eastAsia="Times New Roman"/>
          <w:b/>
          <w:bCs/>
          <w:color w:val="auto"/>
          <w:szCs w:val="20"/>
        </w:rPr>
        <w:t>.</w:t>
      </w:r>
      <w:r w:rsidR="00C6209D" w:rsidRPr="00A03A99">
        <w:rPr>
          <w:rFonts w:eastAsia="Times New Roman"/>
          <w:b/>
          <w:bCs/>
          <w:color w:val="auto"/>
          <w:szCs w:val="20"/>
        </w:rPr>
        <w:t xml:space="preserve"> 1</w:t>
      </w:r>
      <w:r w:rsidR="00190244">
        <w:rPr>
          <w:rFonts w:eastAsia="Times New Roman"/>
          <w:b/>
          <w:bCs/>
          <w:color w:val="auto"/>
          <w:szCs w:val="20"/>
        </w:rPr>
        <w:t>.1</w:t>
      </w:r>
      <w:r w:rsidR="00C6209D" w:rsidRPr="00E072EB">
        <w:rPr>
          <w:rFonts w:eastAsia="Times New Roman"/>
          <w:color w:val="auto"/>
          <w:szCs w:val="20"/>
        </w:rPr>
        <w:t xml:space="preserve"> </w:t>
      </w:r>
      <w:r w:rsidR="001135D6">
        <w:rPr>
          <w:rFonts w:eastAsia="Times New Roman"/>
          <w:color w:val="auto"/>
          <w:szCs w:val="20"/>
        </w:rPr>
        <w:t>obtained</w:t>
      </w:r>
      <w:r w:rsidR="001135D6" w:rsidRPr="00E072EB">
        <w:rPr>
          <w:rFonts w:eastAsia="Times New Roman"/>
          <w:color w:val="auto"/>
          <w:szCs w:val="20"/>
        </w:rPr>
        <w:t xml:space="preserve"> </w:t>
      </w:r>
      <w:r w:rsidRPr="00E072EB">
        <w:rPr>
          <w:rFonts w:eastAsia="Times New Roman"/>
          <w:color w:val="auto"/>
          <w:szCs w:val="20"/>
        </w:rPr>
        <w:t xml:space="preserve">from their analysis show a definite increase in the number of child wells with respect to the number of parent wells. </w:t>
      </w:r>
      <w:r w:rsidR="001135D6">
        <w:rPr>
          <w:rFonts w:eastAsia="Times New Roman"/>
          <w:color w:val="auto"/>
          <w:szCs w:val="20"/>
        </w:rPr>
        <w:t>A larger</w:t>
      </w:r>
      <w:r w:rsidRPr="00E072EB">
        <w:rPr>
          <w:rFonts w:eastAsia="Times New Roman"/>
          <w:color w:val="auto"/>
          <w:szCs w:val="20"/>
        </w:rPr>
        <w:t xml:space="preserve"> number of child wells </w:t>
      </w:r>
      <w:r w:rsidR="001135D6">
        <w:rPr>
          <w:rFonts w:eastAsia="Times New Roman"/>
          <w:color w:val="auto"/>
          <w:szCs w:val="20"/>
        </w:rPr>
        <w:t xml:space="preserve">compared to the </w:t>
      </w:r>
      <w:r w:rsidRPr="00E072EB">
        <w:rPr>
          <w:rFonts w:eastAsia="Times New Roman"/>
          <w:color w:val="auto"/>
          <w:szCs w:val="20"/>
        </w:rPr>
        <w:t xml:space="preserve">number of parent wells </w:t>
      </w:r>
      <w:r w:rsidR="001135D6">
        <w:rPr>
          <w:rFonts w:eastAsia="Times New Roman"/>
          <w:color w:val="auto"/>
          <w:szCs w:val="20"/>
        </w:rPr>
        <w:t xml:space="preserve">indicates decreasing well spacing with time. </w:t>
      </w:r>
      <w:r w:rsidR="00AE4023">
        <w:rPr>
          <w:rFonts w:eastAsia="Times New Roman"/>
          <w:color w:val="auto"/>
          <w:szCs w:val="20"/>
        </w:rPr>
        <w:t xml:space="preserve">Well spacing cannot decrease indefinitely. </w:t>
      </w:r>
      <w:r w:rsidR="001135D6">
        <w:rPr>
          <w:rFonts w:eastAsia="Times New Roman"/>
          <w:color w:val="auto"/>
          <w:szCs w:val="20"/>
        </w:rPr>
        <w:t>This leads to the question of optimal spacing for maximizing recovery</w:t>
      </w:r>
      <w:r w:rsidR="00AE4023">
        <w:rPr>
          <w:rFonts w:eastAsia="Times New Roman"/>
          <w:color w:val="auto"/>
          <w:szCs w:val="20"/>
        </w:rPr>
        <w:t xml:space="preserve"> and what are the optimal number of wells per section</w:t>
      </w:r>
      <w:r w:rsidR="008A5B30">
        <w:rPr>
          <w:rFonts w:eastAsia="Times New Roman"/>
          <w:color w:val="auto"/>
          <w:szCs w:val="20"/>
        </w:rPr>
        <w:t>.</w:t>
      </w:r>
    </w:p>
    <w:p w14:paraId="7DB0116F" w14:textId="27C7CAA8" w:rsidR="007353DF" w:rsidRDefault="007353DF" w:rsidP="00A5420B">
      <w:pPr>
        <w:pStyle w:val="para1"/>
        <w:spacing w:line="480" w:lineRule="auto"/>
      </w:pPr>
      <w:r>
        <w:t xml:space="preserve">The answer to the above question is certainly not easy. </w:t>
      </w:r>
      <w:r w:rsidR="00AE4023">
        <w:t xml:space="preserve">Closely spaced wells tend to recover more </w:t>
      </w:r>
      <w:r>
        <w:t>hydrocarbons</w:t>
      </w:r>
      <w:r w:rsidR="00AE4023">
        <w:t xml:space="preserve"> but suffer from well interference at some point in the future. </w:t>
      </w:r>
      <w:r>
        <w:t xml:space="preserve">If the well spacing is too large, </w:t>
      </w:r>
      <w:r w:rsidR="00AE4023">
        <w:t xml:space="preserve">operators end up with stranded resources that will require additional infill wells at some point in the future. </w:t>
      </w:r>
      <w:r>
        <w:t xml:space="preserve">Therefore, if the goal is to maximize the oil recovery, then it is imperative that we find the optimal well spacing. </w:t>
      </w:r>
    </w:p>
    <w:p w14:paraId="62E45C96" w14:textId="77777777" w:rsidR="00190244" w:rsidRDefault="00E02988" w:rsidP="00190244">
      <w:pPr>
        <w:pStyle w:val="Default"/>
        <w:keepNext/>
        <w:spacing w:line="480" w:lineRule="auto"/>
        <w:jc w:val="center"/>
      </w:pPr>
      <w:r>
        <w:rPr>
          <w:noProof/>
        </w:rPr>
        <w:drawing>
          <wp:inline distT="0" distB="0" distL="0" distR="0" wp14:anchorId="3EA44D30" wp14:editId="0C046C29">
            <wp:extent cx="4318000" cy="2102718"/>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18334" cy="2102881"/>
                    </a:xfrm>
                    <a:prstGeom prst="rect">
                      <a:avLst/>
                    </a:prstGeom>
                  </pic:spPr>
                </pic:pic>
              </a:graphicData>
            </a:graphic>
          </wp:inline>
        </w:drawing>
      </w:r>
    </w:p>
    <w:p w14:paraId="39F12582" w14:textId="5551A26D" w:rsidR="00190244" w:rsidRDefault="00190244" w:rsidP="00190244">
      <w:pPr>
        <w:pStyle w:val="Default"/>
        <w:spacing w:line="480" w:lineRule="auto"/>
        <w:jc w:val="center"/>
        <w:rPr>
          <w:rFonts w:ascii="Arial" w:eastAsia="Times New Roman" w:hAnsi="Arial"/>
          <w:b/>
          <w:color w:val="auto"/>
          <w:sz w:val="16"/>
          <w:szCs w:val="20"/>
        </w:rPr>
      </w:pPr>
      <w:bookmarkStart w:id="8" w:name="_Toc58667125"/>
      <w:r w:rsidRPr="00190244">
        <w:rPr>
          <w:rFonts w:ascii="Arial" w:eastAsia="Times New Roman" w:hAnsi="Arial"/>
          <w:b/>
          <w:color w:val="auto"/>
          <w:sz w:val="16"/>
          <w:szCs w:val="20"/>
        </w:rPr>
        <w:t xml:space="preserve">Fig. 1. </w:t>
      </w:r>
      <w:r w:rsidRPr="00190244">
        <w:rPr>
          <w:rFonts w:ascii="Arial" w:eastAsia="Times New Roman" w:hAnsi="Arial"/>
          <w:b/>
          <w:color w:val="auto"/>
          <w:sz w:val="16"/>
          <w:szCs w:val="20"/>
        </w:rPr>
        <w:fldChar w:fldCharType="begin"/>
      </w:r>
      <w:r w:rsidRPr="00190244">
        <w:rPr>
          <w:rFonts w:ascii="Arial" w:eastAsia="Times New Roman" w:hAnsi="Arial"/>
          <w:b/>
          <w:color w:val="auto"/>
          <w:sz w:val="16"/>
          <w:szCs w:val="20"/>
        </w:rPr>
        <w:instrText xml:space="preserve"> SEQ Fig._1. \* ARABIC </w:instrText>
      </w:r>
      <w:r w:rsidRPr="00190244">
        <w:rPr>
          <w:rFonts w:ascii="Arial" w:eastAsia="Times New Roman" w:hAnsi="Arial"/>
          <w:b/>
          <w:color w:val="auto"/>
          <w:sz w:val="16"/>
          <w:szCs w:val="20"/>
        </w:rPr>
        <w:fldChar w:fldCharType="separate"/>
      </w:r>
      <w:r w:rsidR="00D006A5">
        <w:rPr>
          <w:rFonts w:ascii="Arial" w:eastAsia="Times New Roman" w:hAnsi="Arial"/>
          <w:b/>
          <w:noProof/>
          <w:color w:val="auto"/>
          <w:sz w:val="16"/>
          <w:szCs w:val="20"/>
        </w:rPr>
        <w:t>1</w:t>
      </w:r>
      <w:r w:rsidRPr="00190244">
        <w:rPr>
          <w:rFonts w:ascii="Arial" w:eastAsia="Times New Roman" w:hAnsi="Arial"/>
          <w:b/>
          <w:color w:val="auto"/>
          <w:sz w:val="16"/>
          <w:szCs w:val="20"/>
        </w:rPr>
        <w:fldChar w:fldCharType="end"/>
      </w:r>
      <w:r w:rsidR="00E53FB3">
        <w:rPr>
          <w:rFonts w:ascii="Arial" w:eastAsia="Times New Roman" w:hAnsi="Arial"/>
          <w:b/>
          <w:color w:val="auto"/>
          <w:sz w:val="16"/>
          <w:szCs w:val="20"/>
        </w:rPr>
        <w:t>—</w:t>
      </w:r>
      <w:r w:rsidRPr="00AB2407">
        <w:rPr>
          <w:rFonts w:ascii="Arial" w:eastAsia="Times New Roman" w:hAnsi="Arial"/>
          <w:b/>
          <w:color w:val="auto"/>
          <w:sz w:val="16"/>
          <w:szCs w:val="20"/>
        </w:rPr>
        <w:t>Percentage of child and parent wells between years 2011 and 2018</w:t>
      </w:r>
      <w:r>
        <w:rPr>
          <w:rFonts w:ascii="Arial" w:eastAsia="Times New Roman" w:hAnsi="Arial"/>
          <w:b/>
          <w:color w:val="auto"/>
          <w:sz w:val="16"/>
          <w:szCs w:val="20"/>
        </w:rPr>
        <w:t xml:space="preserve"> </w:t>
      </w:r>
      <w:r w:rsidR="00372E4B" w:rsidRPr="00E33EC5">
        <w:rPr>
          <w:rFonts w:ascii="Arial" w:eastAsia="Times New Roman" w:hAnsi="Arial"/>
          <w:b/>
          <w:color w:val="auto"/>
          <w:sz w:val="16"/>
          <w:szCs w:val="20"/>
        </w:rPr>
        <w:t>(Xu et al. 201</w:t>
      </w:r>
      <w:r w:rsidR="00E33EC5">
        <w:rPr>
          <w:rFonts w:ascii="Arial" w:eastAsia="Times New Roman" w:hAnsi="Arial"/>
          <w:b/>
          <w:color w:val="auto"/>
          <w:sz w:val="16"/>
          <w:szCs w:val="20"/>
        </w:rPr>
        <w:t>9</w:t>
      </w:r>
      <w:r w:rsidR="00372E4B" w:rsidRPr="00E33EC5">
        <w:rPr>
          <w:rFonts w:ascii="Arial" w:eastAsia="Times New Roman" w:hAnsi="Arial"/>
          <w:b/>
          <w:color w:val="auto"/>
          <w:sz w:val="16"/>
          <w:szCs w:val="20"/>
        </w:rPr>
        <w:t>)</w:t>
      </w:r>
      <w:r w:rsidR="00372E4B">
        <w:rPr>
          <w:rFonts w:ascii="Arial" w:eastAsia="Times New Roman" w:hAnsi="Arial"/>
          <w:b/>
          <w:color w:val="auto"/>
          <w:sz w:val="16"/>
          <w:szCs w:val="20"/>
        </w:rPr>
        <w:t>.</w:t>
      </w:r>
      <w:bookmarkEnd w:id="8"/>
    </w:p>
    <w:p w14:paraId="6035A001" w14:textId="1AA35B55" w:rsidR="0038281E" w:rsidRDefault="0038281E" w:rsidP="00A5420B">
      <w:pPr>
        <w:pStyle w:val="para1"/>
        <w:spacing w:line="480" w:lineRule="auto"/>
      </w:pPr>
      <w:r>
        <w:t xml:space="preserve">There are multiple ways </w:t>
      </w:r>
      <w:r w:rsidR="00AE4023">
        <w:t>to determine</w:t>
      </w:r>
      <w:r>
        <w:t xml:space="preserve"> optimal well spacing. </w:t>
      </w:r>
      <w:r w:rsidR="00AE4023">
        <w:t>Studies</w:t>
      </w:r>
      <w:r>
        <w:t xml:space="preserve"> which consider well spacing optimization can largely be </w:t>
      </w:r>
      <w:r w:rsidR="00AE4023">
        <w:t xml:space="preserve">classified </w:t>
      </w:r>
      <w:r>
        <w:t xml:space="preserve">into two groups. The first group is the physics-driven approach. This approach is the </w:t>
      </w:r>
      <w:r w:rsidR="00AE4023">
        <w:t xml:space="preserve">classical approach combining </w:t>
      </w:r>
      <w:r>
        <w:t xml:space="preserve">fracture modeling integrated with dynamic reservoir simulation modeling. The second group is the data-driven approach. This approach has </w:t>
      </w:r>
      <w:r w:rsidR="00AE4023">
        <w:t>seen more applications</w:t>
      </w:r>
      <w:r>
        <w:t xml:space="preserve"> in recent times as operators </w:t>
      </w:r>
      <w:r w:rsidR="00AE4023">
        <w:t>hope to leverage the information content of the data they have acquired.</w:t>
      </w:r>
      <w:r w:rsidR="002B36B2">
        <w:t xml:space="preserve"> </w:t>
      </w:r>
      <w:r>
        <w:t xml:space="preserve">Powerful machine learning and artificial intelligence </w:t>
      </w:r>
      <w:r>
        <w:lastRenderedPageBreak/>
        <w:t xml:space="preserve">algorithms have now become a part of this data-driven approach. In the next few paragraphs, </w:t>
      </w:r>
      <w:r w:rsidR="00E26143">
        <w:t xml:space="preserve">I provide </w:t>
      </w:r>
      <w:r>
        <w:t>a comprehensive literature review on well-to-well spacing considerations using both approaches as mentioned above.</w:t>
      </w:r>
    </w:p>
    <w:p w14:paraId="62524B29" w14:textId="2FCA2B67" w:rsidR="0038281E" w:rsidRDefault="0038281E" w:rsidP="00F77298">
      <w:pPr>
        <w:pStyle w:val="para1"/>
        <w:spacing w:line="480" w:lineRule="auto"/>
      </w:pPr>
      <w:r>
        <w:t>Well spacing considerations are closely tied to well-to-well in</w:t>
      </w:r>
      <w:r w:rsidR="00762203">
        <w:t>ter</w:t>
      </w:r>
      <w:r>
        <w:t>ference</w:t>
      </w:r>
      <w:r w:rsidR="00762203">
        <w:t>. Closely space</w:t>
      </w:r>
      <w:r w:rsidR="009636DE">
        <w:t>d</w:t>
      </w:r>
      <w:r w:rsidR="00762203">
        <w:t xml:space="preserve"> wells suffer </w:t>
      </w:r>
      <w:r>
        <w:t xml:space="preserve">increased pressure and production interference. </w:t>
      </w:r>
      <w:r w:rsidRPr="00270813">
        <w:rPr>
          <w:rFonts w:eastAsiaTheme="minorHAnsi"/>
          <w:color w:val="002060"/>
          <w:szCs w:val="24"/>
        </w:rPr>
        <w:t>Ajani and Kelkar</w:t>
      </w:r>
      <w:r w:rsidR="00DA2902" w:rsidRPr="00270813">
        <w:rPr>
          <w:rFonts w:eastAsiaTheme="minorHAnsi"/>
          <w:color w:val="002060"/>
          <w:szCs w:val="24"/>
        </w:rPr>
        <w:t xml:space="preserve"> </w:t>
      </w:r>
      <w:r w:rsidR="008F37AC">
        <w:rPr>
          <w:rFonts w:eastAsiaTheme="minorHAnsi"/>
          <w:color w:val="002060"/>
          <w:szCs w:val="24"/>
        </w:rPr>
        <w:t>(</w:t>
      </w:r>
      <w:r w:rsidRPr="00270813">
        <w:rPr>
          <w:rFonts w:eastAsiaTheme="minorHAnsi"/>
          <w:color w:val="002060"/>
          <w:szCs w:val="24"/>
        </w:rPr>
        <w:t>2012</w:t>
      </w:r>
      <w:r w:rsidR="00DA2902">
        <w:t>)</w:t>
      </w:r>
      <w:r w:rsidR="00762203">
        <w:t xml:space="preserve"> were among the first to assess production interference in shale wells</w:t>
      </w:r>
      <w:r w:rsidR="00DA2902">
        <w:t>.</w:t>
      </w:r>
      <w:r>
        <w:t xml:space="preserve"> They use a data-driven approach to analyze fracture and initial 60-day </w:t>
      </w:r>
      <w:r w:rsidR="0029753C">
        <w:t xml:space="preserve">production </w:t>
      </w:r>
      <w:r>
        <w:t>normalized to lateral length for gas wells in the Woodford shale play. They quantify the production interference seen in the parent wells as newer child wells are put on production. If there is any change in the production trend</w:t>
      </w:r>
      <w:r w:rsidR="0029753C">
        <w:t>s</w:t>
      </w:r>
      <w:r>
        <w:t xml:space="preserve"> for the parent well as a result of addition of new child wells within </w:t>
      </w:r>
      <w:r w:rsidR="0029753C">
        <w:t>a certain distance from the parent</w:t>
      </w:r>
      <w:r>
        <w:t>, then that is considered as interference impact. This is done through manual inspection of production data change</w:t>
      </w:r>
      <w:r w:rsidR="0029753C">
        <w:t>s</w:t>
      </w:r>
      <w:r>
        <w:t xml:space="preserve"> </w:t>
      </w:r>
      <w:r w:rsidR="0029753C">
        <w:t>for</w:t>
      </w:r>
      <w:r>
        <w:t xml:space="preserve"> the parent well </w:t>
      </w:r>
      <w:r w:rsidR="0029753C">
        <w:t>when the</w:t>
      </w:r>
      <w:r>
        <w:t xml:space="preserve"> child well</w:t>
      </w:r>
      <w:r w:rsidR="0029753C">
        <w:t xml:space="preserve"> is brought on production</w:t>
      </w:r>
      <w:r>
        <w:t>. In general, they observe that child wells closer to the parent well ha</w:t>
      </w:r>
      <w:r w:rsidR="0029753C">
        <w:t>ve</w:t>
      </w:r>
      <w:r>
        <w:t xml:space="preserve"> a </w:t>
      </w:r>
      <w:r w:rsidR="0029753C">
        <w:t xml:space="preserve">significant </w:t>
      </w:r>
      <w:r>
        <w:t xml:space="preserve">negative impact on parent well </w:t>
      </w:r>
      <w:r w:rsidR="0029753C">
        <w:t xml:space="preserve">performance compared to wells placed </w:t>
      </w:r>
      <w:r>
        <w:t>farther away</w:t>
      </w:r>
      <w:r w:rsidR="0029753C">
        <w:t xml:space="preserve">. </w:t>
      </w:r>
      <w:r>
        <w:t xml:space="preserve">The negative impact was also seen </w:t>
      </w:r>
      <w:r w:rsidR="0029753C">
        <w:t xml:space="preserve">to be </w:t>
      </w:r>
      <w:r>
        <w:t>proportional to the age of the parent well</w:t>
      </w:r>
      <w:r w:rsidR="008B754E">
        <w:t xml:space="preserve"> because of higher levels of depletion</w:t>
      </w:r>
      <w:r>
        <w:t xml:space="preserve">. Since there may be multiple impacts </w:t>
      </w:r>
      <w:r w:rsidR="007516EA">
        <w:t>on parent</w:t>
      </w:r>
      <w:r>
        <w:t xml:space="preserve"> well</w:t>
      </w:r>
      <w:r w:rsidR="008B754E">
        <w:t>s</w:t>
      </w:r>
      <w:r>
        <w:t xml:space="preserve"> as more child wells come online</w:t>
      </w:r>
      <w:r w:rsidR="008B754E">
        <w:t>,</w:t>
      </w:r>
      <w:r>
        <w:t xml:space="preserve"> the quantification of optimal spacing becomes very difficult using this manual inspection method.</w:t>
      </w:r>
    </w:p>
    <w:p w14:paraId="10894C3E" w14:textId="23D87A65" w:rsidR="00D42DAB" w:rsidRDefault="0038281E" w:rsidP="00F77298">
      <w:pPr>
        <w:pStyle w:val="para1"/>
        <w:spacing w:line="480" w:lineRule="auto"/>
      </w:pPr>
      <w:r>
        <w:t xml:space="preserve">Well interference and frac-hits are both technically different phenomena </w:t>
      </w:r>
      <w:r w:rsidR="008B754E">
        <w:t>but are used interchangeably for shale wells</w:t>
      </w:r>
      <w:r>
        <w:t xml:space="preserve">. Well interference is seen when there is an overlap between the </w:t>
      </w:r>
      <w:r w:rsidR="009E476E">
        <w:t xml:space="preserve">drainage volume </w:t>
      </w:r>
      <w:r>
        <w:t>of the wells</w:t>
      </w:r>
      <w:r w:rsidR="0056577C">
        <w:t xml:space="preserve"> through the matrix</w:t>
      </w:r>
      <w:r>
        <w:t xml:space="preserve"> but there is no overlap between the fracture networks of the wells. The term frac-hit or fracture driven interaction (FDI) is a parent-child intra well communication when the child well is hydraulically fractured in the vicinity of a pre-existing parent well. Frac-hits usually occur when there is an intersection between the fracture-networks of </w:t>
      </w:r>
      <w:r>
        <w:lastRenderedPageBreak/>
        <w:t xml:space="preserve">the parent-child wells which is sometimes aided through pre-existing natural fracture systems between the wells </w:t>
      </w:r>
      <w:r w:rsidR="00B4139A">
        <w:t>(</w:t>
      </w:r>
      <w:r w:rsidRPr="00270813">
        <w:rPr>
          <w:rFonts w:eastAsiaTheme="minorHAnsi"/>
          <w:color w:val="002060"/>
          <w:szCs w:val="24"/>
        </w:rPr>
        <w:t>Daneshy and</w:t>
      </w:r>
      <w:r>
        <w:t xml:space="preserve"> </w:t>
      </w:r>
      <w:r w:rsidR="00957F6B" w:rsidRPr="00270813">
        <w:rPr>
          <w:rFonts w:eastAsiaTheme="minorHAnsi"/>
          <w:color w:val="002060"/>
          <w:szCs w:val="24"/>
        </w:rPr>
        <w:t>King</w:t>
      </w:r>
      <w:r w:rsidR="00B4139A">
        <w:rPr>
          <w:rFonts w:eastAsiaTheme="minorHAnsi"/>
          <w:color w:val="002060"/>
          <w:szCs w:val="24"/>
        </w:rPr>
        <w:t xml:space="preserve"> </w:t>
      </w:r>
      <w:r w:rsidR="007516EA" w:rsidRPr="00270813">
        <w:rPr>
          <w:rFonts w:eastAsiaTheme="minorHAnsi"/>
          <w:color w:val="002060"/>
          <w:szCs w:val="24"/>
        </w:rPr>
        <w:t>2019</w:t>
      </w:r>
      <w:r w:rsidR="007516EA">
        <w:rPr>
          <w:rFonts w:eastAsiaTheme="minorHAnsi"/>
          <w:color w:val="002060"/>
          <w:szCs w:val="24"/>
        </w:rPr>
        <w:t>;</w:t>
      </w:r>
      <w:r w:rsidRPr="00270813">
        <w:rPr>
          <w:rFonts w:eastAsiaTheme="minorHAnsi"/>
          <w:color w:val="002060"/>
          <w:szCs w:val="24"/>
        </w:rPr>
        <w:t xml:space="preserve"> Yu et al.</w:t>
      </w:r>
      <w:r w:rsidR="00B4139A">
        <w:rPr>
          <w:rFonts w:eastAsiaTheme="minorHAnsi"/>
          <w:color w:val="002060"/>
          <w:szCs w:val="24"/>
        </w:rPr>
        <w:t xml:space="preserve"> </w:t>
      </w:r>
      <w:r w:rsidRPr="00270813">
        <w:rPr>
          <w:rFonts w:eastAsiaTheme="minorHAnsi"/>
          <w:color w:val="002060"/>
          <w:szCs w:val="24"/>
        </w:rPr>
        <w:t>2017</w:t>
      </w:r>
      <w:r>
        <w:t xml:space="preserve">). Sometimes even if the new child well is placed at more than 3000 ft apart from the parent, there may be production interference. In this case, the parent-child wells are primarily connected through the pre-existing natural fractures or faults and not the hydraulic generated fractures </w:t>
      </w:r>
      <w:r w:rsidR="00380310">
        <w:t>(</w:t>
      </w:r>
      <w:r w:rsidRPr="00270813">
        <w:rPr>
          <w:rFonts w:eastAsiaTheme="minorHAnsi"/>
          <w:color w:val="002060"/>
          <w:szCs w:val="24"/>
        </w:rPr>
        <w:t>Yaich et al. 2014</w:t>
      </w:r>
      <w:r w:rsidR="00380310">
        <w:rPr>
          <w:rFonts w:eastAsiaTheme="minorHAnsi"/>
          <w:color w:val="002060"/>
          <w:szCs w:val="24"/>
        </w:rPr>
        <w:t>)</w:t>
      </w:r>
      <w:r>
        <w:t>.</w:t>
      </w:r>
      <w:r w:rsidR="00C4126B">
        <w:t xml:space="preserve"> </w:t>
      </w:r>
    </w:p>
    <w:p w14:paraId="5CED7D33" w14:textId="67593574" w:rsidR="00525EFB" w:rsidRDefault="002C23FB" w:rsidP="00F77298">
      <w:pPr>
        <w:pStyle w:val="para1"/>
        <w:spacing w:line="480" w:lineRule="auto"/>
      </w:pPr>
      <w:r>
        <w:t xml:space="preserve">The </w:t>
      </w:r>
      <w:r w:rsidR="00D42DAB">
        <w:t>above-mentioned</w:t>
      </w:r>
      <w:r>
        <w:t xml:space="preserve"> forms of inter-well communication </w:t>
      </w:r>
      <w:r w:rsidR="00D42DAB">
        <w:t>through hydraulic fractures, matrix and natural fractures system</w:t>
      </w:r>
      <w:r w:rsidR="00943454">
        <w:t xml:space="preserve">s in </w:t>
      </w:r>
      <w:r w:rsidR="002506AD">
        <w:t xml:space="preserve">unconventional shales </w:t>
      </w:r>
      <w:r w:rsidR="00D27E62">
        <w:t>are</w:t>
      </w:r>
      <w:r w:rsidR="00B426F8">
        <w:t xml:space="preserve"> shown through a </w:t>
      </w:r>
      <w:r w:rsidR="00D42DAB">
        <w:t xml:space="preserve">simple </w:t>
      </w:r>
      <w:r w:rsidR="00B426F8">
        <w:t xml:space="preserve">cartoon in </w:t>
      </w:r>
      <w:r w:rsidR="007516EA">
        <w:t xml:space="preserve">     </w:t>
      </w:r>
      <w:r w:rsidR="00B426F8" w:rsidRPr="00A03A99">
        <w:rPr>
          <w:b/>
          <w:bCs/>
        </w:rPr>
        <w:t>Fig.</w:t>
      </w:r>
      <w:r w:rsidR="007516EA">
        <w:rPr>
          <w:b/>
          <w:bCs/>
        </w:rPr>
        <w:t xml:space="preserve"> 1.2 </w:t>
      </w:r>
      <w:r w:rsidR="00B13440" w:rsidRPr="00905EA4">
        <w:rPr>
          <w:rFonts w:eastAsiaTheme="minorHAnsi"/>
          <w:color w:val="002060"/>
          <w:szCs w:val="24"/>
        </w:rPr>
        <w:t>(</w:t>
      </w:r>
      <w:r w:rsidR="00B13440" w:rsidRPr="00270813">
        <w:rPr>
          <w:rFonts w:eastAsiaTheme="minorHAnsi"/>
          <w:color w:val="002060"/>
          <w:szCs w:val="24"/>
        </w:rPr>
        <w:t>Gupta et al. 2020</w:t>
      </w:r>
      <w:r w:rsidR="00B13440">
        <w:t>)</w:t>
      </w:r>
      <w:r w:rsidR="0068265E">
        <w:t>.</w:t>
      </w:r>
      <w:r w:rsidR="00746FAC">
        <w:t xml:space="preserve"> It is important to note that </w:t>
      </w:r>
      <w:r w:rsidR="00D67ADF">
        <w:t>there</w:t>
      </w:r>
      <w:r w:rsidR="00F31826">
        <w:t xml:space="preserve"> </w:t>
      </w:r>
      <w:r w:rsidR="00D67ADF">
        <w:t>could</w:t>
      </w:r>
      <w:r w:rsidR="00F31826">
        <w:t xml:space="preserve"> be combination</w:t>
      </w:r>
      <w:r w:rsidR="00D67ADF">
        <w:t>s</w:t>
      </w:r>
      <w:r w:rsidR="00F31826">
        <w:t xml:space="preserve"> of </w:t>
      </w:r>
      <w:r w:rsidR="006E3026">
        <w:t xml:space="preserve">two or </w:t>
      </w:r>
      <w:r w:rsidR="00FF624D">
        <w:t xml:space="preserve">all </w:t>
      </w:r>
      <w:r w:rsidR="006E3026">
        <w:t xml:space="preserve">three forms of inter-well </w:t>
      </w:r>
      <w:r w:rsidR="004A4FEC">
        <w:t>communication</w:t>
      </w:r>
      <w:r w:rsidR="00FF624D">
        <w:t xml:space="preserve"> occurring at the same time.</w:t>
      </w:r>
      <w:r w:rsidR="0038281E">
        <w:t xml:space="preserve"> </w:t>
      </w:r>
      <w:r w:rsidR="0038281E" w:rsidRPr="00270813">
        <w:rPr>
          <w:rFonts w:eastAsiaTheme="minorHAnsi"/>
          <w:color w:val="002060"/>
          <w:szCs w:val="24"/>
        </w:rPr>
        <w:t xml:space="preserve">Gupta et al. </w:t>
      </w:r>
      <w:r w:rsidR="0084297A">
        <w:rPr>
          <w:rFonts w:eastAsiaTheme="minorHAnsi"/>
          <w:color w:val="002060"/>
          <w:szCs w:val="24"/>
        </w:rPr>
        <w:t>(</w:t>
      </w:r>
      <w:r w:rsidR="0038281E" w:rsidRPr="00270813">
        <w:rPr>
          <w:rFonts w:eastAsiaTheme="minorHAnsi"/>
          <w:color w:val="002060"/>
          <w:szCs w:val="24"/>
        </w:rPr>
        <w:t>2020</w:t>
      </w:r>
      <w:r w:rsidR="00957F6B">
        <w:t>)</w:t>
      </w:r>
      <w:r w:rsidR="0038281E">
        <w:t xml:space="preserve"> provide a detailed literature review of factors controlling frac-hits in unconventional shale plays. They divide these factors into controllable and uncontrollable factors from an operator’s perspective. Uncontrollable factors are related to geological features, in situ stress environment, petrophysical and geomechanical properties. Controllable factors include choice of well placement or well spacing, selection of completion design parameters and control over the well depletion. </w:t>
      </w:r>
    </w:p>
    <w:p w14:paraId="59987944" w14:textId="77777777" w:rsidR="00582211" w:rsidRDefault="00F71FD6" w:rsidP="00582211">
      <w:pPr>
        <w:pStyle w:val="para1"/>
        <w:keepNext/>
        <w:spacing w:line="480" w:lineRule="auto"/>
      </w:pPr>
      <w:r>
        <w:rPr>
          <w:noProof/>
        </w:rPr>
        <w:drawing>
          <wp:inline distT="0" distB="0" distL="0" distR="0" wp14:anchorId="5C56460A" wp14:editId="15777DA2">
            <wp:extent cx="5943600" cy="18980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898015"/>
                    </a:xfrm>
                    <a:prstGeom prst="rect">
                      <a:avLst/>
                    </a:prstGeom>
                  </pic:spPr>
                </pic:pic>
              </a:graphicData>
            </a:graphic>
          </wp:inline>
        </w:drawing>
      </w:r>
    </w:p>
    <w:p w14:paraId="7CEDC33E" w14:textId="474CCBAE" w:rsidR="00BD0A31" w:rsidRDefault="00582211" w:rsidP="007516EA">
      <w:pPr>
        <w:pStyle w:val="Default"/>
        <w:spacing w:line="480" w:lineRule="auto"/>
        <w:jc w:val="center"/>
      </w:pPr>
      <w:bookmarkStart w:id="9" w:name="_Toc58667126"/>
      <w:r w:rsidRPr="00582211">
        <w:rPr>
          <w:rFonts w:ascii="Arial" w:eastAsia="Times New Roman" w:hAnsi="Arial"/>
          <w:b/>
          <w:color w:val="auto"/>
          <w:sz w:val="16"/>
          <w:szCs w:val="20"/>
        </w:rPr>
        <w:t xml:space="preserve">Fig. 1. </w:t>
      </w:r>
      <w:r w:rsidRPr="00582211">
        <w:rPr>
          <w:rFonts w:ascii="Arial" w:eastAsia="Times New Roman" w:hAnsi="Arial"/>
          <w:b/>
          <w:color w:val="auto"/>
          <w:sz w:val="16"/>
          <w:szCs w:val="20"/>
        </w:rPr>
        <w:fldChar w:fldCharType="begin"/>
      </w:r>
      <w:r w:rsidRPr="00582211">
        <w:rPr>
          <w:rFonts w:ascii="Arial" w:eastAsia="Times New Roman" w:hAnsi="Arial"/>
          <w:b/>
          <w:color w:val="auto"/>
          <w:sz w:val="16"/>
          <w:szCs w:val="20"/>
        </w:rPr>
        <w:instrText xml:space="preserve"> SEQ Fig._1. \* ARABIC </w:instrText>
      </w:r>
      <w:r w:rsidRPr="00582211">
        <w:rPr>
          <w:rFonts w:ascii="Arial" w:eastAsia="Times New Roman" w:hAnsi="Arial"/>
          <w:b/>
          <w:color w:val="auto"/>
          <w:sz w:val="16"/>
          <w:szCs w:val="20"/>
        </w:rPr>
        <w:fldChar w:fldCharType="separate"/>
      </w:r>
      <w:r w:rsidR="00D006A5">
        <w:rPr>
          <w:rFonts w:ascii="Arial" w:eastAsia="Times New Roman" w:hAnsi="Arial"/>
          <w:b/>
          <w:noProof/>
          <w:color w:val="auto"/>
          <w:sz w:val="16"/>
          <w:szCs w:val="20"/>
        </w:rPr>
        <w:t>2</w:t>
      </w:r>
      <w:r w:rsidRPr="00582211">
        <w:rPr>
          <w:rFonts w:ascii="Arial" w:eastAsia="Times New Roman" w:hAnsi="Arial"/>
          <w:b/>
          <w:color w:val="auto"/>
          <w:sz w:val="16"/>
          <w:szCs w:val="20"/>
        </w:rPr>
        <w:fldChar w:fldCharType="end"/>
      </w:r>
      <w:r w:rsidR="00E53FB3">
        <w:rPr>
          <w:rFonts w:ascii="Arial" w:eastAsia="Times New Roman" w:hAnsi="Arial"/>
          <w:b/>
          <w:color w:val="auto"/>
          <w:sz w:val="16"/>
          <w:szCs w:val="20"/>
        </w:rPr>
        <w:t>—</w:t>
      </w:r>
      <w:r>
        <w:rPr>
          <w:rFonts w:ascii="Arial" w:eastAsia="Times New Roman" w:hAnsi="Arial"/>
          <w:b/>
          <w:color w:val="auto"/>
          <w:sz w:val="16"/>
          <w:szCs w:val="20"/>
        </w:rPr>
        <w:t xml:space="preserve">(a) Inter-well communication in shales through hydraulic fracture network (b) Inter-well communication in shales through the matrix with no connected hydraulic fractures (c) Inter-well communication between parent and child wells through a natural fracture system </w:t>
      </w:r>
      <w:r w:rsidRPr="009A3B09">
        <w:rPr>
          <w:rFonts w:ascii="Arial" w:eastAsia="Times New Roman" w:hAnsi="Arial"/>
          <w:b/>
          <w:color w:val="auto"/>
          <w:sz w:val="16"/>
          <w:szCs w:val="20"/>
        </w:rPr>
        <w:t>(Gupta et al. 2020)</w:t>
      </w:r>
      <w:r w:rsidR="00296B05">
        <w:rPr>
          <w:rFonts w:ascii="Arial" w:eastAsia="Times New Roman" w:hAnsi="Arial"/>
          <w:b/>
          <w:color w:val="auto"/>
          <w:sz w:val="16"/>
          <w:szCs w:val="20"/>
        </w:rPr>
        <w:t>.</w:t>
      </w:r>
      <w:bookmarkEnd w:id="9"/>
    </w:p>
    <w:p w14:paraId="731E5A2F" w14:textId="77777777" w:rsidR="00B629FF" w:rsidRDefault="00B629FF" w:rsidP="00A04E7B">
      <w:pPr>
        <w:pStyle w:val="Default"/>
        <w:spacing w:line="480" w:lineRule="auto"/>
        <w:jc w:val="both"/>
      </w:pPr>
    </w:p>
    <w:p w14:paraId="37E72411" w14:textId="74F8AEE5" w:rsidR="007F0A07" w:rsidRDefault="00767801" w:rsidP="00F77298">
      <w:pPr>
        <w:pStyle w:val="para1"/>
        <w:spacing w:line="480" w:lineRule="auto"/>
      </w:pPr>
      <w:r>
        <w:rPr>
          <w:rFonts w:eastAsiaTheme="minorHAnsi"/>
          <w:color w:val="002060"/>
          <w:szCs w:val="24"/>
        </w:rPr>
        <w:lastRenderedPageBreak/>
        <w:t xml:space="preserve">In </w:t>
      </w:r>
      <w:r w:rsidRPr="008E7736">
        <w:t>another study,</w:t>
      </w:r>
      <w:r>
        <w:rPr>
          <w:rFonts w:eastAsiaTheme="minorHAnsi"/>
          <w:color w:val="002060"/>
          <w:szCs w:val="24"/>
        </w:rPr>
        <w:t xml:space="preserve"> </w:t>
      </w:r>
      <w:r w:rsidR="0038281E" w:rsidRPr="00270813">
        <w:rPr>
          <w:rFonts w:eastAsiaTheme="minorHAnsi"/>
          <w:color w:val="002060"/>
          <w:szCs w:val="24"/>
        </w:rPr>
        <w:t xml:space="preserve">Esquivel and Blasingame </w:t>
      </w:r>
      <w:r w:rsidR="00957F6B">
        <w:rPr>
          <w:rFonts w:eastAsiaTheme="minorHAnsi"/>
          <w:color w:val="002060"/>
          <w:szCs w:val="24"/>
        </w:rPr>
        <w:t>(</w:t>
      </w:r>
      <w:r w:rsidR="0038281E" w:rsidRPr="00270813">
        <w:rPr>
          <w:rFonts w:eastAsiaTheme="minorHAnsi"/>
          <w:color w:val="002060"/>
          <w:szCs w:val="24"/>
        </w:rPr>
        <w:t>2017</w:t>
      </w:r>
      <w:r w:rsidR="00957F6B">
        <w:rPr>
          <w:rFonts w:eastAsiaTheme="minorHAnsi"/>
          <w:color w:val="002060"/>
          <w:szCs w:val="24"/>
        </w:rPr>
        <w:t>)</w:t>
      </w:r>
      <w:r w:rsidR="0038281E" w:rsidRPr="00B63A66">
        <w:t xml:space="preserve"> study frac-hit events in the Haynesville shale. </w:t>
      </w:r>
      <w:r>
        <w:t>They report that</w:t>
      </w:r>
      <w:r w:rsidR="00294092">
        <w:t xml:space="preserve"> </w:t>
      </w:r>
      <w:r w:rsidR="0038281E" w:rsidRPr="00B63A66">
        <w:t>parent well depletion create</w:t>
      </w:r>
      <w:r>
        <w:t>s</w:t>
      </w:r>
      <w:r w:rsidR="0038281E" w:rsidRPr="00B63A66">
        <w:t xml:space="preserve"> pressure sink</w:t>
      </w:r>
      <w:r w:rsidR="0038281E">
        <w:t>s or pressure depleted zones</w:t>
      </w:r>
      <w:r>
        <w:t xml:space="preserve"> that are </w:t>
      </w:r>
      <w:r w:rsidR="0038281E" w:rsidRPr="00B63A66">
        <w:t xml:space="preserve">identified as a cause as well as a necessary condition for a frac-hit to occur. </w:t>
      </w:r>
      <w:r w:rsidR="001D60FD">
        <w:t xml:space="preserve">Typically, during the </w:t>
      </w:r>
      <w:r w:rsidR="00F82D09">
        <w:t>hydraulic fractu</w:t>
      </w:r>
      <w:r w:rsidR="00EC0DAE">
        <w:t>re treatment</w:t>
      </w:r>
      <w:r w:rsidR="00F82D09">
        <w:t xml:space="preserve"> of the </w:t>
      </w:r>
      <w:r w:rsidR="001D60FD">
        <w:t>child well</w:t>
      </w:r>
      <w:r w:rsidR="00F82D09">
        <w:t>, the parent well is shut down.</w:t>
      </w:r>
      <w:r w:rsidR="001D60FD">
        <w:t xml:space="preserve"> </w:t>
      </w:r>
      <w:r w:rsidR="0038281E" w:rsidRPr="00B63A66">
        <w:t xml:space="preserve">The </w:t>
      </w:r>
      <w:r w:rsidR="004503D3">
        <w:t xml:space="preserve">authors </w:t>
      </w:r>
      <w:r w:rsidR="002D2476">
        <w:t>show t</w:t>
      </w:r>
      <w:r w:rsidR="00795D18">
        <w:t>hat the</w:t>
      </w:r>
      <w:r w:rsidR="002D2476">
        <w:t xml:space="preserve"> </w:t>
      </w:r>
      <w:r w:rsidR="004E751A">
        <w:t xml:space="preserve">after the </w:t>
      </w:r>
      <w:r w:rsidR="002D2476">
        <w:t xml:space="preserve">parent well </w:t>
      </w:r>
      <w:r w:rsidR="0038281E" w:rsidRPr="00B63A66">
        <w:t>shut</w:t>
      </w:r>
      <w:r w:rsidR="002D2476">
        <w:t xml:space="preserve"> </w:t>
      </w:r>
      <w:r w:rsidR="0038281E" w:rsidRPr="00B63A66">
        <w:t xml:space="preserve">down </w:t>
      </w:r>
      <w:r w:rsidR="004E751A">
        <w:t xml:space="preserve">period, child to parent well </w:t>
      </w:r>
      <w:r w:rsidR="0038281E" w:rsidRPr="00B63A66">
        <w:t xml:space="preserve">frac-hits </w:t>
      </w:r>
      <w:r w:rsidR="004E751A">
        <w:t xml:space="preserve">are </w:t>
      </w:r>
      <w:r w:rsidR="0038281E" w:rsidRPr="00B63A66">
        <w:t>correlated with the inter-well spacing, in-situ principal stress re-orientations and completion design size (proppant per foot, frac fluid per foot).</w:t>
      </w:r>
      <w:r w:rsidR="0038281E">
        <w:t xml:space="preserve"> </w:t>
      </w:r>
      <w:r w:rsidR="00E56397" w:rsidRPr="009E44CD">
        <w:rPr>
          <w:b/>
          <w:bCs/>
        </w:rPr>
        <w:t xml:space="preserve">Fig. </w:t>
      </w:r>
      <w:r w:rsidR="00DF4483">
        <w:rPr>
          <w:b/>
          <w:bCs/>
        </w:rPr>
        <w:t>1.3</w:t>
      </w:r>
      <w:r w:rsidR="009E44CD">
        <w:t xml:space="preserve"> </w:t>
      </w:r>
      <w:r w:rsidR="00E56397">
        <w:t>illustrates a case of a frac-hit between a parent well and child well</w:t>
      </w:r>
      <w:r w:rsidR="00155C8A">
        <w:t xml:space="preserve"> in Haynesville shale. In this case, the parent well</w:t>
      </w:r>
      <w:r w:rsidR="00FC611C">
        <w:t xml:space="preserve"> </w:t>
      </w:r>
      <w:r w:rsidR="00155C8A">
        <w:t xml:space="preserve">production </w:t>
      </w:r>
      <w:r w:rsidR="00FC611C">
        <w:t>is boosted</w:t>
      </w:r>
      <w:r w:rsidR="00155C8A">
        <w:t xml:space="preserve"> after the child well is completed</w:t>
      </w:r>
      <w:r w:rsidR="009E44CD">
        <w:t>.</w:t>
      </w:r>
    </w:p>
    <w:p w14:paraId="02DA23A2" w14:textId="77777777" w:rsidR="007516EA" w:rsidRDefault="007F0A07" w:rsidP="007516EA">
      <w:pPr>
        <w:pStyle w:val="para1"/>
        <w:keepNext/>
        <w:spacing w:line="480" w:lineRule="auto"/>
      </w:pPr>
      <w:r>
        <w:rPr>
          <w:noProof/>
        </w:rPr>
        <w:drawing>
          <wp:inline distT="0" distB="0" distL="0" distR="0" wp14:anchorId="58CF7A4F" wp14:editId="280AF54C">
            <wp:extent cx="5943600" cy="36652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665220"/>
                    </a:xfrm>
                    <a:prstGeom prst="rect">
                      <a:avLst/>
                    </a:prstGeom>
                  </pic:spPr>
                </pic:pic>
              </a:graphicData>
            </a:graphic>
          </wp:inline>
        </w:drawing>
      </w:r>
    </w:p>
    <w:p w14:paraId="3F02DB08" w14:textId="565A4267" w:rsidR="007516EA" w:rsidRPr="009A3B09" w:rsidRDefault="007516EA" w:rsidP="007516EA">
      <w:pPr>
        <w:pStyle w:val="para1"/>
        <w:spacing w:line="480" w:lineRule="auto"/>
        <w:ind w:firstLine="0"/>
        <w:jc w:val="center"/>
        <w:rPr>
          <w:rFonts w:ascii="Arial" w:hAnsi="Arial"/>
          <w:b/>
          <w:sz w:val="16"/>
        </w:rPr>
      </w:pPr>
      <w:bookmarkStart w:id="10" w:name="_Toc58667127"/>
      <w:r w:rsidRPr="007516EA">
        <w:rPr>
          <w:rFonts w:ascii="Arial" w:hAnsi="Arial"/>
          <w:b/>
          <w:sz w:val="16"/>
        </w:rPr>
        <w:t xml:space="preserve">Fig. 1. </w:t>
      </w:r>
      <w:r w:rsidRPr="007516EA">
        <w:rPr>
          <w:rFonts w:ascii="Arial" w:hAnsi="Arial"/>
          <w:b/>
          <w:sz w:val="16"/>
        </w:rPr>
        <w:fldChar w:fldCharType="begin"/>
      </w:r>
      <w:r w:rsidRPr="007516EA">
        <w:rPr>
          <w:rFonts w:ascii="Arial" w:hAnsi="Arial"/>
          <w:b/>
          <w:sz w:val="16"/>
        </w:rPr>
        <w:instrText xml:space="preserve"> SEQ Fig._1. \* ARABIC </w:instrText>
      </w:r>
      <w:r w:rsidRPr="007516EA">
        <w:rPr>
          <w:rFonts w:ascii="Arial" w:hAnsi="Arial"/>
          <w:b/>
          <w:sz w:val="16"/>
        </w:rPr>
        <w:fldChar w:fldCharType="separate"/>
      </w:r>
      <w:r w:rsidR="00D006A5">
        <w:rPr>
          <w:rFonts w:ascii="Arial" w:hAnsi="Arial"/>
          <w:b/>
          <w:noProof/>
          <w:sz w:val="16"/>
        </w:rPr>
        <w:t>3</w:t>
      </w:r>
      <w:r w:rsidRPr="007516EA">
        <w:rPr>
          <w:rFonts w:ascii="Arial" w:hAnsi="Arial"/>
          <w:b/>
          <w:sz w:val="16"/>
        </w:rPr>
        <w:fldChar w:fldCharType="end"/>
      </w:r>
      <w:r w:rsidR="00E53FB3">
        <w:rPr>
          <w:rFonts w:ascii="Arial" w:hAnsi="Arial"/>
          <w:b/>
          <w:sz w:val="16"/>
        </w:rPr>
        <w:t>—</w:t>
      </w:r>
      <w:r>
        <w:rPr>
          <w:rFonts w:ascii="Arial" w:hAnsi="Arial"/>
          <w:b/>
          <w:sz w:val="16"/>
        </w:rPr>
        <w:t xml:space="preserve">Example showing the effect of a positive frac-hit (dotted black line) in Haynesville Shale. The parent well gets an uplift in its gas production rate (shown in red) after the child well gets completed in late 2014 </w:t>
      </w:r>
      <w:r w:rsidRPr="009A3B09">
        <w:rPr>
          <w:rFonts w:ascii="Arial" w:hAnsi="Arial"/>
          <w:b/>
          <w:sz w:val="16"/>
        </w:rPr>
        <w:t>(Esquivel and Blasingame 2017).</w:t>
      </w:r>
      <w:bookmarkEnd w:id="10"/>
    </w:p>
    <w:p w14:paraId="652EE65F" w14:textId="4BCEE05C" w:rsidR="0038281E" w:rsidRDefault="00FC611C" w:rsidP="00F77298">
      <w:pPr>
        <w:pStyle w:val="para1"/>
        <w:spacing w:line="480" w:lineRule="auto"/>
      </w:pPr>
      <w:r w:rsidRPr="00905EA4">
        <w:t xml:space="preserve">There have been other approaches to diagnose frac-hits. </w:t>
      </w:r>
      <w:r w:rsidR="0038281E" w:rsidRPr="009328B6">
        <w:rPr>
          <w:rFonts w:eastAsiaTheme="minorHAnsi"/>
          <w:color w:val="002060"/>
          <w:szCs w:val="24"/>
        </w:rPr>
        <w:t xml:space="preserve">Sani </w:t>
      </w:r>
      <w:r w:rsidR="0038281E" w:rsidRPr="00905EA4">
        <w:t>et</w:t>
      </w:r>
      <w:r w:rsidR="0038281E" w:rsidRPr="00270813">
        <w:rPr>
          <w:rFonts w:eastAsiaTheme="minorHAnsi"/>
          <w:color w:val="002060"/>
          <w:szCs w:val="24"/>
        </w:rPr>
        <w:t xml:space="preserve"> al. </w:t>
      </w:r>
      <w:r w:rsidR="00957F6B">
        <w:rPr>
          <w:rFonts w:eastAsiaTheme="minorHAnsi"/>
          <w:color w:val="002060"/>
          <w:szCs w:val="24"/>
        </w:rPr>
        <w:t>(</w:t>
      </w:r>
      <w:r w:rsidR="0038281E" w:rsidRPr="00270813">
        <w:rPr>
          <w:rFonts w:eastAsiaTheme="minorHAnsi"/>
          <w:color w:val="002060"/>
          <w:szCs w:val="24"/>
        </w:rPr>
        <w:t>2015</w:t>
      </w:r>
      <w:r w:rsidR="00957F6B">
        <w:rPr>
          <w:rFonts w:eastAsiaTheme="minorHAnsi"/>
          <w:color w:val="002060"/>
          <w:szCs w:val="24"/>
        </w:rPr>
        <w:t>)</w:t>
      </w:r>
      <w:r w:rsidR="0038281E">
        <w:t xml:space="preserve"> and </w:t>
      </w:r>
      <w:r w:rsidR="0038281E" w:rsidRPr="00270813">
        <w:rPr>
          <w:rFonts w:eastAsiaTheme="minorHAnsi"/>
          <w:color w:val="002060"/>
          <w:szCs w:val="24"/>
        </w:rPr>
        <w:t xml:space="preserve">Schertz et al. </w:t>
      </w:r>
      <w:r w:rsidR="0004696C">
        <w:rPr>
          <w:rFonts w:eastAsiaTheme="minorHAnsi"/>
          <w:color w:val="002060"/>
          <w:szCs w:val="24"/>
        </w:rPr>
        <w:t>(</w:t>
      </w:r>
      <w:r w:rsidR="0038281E" w:rsidRPr="00270813">
        <w:rPr>
          <w:rFonts w:eastAsiaTheme="minorHAnsi"/>
          <w:color w:val="002060"/>
          <w:szCs w:val="24"/>
        </w:rPr>
        <w:t>2019</w:t>
      </w:r>
      <w:r w:rsidR="00363AD3">
        <w:t>)</w:t>
      </w:r>
      <w:r w:rsidR="0038281E">
        <w:t xml:space="preserve"> </w:t>
      </w:r>
      <w:r w:rsidR="00767801">
        <w:t>interpret</w:t>
      </w:r>
      <w:r w:rsidR="0038281E">
        <w:t xml:space="preserve"> chemical tracer</w:t>
      </w:r>
      <w:r w:rsidR="00767801">
        <w:t xml:space="preserve"> data</w:t>
      </w:r>
      <w:r w:rsidR="0038281E">
        <w:t xml:space="preserve"> to diagnose fracture propagation and analyze frac-hits in two </w:t>
      </w:r>
      <w:r w:rsidR="0038281E">
        <w:lastRenderedPageBreak/>
        <w:t xml:space="preserve">different unconventional shale plays. </w:t>
      </w:r>
      <w:r w:rsidR="0038281E" w:rsidRPr="00270813">
        <w:rPr>
          <w:rFonts w:eastAsiaTheme="minorHAnsi"/>
          <w:color w:val="002060"/>
          <w:szCs w:val="24"/>
        </w:rPr>
        <w:t>Schertz et</w:t>
      </w:r>
      <w:r w:rsidR="0038281E">
        <w:t xml:space="preserve"> </w:t>
      </w:r>
      <w:r w:rsidR="0038281E" w:rsidRPr="00270813">
        <w:rPr>
          <w:rFonts w:eastAsiaTheme="minorHAnsi"/>
          <w:color w:val="002060"/>
          <w:szCs w:val="24"/>
        </w:rPr>
        <w:t xml:space="preserve">al. </w:t>
      </w:r>
      <w:r w:rsidR="0004696C">
        <w:rPr>
          <w:rFonts w:eastAsiaTheme="minorHAnsi"/>
          <w:color w:val="002060"/>
          <w:szCs w:val="24"/>
        </w:rPr>
        <w:t>(</w:t>
      </w:r>
      <w:r w:rsidR="0038281E" w:rsidRPr="00270813">
        <w:rPr>
          <w:rFonts w:eastAsiaTheme="minorHAnsi"/>
          <w:color w:val="002060"/>
          <w:szCs w:val="24"/>
        </w:rPr>
        <w:t>2019</w:t>
      </w:r>
      <w:r w:rsidR="00363AD3">
        <w:t xml:space="preserve">) </w:t>
      </w:r>
      <w:r>
        <w:t xml:space="preserve">report that </w:t>
      </w:r>
      <w:r w:rsidR="0038281E">
        <w:t xml:space="preserve">depletion plays an important role in fracture driven interactions between the parent and child wells. </w:t>
      </w:r>
      <w:r>
        <w:t>Delays in bringing</w:t>
      </w:r>
      <w:r w:rsidR="00DE45C6">
        <w:t xml:space="preserve"> </w:t>
      </w:r>
      <w:r w:rsidR="0038281E">
        <w:t xml:space="preserve">child wells on production </w:t>
      </w:r>
      <w:r>
        <w:t xml:space="preserve">are reported to </w:t>
      </w:r>
      <w:r w:rsidR="0038281E">
        <w:t xml:space="preserve">increase the chances of fracture communication between the wells. </w:t>
      </w:r>
      <w:r>
        <w:t xml:space="preserve">This can potentially lead to </w:t>
      </w:r>
      <w:r w:rsidR="0038281E">
        <w:t xml:space="preserve">asymmetric fracture growth from the child well towards the parent well. </w:t>
      </w:r>
      <w:r w:rsidR="0038281E" w:rsidRPr="00390F22">
        <w:t>The</w:t>
      </w:r>
      <w:r w:rsidR="0038281E">
        <w:t xml:space="preserve"> above</w:t>
      </w:r>
      <w:r w:rsidR="0038281E" w:rsidRPr="00390F22">
        <w:t xml:space="preserve"> observations are corroborated by </w:t>
      </w:r>
      <w:r w:rsidR="0038281E" w:rsidRPr="00270813">
        <w:rPr>
          <w:rFonts w:eastAsiaTheme="minorHAnsi"/>
          <w:color w:val="002060"/>
          <w:szCs w:val="24"/>
        </w:rPr>
        <w:t xml:space="preserve">Xu et al. </w:t>
      </w:r>
      <w:r w:rsidR="0004696C">
        <w:rPr>
          <w:rFonts w:eastAsiaTheme="minorHAnsi"/>
          <w:color w:val="002060"/>
          <w:szCs w:val="24"/>
        </w:rPr>
        <w:t>(</w:t>
      </w:r>
      <w:r w:rsidR="0038281E" w:rsidRPr="00270813">
        <w:rPr>
          <w:rFonts w:eastAsiaTheme="minorHAnsi"/>
          <w:color w:val="002060"/>
          <w:szCs w:val="24"/>
        </w:rPr>
        <w:t>201</w:t>
      </w:r>
      <w:r w:rsidR="004D5A97">
        <w:rPr>
          <w:rFonts w:eastAsiaTheme="minorHAnsi"/>
          <w:color w:val="002060"/>
          <w:szCs w:val="24"/>
        </w:rPr>
        <w:t>9</w:t>
      </w:r>
      <w:r w:rsidR="00363AD3">
        <w:t>)</w:t>
      </w:r>
      <w:r w:rsidR="0038281E" w:rsidRPr="00390F22">
        <w:t xml:space="preserve"> who show that the child well placed nearest to a parent well underperform</w:t>
      </w:r>
      <w:r w:rsidR="0038281E">
        <w:t>s</w:t>
      </w:r>
      <w:r w:rsidR="0038281E" w:rsidRPr="00390F22">
        <w:t xml:space="preserve">. The production performance of the </w:t>
      </w:r>
      <w:r>
        <w:t>remaining</w:t>
      </w:r>
      <w:r w:rsidR="0038281E" w:rsidRPr="00390F22">
        <w:t xml:space="preserve"> child wells positioned farther away from the parent</w:t>
      </w:r>
      <w:r>
        <w:t xml:space="preserve"> </w:t>
      </w:r>
      <w:r w:rsidR="0038281E" w:rsidRPr="00390F22">
        <w:t xml:space="preserve">is </w:t>
      </w:r>
      <w:r>
        <w:t xml:space="preserve">seen to be less compromised. They also report that the time period between start of production for the parent and the child well is critical and longer intervals worsens child well performance. </w:t>
      </w:r>
      <w:r w:rsidR="0038281E" w:rsidRPr="006869CC">
        <w:t xml:space="preserve"> This again is due to the asymmetric fracture growth from the child well towards the parent wells into its depleted drainage area. </w:t>
      </w:r>
      <w:r w:rsidR="0038281E" w:rsidRPr="00270813">
        <w:rPr>
          <w:rFonts w:eastAsiaTheme="minorHAnsi"/>
          <w:color w:val="002060"/>
          <w:szCs w:val="24"/>
        </w:rPr>
        <w:t xml:space="preserve">Kumar et al. </w:t>
      </w:r>
      <w:r w:rsidR="0004696C">
        <w:rPr>
          <w:rFonts w:eastAsiaTheme="minorHAnsi"/>
          <w:color w:val="002060"/>
          <w:szCs w:val="24"/>
        </w:rPr>
        <w:t>(</w:t>
      </w:r>
      <w:r w:rsidR="0038281E" w:rsidRPr="00270813">
        <w:rPr>
          <w:rFonts w:eastAsiaTheme="minorHAnsi"/>
          <w:color w:val="002060"/>
          <w:szCs w:val="24"/>
        </w:rPr>
        <w:t>2020</w:t>
      </w:r>
      <w:r w:rsidR="0004696C">
        <w:rPr>
          <w:rFonts w:eastAsiaTheme="minorHAnsi"/>
          <w:color w:val="002060"/>
          <w:szCs w:val="24"/>
        </w:rPr>
        <w:t>)</w:t>
      </w:r>
      <w:r w:rsidR="0038281E" w:rsidRPr="006869CC">
        <w:t xml:space="preserve"> </w:t>
      </w:r>
      <w:r w:rsidR="0038281E">
        <w:t>report</w:t>
      </w:r>
      <w:r w:rsidR="0038281E" w:rsidRPr="006869CC">
        <w:t xml:space="preserve"> similar </w:t>
      </w:r>
      <w:r w:rsidR="0038281E">
        <w:t>observations</w:t>
      </w:r>
      <w:r w:rsidR="0038281E" w:rsidRPr="006869CC">
        <w:t xml:space="preserve"> in their fractu</w:t>
      </w:r>
      <w:r w:rsidR="0038281E">
        <w:t xml:space="preserve">re </w:t>
      </w:r>
      <w:r w:rsidR="0038281E" w:rsidRPr="006869CC">
        <w:t xml:space="preserve">and geomechanics simulation study stating that the child well fracture asymmetry </w:t>
      </w:r>
      <w:r w:rsidR="0038281E">
        <w:t>is directly proportional to r</w:t>
      </w:r>
      <w:r w:rsidR="0038281E" w:rsidRPr="006869CC">
        <w:t>eservoir diffusivity</w:t>
      </w:r>
      <w:r w:rsidR="0038281E">
        <w:t xml:space="preserve">. </w:t>
      </w:r>
    </w:p>
    <w:p w14:paraId="25F27591" w14:textId="25A7D962" w:rsidR="0038281E" w:rsidRDefault="0038281E" w:rsidP="00F77298">
      <w:pPr>
        <w:pStyle w:val="para1"/>
        <w:spacing w:line="480" w:lineRule="auto"/>
      </w:pPr>
      <w:r w:rsidRPr="00270813">
        <w:rPr>
          <w:rFonts w:eastAsiaTheme="minorHAnsi"/>
          <w:color w:val="002060"/>
          <w:szCs w:val="24"/>
        </w:rPr>
        <w:t xml:space="preserve">Portis et al. </w:t>
      </w:r>
      <w:r w:rsidR="0004696C">
        <w:rPr>
          <w:rFonts w:eastAsiaTheme="minorHAnsi"/>
          <w:color w:val="002060"/>
          <w:szCs w:val="24"/>
        </w:rPr>
        <w:t>(</w:t>
      </w:r>
      <w:r w:rsidRPr="00270813">
        <w:rPr>
          <w:rFonts w:eastAsiaTheme="minorHAnsi"/>
          <w:color w:val="002060"/>
          <w:szCs w:val="24"/>
        </w:rPr>
        <w:t>2013</w:t>
      </w:r>
      <w:r w:rsidR="0004696C">
        <w:rPr>
          <w:rFonts w:eastAsiaTheme="minorHAnsi"/>
          <w:color w:val="002060"/>
          <w:szCs w:val="24"/>
        </w:rPr>
        <w:t>)</w:t>
      </w:r>
      <w:r>
        <w:t xml:space="preserve"> provide a case study </w:t>
      </w:r>
      <w:r w:rsidR="00AD2B79">
        <w:t>from</w:t>
      </w:r>
      <w:r>
        <w:t xml:space="preserve"> the Eagle Ford where they test well spacing strateg</w:t>
      </w:r>
      <w:r w:rsidR="00FC611C">
        <w:t>ies</w:t>
      </w:r>
      <w:r>
        <w:t xml:space="preserve"> using chemical and radioactive tracers along with pressure interference tests for 3 single pad child wells spaced  500 ft from each other</w:t>
      </w:r>
      <w:r w:rsidR="00FC611C">
        <w:t xml:space="preserve"> with a </w:t>
      </w:r>
      <w:r>
        <w:t xml:space="preserve">parent well </w:t>
      </w:r>
      <w:r w:rsidR="00FC611C">
        <w:t>located 150</w:t>
      </w:r>
      <w:r>
        <w:t xml:space="preserve">0 ft away from </w:t>
      </w:r>
      <w:r w:rsidR="00FC611C">
        <w:t xml:space="preserve">the nearest </w:t>
      </w:r>
      <w:r>
        <w:t xml:space="preserve">child well. They </w:t>
      </w:r>
      <w:r w:rsidR="00FC611C">
        <w:t xml:space="preserve">report </w:t>
      </w:r>
      <w:r>
        <w:t>that field tests coupled with seismic and well log data can provide a better understanding of complex fracture geometry and pressure communication between the wells. Use of chemical tracers and pressure monitoring throughout the field development cycle give an idea about the fracture conductivity, pressure communication and mobility of fluids transported across large distances through the reservoir. All this information along with production responses aid in reaching the optimal well spacing</w:t>
      </w:r>
      <w:r w:rsidR="00A31D02">
        <w:rPr>
          <w:rFonts w:eastAsiaTheme="minorHAnsi"/>
          <w:color w:val="002060"/>
          <w:szCs w:val="24"/>
        </w:rPr>
        <w:t>.</w:t>
      </w:r>
    </w:p>
    <w:p w14:paraId="631A21EA" w14:textId="23B6EAC5" w:rsidR="00A8349D" w:rsidRDefault="0038281E" w:rsidP="00F77298">
      <w:pPr>
        <w:pStyle w:val="para1"/>
        <w:spacing w:line="480" w:lineRule="auto"/>
      </w:pPr>
      <w:r w:rsidRPr="00270813">
        <w:rPr>
          <w:rFonts w:eastAsiaTheme="minorHAnsi"/>
          <w:color w:val="002060"/>
          <w:szCs w:val="24"/>
        </w:rPr>
        <w:t xml:space="preserve">Kurtoglu </w:t>
      </w:r>
      <w:r w:rsidR="005831B2">
        <w:rPr>
          <w:rFonts w:eastAsiaTheme="minorHAnsi"/>
          <w:color w:val="002060"/>
          <w:szCs w:val="24"/>
        </w:rPr>
        <w:t>and Salman</w:t>
      </w:r>
      <w:r w:rsidRPr="00270813">
        <w:rPr>
          <w:rFonts w:eastAsiaTheme="minorHAnsi"/>
          <w:color w:val="002060"/>
          <w:szCs w:val="24"/>
        </w:rPr>
        <w:t xml:space="preserve"> </w:t>
      </w:r>
      <w:r w:rsidR="0000238F">
        <w:rPr>
          <w:rFonts w:eastAsiaTheme="minorHAnsi"/>
          <w:color w:val="002060"/>
          <w:szCs w:val="24"/>
        </w:rPr>
        <w:t>(</w:t>
      </w:r>
      <w:r w:rsidRPr="00270813">
        <w:rPr>
          <w:rFonts w:eastAsiaTheme="minorHAnsi"/>
          <w:color w:val="002060"/>
          <w:szCs w:val="24"/>
        </w:rPr>
        <w:t>2015</w:t>
      </w:r>
      <w:r w:rsidR="0000238F">
        <w:rPr>
          <w:rFonts w:eastAsiaTheme="minorHAnsi"/>
          <w:color w:val="002060"/>
          <w:szCs w:val="24"/>
        </w:rPr>
        <w:t>)</w:t>
      </w:r>
      <w:r>
        <w:t xml:space="preserve"> </w:t>
      </w:r>
      <w:r w:rsidR="002B2B8E">
        <w:t>apply</w:t>
      </w:r>
      <w:r>
        <w:t xml:space="preserve"> decline curve analysis (DCA) to </w:t>
      </w:r>
      <w:r w:rsidR="00915108">
        <w:t>get the</w:t>
      </w:r>
      <w:r>
        <w:t xml:space="preserve"> difference in estimated ultimate recovery (EUR) before and after well-to-well frac interference.</w:t>
      </w:r>
      <w:r w:rsidRPr="00DA2239">
        <w:t xml:space="preserve"> </w:t>
      </w:r>
      <w:r>
        <w:t xml:space="preserve">The authors </w:t>
      </w:r>
      <w:r>
        <w:lastRenderedPageBreak/>
        <w:t xml:space="preserve">mention that geological features like pre-existing natural fractures, </w:t>
      </w:r>
      <w:r w:rsidR="00FC611C">
        <w:t xml:space="preserve">heterogeneity in </w:t>
      </w:r>
      <w:r>
        <w:t>reservoir properties and size of completion designs play an important role in this in</w:t>
      </w:r>
      <w:r w:rsidR="00FC611C">
        <w:t>ter</w:t>
      </w:r>
      <w:r>
        <w:t xml:space="preserve">ference. </w:t>
      </w:r>
      <w:r w:rsidR="000B5DBD">
        <w:t>H</w:t>
      </w:r>
      <w:r>
        <w:t xml:space="preserve">igh internal energy reservoirs </w:t>
      </w:r>
      <w:r w:rsidR="000B5DBD">
        <w:t xml:space="preserve">possess </w:t>
      </w:r>
      <w:r>
        <w:t xml:space="preserve">a high GOR and initial </w:t>
      </w:r>
      <w:r w:rsidR="000B5DBD">
        <w:t>reservoir</w:t>
      </w:r>
      <w:r>
        <w:t xml:space="preserve"> pressure</w:t>
      </w:r>
      <w:r w:rsidR="008B38E5">
        <w:t xml:space="preserve"> therefore </w:t>
      </w:r>
      <w:r w:rsidR="0027077A">
        <w:t>any</w:t>
      </w:r>
      <w:r>
        <w:t xml:space="preserve"> interference </w:t>
      </w:r>
      <w:r w:rsidR="0027077A">
        <w:t xml:space="preserve">due to fracture </w:t>
      </w:r>
      <w:r w:rsidR="00F92B47">
        <w:t>hits for pare</w:t>
      </w:r>
      <w:r>
        <w:t xml:space="preserve">nt-child wells </w:t>
      </w:r>
      <w:r w:rsidR="00F92B47">
        <w:t>will</w:t>
      </w:r>
      <w:r>
        <w:t xml:space="preserve"> likely be positive. </w:t>
      </w:r>
      <w:r w:rsidR="00F92B47" w:rsidRPr="003712AF">
        <w:t xml:space="preserve">However, the reservoir </w:t>
      </w:r>
      <w:r w:rsidR="00FD7C18">
        <w:t xml:space="preserve">which </w:t>
      </w:r>
      <w:r w:rsidR="00F92B47" w:rsidRPr="003712AF">
        <w:t xml:space="preserve">has </w:t>
      </w:r>
      <w:r w:rsidRPr="003712AF">
        <w:t xml:space="preserve">low internal energy </w:t>
      </w:r>
      <w:r w:rsidR="00FD7C18">
        <w:t>and is marked</w:t>
      </w:r>
      <w:r w:rsidR="00222725" w:rsidRPr="003712AF">
        <w:t xml:space="preserve"> through a</w:t>
      </w:r>
      <w:r w:rsidRPr="003712AF">
        <w:t xml:space="preserve"> low GOR and initial pore pressure, </w:t>
      </w:r>
      <w:r w:rsidR="00222725" w:rsidRPr="003712AF">
        <w:t xml:space="preserve">any interference due to fracture hits </w:t>
      </w:r>
      <w:r w:rsidRPr="003712AF">
        <w:t>is most likely to be negative.</w:t>
      </w:r>
      <w:r w:rsidR="00555BBB" w:rsidRPr="00555BBB">
        <w:t xml:space="preserve"> </w:t>
      </w:r>
      <w:r w:rsidR="00555BBB">
        <w:t xml:space="preserve">This phenomenon is also seen in </w:t>
      </w:r>
      <w:r w:rsidR="00555BBB" w:rsidRPr="00102F95">
        <w:rPr>
          <w:b/>
          <w:bCs/>
        </w:rPr>
        <w:t xml:space="preserve">Fig. </w:t>
      </w:r>
      <w:r w:rsidR="00DF4483">
        <w:rPr>
          <w:b/>
          <w:bCs/>
        </w:rPr>
        <w:t>1.</w:t>
      </w:r>
      <w:r w:rsidR="00555BBB" w:rsidRPr="00102F95">
        <w:rPr>
          <w:b/>
          <w:bCs/>
        </w:rPr>
        <w:t>4</w:t>
      </w:r>
      <w:r w:rsidR="00292721">
        <w:rPr>
          <w:b/>
          <w:bCs/>
        </w:rPr>
        <w:t>a.</w:t>
      </w:r>
      <w:r w:rsidR="00555BBB">
        <w:t xml:space="preserve"> where the older parent well on left </w:t>
      </w:r>
      <w:r w:rsidR="00FC611C">
        <w:t xml:space="preserve">is </w:t>
      </w:r>
      <w:r w:rsidR="00555BBB">
        <w:t xml:space="preserve">depleted with low internal reservoir energy. The child well fractures on the right fractures grow </w:t>
      </w:r>
      <w:r w:rsidR="00555BBB" w:rsidRPr="004F5619">
        <w:t>in a preferential</w:t>
      </w:r>
      <w:r w:rsidR="00FC611C">
        <w:t>ly</w:t>
      </w:r>
      <w:r w:rsidR="00555BBB" w:rsidRPr="004F5619">
        <w:t xml:space="preserve"> </w:t>
      </w:r>
      <w:r w:rsidR="00555BBB">
        <w:t xml:space="preserve">asymmetric </w:t>
      </w:r>
      <w:r w:rsidR="00555BBB" w:rsidRPr="004F5619">
        <w:t xml:space="preserve">manner towards the pressure depleted region of the parent well on </w:t>
      </w:r>
      <w:r w:rsidR="00FC611C">
        <w:t xml:space="preserve">the </w:t>
      </w:r>
      <w:r w:rsidR="00555BBB" w:rsidRPr="004F5619">
        <w:t>left resulting in a negative frac-hit.</w:t>
      </w:r>
      <w:r w:rsidRPr="003712AF">
        <w:t xml:space="preserve"> Th</w:t>
      </w:r>
      <w:r w:rsidR="003712AF" w:rsidRPr="003712AF">
        <w:t xml:space="preserve">is </w:t>
      </w:r>
      <w:r w:rsidR="001746A9">
        <w:t xml:space="preserve">case </w:t>
      </w:r>
      <w:r w:rsidR="003712AF" w:rsidRPr="003712AF">
        <w:t>is worsened</w:t>
      </w:r>
      <w:r w:rsidRPr="003712AF">
        <w:t xml:space="preserve"> by </w:t>
      </w:r>
      <w:r w:rsidR="001746A9">
        <w:t xml:space="preserve">closely </w:t>
      </w:r>
      <w:r w:rsidR="00EC0436">
        <w:t>spac</w:t>
      </w:r>
      <w:r w:rsidR="001746A9">
        <w:t>ed</w:t>
      </w:r>
      <w:r w:rsidR="00EC0436">
        <w:t xml:space="preserve"> wells </w:t>
      </w:r>
      <w:r w:rsidRPr="003712AF">
        <w:t xml:space="preserve">and </w:t>
      </w:r>
      <w:r w:rsidR="001746A9">
        <w:t>bigger</w:t>
      </w:r>
      <w:r w:rsidRPr="003712AF">
        <w:t xml:space="preserve"> </w:t>
      </w:r>
      <w:r w:rsidR="001746A9">
        <w:t xml:space="preserve">child well </w:t>
      </w:r>
      <w:r w:rsidRPr="003712AF">
        <w:t xml:space="preserve">completion </w:t>
      </w:r>
      <w:r w:rsidR="001746A9">
        <w:t>size</w:t>
      </w:r>
      <w:r w:rsidR="00FD7C18">
        <w:t>s</w:t>
      </w:r>
      <w:r w:rsidR="000E26BE">
        <w:t>.</w:t>
      </w:r>
      <w:r w:rsidRPr="003712AF">
        <w:t xml:space="preserve"> </w:t>
      </w:r>
    </w:p>
    <w:p w14:paraId="35ED8119" w14:textId="77777777" w:rsidR="00DF4483" w:rsidRDefault="00E035D9" w:rsidP="00DF4483">
      <w:pPr>
        <w:pStyle w:val="para1"/>
        <w:keepNext/>
        <w:spacing w:line="480" w:lineRule="auto"/>
        <w:jc w:val="center"/>
      </w:pPr>
      <w:r>
        <w:rPr>
          <w:noProof/>
        </w:rPr>
        <w:drawing>
          <wp:inline distT="0" distB="0" distL="0" distR="0" wp14:anchorId="2D2DB848" wp14:editId="1FA12D34">
            <wp:extent cx="5270500" cy="225291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2936" cy="2253955"/>
                    </a:xfrm>
                    <a:prstGeom prst="rect">
                      <a:avLst/>
                    </a:prstGeom>
                  </pic:spPr>
                </pic:pic>
              </a:graphicData>
            </a:graphic>
          </wp:inline>
        </w:drawing>
      </w:r>
    </w:p>
    <w:p w14:paraId="1172EB86" w14:textId="1E2F4E93" w:rsidR="00DF4483" w:rsidRDefault="00DF4483" w:rsidP="00DF4483">
      <w:pPr>
        <w:pStyle w:val="Default"/>
        <w:spacing w:line="480" w:lineRule="auto"/>
        <w:jc w:val="center"/>
        <w:rPr>
          <w:rFonts w:ascii="Arial" w:eastAsia="Times New Roman" w:hAnsi="Arial"/>
          <w:b/>
          <w:color w:val="auto"/>
          <w:sz w:val="16"/>
          <w:szCs w:val="20"/>
        </w:rPr>
      </w:pPr>
      <w:r>
        <w:rPr>
          <w:rFonts w:ascii="Arial" w:hAnsi="Arial"/>
          <w:b/>
          <w:sz w:val="16"/>
        </w:rPr>
        <w:t>(a)</w:t>
      </w:r>
      <w:r w:rsidRPr="0000589F">
        <w:rPr>
          <w:rFonts w:ascii="Arial" w:hAnsi="Arial"/>
          <w:b/>
          <w:sz w:val="16"/>
        </w:rPr>
        <w:t xml:space="preserve">                                     </w:t>
      </w:r>
      <w:r>
        <w:rPr>
          <w:rFonts w:ascii="Arial" w:hAnsi="Arial"/>
          <w:b/>
          <w:sz w:val="16"/>
        </w:rPr>
        <w:t xml:space="preserve">          </w:t>
      </w:r>
      <w:r w:rsidRPr="0000589F">
        <w:rPr>
          <w:rFonts w:ascii="Arial" w:hAnsi="Arial"/>
          <w:b/>
          <w:sz w:val="16"/>
        </w:rPr>
        <w:t xml:space="preserve">       </w:t>
      </w:r>
      <w:r>
        <w:rPr>
          <w:rFonts w:ascii="Arial" w:hAnsi="Arial"/>
          <w:b/>
          <w:sz w:val="16"/>
        </w:rPr>
        <w:t xml:space="preserve">                     </w:t>
      </w:r>
      <w:r w:rsidRPr="0000589F">
        <w:rPr>
          <w:rFonts w:ascii="Arial" w:hAnsi="Arial"/>
          <w:b/>
          <w:sz w:val="16"/>
        </w:rPr>
        <w:t>(b)</w:t>
      </w:r>
    </w:p>
    <w:p w14:paraId="534ABFF6" w14:textId="12A24560" w:rsidR="00DF4483" w:rsidRPr="009A3B09" w:rsidRDefault="00DF4483" w:rsidP="00DF4483">
      <w:pPr>
        <w:pStyle w:val="Default"/>
        <w:spacing w:line="480" w:lineRule="auto"/>
        <w:jc w:val="center"/>
        <w:rPr>
          <w:rFonts w:ascii="Arial" w:eastAsia="Times New Roman" w:hAnsi="Arial"/>
          <w:b/>
          <w:color w:val="auto"/>
          <w:sz w:val="16"/>
          <w:szCs w:val="20"/>
        </w:rPr>
      </w:pPr>
      <w:bookmarkStart w:id="11" w:name="_Toc58667128"/>
      <w:r w:rsidRPr="00DF4483">
        <w:rPr>
          <w:rFonts w:ascii="Arial" w:eastAsia="Times New Roman" w:hAnsi="Arial"/>
          <w:b/>
          <w:color w:val="auto"/>
          <w:sz w:val="16"/>
          <w:szCs w:val="20"/>
        </w:rPr>
        <w:t xml:space="preserve">Fig. 1. </w:t>
      </w:r>
      <w:r w:rsidRPr="00DF4483">
        <w:rPr>
          <w:rFonts w:ascii="Arial" w:eastAsia="Times New Roman" w:hAnsi="Arial"/>
          <w:b/>
          <w:color w:val="auto"/>
          <w:sz w:val="16"/>
          <w:szCs w:val="20"/>
        </w:rPr>
        <w:fldChar w:fldCharType="begin"/>
      </w:r>
      <w:r w:rsidRPr="00DF4483">
        <w:rPr>
          <w:rFonts w:ascii="Arial" w:eastAsia="Times New Roman" w:hAnsi="Arial"/>
          <w:b/>
          <w:color w:val="auto"/>
          <w:sz w:val="16"/>
          <w:szCs w:val="20"/>
        </w:rPr>
        <w:instrText xml:space="preserve"> SEQ Fig._1. \* ARABIC </w:instrText>
      </w:r>
      <w:r w:rsidRPr="00DF4483">
        <w:rPr>
          <w:rFonts w:ascii="Arial" w:eastAsia="Times New Roman" w:hAnsi="Arial"/>
          <w:b/>
          <w:color w:val="auto"/>
          <w:sz w:val="16"/>
          <w:szCs w:val="20"/>
        </w:rPr>
        <w:fldChar w:fldCharType="separate"/>
      </w:r>
      <w:r w:rsidR="00D006A5">
        <w:rPr>
          <w:rFonts w:ascii="Arial" w:eastAsia="Times New Roman" w:hAnsi="Arial"/>
          <w:b/>
          <w:noProof/>
          <w:color w:val="auto"/>
          <w:sz w:val="16"/>
          <w:szCs w:val="20"/>
        </w:rPr>
        <w:t>4</w:t>
      </w:r>
      <w:r w:rsidRPr="00DF4483">
        <w:rPr>
          <w:rFonts w:ascii="Arial" w:eastAsia="Times New Roman" w:hAnsi="Arial"/>
          <w:b/>
          <w:color w:val="auto"/>
          <w:sz w:val="16"/>
          <w:szCs w:val="20"/>
        </w:rPr>
        <w:fldChar w:fldCharType="end"/>
      </w:r>
      <w:r w:rsidR="00E53FB3">
        <w:rPr>
          <w:rFonts w:ascii="Arial" w:eastAsia="Times New Roman" w:hAnsi="Arial"/>
          <w:b/>
          <w:color w:val="auto"/>
          <w:sz w:val="16"/>
          <w:szCs w:val="20"/>
        </w:rPr>
        <w:t>—</w:t>
      </w:r>
      <w:r w:rsidRPr="00777524">
        <w:rPr>
          <w:rFonts w:ascii="Arial" w:eastAsia="Times New Roman" w:hAnsi="Arial"/>
          <w:b/>
          <w:color w:val="auto"/>
          <w:sz w:val="16"/>
          <w:szCs w:val="20"/>
        </w:rPr>
        <w:t xml:space="preserve">(a) Negative frac-hit from the child well on right with fractures growing in preferential manner towards the pressure depleted region of the parent well on left (b) Positive frac-hit between the child well on right and the parent well on left. Here the parent well has higher reservoir pressure and has not depleted as much in comparison </w:t>
      </w:r>
      <w:r w:rsidRPr="009A3B09">
        <w:rPr>
          <w:rFonts w:ascii="Arial" w:eastAsia="Times New Roman" w:hAnsi="Arial"/>
          <w:b/>
          <w:color w:val="auto"/>
          <w:sz w:val="16"/>
          <w:szCs w:val="20"/>
        </w:rPr>
        <w:t xml:space="preserve">(Kurtoglu </w:t>
      </w:r>
      <w:r w:rsidR="00980311">
        <w:rPr>
          <w:rFonts w:ascii="Arial" w:eastAsia="Times New Roman" w:hAnsi="Arial"/>
          <w:b/>
          <w:color w:val="auto"/>
          <w:sz w:val="16"/>
          <w:szCs w:val="20"/>
        </w:rPr>
        <w:t>and Salman</w:t>
      </w:r>
      <w:r w:rsidRPr="009A3B09">
        <w:rPr>
          <w:rFonts w:ascii="Arial" w:eastAsia="Times New Roman" w:hAnsi="Arial"/>
          <w:b/>
          <w:color w:val="auto"/>
          <w:sz w:val="16"/>
          <w:szCs w:val="20"/>
        </w:rPr>
        <w:t xml:space="preserve"> 2015).</w:t>
      </w:r>
      <w:bookmarkEnd w:id="11"/>
    </w:p>
    <w:p w14:paraId="2BAFC56F" w14:textId="20899FB0" w:rsidR="0038281E" w:rsidRPr="001F1E13" w:rsidRDefault="00A32A0A" w:rsidP="00DF4483">
      <w:pPr>
        <w:pStyle w:val="para1"/>
        <w:spacing w:line="480" w:lineRule="auto"/>
        <w:ind w:left="2028" w:firstLine="0"/>
        <w:rPr>
          <w:rFonts w:ascii="Arial" w:hAnsi="Arial"/>
          <w:b/>
          <w:sz w:val="16"/>
        </w:rPr>
      </w:pPr>
      <w:r>
        <w:rPr>
          <w:rFonts w:ascii="Arial" w:hAnsi="Arial"/>
          <w:b/>
          <w:sz w:val="16"/>
        </w:rPr>
        <w:t xml:space="preserve">      </w:t>
      </w:r>
      <w:r w:rsidR="005A04A6" w:rsidRPr="001F1E13">
        <w:rPr>
          <w:rFonts w:ascii="Arial" w:hAnsi="Arial"/>
          <w:b/>
          <w:sz w:val="16"/>
        </w:rPr>
        <w:t xml:space="preserve">                                                            </w:t>
      </w:r>
      <w:r w:rsidR="001F1E13">
        <w:rPr>
          <w:rFonts w:ascii="Arial" w:hAnsi="Arial"/>
          <w:b/>
          <w:sz w:val="16"/>
        </w:rPr>
        <w:t xml:space="preserve">                     </w:t>
      </w:r>
    </w:p>
    <w:p w14:paraId="5F061410" w14:textId="50346212" w:rsidR="0038281E" w:rsidRDefault="0038281E" w:rsidP="00F77298">
      <w:pPr>
        <w:pStyle w:val="para1"/>
        <w:spacing w:line="480" w:lineRule="auto"/>
      </w:pPr>
      <w:r>
        <w:t xml:space="preserve">Similar behavior is observed in a field study of wells in the Midland basin by </w:t>
      </w:r>
      <w:r w:rsidRPr="00270813">
        <w:rPr>
          <w:rFonts w:eastAsiaTheme="minorHAnsi"/>
          <w:color w:val="002060"/>
          <w:szCs w:val="24"/>
        </w:rPr>
        <w:t>McDowell</w:t>
      </w:r>
      <w:r>
        <w:t xml:space="preserve"> </w:t>
      </w:r>
      <w:r w:rsidRPr="00270813">
        <w:rPr>
          <w:rFonts w:eastAsiaTheme="minorHAnsi"/>
          <w:color w:val="002060"/>
          <w:szCs w:val="24"/>
        </w:rPr>
        <w:t xml:space="preserve">et al. </w:t>
      </w:r>
      <w:r w:rsidR="00785D64">
        <w:rPr>
          <w:rFonts w:eastAsiaTheme="minorHAnsi"/>
          <w:color w:val="002060"/>
          <w:szCs w:val="24"/>
        </w:rPr>
        <w:t>(</w:t>
      </w:r>
      <w:r w:rsidRPr="00270813">
        <w:rPr>
          <w:rFonts w:eastAsiaTheme="minorHAnsi"/>
          <w:color w:val="002060"/>
          <w:szCs w:val="24"/>
        </w:rPr>
        <w:t>20</w:t>
      </w:r>
      <w:r w:rsidR="003B33F0">
        <w:rPr>
          <w:rFonts w:eastAsiaTheme="minorHAnsi"/>
          <w:color w:val="002060"/>
          <w:szCs w:val="24"/>
        </w:rPr>
        <w:t>19</w:t>
      </w:r>
      <w:r w:rsidR="00785D64">
        <w:rPr>
          <w:rFonts w:eastAsiaTheme="minorHAnsi"/>
          <w:color w:val="002060"/>
          <w:szCs w:val="24"/>
        </w:rPr>
        <w:t>)</w:t>
      </w:r>
      <w:r>
        <w:t xml:space="preserve">. According to their study, horizontal parent wells experience higher fracture driven interference than vertical parent wells. They divide the wells into five categories based on </w:t>
      </w:r>
      <w:r w:rsidR="000E26BE">
        <w:t xml:space="preserve">fracture </w:t>
      </w:r>
      <w:r w:rsidR="000E26BE">
        <w:lastRenderedPageBreak/>
        <w:t>driven in</w:t>
      </w:r>
      <w:r w:rsidR="00E9196D">
        <w:t>teraction</w:t>
      </w:r>
      <w:r w:rsidR="00712312">
        <w:t xml:space="preserve"> (FDI)</w:t>
      </w:r>
      <w:r w:rsidR="00E9196D">
        <w:t xml:space="preserve"> </w:t>
      </w:r>
      <w:r>
        <w:t xml:space="preserve">intensity and perform a qualitative analysis of the frac-hits in the study area. Also, they find a negative correlation between the intensity of the fracture driven interference and a 2-dimensional well spacing. The parent wells received a </w:t>
      </w:r>
      <w:r w:rsidR="00FC611C">
        <w:t xml:space="preserve">frac-hit </w:t>
      </w:r>
      <w:r>
        <w:t>after the child well was hydraulically fractured for all well spacings</w:t>
      </w:r>
      <w:r w:rsidR="00413AB3">
        <w:t xml:space="preserve"> at </w:t>
      </w:r>
      <w:r>
        <w:t xml:space="preserve">less than 1000 ft. Water hits in general were observed to be stronger for tighter well spacing configurations. </w:t>
      </w:r>
      <w:r w:rsidRPr="00270813">
        <w:rPr>
          <w:rFonts w:eastAsiaTheme="minorHAnsi"/>
          <w:color w:val="002060"/>
          <w:szCs w:val="24"/>
        </w:rPr>
        <w:t xml:space="preserve">Cao et al. </w:t>
      </w:r>
      <w:r w:rsidR="00785D64">
        <w:rPr>
          <w:rFonts w:eastAsiaTheme="minorHAnsi"/>
          <w:color w:val="002060"/>
          <w:szCs w:val="24"/>
        </w:rPr>
        <w:t>(</w:t>
      </w:r>
      <w:r w:rsidRPr="00270813">
        <w:rPr>
          <w:rFonts w:eastAsiaTheme="minorHAnsi"/>
          <w:color w:val="002060"/>
          <w:szCs w:val="24"/>
        </w:rPr>
        <w:t>2017</w:t>
      </w:r>
      <w:r w:rsidR="00785D64">
        <w:rPr>
          <w:rFonts w:eastAsiaTheme="minorHAnsi"/>
          <w:color w:val="002060"/>
          <w:szCs w:val="24"/>
        </w:rPr>
        <w:t>)</w:t>
      </w:r>
      <w:r w:rsidR="00FC611C">
        <w:t>, however, report</w:t>
      </w:r>
      <w:r w:rsidR="005E7086">
        <w:t xml:space="preserve"> </w:t>
      </w:r>
      <w:r>
        <w:t>that FDI</w:t>
      </w:r>
      <w:r w:rsidR="00712312">
        <w:t>s</w:t>
      </w:r>
      <w:r>
        <w:t xml:space="preserve"> directly indicate the required well spacing configuration. If the operator does</w:t>
      </w:r>
      <w:r w:rsidR="00A5658A">
        <w:t xml:space="preserve"> </w:t>
      </w:r>
      <w:r>
        <w:t>n</w:t>
      </w:r>
      <w:r w:rsidR="00A5658A">
        <w:t>o</w:t>
      </w:r>
      <w:r>
        <w:t xml:space="preserve">t see any frac-hits, </w:t>
      </w:r>
      <w:r w:rsidR="00FC611C">
        <w:t xml:space="preserve">the wells are spaced farther apart than optimal leaving behind unrecovered hydrocarbon. </w:t>
      </w:r>
      <w:r>
        <w:t xml:space="preserve"> As indicated in the data analyses conducted by </w:t>
      </w:r>
      <w:r w:rsidRPr="00270813">
        <w:rPr>
          <w:rFonts w:eastAsiaTheme="minorHAnsi"/>
          <w:color w:val="002060"/>
          <w:szCs w:val="24"/>
        </w:rPr>
        <w:t xml:space="preserve">Miller et al. </w:t>
      </w:r>
      <w:r w:rsidR="003C33F9">
        <w:rPr>
          <w:rFonts w:eastAsiaTheme="minorHAnsi"/>
          <w:color w:val="002060"/>
          <w:szCs w:val="24"/>
        </w:rPr>
        <w:t>(</w:t>
      </w:r>
      <w:r w:rsidRPr="00270813">
        <w:rPr>
          <w:rFonts w:eastAsiaTheme="minorHAnsi"/>
          <w:color w:val="002060"/>
          <w:szCs w:val="24"/>
        </w:rPr>
        <w:t>2016</w:t>
      </w:r>
      <w:r w:rsidR="003C33F9">
        <w:rPr>
          <w:rFonts w:eastAsiaTheme="minorHAnsi"/>
          <w:color w:val="002060"/>
          <w:szCs w:val="24"/>
        </w:rPr>
        <w:t>)</w:t>
      </w:r>
      <w:r>
        <w:t xml:space="preserve"> and </w:t>
      </w:r>
      <w:r w:rsidRPr="00270813">
        <w:rPr>
          <w:rFonts w:eastAsiaTheme="minorHAnsi"/>
          <w:color w:val="002060"/>
          <w:szCs w:val="24"/>
        </w:rPr>
        <w:t xml:space="preserve">Xu et al. </w:t>
      </w:r>
      <w:r w:rsidR="003C33F9">
        <w:rPr>
          <w:rFonts w:eastAsiaTheme="minorHAnsi"/>
          <w:color w:val="002060"/>
          <w:szCs w:val="24"/>
        </w:rPr>
        <w:t>(</w:t>
      </w:r>
      <w:r w:rsidRPr="00270813">
        <w:rPr>
          <w:rFonts w:eastAsiaTheme="minorHAnsi"/>
          <w:color w:val="002060"/>
          <w:szCs w:val="24"/>
        </w:rPr>
        <w:t>2019</w:t>
      </w:r>
      <w:r w:rsidR="003C33F9">
        <w:rPr>
          <w:rFonts w:eastAsiaTheme="minorHAnsi"/>
          <w:color w:val="002060"/>
          <w:szCs w:val="24"/>
        </w:rPr>
        <w:t>)</w:t>
      </w:r>
      <w:r>
        <w:t>, frac-hits c</w:t>
      </w:r>
      <w:r w:rsidR="00216CFE">
        <w:t>an</w:t>
      </w:r>
      <w:r w:rsidR="00A5658A">
        <w:t xml:space="preserve"> </w:t>
      </w:r>
      <w:r w:rsidR="00216CFE">
        <w:t xml:space="preserve">create </w:t>
      </w:r>
      <w:r>
        <w:t xml:space="preserve">positive or negative </w:t>
      </w:r>
      <w:r w:rsidR="00216CFE">
        <w:t>impacts</w:t>
      </w:r>
      <w:r>
        <w:t xml:space="preserve"> for the parent wells. However, it is seen that the child wells usually perform poorly whenever there are frac-hits.</w:t>
      </w:r>
    </w:p>
    <w:p w14:paraId="37AD4E2D" w14:textId="4AF7FE3B" w:rsidR="0038281E" w:rsidRDefault="0038281E" w:rsidP="00F77298">
      <w:pPr>
        <w:pStyle w:val="para1"/>
        <w:spacing w:line="480" w:lineRule="auto"/>
      </w:pPr>
      <w:r w:rsidRPr="00270813">
        <w:rPr>
          <w:rFonts w:eastAsiaTheme="minorHAnsi"/>
          <w:color w:val="002060"/>
          <w:szCs w:val="24"/>
        </w:rPr>
        <w:t>Ajisafe et al</w:t>
      </w:r>
      <w:r w:rsidR="00270813">
        <w:rPr>
          <w:rFonts w:eastAsiaTheme="minorHAnsi"/>
          <w:color w:val="002060"/>
          <w:szCs w:val="24"/>
        </w:rPr>
        <w:t>.</w:t>
      </w:r>
      <w:r w:rsidRPr="00270813">
        <w:rPr>
          <w:rFonts w:eastAsiaTheme="minorHAnsi"/>
          <w:color w:val="002060"/>
          <w:szCs w:val="24"/>
        </w:rPr>
        <w:t xml:space="preserve"> </w:t>
      </w:r>
      <w:r w:rsidR="003C33F9">
        <w:rPr>
          <w:rFonts w:eastAsiaTheme="minorHAnsi"/>
          <w:color w:val="002060"/>
          <w:szCs w:val="24"/>
        </w:rPr>
        <w:t>(</w:t>
      </w:r>
      <w:r w:rsidRPr="00270813">
        <w:rPr>
          <w:rFonts w:eastAsiaTheme="minorHAnsi"/>
          <w:color w:val="002060"/>
          <w:szCs w:val="24"/>
        </w:rPr>
        <w:t>2017</w:t>
      </w:r>
      <w:r w:rsidR="003C33F9">
        <w:rPr>
          <w:rFonts w:eastAsiaTheme="minorHAnsi"/>
          <w:color w:val="002060"/>
          <w:szCs w:val="24"/>
        </w:rPr>
        <w:t>)</w:t>
      </w:r>
      <w:r>
        <w:t xml:space="preserve"> also study the impact of well spacings (660 ft and 1320 ft) on production interference in parent-child wells for the Avalon shale in the Delaware Basin. They build a discrete fracture network (DFN) model integrated with seismic data and geophysical logs. At the 600 ft well spacing scenario, the parent well after 1 year of depletion develops a pressure sink around the wellbore. This pressure sink then alters the stress regime between wells and helps the fractures from the child well navigate towards the parent well. </w:t>
      </w:r>
      <w:r w:rsidRPr="009265D6">
        <w:rPr>
          <w:rFonts w:eastAsiaTheme="minorHAnsi"/>
          <w:color w:val="002060"/>
          <w:szCs w:val="24"/>
        </w:rPr>
        <w:t xml:space="preserve">Ma and Zoback </w:t>
      </w:r>
      <w:r w:rsidR="003C33F9">
        <w:rPr>
          <w:rFonts w:eastAsiaTheme="minorHAnsi"/>
          <w:color w:val="002060"/>
          <w:szCs w:val="24"/>
        </w:rPr>
        <w:t>(</w:t>
      </w:r>
      <w:r w:rsidRPr="009265D6">
        <w:rPr>
          <w:rFonts w:eastAsiaTheme="minorHAnsi"/>
          <w:color w:val="002060"/>
          <w:szCs w:val="24"/>
        </w:rPr>
        <w:t>2016</w:t>
      </w:r>
      <w:r w:rsidR="003C33F9">
        <w:rPr>
          <w:rFonts w:eastAsiaTheme="minorHAnsi"/>
          <w:color w:val="002060"/>
          <w:szCs w:val="24"/>
        </w:rPr>
        <w:t>)</w:t>
      </w:r>
      <w:r>
        <w:t xml:space="preserve"> </w:t>
      </w:r>
      <w:r w:rsidR="00216CFE">
        <w:t>report that this is because of the</w:t>
      </w:r>
      <w:r w:rsidR="002008BB">
        <w:t xml:space="preserve"> </w:t>
      </w:r>
      <w:r>
        <w:t>in-situ poroelastic stress changes between the parent and child wells induced due to depletion of the parent well. This in turn had a negative impact on the child well production performance at the 660 ft spacing.</w:t>
      </w:r>
      <w:r w:rsidRPr="007053C2">
        <w:t xml:space="preserve"> </w:t>
      </w:r>
      <w:r w:rsidRPr="009265D6">
        <w:rPr>
          <w:rFonts w:eastAsiaTheme="minorHAnsi"/>
          <w:color w:val="002060"/>
          <w:szCs w:val="24"/>
        </w:rPr>
        <w:t>Daneshy</w:t>
      </w:r>
      <w:r w:rsidR="00F533A0">
        <w:rPr>
          <w:rFonts w:eastAsiaTheme="minorHAnsi"/>
          <w:color w:val="002060"/>
          <w:szCs w:val="24"/>
        </w:rPr>
        <w:t xml:space="preserve"> </w:t>
      </w:r>
      <w:r w:rsidR="0054635F">
        <w:rPr>
          <w:rFonts w:eastAsiaTheme="minorHAnsi"/>
          <w:color w:val="002060"/>
          <w:szCs w:val="24"/>
        </w:rPr>
        <w:t>(</w:t>
      </w:r>
      <w:r w:rsidRPr="009265D6">
        <w:rPr>
          <w:rFonts w:eastAsiaTheme="minorHAnsi"/>
          <w:color w:val="002060"/>
          <w:szCs w:val="24"/>
        </w:rPr>
        <w:t>201</w:t>
      </w:r>
      <w:r w:rsidR="00C00A43">
        <w:rPr>
          <w:rFonts w:eastAsiaTheme="minorHAnsi"/>
          <w:color w:val="002060"/>
          <w:szCs w:val="24"/>
        </w:rPr>
        <w:t>8</w:t>
      </w:r>
      <w:r w:rsidR="0054635F">
        <w:rPr>
          <w:rFonts w:eastAsiaTheme="minorHAnsi"/>
          <w:color w:val="002060"/>
          <w:szCs w:val="24"/>
        </w:rPr>
        <w:t>)</w:t>
      </w:r>
      <w:r>
        <w:t xml:space="preserve"> explain</w:t>
      </w:r>
      <w:r w:rsidR="00F533A0">
        <w:t>s</w:t>
      </w:r>
      <w:r>
        <w:t xml:space="preserve"> this in terms of reduction in the magnitude of the principal stresses for the parent well due to production which then attracts the hydraulic fractures from the child wells. The magnitude of principal stresses on the </w:t>
      </w:r>
      <w:r w:rsidR="00216CFE">
        <w:t xml:space="preserve">two sides of the child lateral </w:t>
      </w:r>
      <w:r>
        <w:t>are not equal</w:t>
      </w:r>
      <w:r w:rsidR="00216CFE">
        <w:t xml:space="preserve"> and tend </w:t>
      </w:r>
      <w:r>
        <w:t xml:space="preserve">to slowly decrease in the direction of the parent well and increase away from it </w:t>
      </w:r>
      <w:r w:rsidR="003A2C4B" w:rsidRPr="00905EA4">
        <w:rPr>
          <w:rFonts w:eastAsiaTheme="minorHAnsi"/>
          <w:color w:val="002060"/>
          <w:szCs w:val="24"/>
        </w:rPr>
        <w:t>(</w:t>
      </w:r>
      <w:r w:rsidRPr="00AE15BC">
        <w:rPr>
          <w:rFonts w:eastAsiaTheme="minorHAnsi"/>
          <w:color w:val="002060"/>
          <w:szCs w:val="24"/>
        </w:rPr>
        <w:t>Daneshy</w:t>
      </w:r>
      <w:r w:rsidR="003A2C4B">
        <w:rPr>
          <w:rFonts w:eastAsiaTheme="minorHAnsi"/>
          <w:color w:val="002060"/>
          <w:szCs w:val="24"/>
        </w:rPr>
        <w:t xml:space="preserve"> </w:t>
      </w:r>
      <w:r w:rsidRPr="00AE15BC">
        <w:rPr>
          <w:rFonts w:eastAsiaTheme="minorHAnsi"/>
          <w:color w:val="002060"/>
          <w:szCs w:val="24"/>
        </w:rPr>
        <w:t>201</w:t>
      </w:r>
      <w:r w:rsidR="00C00A43">
        <w:rPr>
          <w:rFonts w:eastAsiaTheme="minorHAnsi"/>
          <w:color w:val="002060"/>
          <w:szCs w:val="24"/>
        </w:rPr>
        <w:t>8</w:t>
      </w:r>
      <w:r w:rsidR="0054635F">
        <w:rPr>
          <w:rFonts w:eastAsiaTheme="minorHAnsi"/>
          <w:color w:val="002060"/>
          <w:szCs w:val="24"/>
        </w:rPr>
        <w:t>)</w:t>
      </w:r>
      <w:r>
        <w:t>.</w:t>
      </w:r>
    </w:p>
    <w:p w14:paraId="358A17B0" w14:textId="0ED7DA05" w:rsidR="0038281E" w:rsidRDefault="0038281E" w:rsidP="00F77298">
      <w:pPr>
        <w:pStyle w:val="para1"/>
        <w:spacing w:line="480" w:lineRule="auto"/>
      </w:pPr>
      <w:r>
        <w:lastRenderedPageBreak/>
        <w:t xml:space="preserve">In another work by </w:t>
      </w:r>
      <w:r w:rsidRPr="00AE15BC">
        <w:rPr>
          <w:rFonts w:eastAsiaTheme="minorHAnsi"/>
          <w:color w:val="002060"/>
          <w:szCs w:val="24"/>
        </w:rPr>
        <w:t xml:space="preserve">Gupta et al. </w:t>
      </w:r>
      <w:r w:rsidR="0054635F">
        <w:rPr>
          <w:rFonts w:eastAsiaTheme="minorHAnsi"/>
          <w:color w:val="002060"/>
          <w:szCs w:val="24"/>
        </w:rPr>
        <w:t>(</w:t>
      </w:r>
      <w:r w:rsidRPr="00AE15BC">
        <w:rPr>
          <w:rFonts w:eastAsiaTheme="minorHAnsi"/>
          <w:color w:val="002060"/>
          <w:szCs w:val="24"/>
        </w:rPr>
        <w:t>2020</w:t>
      </w:r>
      <w:r w:rsidR="0054635F">
        <w:rPr>
          <w:rFonts w:eastAsiaTheme="minorHAnsi"/>
          <w:color w:val="002060"/>
          <w:szCs w:val="24"/>
        </w:rPr>
        <w:t>)</w:t>
      </w:r>
      <w:r>
        <w:t xml:space="preserve">, a data-driven approach </w:t>
      </w:r>
      <w:r w:rsidR="00216CFE">
        <w:t>is used</w:t>
      </w:r>
      <w:r>
        <w:t xml:space="preserve"> to quantify the impact (positive or negative) of frac-hits on the affected parent-child wells in the Woodford, Wolfcamp and Meramec formations. </w:t>
      </w:r>
      <w:r w:rsidR="00851FCB">
        <w:t>Parent wells are sh</w:t>
      </w:r>
      <w:r w:rsidR="0052202F">
        <w:t xml:space="preserve">ut down prior to the child well hydraulic fracturing. The authors </w:t>
      </w:r>
      <w:r>
        <w:t xml:space="preserve">identify frac-hit wells </w:t>
      </w:r>
      <w:r w:rsidR="008435D1">
        <w:t xml:space="preserve">that are characterized by a </w:t>
      </w:r>
      <w:r w:rsidR="00633F08">
        <w:t>specific signature</w:t>
      </w:r>
      <w:r>
        <w:t xml:space="preserve"> </w:t>
      </w:r>
      <w:r w:rsidR="008435D1">
        <w:t>in</w:t>
      </w:r>
      <w:r>
        <w:t xml:space="preserve"> oil, gas and water production rates post shut-down period of the parent well. This signature is marked by an increase in </w:t>
      </w:r>
      <w:r w:rsidR="008435D1">
        <w:t>the gas-oil ratio</w:t>
      </w:r>
      <w:r>
        <w:t xml:space="preserve"> (GOR), </w:t>
      </w:r>
      <w:r w:rsidR="008435D1">
        <w:t xml:space="preserve">initial </w:t>
      </w:r>
      <w:r>
        <w:t>decrease in oil production rate and high water cut percentage. The difference in production as a function of time between the estimated decline pre</w:t>
      </w:r>
      <w:r w:rsidR="008435D1">
        <w:t>-</w:t>
      </w:r>
      <w:r>
        <w:t xml:space="preserve"> and post frac-hits is quantified as the overall impact of the frac-hit. Also, based on predictive multilinear regression models for EUR regressed on several production data and completion design parameters, they propose a recommendation chart for minimum well spacing with zero impact on EUR for a given completion size and a cumulative production of the parent well. </w:t>
      </w:r>
    </w:p>
    <w:p w14:paraId="73A57813" w14:textId="0B112149" w:rsidR="003D02DD" w:rsidRDefault="0038281E" w:rsidP="00F77298">
      <w:pPr>
        <w:pStyle w:val="para1"/>
        <w:spacing w:line="480" w:lineRule="auto"/>
      </w:pPr>
      <w:r w:rsidRPr="00AE15BC">
        <w:rPr>
          <w:rFonts w:eastAsiaTheme="minorHAnsi"/>
          <w:color w:val="002060"/>
          <w:szCs w:val="24"/>
        </w:rPr>
        <w:t xml:space="preserve">Rafiee and Grover </w:t>
      </w:r>
      <w:r w:rsidR="00286438">
        <w:rPr>
          <w:rFonts w:eastAsiaTheme="minorHAnsi"/>
          <w:color w:val="002060"/>
          <w:szCs w:val="24"/>
        </w:rPr>
        <w:t>(</w:t>
      </w:r>
      <w:r w:rsidRPr="00AE15BC">
        <w:rPr>
          <w:rFonts w:eastAsiaTheme="minorHAnsi"/>
          <w:color w:val="002060"/>
          <w:szCs w:val="24"/>
        </w:rPr>
        <w:t>2017</w:t>
      </w:r>
      <w:r w:rsidR="00286438">
        <w:rPr>
          <w:rFonts w:eastAsiaTheme="minorHAnsi"/>
          <w:color w:val="002060"/>
          <w:szCs w:val="24"/>
        </w:rPr>
        <w:t>)</w:t>
      </w:r>
      <w:r w:rsidR="008435D1">
        <w:rPr>
          <w:rFonts w:eastAsiaTheme="minorHAnsi"/>
          <w:color w:val="002060"/>
          <w:szCs w:val="24"/>
        </w:rPr>
        <w:t xml:space="preserve"> </w:t>
      </w:r>
      <w:r w:rsidR="008435D1" w:rsidRPr="00905EA4">
        <w:t>also study the well spacing problem in the Eagle Ford shale</w:t>
      </w:r>
      <w:r w:rsidRPr="007E70DA">
        <w:t xml:space="preserve">. Their study combines fracture modeling, dynamic reservoir simulation and data analytics. They report that wells spaced at a wider distance with a sparse cluster spacing </w:t>
      </w:r>
      <w:r w:rsidR="003D02DD">
        <w:t>are characterized by a</w:t>
      </w:r>
      <w:r w:rsidR="003D02DD" w:rsidRPr="007E70DA">
        <w:t xml:space="preserve"> </w:t>
      </w:r>
      <w:r w:rsidRPr="007E70DA">
        <w:t xml:space="preserve">30 percent more EUR compared to a densely spaced configuration. </w:t>
      </w:r>
    </w:p>
    <w:p w14:paraId="6F2AD4C4" w14:textId="36759163" w:rsidR="0038281E" w:rsidRPr="00955AC7" w:rsidRDefault="0038281E" w:rsidP="00F77298">
      <w:pPr>
        <w:pStyle w:val="para1"/>
        <w:spacing w:line="480" w:lineRule="auto"/>
      </w:pPr>
      <w:r w:rsidRPr="00AE15BC">
        <w:rPr>
          <w:rFonts w:eastAsiaTheme="minorHAnsi"/>
          <w:color w:val="002060"/>
          <w:szCs w:val="24"/>
        </w:rPr>
        <w:t xml:space="preserve">Chu et al. </w:t>
      </w:r>
      <w:r w:rsidR="00286438">
        <w:rPr>
          <w:rFonts w:eastAsiaTheme="minorHAnsi"/>
          <w:color w:val="002060"/>
          <w:szCs w:val="24"/>
        </w:rPr>
        <w:t>(</w:t>
      </w:r>
      <w:r w:rsidRPr="00AE15BC">
        <w:rPr>
          <w:rFonts w:eastAsiaTheme="minorHAnsi"/>
          <w:color w:val="002060"/>
          <w:szCs w:val="24"/>
        </w:rPr>
        <w:t>2020</w:t>
      </w:r>
      <w:r w:rsidR="00286438">
        <w:rPr>
          <w:rFonts w:eastAsiaTheme="minorHAnsi"/>
          <w:color w:val="002060"/>
          <w:szCs w:val="24"/>
        </w:rPr>
        <w:t>)</w:t>
      </w:r>
      <w:r w:rsidRPr="005C530A">
        <w:t xml:space="preserve"> d</w:t>
      </w:r>
      <w:r>
        <w:t>escribe</w:t>
      </w:r>
      <w:r w:rsidRPr="005C530A">
        <w:t xml:space="preserve"> the use of </w:t>
      </w:r>
      <w:r>
        <w:t>downhole</w:t>
      </w:r>
      <w:r w:rsidRPr="005C530A">
        <w:t xml:space="preserve"> pressure gauges</w:t>
      </w:r>
      <w:r>
        <w:t xml:space="preserve"> which measure well bottomhole pressures continuously throughout </w:t>
      </w:r>
      <w:r w:rsidR="003D02DD">
        <w:t xml:space="preserve">the </w:t>
      </w:r>
      <w:r>
        <w:t>life of the well.</w:t>
      </w:r>
      <w:r w:rsidRPr="005C530A">
        <w:t xml:space="preserve"> </w:t>
      </w:r>
      <w:r>
        <w:t xml:space="preserve">At different well spacings, these bottomhole pressure measurements are then used </w:t>
      </w:r>
      <w:r w:rsidRPr="005C530A">
        <w:t>to quantify the measured pressure interference (MPI)</w:t>
      </w:r>
      <w:r>
        <w:t>.</w:t>
      </w:r>
      <w:r w:rsidRPr="005C530A">
        <w:t xml:space="preserve"> </w:t>
      </w:r>
      <w:r>
        <w:t xml:space="preserve">MPI is </w:t>
      </w:r>
      <w:r w:rsidRPr="005C530A">
        <w:t xml:space="preserve">derived from </w:t>
      </w:r>
      <w:r w:rsidR="003D02DD">
        <w:t xml:space="preserve">the </w:t>
      </w:r>
      <w:r w:rsidRPr="005C530A">
        <w:t>Chow Pressure Group (CPG)</w:t>
      </w:r>
      <w:r w:rsidR="000B3926">
        <w:t xml:space="preserve"> </w:t>
      </w:r>
      <w:r w:rsidR="000B3926" w:rsidRPr="00905EA4">
        <w:rPr>
          <w:rFonts w:eastAsiaTheme="minorHAnsi"/>
          <w:color w:val="002060"/>
          <w:szCs w:val="24"/>
        </w:rPr>
        <w:t>(</w:t>
      </w:r>
      <w:r w:rsidR="003F3099">
        <w:rPr>
          <w:rFonts w:eastAsiaTheme="minorHAnsi"/>
          <w:color w:val="002060"/>
          <w:szCs w:val="24"/>
        </w:rPr>
        <w:t>Engle</w:t>
      </w:r>
      <w:r w:rsidR="00242B54" w:rsidRPr="00905EA4">
        <w:rPr>
          <w:rFonts w:eastAsiaTheme="minorHAnsi"/>
          <w:color w:val="002060"/>
          <w:szCs w:val="24"/>
        </w:rPr>
        <w:t xml:space="preserve"> </w:t>
      </w:r>
      <w:r w:rsidR="0035732B">
        <w:rPr>
          <w:rFonts w:eastAsiaTheme="minorHAnsi"/>
          <w:color w:val="002060"/>
          <w:szCs w:val="24"/>
        </w:rPr>
        <w:t xml:space="preserve">and Buswell </w:t>
      </w:r>
      <w:r w:rsidR="00242B54" w:rsidRPr="00905EA4">
        <w:rPr>
          <w:rFonts w:eastAsiaTheme="minorHAnsi"/>
          <w:color w:val="002060"/>
          <w:szCs w:val="24"/>
        </w:rPr>
        <w:t>1952</w:t>
      </w:r>
      <w:r w:rsidR="00242B54">
        <w:t>).</w:t>
      </w:r>
      <w:r w:rsidRPr="005C530A">
        <w:t xml:space="preserve"> Their </w:t>
      </w:r>
      <w:r>
        <w:t xml:space="preserve">methodology </w:t>
      </w:r>
      <w:r w:rsidRPr="005C530A">
        <w:t xml:space="preserve">can be also used as a </w:t>
      </w:r>
      <w:r>
        <w:t>guide</w:t>
      </w:r>
      <w:r w:rsidRPr="005C530A">
        <w:t xml:space="preserve"> </w:t>
      </w:r>
      <w:r>
        <w:t>to</w:t>
      </w:r>
      <w:r w:rsidRPr="005C530A">
        <w:t xml:space="preserve"> </w:t>
      </w:r>
      <w:r w:rsidR="003D02DD">
        <w:t>determine</w:t>
      </w:r>
      <w:r w:rsidRPr="005C530A">
        <w:t xml:space="preserve"> the optimal well spacing</w:t>
      </w:r>
      <w:r>
        <w:t xml:space="preserve"> needed</w:t>
      </w:r>
      <w:r w:rsidRPr="005C530A">
        <w:t>. They</w:t>
      </w:r>
      <w:r>
        <w:t xml:space="preserve"> also</w:t>
      </w:r>
      <w:r w:rsidRPr="005C530A">
        <w:t xml:space="preserve"> observed that tighter spacings yielded stronger</w:t>
      </w:r>
      <w:r>
        <w:t xml:space="preserve"> MPI values</w:t>
      </w:r>
      <w:r w:rsidRPr="005C530A">
        <w:t xml:space="preserve"> between the wells</w:t>
      </w:r>
      <w:r w:rsidR="003D02DD">
        <w:t>.</w:t>
      </w:r>
      <w:r w:rsidR="0006735F">
        <w:t xml:space="preserve"> </w:t>
      </w:r>
      <w:r>
        <w:t>As many have observed, s</w:t>
      </w:r>
      <w:r w:rsidRPr="005C530A">
        <w:t xml:space="preserve">tronger interference between the wells </w:t>
      </w:r>
      <w:r>
        <w:t>lead to</w:t>
      </w:r>
      <w:r w:rsidRPr="005C530A">
        <w:t xml:space="preserve"> temporary or permanent </w:t>
      </w:r>
      <w:r>
        <w:t xml:space="preserve">loss in </w:t>
      </w:r>
      <w:r w:rsidRPr="005C530A">
        <w:t xml:space="preserve">production </w:t>
      </w:r>
      <w:r w:rsidR="00552585">
        <w:t>(</w:t>
      </w:r>
      <w:r w:rsidRPr="00AE15BC">
        <w:rPr>
          <w:rFonts w:eastAsiaTheme="minorHAnsi"/>
          <w:color w:val="002060"/>
          <w:szCs w:val="24"/>
        </w:rPr>
        <w:t>King et al. 2017</w:t>
      </w:r>
      <w:r w:rsidR="00286438">
        <w:rPr>
          <w:rFonts w:eastAsiaTheme="minorHAnsi"/>
          <w:color w:val="002060"/>
          <w:szCs w:val="24"/>
        </w:rPr>
        <w:t>)</w:t>
      </w:r>
      <w:r w:rsidR="00643588">
        <w:rPr>
          <w:rFonts w:eastAsiaTheme="minorHAnsi"/>
          <w:color w:val="002060"/>
          <w:szCs w:val="24"/>
        </w:rPr>
        <w:t>.</w:t>
      </w:r>
      <w:r w:rsidR="00643588" w:rsidDel="00643588">
        <w:t xml:space="preserve"> </w:t>
      </w:r>
    </w:p>
    <w:p w14:paraId="593154F1" w14:textId="078203AD" w:rsidR="0038281E" w:rsidRDefault="0038281E" w:rsidP="00F77298">
      <w:pPr>
        <w:pStyle w:val="para1"/>
        <w:spacing w:line="480" w:lineRule="auto"/>
      </w:pPr>
      <w:r w:rsidRPr="00EC01D5">
        <w:lastRenderedPageBreak/>
        <w:t xml:space="preserve">Along with </w:t>
      </w:r>
      <w:r>
        <w:t>different</w:t>
      </w:r>
      <w:r w:rsidRPr="00EC01D5">
        <w:t xml:space="preserve"> approaches discussed</w:t>
      </w:r>
      <w:r>
        <w:t xml:space="preserve"> so far</w:t>
      </w:r>
      <w:r w:rsidRPr="00EC01D5">
        <w:t xml:space="preserve"> for finding optimal spacing, there are a few mitigation procedures also suggested in the literature for minimizing losses when the spacing is not optimal. </w:t>
      </w:r>
      <w:r w:rsidRPr="00AE15BC">
        <w:rPr>
          <w:rFonts w:eastAsiaTheme="minorHAnsi"/>
          <w:color w:val="002060"/>
          <w:szCs w:val="24"/>
        </w:rPr>
        <w:t xml:space="preserve">Whitfield et al. </w:t>
      </w:r>
      <w:r w:rsidR="00286438">
        <w:rPr>
          <w:rFonts w:eastAsiaTheme="minorHAnsi"/>
          <w:color w:val="002060"/>
          <w:szCs w:val="24"/>
        </w:rPr>
        <w:t>(</w:t>
      </w:r>
      <w:r w:rsidRPr="00AE15BC">
        <w:rPr>
          <w:rFonts w:eastAsiaTheme="minorHAnsi"/>
          <w:color w:val="002060"/>
          <w:szCs w:val="24"/>
        </w:rPr>
        <w:t>2018</w:t>
      </w:r>
      <w:r w:rsidR="00286438">
        <w:rPr>
          <w:rFonts w:eastAsiaTheme="minorHAnsi"/>
          <w:color w:val="002060"/>
          <w:szCs w:val="24"/>
        </w:rPr>
        <w:t>)</w:t>
      </w:r>
      <w:r>
        <w:t xml:space="preserve"> through field trials discuss the success of </w:t>
      </w:r>
      <w:r w:rsidR="003D02DD">
        <w:t>p</w:t>
      </w:r>
      <w:r>
        <w:t>re-loading or r</w:t>
      </w:r>
      <w:r w:rsidRPr="00EC01D5">
        <w:t>e-pressur</w:t>
      </w:r>
      <w:r>
        <w:t xml:space="preserve">izing </w:t>
      </w:r>
      <w:r w:rsidRPr="00EC01D5">
        <w:t>the parent well through water injection</w:t>
      </w:r>
      <w:r w:rsidR="003D02DD">
        <w:t xml:space="preserve"> prior to and during the hydraulic fracture job at an adjacent well</w:t>
      </w:r>
      <w:r>
        <w:t>. Another option is</w:t>
      </w:r>
      <w:r w:rsidRPr="00EC01D5">
        <w:t xml:space="preserve"> refracturing </w:t>
      </w:r>
      <w:r>
        <w:t>the parent well</w:t>
      </w:r>
      <w:r w:rsidRPr="00EC01D5">
        <w:t xml:space="preserve"> to increase the magnitude of the surrounding principal stresses</w:t>
      </w:r>
      <w:r>
        <w:t xml:space="preserve">. </w:t>
      </w:r>
      <w:r w:rsidRPr="00AE15BC">
        <w:rPr>
          <w:rFonts w:eastAsiaTheme="minorHAnsi"/>
          <w:color w:val="002060"/>
          <w:szCs w:val="24"/>
        </w:rPr>
        <w:t xml:space="preserve">Manchanda et al. </w:t>
      </w:r>
      <w:r w:rsidR="00286438">
        <w:rPr>
          <w:rFonts w:eastAsiaTheme="minorHAnsi"/>
          <w:color w:val="002060"/>
          <w:szCs w:val="24"/>
        </w:rPr>
        <w:t>(</w:t>
      </w:r>
      <w:r w:rsidRPr="00AE15BC">
        <w:rPr>
          <w:rFonts w:eastAsiaTheme="minorHAnsi"/>
          <w:color w:val="002060"/>
          <w:szCs w:val="24"/>
        </w:rPr>
        <w:t>2018</w:t>
      </w:r>
      <w:r w:rsidR="00286438">
        <w:rPr>
          <w:rFonts w:eastAsiaTheme="minorHAnsi"/>
          <w:color w:val="002060"/>
          <w:szCs w:val="24"/>
        </w:rPr>
        <w:t>)</w:t>
      </w:r>
      <w:r w:rsidRPr="00EC01D5">
        <w:t xml:space="preserve"> </w:t>
      </w:r>
      <w:r w:rsidR="003D02DD">
        <w:t>report that</w:t>
      </w:r>
      <w:r w:rsidRPr="00EC01D5">
        <w:t xml:space="preserve"> refracturing the parent well alters the stress regime around it inhibiting the asymmetric fracture growth from the child well to the parent. </w:t>
      </w:r>
      <w:r w:rsidRPr="00AE15BC">
        <w:rPr>
          <w:rFonts w:eastAsiaTheme="minorHAnsi"/>
          <w:color w:val="002060"/>
          <w:szCs w:val="24"/>
        </w:rPr>
        <w:t>Sani et al.</w:t>
      </w:r>
      <w:r w:rsidR="00286438">
        <w:rPr>
          <w:rFonts w:eastAsiaTheme="minorHAnsi"/>
          <w:color w:val="002060"/>
          <w:szCs w:val="24"/>
        </w:rPr>
        <w:t xml:space="preserve"> (</w:t>
      </w:r>
      <w:r w:rsidRPr="00AE15BC">
        <w:rPr>
          <w:rFonts w:eastAsiaTheme="minorHAnsi"/>
          <w:color w:val="002060"/>
          <w:szCs w:val="24"/>
        </w:rPr>
        <w:t>2015</w:t>
      </w:r>
      <w:r w:rsidR="00286438">
        <w:rPr>
          <w:rFonts w:eastAsiaTheme="minorHAnsi"/>
          <w:color w:val="002060"/>
          <w:szCs w:val="24"/>
        </w:rPr>
        <w:t>)</w:t>
      </w:r>
      <w:r w:rsidRPr="00EC01D5">
        <w:t xml:space="preserve"> suggest the use of a “stress barrier” to stimulate the child well such that it does</w:t>
      </w:r>
      <w:r w:rsidR="00552585">
        <w:t xml:space="preserve"> </w:t>
      </w:r>
      <w:r w:rsidRPr="00EC01D5">
        <w:t>n</w:t>
      </w:r>
      <w:r w:rsidR="00552585">
        <w:t>o</w:t>
      </w:r>
      <w:r w:rsidRPr="00EC01D5">
        <w:t xml:space="preserve">t lose its deliverability to a nearby parent well. Another proven field trial conducted by </w:t>
      </w:r>
      <w:r w:rsidRPr="00AE15BC">
        <w:rPr>
          <w:rFonts w:eastAsiaTheme="minorHAnsi"/>
          <w:color w:val="002060"/>
          <w:szCs w:val="24"/>
        </w:rPr>
        <w:t xml:space="preserve">Zhang et al. </w:t>
      </w:r>
      <w:r w:rsidR="00286438">
        <w:rPr>
          <w:rFonts w:eastAsiaTheme="minorHAnsi"/>
          <w:color w:val="002060"/>
          <w:szCs w:val="24"/>
        </w:rPr>
        <w:t>(</w:t>
      </w:r>
      <w:r w:rsidRPr="00AE15BC">
        <w:rPr>
          <w:rFonts w:eastAsiaTheme="minorHAnsi"/>
          <w:color w:val="002060"/>
          <w:szCs w:val="24"/>
        </w:rPr>
        <w:t>20</w:t>
      </w:r>
      <w:r w:rsidR="00BC7EE8">
        <w:rPr>
          <w:rFonts w:eastAsiaTheme="minorHAnsi"/>
          <w:color w:val="002060"/>
          <w:szCs w:val="24"/>
        </w:rPr>
        <w:t>20</w:t>
      </w:r>
      <w:r w:rsidR="00286438">
        <w:rPr>
          <w:rFonts w:eastAsiaTheme="minorHAnsi"/>
          <w:color w:val="002060"/>
          <w:szCs w:val="24"/>
        </w:rPr>
        <w:t>)</w:t>
      </w:r>
      <w:r w:rsidRPr="00EC01D5">
        <w:t xml:space="preserve"> </w:t>
      </w:r>
      <w:r>
        <w:t xml:space="preserve">pumps </w:t>
      </w:r>
      <w:r w:rsidRPr="00EC01D5">
        <w:t xml:space="preserve">far-field diverters </w:t>
      </w:r>
      <w:r>
        <w:t xml:space="preserve">during the child well hydraulic fracture treatment. These field diverters as their name suggests divert the fluids at the fracture tips. </w:t>
      </w:r>
      <w:r w:rsidR="00956C30">
        <w:t>An application of the</w:t>
      </w:r>
      <w:r w:rsidR="004E2E6A">
        <w:t xml:space="preserve"> far-field diverter</w:t>
      </w:r>
      <w:r w:rsidR="00157BA1">
        <w:t xml:space="preserve"> </w:t>
      </w:r>
      <w:r w:rsidR="004E2E6A">
        <w:t xml:space="preserve">is illustrated in </w:t>
      </w:r>
      <w:r w:rsidR="004E2E6A" w:rsidRPr="00956C30">
        <w:rPr>
          <w:b/>
          <w:bCs/>
        </w:rPr>
        <w:t xml:space="preserve">Fig. </w:t>
      </w:r>
      <w:r w:rsidR="0007377D">
        <w:rPr>
          <w:b/>
          <w:bCs/>
        </w:rPr>
        <w:t>1.</w:t>
      </w:r>
      <w:r w:rsidR="004E2E6A" w:rsidRPr="00956C30">
        <w:rPr>
          <w:b/>
          <w:bCs/>
        </w:rPr>
        <w:t>5</w:t>
      </w:r>
      <w:r w:rsidR="004E2E6A">
        <w:t xml:space="preserve">. </w:t>
      </w:r>
      <w:r>
        <w:t xml:space="preserve">This </w:t>
      </w:r>
      <w:r w:rsidRPr="00EC01D5">
        <w:t>stop</w:t>
      </w:r>
      <w:r>
        <w:t xml:space="preserve">s </w:t>
      </w:r>
      <w:r w:rsidRPr="00EC01D5">
        <w:t>the f</w:t>
      </w:r>
      <w:r>
        <w:t xml:space="preserve">low of proppant and </w:t>
      </w:r>
      <w:r w:rsidRPr="00EC01D5">
        <w:t xml:space="preserve">hydraulic fracturing fluid </w:t>
      </w:r>
      <w:r>
        <w:t>heading</w:t>
      </w:r>
      <w:r w:rsidRPr="00EC01D5">
        <w:t xml:space="preserve"> in the direction of the preferential planes of connected fractures </w:t>
      </w:r>
      <w:r>
        <w:t xml:space="preserve">thus </w:t>
      </w:r>
      <w:r w:rsidRPr="00EC01D5">
        <w:t>offer</w:t>
      </w:r>
      <w:r>
        <w:t>ing</w:t>
      </w:r>
      <w:r w:rsidRPr="00EC01D5">
        <w:t xml:space="preserve"> less resistance </w:t>
      </w:r>
      <w:r>
        <w:t xml:space="preserve">near the parent well </w:t>
      </w:r>
      <w:r w:rsidRPr="00EC01D5">
        <w:t xml:space="preserve">depleted zones </w:t>
      </w:r>
      <w:r w:rsidR="00FA4CE9" w:rsidRPr="00905EA4">
        <w:rPr>
          <w:rFonts w:eastAsiaTheme="minorHAnsi"/>
          <w:color w:val="002060"/>
          <w:szCs w:val="24"/>
        </w:rPr>
        <w:t>(</w:t>
      </w:r>
      <w:r w:rsidRPr="00AE15BC">
        <w:rPr>
          <w:rFonts w:eastAsiaTheme="minorHAnsi"/>
          <w:color w:val="002060"/>
          <w:szCs w:val="24"/>
        </w:rPr>
        <w:t>Esquivel and Blasingame</w:t>
      </w:r>
      <w:r w:rsidR="00FA4CE9">
        <w:rPr>
          <w:rFonts w:eastAsiaTheme="minorHAnsi"/>
          <w:color w:val="002060"/>
          <w:szCs w:val="24"/>
        </w:rPr>
        <w:t xml:space="preserve"> </w:t>
      </w:r>
      <w:r w:rsidRPr="00AE15BC">
        <w:rPr>
          <w:rFonts w:eastAsiaTheme="minorHAnsi"/>
          <w:color w:val="002060"/>
          <w:szCs w:val="24"/>
        </w:rPr>
        <w:t>2017</w:t>
      </w:r>
      <w:r w:rsidR="00286438">
        <w:rPr>
          <w:rFonts w:eastAsiaTheme="minorHAnsi"/>
          <w:color w:val="002060"/>
          <w:szCs w:val="24"/>
        </w:rPr>
        <w:t>)</w:t>
      </w:r>
      <w:r w:rsidRPr="00EC01D5">
        <w:t xml:space="preserve">. </w:t>
      </w:r>
    </w:p>
    <w:p w14:paraId="3ABD5DD8" w14:textId="0DC60150" w:rsidR="00335640" w:rsidRDefault="00335640" w:rsidP="00F77298">
      <w:pPr>
        <w:pStyle w:val="para1"/>
        <w:spacing w:line="480" w:lineRule="auto"/>
      </w:pPr>
    </w:p>
    <w:p w14:paraId="002D0560" w14:textId="5A33E6E6" w:rsidR="00335640" w:rsidRDefault="00335640" w:rsidP="00F77298">
      <w:pPr>
        <w:pStyle w:val="para1"/>
        <w:spacing w:line="480" w:lineRule="auto"/>
      </w:pPr>
    </w:p>
    <w:p w14:paraId="42D98CB4" w14:textId="77777777" w:rsidR="00A45C7A" w:rsidRDefault="001D2E52" w:rsidP="00A45C7A">
      <w:pPr>
        <w:pStyle w:val="para1"/>
        <w:keepNext/>
        <w:spacing w:line="480" w:lineRule="auto"/>
      </w:pPr>
      <w:r>
        <w:rPr>
          <w:noProof/>
        </w:rPr>
        <w:drawing>
          <wp:inline distT="0" distB="0" distL="0" distR="0" wp14:anchorId="2EFF0EC4" wp14:editId="5E4B1FF1">
            <wp:extent cx="5943600" cy="18332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833245"/>
                    </a:xfrm>
                    <a:prstGeom prst="rect">
                      <a:avLst/>
                    </a:prstGeom>
                  </pic:spPr>
                </pic:pic>
              </a:graphicData>
            </a:graphic>
          </wp:inline>
        </w:drawing>
      </w:r>
    </w:p>
    <w:p w14:paraId="3CB967E3" w14:textId="13934FF2" w:rsidR="00A45C7A" w:rsidRPr="009A3B09" w:rsidRDefault="00A45C7A" w:rsidP="00A45C7A">
      <w:pPr>
        <w:pStyle w:val="para1"/>
        <w:spacing w:line="480" w:lineRule="auto"/>
        <w:ind w:firstLine="0"/>
        <w:jc w:val="center"/>
        <w:rPr>
          <w:rFonts w:ascii="Arial" w:hAnsi="Arial"/>
          <w:b/>
          <w:sz w:val="16"/>
        </w:rPr>
      </w:pPr>
      <w:bookmarkStart w:id="12" w:name="_Toc58667129"/>
      <w:r w:rsidRPr="00A45C7A">
        <w:rPr>
          <w:rFonts w:ascii="Arial" w:hAnsi="Arial"/>
          <w:b/>
          <w:sz w:val="16"/>
        </w:rPr>
        <w:t xml:space="preserve">Fig. 1. </w:t>
      </w:r>
      <w:r w:rsidRPr="00A45C7A">
        <w:rPr>
          <w:rFonts w:ascii="Arial" w:hAnsi="Arial"/>
          <w:b/>
          <w:sz w:val="16"/>
        </w:rPr>
        <w:fldChar w:fldCharType="begin"/>
      </w:r>
      <w:r w:rsidRPr="00A45C7A">
        <w:rPr>
          <w:rFonts w:ascii="Arial" w:hAnsi="Arial"/>
          <w:b/>
          <w:sz w:val="16"/>
        </w:rPr>
        <w:instrText xml:space="preserve"> SEQ Fig._1. \* ARABIC </w:instrText>
      </w:r>
      <w:r w:rsidRPr="00A45C7A">
        <w:rPr>
          <w:rFonts w:ascii="Arial" w:hAnsi="Arial"/>
          <w:b/>
          <w:sz w:val="16"/>
        </w:rPr>
        <w:fldChar w:fldCharType="separate"/>
      </w:r>
      <w:r w:rsidR="00D006A5">
        <w:rPr>
          <w:rFonts w:ascii="Arial" w:hAnsi="Arial"/>
          <w:b/>
          <w:noProof/>
          <w:sz w:val="16"/>
        </w:rPr>
        <w:t>5</w:t>
      </w:r>
      <w:r w:rsidRPr="00A45C7A">
        <w:rPr>
          <w:rFonts w:ascii="Arial" w:hAnsi="Arial"/>
          <w:b/>
          <w:sz w:val="16"/>
        </w:rPr>
        <w:fldChar w:fldCharType="end"/>
      </w:r>
      <w:r w:rsidR="00945D4C">
        <w:rPr>
          <w:rFonts w:ascii="Arial" w:hAnsi="Arial"/>
          <w:b/>
          <w:sz w:val="16"/>
        </w:rPr>
        <w:t>—</w:t>
      </w:r>
      <w:r>
        <w:rPr>
          <w:rFonts w:ascii="Arial" w:hAnsi="Arial"/>
          <w:b/>
          <w:sz w:val="16"/>
        </w:rPr>
        <w:t xml:space="preserve">Example showing the application of far-field diverters bridging the gap between a parent and child hydraulic fracture. This is used for preventing a frac-hit </w:t>
      </w:r>
      <w:r w:rsidRPr="009A3B09">
        <w:rPr>
          <w:rFonts w:ascii="Arial" w:hAnsi="Arial"/>
          <w:b/>
          <w:sz w:val="16"/>
        </w:rPr>
        <w:t>(Zhang et al. 20</w:t>
      </w:r>
      <w:r w:rsidR="00F215BC">
        <w:rPr>
          <w:rFonts w:ascii="Arial" w:hAnsi="Arial"/>
          <w:b/>
          <w:sz w:val="16"/>
        </w:rPr>
        <w:t>20</w:t>
      </w:r>
      <w:r w:rsidRPr="009A3B09">
        <w:rPr>
          <w:rFonts w:ascii="Arial" w:hAnsi="Arial"/>
          <w:b/>
          <w:sz w:val="16"/>
        </w:rPr>
        <w:t>).</w:t>
      </w:r>
      <w:bookmarkEnd w:id="12"/>
    </w:p>
    <w:p w14:paraId="76CD9F5F" w14:textId="77777777" w:rsidR="00DD49F2" w:rsidRDefault="00DD49F2" w:rsidP="00F77298">
      <w:pPr>
        <w:pStyle w:val="para1"/>
        <w:spacing w:line="480" w:lineRule="auto"/>
      </w:pPr>
    </w:p>
    <w:p w14:paraId="5889C947" w14:textId="38844B7F" w:rsidR="0038281E" w:rsidRDefault="0038281E" w:rsidP="00F77298">
      <w:pPr>
        <w:pStyle w:val="para1"/>
        <w:spacing w:line="480" w:lineRule="auto"/>
      </w:pPr>
      <w:r>
        <w:t xml:space="preserve">With proper field development and planning, frac-hits </w:t>
      </w:r>
      <w:r w:rsidR="003D02DD">
        <w:t xml:space="preserve">can </w:t>
      </w:r>
      <w:r>
        <w:t xml:space="preserve">be prevented ahead of time. For this to happen, one would need to optimize the controllable factors like completion design size, schedule of drilling, fracture treatments, production of child wells and more importantly inter-well spacing. Almost all the physics-driven modelling approaches to solve the well spacing </w:t>
      </w:r>
      <w:r w:rsidR="003D02DD">
        <w:t xml:space="preserve">problem are associated with </w:t>
      </w:r>
      <w:r>
        <w:t xml:space="preserve">a certain degree of uncertainty for each of modeling parameters. Modelling inputs for permeability, fracture half length, number of fractures, fracture conductivity, cluster spacing etc. have a direct influence on the results. </w:t>
      </w:r>
      <w:r w:rsidR="003D02DD">
        <w:t>F</w:t>
      </w:r>
      <w:r>
        <w:t xml:space="preserve">ield well spacing trials offer a more reliable solution for optimizing well spacing, but these methods are capital intensive and may not be always practical given the current market conditions and economy </w:t>
      </w:r>
      <w:r w:rsidR="00697438">
        <w:rPr>
          <w:rFonts w:eastAsiaTheme="minorHAnsi"/>
          <w:color w:val="002060"/>
          <w:szCs w:val="24"/>
        </w:rPr>
        <w:t>(</w:t>
      </w:r>
      <w:r w:rsidRPr="00AE15BC">
        <w:rPr>
          <w:rFonts w:eastAsiaTheme="minorHAnsi"/>
          <w:color w:val="002060"/>
          <w:szCs w:val="24"/>
        </w:rPr>
        <w:t>Yaich et al. 2014</w:t>
      </w:r>
      <w:r w:rsidR="002118EA">
        <w:rPr>
          <w:rFonts w:eastAsiaTheme="minorHAnsi"/>
          <w:color w:val="002060"/>
          <w:szCs w:val="24"/>
        </w:rPr>
        <w:t>)</w:t>
      </w:r>
      <w:r>
        <w:t>.</w:t>
      </w:r>
    </w:p>
    <w:p w14:paraId="558B840C" w14:textId="09D3A047" w:rsidR="003D02DD" w:rsidRDefault="0038281E" w:rsidP="00F77298">
      <w:pPr>
        <w:pStyle w:val="para1"/>
        <w:spacing w:line="480" w:lineRule="auto"/>
      </w:pPr>
      <w:r>
        <w:t xml:space="preserve">On the other hand, data-driven approaches are </w:t>
      </w:r>
      <w:r w:rsidR="003D02DD">
        <w:t>gaining increasing acceptance.</w:t>
      </w:r>
      <w:r>
        <w:t xml:space="preserve"> </w:t>
      </w:r>
      <w:r w:rsidR="003D02DD">
        <w:t>A</w:t>
      </w:r>
      <w:r>
        <w:t>ccess to reliable and good quality field data</w:t>
      </w:r>
      <w:r w:rsidR="003D02DD">
        <w:t xml:space="preserve"> can allow meaningful interpretation. However, the traditional and </w:t>
      </w:r>
      <w:r>
        <w:t xml:space="preserve">routine method of </w:t>
      </w:r>
      <w:r w:rsidR="003D02DD">
        <w:t>comparing</w:t>
      </w:r>
      <w:r>
        <w:t xml:space="preserve"> simple averages of cumulative normalized well production numbers for parent wells and child wells</w:t>
      </w:r>
      <w:r w:rsidR="003D02DD">
        <w:t>, while useful for a preliminary analysis, can provide inaccurate results because there is little to no consideration for the year of completion, completion design and reservoir and petrophysical properties</w:t>
      </w:r>
      <w:r w:rsidR="00080779">
        <w:t>.</w:t>
      </w:r>
    </w:p>
    <w:p w14:paraId="25EE9A15" w14:textId="1A4BB1BE" w:rsidR="0038281E" w:rsidRDefault="0038281E" w:rsidP="00F77298">
      <w:pPr>
        <w:pStyle w:val="para1"/>
        <w:spacing w:line="480" w:lineRule="auto"/>
      </w:pPr>
      <w:r>
        <w:t xml:space="preserve">In this thesis, </w:t>
      </w:r>
      <w:r w:rsidR="003D02DD">
        <w:t xml:space="preserve">I describe </w:t>
      </w:r>
      <w:r>
        <w:t xml:space="preserve">a more sophisticated data-driven approach using </w:t>
      </w:r>
      <w:r w:rsidR="0038228E">
        <w:t>c</w:t>
      </w:r>
      <w:r w:rsidR="001C0B42">
        <w:t>ausal</w:t>
      </w:r>
      <w:r w:rsidR="00FC7E05">
        <w:t xml:space="preserve"> inference</w:t>
      </w:r>
      <w:r>
        <w:t xml:space="preserve"> applied to solving well spacing problems. </w:t>
      </w:r>
      <w:r w:rsidR="003D02DD">
        <w:t xml:space="preserve">To the best of my knowledge, this is the first application of formal </w:t>
      </w:r>
      <w:r w:rsidR="001C0B42">
        <w:t>causal</w:t>
      </w:r>
      <w:r w:rsidR="00FC7E05">
        <w:t xml:space="preserve"> inference</w:t>
      </w:r>
      <w:r w:rsidR="003D02DD">
        <w:t xml:space="preserve"> in petroleum engineering and the geosciences.</w:t>
      </w:r>
      <w:r>
        <w:t xml:space="preserve"> </w:t>
      </w:r>
    </w:p>
    <w:p w14:paraId="7E6E8362" w14:textId="7F644771" w:rsidR="00955AC7" w:rsidRPr="00955AC7" w:rsidRDefault="0038281E" w:rsidP="00F77298">
      <w:pPr>
        <w:pStyle w:val="para1"/>
        <w:spacing w:line="480" w:lineRule="auto"/>
      </w:pPr>
      <w:r w:rsidRPr="00955AC7">
        <w:t>This study evaluates the impact of well spacing on</w:t>
      </w:r>
      <w:r w:rsidR="00510992">
        <w:t xml:space="preserve"> 180-day</w:t>
      </w:r>
      <w:r w:rsidRPr="00955AC7">
        <w:t xml:space="preserve"> and </w:t>
      </w:r>
      <w:r w:rsidR="00510992">
        <w:t>360-day</w:t>
      </w:r>
      <w:r w:rsidRPr="00955AC7">
        <w:t xml:space="preserve"> cumulative oil production </w:t>
      </w:r>
      <w:r w:rsidR="00510992" w:rsidRPr="00955AC7">
        <w:t xml:space="preserve">normalized </w:t>
      </w:r>
      <w:r w:rsidR="00510992">
        <w:t xml:space="preserve">to lateral length (bbl/ft) </w:t>
      </w:r>
      <w:r w:rsidRPr="00955AC7">
        <w:t xml:space="preserve">for four different ranges of parent-child well spacing. By controlling for the parent-child well completion and formation properties and establishing a statistical balance between the wells, the </w:t>
      </w:r>
      <w:r w:rsidR="001C0B42">
        <w:t>causal</w:t>
      </w:r>
      <w:r w:rsidRPr="00955AC7">
        <w:t xml:space="preserve"> impact of well spacing on </w:t>
      </w:r>
      <w:r w:rsidR="000A60CC">
        <w:t>production</w:t>
      </w:r>
      <w:r w:rsidRPr="00955AC7">
        <w:t xml:space="preserve"> </w:t>
      </w:r>
      <w:r w:rsidRPr="00955AC7">
        <w:lastRenderedPageBreak/>
        <w:t xml:space="preserve">is estimated. This effect is compared with the routinely used simple averages approach. For all the four spacing ranges considered, the </w:t>
      </w:r>
      <w:r w:rsidR="001C0B42">
        <w:t>causal</w:t>
      </w:r>
      <w:r w:rsidRPr="00955AC7">
        <w:t xml:space="preserve"> effect quantifies the overall production loss per lateral length between the parent and the child wells. Based on the magnitude of this effect, </w:t>
      </w:r>
      <w:r w:rsidR="000A60CC">
        <w:t xml:space="preserve">I determine an </w:t>
      </w:r>
      <w:r w:rsidRPr="00955AC7">
        <w:t>optimal well spacing strategy for the parent and child wells</w:t>
      </w:r>
      <w:r w:rsidR="00F31B09">
        <w:t>.</w:t>
      </w:r>
    </w:p>
    <w:p w14:paraId="282344FF" w14:textId="34DF75C0" w:rsidR="00955AC7" w:rsidRDefault="0038281E" w:rsidP="00F77298">
      <w:pPr>
        <w:pStyle w:val="para1"/>
        <w:spacing w:line="480" w:lineRule="auto"/>
      </w:pPr>
      <w:r w:rsidRPr="00955AC7">
        <w:t xml:space="preserve">For the second portion of this thesis, I introduce the reader to the concept of a process anomaly, anomaly detection and some of its applications using different methods in the rapidly developing field of </w:t>
      </w:r>
      <w:r w:rsidR="000A60CC">
        <w:t>d</w:t>
      </w:r>
      <w:r w:rsidRPr="00955AC7">
        <w:t xml:space="preserve">ata </w:t>
      </w:r>
      <w:r w:rsidR="000A60CC">
        <w:t>a</w:t>
      </w:r>
      <w:r w:rsidRPr="00955AC7">
        <w:t xml:space="preserve">nalytics. Although the anomaly detection algorithms are widely used in aerospace, healthcare, manufacturing and finance related applications, most of the applications as seen in the literature that are discussed in the thesis are viewed from the perspective of the </w:t>
      </w:r>
      <w:r w:rsidR="000A60CC">
        <w:t>o</w:t>
      </w:r>
      <w:r w:rsidRPr="00955AC7">
        <w:t xml:space="preserve">il and </w:t>
      </w:r>
      <w:r w:rsidR="000A60CC">
        <w:t>g</w:t>
      </w:r>
      <w:r w:rsidRPr="00955AC7">
        <w:t xml:space="preserve">as industry. </w:t>
      </w:r>
    </w:p>
    <w:p w14:paraId="1BEED941" w14:textId="0B31E0D0" w:rsidR="003A4D80" w:rsidRDefault="0038281E" w:rsidP="00F77298">
      <w:pPr>
        <w:pStyle w:val="para1"/>
        <w:spacing w:line="480" w:lineRule="auto"/>
      </w:pPr>
      <w:r>
        <w:t>Any complex process, irrespective of the industry, with measurable parameters over a time period is subject to certain specification limits beyond which the process goes out of control. The data points which lie outside the process specification limits are called anomalies. The mechanism to find such process anomalies or data patterns which tend to deviate from the normal or standard expected value is called as Anomaly Detection. Sometimes an anomaly may have an overall positive impact but most often</w:t>
      </w:r>
      <w:r w:rsidR="000A60CC">
        <w:t>,</w:t>
      </w:r>
      <w:r>
        <w:t xml:space="preserve"> it has negative connotations which are indicators of an impending process failure. Therefore, many researchers in industry and academia have utilized the power of anomaly detection algorithms to identify these abnormal</w:t>
      </w:r>
      <w:r w:rsidR="000A60CC">
        <w:t>ities</w:t>
      </w:r>
      <w:r>
        <w:t xml:space="preserve"> to save potential downtime, enhance safety and increase productivity. </w:t>
      </w:r>
    </w:p>
    <w:p w14:paraId="5A7604B8" w14:textId="0DEED3D8" w:rsidR="000A60CC" w:rsidRDefault="000A60CC" w:rsidP="00F77298">
      <w:pPr>
        <w:pStyle w:val="para1"/>
        <w:spacing w:line="480" w:lineRule="auto"/>
      </w:pPr>
      <w:r>
        <w:t>The use of</w:t>
      </w:r>
      <w:r w:rsidR="0038281E">
        <w:t xml:space="preserve"> anomaly detection algorithms </w:t>
      </w:r>
      <w:r>
        <w:t>spans</w:t>
      </w:r>
      <w:r w:rsidR="0038281E">
        <w:t xml:space="preserve"> upstream, midstream and downstream oil and gas operations. One of the biggest benefits </w:t>
      </w:r>
      <w:r>
        <w:t>of automated anomaly detection is the elimination of the need for</w:t>
      </w:r>
      <w:r w:rsidR="0038281E">
        <w:t xml:space="preserve"> continuous human monitoring</w:t>
      </w:r>
      <w:r>
        <w:t xml:space="preserve">. </w:t>
      </w:r>
      <w:r w:rsidR="0038281E">
        <w:t xml:space="preserve"> However, a process expert </w:t>
      </w:r>
      <w:r>
        <w:t xml:space="preserve">is definitely warranted to ensure that the detected anomalies are not merely </w:t>
      </w:r>
      <w:r w:rsidR="0038281E">
        <w:t xml:space="preserve">false positives. </w:t>
      </w:r>
    </w:p>
    <w:p w14:paraId="7B61748E" w14:textId="691E1C66" w:rsidR="00135C3F" w:rsidRDefault="000A60CC" w:rsidP="00F77298">
      <w:pPr>
        <w:pStyle w:val="para1"/>
        <w:spacing w:line="480" w:lineRule="auto"/>
      </w:pPr>
      <w:r>
        <w:lastRenderedPageBreak/>
        <w:t xml:space="preserve">In this section, I discuss a few algorithms used for anomaly detection. One of the most promising approaches is detecting </w:t>
      </w:r>
      <w:r w:rsidR="0038281E">
        <w:t>change point</w:t>
      </w:r>
      <w:r>
        <w:t>s in time-series data</w:t>
      </w:r>
      <w:r w:rsidR="0038281E">
        <w:t xml:space="preserve">. Change points can be defined as abrupt variations in a time series of sequential data </w:t>
      </w:r>
      <w:r w:rsidR="002C35E5">
        <w:rPr>
          <w:rFonts w:eastAsiaTheme="minorHAnsi"/>
          <w:color w:val="002060"/>
          <w:szCs w:val="24"/>
        </w:rPr>
        <w:t>(</w:t>
      </w:r>
      <w:r w:rsidR="0038281E" w:rsidRPr="00C661C3">
        <w:rPr>
          <w:rFonts w:eastAsiaTheme="minorHAnsi"/>
          <w:color w:val="002060"/>
          <w:szCs w:val="24"/>
        </w:rPr>
        <w:t>Adams and MacKay 2007</w:t>
      </w:r>
      <w:r w:rsidR="00B65694">
        <w:rPr>
          <w:rFonts w:eastAsiaTheme="minorHAnsi"/>
          <w:color w:val="002060"/>
          <w:szCs w:val="24"/>
        </w:rPr>
        <w:t>)</w:t>
      </w:r>
      <w:r w:rsidR="0038281E">
        <w:t xml:space="preserve">. These change points are anomalies if they represent a deviation from the normal patterns. </w:t>
      </w:r>
      <w:r w:rsidR="002A5ED8" w:rsidRPr="00C661C3">
        <w:rPr>
          <w:rFonts w:eastAsiaTheme="minorHAnsi"/>
          <w:color w:val="002060"/>
          <w:szCs w:val="24"/>
        </w:rPr>
        <w:t xml:space="preserve">Truong et al. </w:t>
      </w:r>
      <w:r w:rsidR="002A5ED8">
        <w:rPr>
          <w:rFonts w:eastAsiaTheme="minorHAnsi"/>
          <w:color w:val="002060"/>
          <w:szCs w:val="24"/>
        </w:rPr>
        <w:t>(</w:t>
      </w:r>
      <w:r w:rsidR="002A5ED8" w:rsidRPr="00C661C3">
        <w:rPr>
          <w:rFonts w:eastAsiaTheme="minorHAnsi"/>
          <w:color w:val="002060"/>
          <w:szCs w:val="24"/>
        </w:rPr>
        <w:t>2020</w:t>
      </w:r>
      <w:r w:rsidR="00AD6A3A">
        <w:rPr>
          <w:rFonts w:eastAsiaTheme="minorHAnsi"/>
          <w:color w:val="002060"/>
          <w:szCs w:val="24"/>
        </w:rPr>
        <w:t>)</w:t>
      </w:r>
      <w:r w:rsidR="00AD6A3A">
        <w:t xml:space="preserve"> provide</w:t>
      </w:r>
      <w:r w:rsidR="0038281E">
        <w:t xml:space="preserve"> an extensive review of offline change point detection algorithms for multivariate time series data. The methods discussed are mainly applicable to offline change detection. </w:t>
      </w:r>
      <w:r w:rsidR="0038281E" w:rsidRPr="00C661C3">
        <w:rPr>
          <w:rFonts w:eastAsiaTheme="minorHAnsi"/>
          <w:color w:val="002060"/>
          <w:szCs w:val="24"/>
        </w:rPr>
        <w:t xml:space="preserve">Adams and MacKay </w:t>
      </w:r>
      <w:r w:rsidR="00B65694">
        <w:rPr>
          <w:rFonts w:eastAsiaTheme="minorHAnsi"/>
          <w:color w:val="002060"/>
          <w:szCs w:val="24"/>
        </w:rPr>
        <w:t>(</w:t>
      </w:r>
      <w:r w:rsidR="0038281E" w:rsidRPr="00C661C3">
        <w:rPr>
          <w:rFonts w:eastAsiaTheme="minorHAnsi"/>
          <w:color w:val="002060"/>
          <w:szCs w:val="24"/>
        </w:rPr>
        <w:t>2007</w:t>
      </w:r>
      <w:r w:rsidR="00B65694">
        <w:rPr>
          <w:rFonts w:eastAsiaTheme="minorHAnsi"/>
          <w:color w:val="002060"/>
          <w:szCs w:val="24"/>
        </w:rPr>
        <w:t>)</w:t>
      </w:r>
      <w:r w:rsidR="0038281E">
        <w:t xml:space="preserve"> introduce a Bayesian method for online change detection which is an improvement from other retrospective Bayesian change detections proposed earlier. This online change detection method can be used on a variety of time series data observed in any oil and gas industry applications. </w:t>
      </w:r>
      <w:r w:rsidR="0042290B">
        <w:t xml:space="preserve">One such example </w:t>
      </w:r>
      <w:r w:rsidR="00F92FCB">
        <w:t xml:space="preserve">of this method is shown in </w:t>
      </w:r>
      <w:r w:rsidR="00F92FCB" w:rsidRPr="003A4D80">
        <w:rPr>
          <w:b/>
          <w:bCs/>
        </w:rPr>
        <w:t xml:space="preserve">Fig. </w:t>
      </w:r>
      <w:r w:rsidR="004E6687">
        <w:rPr>
          <w:b/>
          <w:bCs/>
        </w:rPr>
        <w:t>1.</w:t>
      </w:r>
      <w:r w:rsidR="0007453B">
        <w:rPr>
          <w:b/>
          <w:bCs/>
        </w:rPr>
        <w:t>6</w:t>
      </w:r>
      <w:r w:rsidR="00F92FCB">
        <w:t xml:space="preserve"> where change point</w:t>
      </w:r>
      <w:r w:rsidR="0072478E">
        <w:t>s</w:t>
      </w:r>
      <w:r w:rsidR="00F92FCB">
        <w:t xml:space="preserve"> are detected in the nuclear magnetic response of a well during </w:t>
      </w:r>
      <w:r w:rsidR="0072478E">
        <w:t>drilling.</w:t>
      </w:r>
    </w:p>
    <w:p w14:paraId="78D0EFC4" w14:textId="77777777" w:rsidR="00E16204" w:rsidRDefault="006A2822" w:rsidP="00E16204">
      <w:pPr>
        <w:pStyle w:val="para1"/>
        <w:keepNext/>
        <w:spacing w:line="480" w:lineRule="auto"/>
      </w:pPr>
      <w:r>
        <w:rPr>
          <w:noProof/>
        </w:rPr>
        <w:drawing>
          <wp:inline distT="0" distB="0" distL="0" distR="0" wp14:anchorId="743B7A95" wp14:editId="0DD6815E">
            <wp:extent cx="5943600" cy="260413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604135"/>
                    </a:xfrm>
                    <a:prstGeom prst="rect">
                      <a:avLst/>
                    </a:prstGeom>
                  </pic:spPr>
                </pic:pic>
              </a:graphicData>
            </a:graphic>
          </wp:inline>
        </w:drawing>
      </w:r>
    </w:p>
    <w:p w14:paraId="3131C3A8" w14:textId="70125C85" w:rsidR="00E16204" w:rsidRPr="009A3B09" w:rsidRDefault="00E16204" w:rsidP="00E16204">
      <w:pPr>
        <w:pStyle w:val="para1"/>
        <w:spacing w:line="480" w:lineRule="auto"/>
        <w:ind w:firstLine="0"/>
        <w:jc w:val="center"/>
        <w:rPr>
          <w:rFonts w:ascii="Arial" w:hAnsi="Arial"/>
          <w:b/>
          <w:sz w:val="16"/>
        </w:rPr>
      </w:pPr>
      <w:bookmarkStart w:id="13" w:name="_Toc58667130"/>
      <w:r w:rsidRPr="00E16204">
        <w:rPr>
          <w:rFonts w:ascii="Arial" w:hAnsi="Arial"/>
          <w:b/>
          <w:sz w:val="16"/>
        </w:rPr>
        <w:t xml:space="preserve">Fig. 1. </w:t>
      </w:r>
      <w:r w:rsidRPr="00E16204">
        <w:rPr>
          <w:rFonts w:ascii="Arial" w:hAnsi="Arial"/>
          <w:b/>
          <w:sz w:val="16"/>
        </w:rPr>
        <w:fldChar w:fldCharType="begin"/>
      </w:r>
      <w:r w:rsidRPr="00E16204">
        <w:rPr>
          <w:rFonts w:ascii="Arial" w:hAnsi="Arial"/>
          <w:b/>
          <w:sz w:val="16"/>
        </w:rPr>
        <w:instrText xml:space="preserve"> SEQ Fig._1. \* ARABIC </w:instrText>
      </w:r>
      <w:r w:rsidRPr="00E16204">
        <w:rPr>
          <w:rFonts w:ascii="Arial" w:hAnsi="Arial"/>
          <w:b/>
          <w:sz w:val="16"/>
        </w:rPr>
        <w:fldChar w:fldCharType="separate"/>
      </w:r>
      <w:r w:rsidR="00D006A5">
        <w:rPr>
          <w:rFonts w:ascii="Arial" w:hAnsi="Arial"/>
          <w:b/>
          <w:noProof/>
          <w:sz w:val="16"/>
        </w:rPr>
        <w:t>6</w:t>
      </w:r>
      <w:r w:rsidRPr="00E16204">
        <w:rPr>
          <w:rFonts w:ascii="Arial" w:hAnsi="Arial"/>
          <w:b/>
          <w:sz w:val="16"/>
        </w:rPr>
        <w:fldChar w:fldCharType="end"/>
      </w:r>
      <w:r w:rsidR="00DF2DAA">
        <w:rPr>
          <w:rFonts w:ascii="Arial" w:hAnsi="Arial"/>
          <w:b/>
          <w:sz w:val="16"/>
        </w:rPr>
        <w:t>—</w:t>
      </w:r>
      <w:r>
        <w:rPr>
          <w:rFonts w:ascii="Arial" w:hAnsi="Arial"/>
          <w:b/>
          <w:sz w:val="16"/>
        </w:rPr>
        <w:t xml:space="preserve">(Top) Change point detection applied to a nuclear magnetic response during drilling of a well. (Bottom) Linear increase in run length and its reset to zero indicates the time until a change point occurs. Darker regions show high probability of a change </w:t>
      </w:r>
      <w:r w:rsidRPr="009A3B09">
        <w:rPr>
          <w:rFonts w:ascii="Arial" w:hAnsi="Arial"/>
          <w:b/>
          <w:sz w:val="16"/>
        </w:rPr>
        <w:t>(Adams and MacKay 2007).</w:t>
      </w:r>
      <w:bookmarkEnd w:id="13"/>
    </w:p>
    <w:p w14:paraId="783C237F" w14:textId="105A338B" w:rsidR="0038281E" w:rsidRDefault="000A60CC" w:rsidP="00F77298">
      <w:pPr>
        <w:pStyle w:val="para1"/>
        <w:spacing w:line="480" w:lineRule="auto"/>
      </w:pPr>
      <w:r>
        <w:t>I</w:t>
      </w:r>
      <w:r w:rsidR="0038281E">
        <w:t>n machine learning</w:t>
      </w:r>
      <w:r>
        <w:t xml:space="preserve">, </w:t>
      </w:r>
      <w:r w:rsidR="0038281E">
        <w:t>there are two main methods of anomaly detection known as Supervised and Unsupervised</w:t>
      </w:r>
      <w:r>
        <w:t xml:space="preserve"> classification</w:t>
      </w:r>
      <w:r w:rsidR="0038281E">
        <w:t>. The Supervised method is based on labelling univariate or multivariate observations with normal and abnormal tags. This method ne</w:t>
      </w:r>
      <w:r>
        <w:t xml:space="preserve">cessitates careful </w:t>
      </w:r>
      <w:r>
        <w:lastRenderedPageBreak/>
        <w:t xml:space="preserve">labelling of normal operations and dysfunctional modes by </w:t>
      </w:r>
      <w:r w:rsidR="0038281E">
        <w:t>the subject matter expert</w:t>
      </w:r>
      <w:r w:rsidR="004E6687">
        <w:t>.</w:t>
      </w:r>
      <w:r w:rsidR="0038281E">
        <w:t xml:space="preserve"> The </w:t>
      </w:r>
      <w:r w:rsidR="0049660C">
        <w:t xml:space="preserve">training process requires huge amounts of data and therefore supervised methods can be </w:t>
      </w:r>
      <w:r w:rsidR="0038281E">
        <w:t>time</w:t>
      </w:r>
      <w:r w:rsidR="0049660C">
        <w:t>-</w:t>
      </w:r>
      <w:r w:rsidR="0038281E">
        <w:t xml:space="preserve">consuming and laborious. Some examples of popular supervised machine learning methods </w:t>
      </w:r>
      <w:r w:rsidR="00CE4CE9">
        <w:t xml:space="preserve">for anomaly detection are </w:t>
      </w:r>
      <w:r w:rsidR="0038281E">
        <w:t>Decision Trees, Support Vector Machines, Random Forest, Linear Regression and Ensemble methods</w:t>
      </w:r>
      <w:r w:rsidR="0011665B">
        <w:t xml:space="preserve"> </w:t>
      </w:r>
      <w:r w:rsidR="00DE7E7F">
        <w:t>(</w:t>
      </w:r>
      <w:r w:rsidR="001F76F3" w:rsidRPr="00836370">
        <w:rPr>
          <w:color w:val="002060"/>
        </w:rPr>
        <w:t xml:space="preserve">Liu et al. </w:t>
      </w:r>
      <w:r w:rsidR="002116F8" w:rsidRPr="00836370">
        <w:rPr>
          <w:color w:val="002060"/>
        </w:rPr>
        <w:t>2013;</w:t>
      </w:r>
      <w:r w:rsidR="002116F8">
        <w:rPr>
          <w:color w:val="002060"/>
        </w:rPr>
        <w:t xml:space="preserve"> </w:t>
      </w:r>
      <w:r w:rsidR="002116F8" w:rsidRPr="00836370">
        <w:rPr>
          <w:color w:val="002060"/>
        </w:rPr>
        <w:t>Pennel et al. 2018</w:t>
      </w:r>
      <w:r w:rsidR="00324E11">
        <w:rPr>
          <w:color w:val="002060"/>
        </w:rPr>
        <w:t xml:space="preserve">; </w:t>
      </w:r>
      <w:r w:rsidR="00A32458" w:rsidRPr="00836370">
        <w:rPr>
          <w:color w:val="002060"/>
        </w:rPr>
        <w:t>Bogusl</w:t>
      </w:r>
      <w:r w:rsidR="00776841">
        <w:rPr>
          <w:color w:val="002060"/>
        </w:rPr>
        <w:t>a</w:t>
      </w:r>
      <w:r w:rsidR="00A32458" w:rsidRPr="00836370">
        <w:rPr>
          <w:color w:val="002060"/>
        </w:rPr>
        <w:t>wski et al. 2018</w:t>
      </w:r>
      <w:r w:rsidR="002116F8">
        <w:rPr>
          <w:color w:val="002060"/>
        </w:rPr>
        <w:t>)</w:t>
      </w:r>
      <w:r w:rsidR="0011665B">
        <w:rPr>
          <w:color w:val="002060"/>
        </w:rPr>
        <w:t>.</w:t>
      </w:r>
    </w:p>
    <w:p w14:paraId="21E13402" w14:textId="54C5E50A" w:rsidR="0038281E" w:rsidRDefault="0038281E" w:rsidP="00F77298">
      <w:pPr>
        <w:pStyle w:val="para1"/>
        <w:spacing w:line="480" w:lineRule="auto"/>
      </w:pPr>
      <w:r>
        <w:t xml:space="preserve">The unsupervised method </w:t>
      </w:r>
      <w:r w:rsidR="0049660C">
        <w:t xml:space="preserve">works with unlabeled </w:t>
      </w:r>
      <w:r>
        <w:t>data</w:t>
      </w:r>
      <w:r w:rsidR="00A16F93">
        <w:t>.</w:t>
      </w:r>
      <w:r>
        <w:t xml:space="preserve"> </w:t>
      </w:r>
      <w:r w:rsidR="00CE4CE9">
        <w:t>A</w:t>
      </w:r>
      <w:r>
        <w:t xml:space="preserve">nomalies </w:t>
      </w:r>
      <w:r w:rsidR="00CE4CE9">
        <w:t xml:space="preserve">are reported for data points that are far away using some distance-metric from the majority of the points. However, this method still necessitates human intervention to avoid reporting false positives. </w:t>
      </w:r>
      <w:r>
        <w:t>Some examples of such unsupervised methods for anomaly detection are K-means clustering, Isolation Forests and Principal Component Analysis</w:t>
      </w:r>
      <w:r w:rsidR="00726CDD" w:rsidRPr="00905EA4">
        <w:rPr>
          <w:color w:val="002060"/>
        </w:rPr>
        <w:t xml:space="preserve"> (Gupta et al. 2016</w:t>
      </w:r>
      <w:r w:rsidR="00B96DD0">
        <w:rPr>
          <w:color w:val="002060"/>
        </w:rPr>
        <w:t>;</w:t>
      </w:r>
      <w:r w:rsidR="00AC0570">
        <w:rPr>
          <w:color w:val="002060"/>
        </w:rPr>
        <w:t xml:space="preserve"> Cadei </w:t>
      </w:r>
      <w:r w:rsidR="00BE4267">
        <w:rPr>
          <w:color w:val="002060"/>
        </w:rPr>
        <w:t>et al. 2020)</w:t>
      </w:r>
      <w:r w:rsidR="00E87163">
        <w:rPr>
          <w:color w:val="002060"/>
        </w:rPr>
        <w:t>.</w:t>
      </w:r>
    </w:p>
    <w:p w14:paraId="01382214" w14:textId="7C604444" w:rsidR="0005570D" w:rsidRPr="00955AC7" w:rsidRDefault="0038281E" w:rsidP="00F77298">
      <w:pPr>
        <w:pStyle w:val="para1"/>
        <w:spacing w:line="480" w:lineRule="auto"/>
      </w:pPr>
      <w:r w:rsidRPr="00955AC7">
        <w:t xml:space="preserve">Deep </w:t>
      </w:r>
      <w:r w:rsidR="00CE4CE9">
        <w:t>l</w:t>
      </w:r>
      <w:r w:rsidRPr="00955AC7">
        <w:t xml:space="preserve">earning methods are </w:t>
      </w:r>
      <w:r w:rsidR="00CE4CE9">
        <w:t xml:space="preserve">extensions of machine learning algorithms which are designed to </w:t>
      </w:r>
      <w:r w:rsidRPr="00955AC7">
        <w:t xml:space="preserve">discover complex data structures or patterns which can then be used for anomaly detection. Deep </w:t>
      </w:r>
      <w:r w:rsidR="00CE4CE9">
        <w:t>l</w:t>
      </w:r>
      <w:r w:rsidRPr="00955AC7">
        <w:t xml:space="preserve">earning algorithms </w:t>
      </w:r>
      <w:r w:rsidR="00CE4CE9">
        <w:t xml:space="preserve">have proven to be popular for </w:t>
      </w:r>
      <w:r w:rsidRPr="00955AC7">
        <w:t>anomaly detection</w:t>
      </w:r>
      <w:r w:rsidR="00CE4CE9">
        <w:t xml:space="preserve"> in the oil industry</w:t>
      </w:r>
      <w:r w:rsidRPr="00955AC7">
        <w:t xml:space="preserve"> </w:t>
      </w:r>
      <w:r w:rsidR="00BA031D">
        <w:rPr>
          <w:rFonts w:eastAsiaTheme="minorHAnsi"/>
          <w:color w:val="002060"/>
          <w:szCs w:val="24"/>
        </w:rPr>
        <w:t>(</w:t>
      </w:r>
      <w:r w:rsidRPr="00C661C3">
        <w:rPr>
          <w:rFonts w:eastAsiaTheme="minorHAnsi"/>
          <w:color w:val="002060"/>
          <w:szCs w:val="24"/>
        </w:rPr>
        <w:t>Yan and Yu</w:t>
      </w:r>
      <w:r w:rsidR="00BA031D">
        <w:rPr>
          <w:rFonts w:eastAsiaTheme="minorHAnsi"/>
          <w:color w:val="002060"/>
          <w:szCs w:val="24"/>
        </w:rPr>
        <w:t xml:space="preserve"> </w:t>
      </w:r>
      <w:r w:rsidRPr="00C661C3">
        <w:rPr>
          <w:rFonts w:eastAsiaTheme="minorHAnsi"/>
          <w:color w:val="002060"/>
          <w:szCs w:val="24"/>
        </w:rPr>
        <w:t>2015</w:t>
      </w:r>
      <w:r w:rsidR="00B65694">
        <w:rPr>
          <w:rFonts w:eastAsiaTheme="minorHAnsi"/>
          <w:color w:val="002060"/>
          <w:szCs w:val="24"/>
        </w:rPr>
        <w:t>)</w:t>
      </w:r>
      <w:r w:rsidRPr="00955AC7">
        <w:t xml:space="preserve">. </w:t>
      </w:r>
      <w:r w:rsidR="007E7F95">
        <w:t>Here,</w:t>
      </w:r>
      <w:r w:rsidRPr="00955AC7">
        <w:t xml:space="preserve"> I discuss some of recent applications of anomaly detection specific to the </w:t>
      </w:r>
      <w:r w:rsidR="00CE4CE9">
        <w:t>o</w:t>
      </w:r>
      <w:r w:rsidRPr="00955AC7">
        <w:t xml:space="preserve">il and </w:t>
      </w:r>
      <w:r w:rsidR="00CE4CE9">
        <w:t>g</w:t>
      </w:r>
      <w:r w:rsidRPr="00955AC7">
        <w:t>as industry.</w:t>
      </w:r>
    </w:p>
    <w:p w14:paraId="496349E5" w14:textId="1A676DE8" w:rsidR="00C840E0" w:rsidRDefault="0038281E" w:rsidP="00F77298">
      <w:pPr>
        <w:pStyle w:val="para1"/>
        <w:spacing w:line="480" w:lineRule="auto"/>
      </w:pPr>
      <w:r w:rsidRPr="00955AC7">
        <w:t xml:space="preserve">An application of anomaly detection </w:t>
      </w:r>
      <w:r w:rsidR="00CE4CE9">
        <w:t xml:space="preserve">for power plants flags abnormal operating modes for </w:t>
      </w:r>
      <w:r w:rsidRPr="00955AC7">
        <w:t xml:space="preserve">gas turbines. </w:t>
      </w:r>
      <w:r w:rsidRPr="00C661C3">
        <w:rPr>
          <w:rFonts w:eastAsiaTheme="minorHAnsi"/>
          <w:color w:val="002060"/>
          <w:szCs w:val="24"/>
        </w:rPr>
        <w:t xml:space="preserve">Yan and Yu </w:t>
      </w:r>
      <w:r w:rsidR="00B65694">
        <w:rPr>
          <w:rFonts w:eastAsiaTheme="minorHAnsi"/>
          <w:color w:val="002060"/>
          <w:szCs w:val="24"/>
        </w:rPr>
        <w:t>(</w:t>
      </w:r>
      <w:r w:rsidRPr="00C661C3">
        <w:rPr>
          <w:rFonts w:eastAsiaTheme="minorHAnsi"/>
          <w:color w:val="002060"/>
          <w:szCs w:val="24"/>
        </w:rPr>
        <w:t>2015</w:t>
      </w:r>
      <w:r w:rsidR="00B65694">
        <w:rPr>
          <w:rFonts w:eastAsiaTheme="minorHAnsi"/>
          <w:color w:val="002060"/>
          <w:szCs w:val="24"/>
        </w:rPr>
        <w:t>)</w:t>
      </w:r>
      <w:r w:rsidRPr="00955AC7">
        <w:t xml:space="preserve"> build an unsupervised deep learning model designed to detect </w:t>
      </w:r>
      <w:r w:rsidR="00CE4CE9">
        <w:t>dysfunction in the</w:t>
      </w:r>
      <w:r w:rsidRPr="00955AC7">
        <w:t xml:space="preserve"> gas combustion process </w:t>
      </w:r>
      <w:r w:rsidR="00CE4CE9">
        <w:t>using</w:t>
      </w:r>
      <w:r w:rsidRPr="00955AC7">
        <w:t xml:space="preserve"> a stacked denoising autoencoder (SDAE) for feature learning and a Neural Network classifier</w:t>
      </w:r>
      <w:r w:rsidR="002741CE">
        <w:t xml:space="preserve"> called Extreme Learning Machine (ELM)</w:t>
      </w:r>
      <w:r w:rsidRPr="00955AC7">
        <w:t xml:space="preserve"> for detecting anomalies</w:t>
      </w:r>
      <w:r w:rsidR="00CE4CE9">
        <w:t xml:space="preserve">. </w:t>
      </w:r>
      <w:r w:rsidRPr="00955AC7">
        <w:t xml:space="preserve"> </w:t>
      </w:r>
    </w:p>
    <w:p w14:paraId="1241330D" w14:textId="0B53CE0F" w:rsidR="00CD7AD6" w:rsidRDefault="00C840E0" w:rsidP="007E6008">
      <w:pPr>
        <w:pStyle w:val="para1"/>
        <w:spacing w:line="480" w:lineRule="auto"/>
      </w:pPr>
      <w:r w:rsidRPr="00C661C3">
        <w:rPr>
          <w:rFonts w:eastAsiaTheme="minorHAnsi"/>
          <w:color w:val="002060"/>
          <w:szCs w:val="24"/>
        </w:rPr>
        <w:t xml:space="preserve">Marti et al. </w:t>
      </w:r>
      <w:r w:rsidR="00B65694">
        <w:rPr>
          <w:rFonts w:eastAsiaTheme="minorHAnsi"/>
          <w:color w:val="002060"/>
          <w:szCs w:val="24"/>
        </w:rPr>
        <w:t>(</w:t>
      </w:r>
      <w:r w:rsidRPr="00C661C3">
        <w:rPr>
          <w:rFonts w:eastAsiaTheme="minorHAnsi"/>
          <w:color w:val="002060"/>
          <w:szCs w:val="24"/>
        </w:rPr>
        <w:t>2015</w:t>
      </w:r>
      <w:r w:rsidR="00B65694">
        <w:rPr>
          <w:rFonts w:eastAsiaTheme="minorHAnsi"/>
          <w:color w:val="002060"/>
          <w:szCs w:val="24"/>
        </w:rPr>
        <w:t>)</w:t>
      </w:r>
      <w:r w:rsidRPr="00955AC7">
        <w:t xml:space="preserve"> discuss anomaly detection for oil platform turbomachines used at the rig site. High speed turbomachines which generate power near the well head are equipped with multiple sensors </w:t>
      </w:r>
      <w:r w:rsidR="00CE4CE9">
        <w:t>to</w:t>
      </w:r>
      <w:r w:rsidR="00CE4CE9" w:rsidRPr="00955AC7">
        <w:t xml:space="preserve"> </w:t>
      </w:r>
      <w:r w:rsidRPr="00955AC7">
        <w:t xml:space="preserve">monitor performance. The authors also describe this as a </w:t>
      </w:r>
      <w:r w:rsidR="00CE4CE9">
        <w:t>b</w:t>
      </w:r>
      <w:r w:rsidRPr="00955AC7">
        <w:t xml:space="preserve">ig </w:t>
      </w:r>
      <w:r w:rsidR="00CE4CE9">
        <w:t>d</w:t>
      </w:r>
      <w:r w:rsidRPr="00955AC7">
        <w:t xml:space="preserve">ata problem because the </w:t>
      </w:r>
      <w:r w:rsidRPr="00955AC7">
        <w:lastRenderedPageBreak/>
        <w:t>sensors provide more than 43 million measurements daily.</w:t>
      </w:r>
      <w:r w:rsidR="00CE4CE9">
        <w:t xml:space="preserve"> T</w:t>
      </w:r>
      <w:r w:rsidRPr="00955AC7">
        <w:t>hey use a low computational segmentation method along with an unsupervised one-class super vector machine classifier (SVM) to detect anomalies in the turbomachines. One-class SVM classifier assumes that all the training data belong</w:t>
      </w:r>
      <w:r w:rsidR="00AD2166">
        <w:t>s</w:t>
      </w:r>
      <w:r w:rsidRPr="00955AC7">
        <w:t xml:space="preserve"> to one label or class. The model uses the data to learn a boundary such that the normal data points are separated from the abnormal ones. Any data point which lies outside the boundary is considered an anomaly </w:t>
      </w:r>
      <w:r w:rsidR="007E0A81">
        <w:rPr>
          <w:rFonts w:eastAsiaTheme="minorHAnsi"/>
          <w:color w:val="002060"/>
          <w:szCs w:val="24"/>
        </w:rPr>
        <w:t>(</w:t>
      </w:r>
      <w:r w:rsidRPr="00B4034C">
        <w:rPr>
          <w:rFonts w:eastAsiaTheme="minorHAnsi"/>
          <w:color w:val="002060"/>
          <w:szCs w:val="24"/>
        </w:rPr>
        <w:t>Marti et al. 2015</w:t>
      </w:r>
      <w:r w:rsidR="00B65694">
        <w:rPr>
          <w:rFonts w:eastAsiaTheme="minorHAnsi"/>
          <w:color w:val="002060"/>
          <w:szCs w:val="24"/>
        </w:rPr>
        <w:t>)</w:t>
      </w:r>
      <w:r w:rsidRPr="00955AC7">
        <w:t>.</w:t>
      </w:r>
    </w:p>
    <w:p w14:paraId="06F8828D" w14:textId="3B8BE675" w:rsidR="0038281E" w:rsidRDefault="0038281E" w:rsidP="00F77298">
      <w:pPr>
        <w:pStyle w:val="para1"/>
        <w:spacing w:line="480" w:lineRule="auto"/>
      </w:pPr>
      <w:r w:rsidRPr="008F40FE">
        <w:rPr>
          <w:rFonts w:eastAsiaTheme="minorHAnsi"/>
          <w:color w:val="002060"/>
          <w:szCs w:val="24"/>
        </w:rPr>
        <w:t xml:space="preserve">Sidahmed </w:t>
      </w:r>
      <w:r w:rsidR="00A42F7D">
        <w:rPr>
          <w:rFonts w:eastAsiaTheme="minorHAnsi"/>
          <w:color w:val="002060"/>
          <w:szCs w:val="24"/>
        </w:rPr>
        <w:t>and Bailey</w:t>
      </w:r>
      <w:r w:rsidRPr="008F40FE">
        <w:rPr>
          <w:rFonts w:eastAsiaTheme="minorHAnsi"/>
          <w:color w:val="002060"/>
          <w:szCs w:val="24"/>
        </w:rPr>
        <w:t xml:space="preserve"> </w:t>
      </w:r>
      <w:r w:rsidR="00B65694">
        <w:rPr>
          <w:rFonts w:eastAsiaTheme="minorHAnsi"/>
          <w:color w:val="002060"/>
          <w:szCs w:val="24"/>
        </w:rPr>
        <w:t>(</w:t>
      </w:r>
      <w:r w:rsidRPr="008F40FE">
        <w:rPr>
          <w:rFonts w:eastAsiaTheme="minorHAnsi"/>
          <w:color w:val="002060"/>
          <w:szCs w:val="24"/>
        </w:rPr>
        <w:t>2016</w:t>
      </w:r>
      <w:r w:rsidR="00B65694">
        <w:rPr>
          <w:rFonts w:eastAsiaTheme="minorHAnsi"/>
          <w:color w:val="002060"/>
          <w:szCs w:val="24"/>
        </w:rPr>
        <w:t>)</w:t>
      </w:r>
      <w:r>
        <w:t xml:space="preserve"> develop an anomaly detection approach based on sliding windows to detect sand entry events into the wellbore. They take acoustic signal measurements and reconstruct them into a new signal using an unsupervised deep-learning model. The reconstructed signal error rate is then used with a selected threshold to detect anomalous events in the system. They also examine these events using a probabilistic Finite Gaussian Mixture model for clustering the observations into normal and abnormal events. </w:t>
      </w:r>
      <w:r w:rsidRPr="008F40FE">
        <w:rPr>
          <w:rFonts w:eastAsiaTheme="minorHAnsi"/>
          <w:color w:val="002060"/>
          <w:szCs w:val="24"/>
        </w:rPr>
        <w:t xml:space="preserve">Romanenkova et al. </w:t>
      </w:r>
      <w:r w:rsidR="00A54C59">
        <w:rPr>
          <w:rFonts w:eastAsiaTheme="minorHAnsi"/>
          <w:color w:val="002060"/>
          <w:szCs w:val="24"/>
        </w:rPr>
        <w:t>(</w:t>
      </w:r>
      <w:r w:rsidRPr="008F40FE">
        <w:rPr>
          <w:rFonts w:eastAsiaTheme="minorHAnsi"/>
          <w:color w:val="002060"/>
          <w:szCs w:val="24"/>
        </w:rPr>
        <w:t>2019</w:t>
      </w:r>
      <w:r w:rsidR="00A54C59">
        <w:rPr>
          <w:rFonts w:eastAsiaTheme="minorHAnsi"/>
          <w:color w:val="002060"/>
          <w:szCs w:val="24"/>
        </w:rPr>
        <w:t>)</w:t>
      </w:r>
      <w:r>
        <w:t xml:space="preserve"> use a combination of machine learning and change point detection algorithm to detect rock type changes in North Western Siberian oil wells. They build a supervised classifier using Gradient Boosting Decision Trees to predict probabilities for the rock type corresponding to each drill bit position. This information is fed to a change point detection algorithm to detect changes in 2 rock types – the productive sand zone and non-productive shale zone. </w:t>
      </w:r>
    </w:p>
    <w:p w14:paraId="3B4335B6" w14:textId="2F8B305C" w:rsidR="00FC282D" w:rsidRDefault="0038281E" w:rsidP="00F77298">
      <w:pPr>
        <w:pStyle w:val="para1"/>
        <w:spacing w:line="480" w:lineRule="auto"/>
      </w:pPr>
      <w:r w:rsidRPr="008F40FE">
        <w:rPr>
          <w:rFonts w:eastAsiaTheme="minorHAnsi"/>
          <w:color w:val="002060"/>
          <w:szCs w:val="24"/>
        </w:rPr>
        <w:t xml:space="preserve">Gurina et al. </w:t>
      </w:r>
      <w:r w:rsidR="00A54C59">
        <w:rPr>
          <w:rFonts w:eastAsiaTheme="minorHAnsi"/>
          <w:color w:val="002060"/>
          <w:szCs w:val="24"/>
        </w:rPr>
        <w:t>(</w:t>
      </w:r>
      <w:r w:rsidRPr="008F40FE">
        <w:rPr>
          <w:rFonts w:eastAsiaTheme="minorHAnsi"/>
          <w:color w:val="002060"/>
          <w:szCs w:val="24"/>
        </w:rPr>
        <w:t>2019</w:t>
      </w:r>
      <w:r w:rsidR="00A54C59">
        <w:rPr>
          <w:rFonts w:eastAsiaTheme="minorHAnsi"/>
          <w:color w:val="002060"/>
          <w:szCs w:val="24"/>
        </w:rPr>
        <w:t>)</w:t>
      </w:r>
      <w:r>
        <w:t xml:space="preserve"> demonstrate an anomaly detection method applied to directional drilling data accidents like stuck pipe, drill string wash outs, mud loss and fluid shows. They compare</w:t>
      </w:r>
      <w:r w:rsidR="0078303C">
        <w:t xml:space="preserve"> measuring while drilling (MWD)</w:t>
      </w:r>
      <w:r>
        <w:t xml:space="preserve"> data in a 2-hour time windows of a test well with another 2-hour time window of a pre-existing well from a database of MWD drilling accidents history records. For each time window, sample statistics are calculated. These aggregated statistics are then fed to a gradient boosting classification model which computes a similarity score for the two classes of </w:t>
      </w:r>
      <w:r>
        <w:lastRenderedPageBreak/>
        <w:t xml:space="preserve">wells. If the similarity score is higher than a certain assigned threshold value, then it is classified as a drilling accident. </w:t>
      </w:r>
    </w:p>
    <w:p w14:paraId="68A335FC" w14:textId="6771DC06" w:rsidR="0038281E" w:rsidRDefault="0038281E" w:rsidP="00F77298">
      <w:pPr>
        <w:pStyle w:val="para1"/>
        <w:spacing w:line="480" w:lineRule="auto"/>
      </w:pPr>
      <w:r w:rsidRPr="008F40FE">
        <w:rPr>
          <w:rFonts w:eastAsiaTheme="minorHAnsi"/>
          <w:color w:val="002060"/>
          <w:szCs w:val="24"/>
        </w:rPr>
        <w:t xml:space="preserve">Kuesters et al. </w:t>
      </w:r>
      <w:r w:rsidR="00A54C59">
        <w:rPr>
          <w:rFonts w:eastAsiaTheme="minorHAnsi"/>
          <w:color w:val="002060"/>
          <w:szCs w:val="24"/>
        </w:rPr>
        <w:t>(</w:t>
      </w:r>
      <w:r w:rsidRPr="008F40FE">
        <w:rPr>
          <w:rFonts w:eastAsiaTheme="minorHAnsi"/>
          <w:color w:val="002060"/>
          <w:szCs w:val="24"/>
        </w:rPr>
        <w:t>2020</w:t>
      </w:r>
      <w:r w:rsidR="00A54C59">
        <w:rPr>
          <w:rFonts w:eastAsiaTheme="minorHAnsi"/>
          <w:color w:val="002060"/>
          <w:szCs w:val="24"/>
        </w:rPr>
        <w:t>)</w:t>
      </w:r>
      <w:r>
        <w:t xml:space="preserve"> apply another change point detection algorithm for drill string washout prevention. Typically, a pressure change is observed when there is a drill string washout. If the washout condition is not identified early, then there could be potential twist-off in the drill string. Therefore, detection of </w:t>
      </w:r>
      <w:r w:rsidR="008F4866">
        <w:t xml:space="preserve">the </w:t>
      </w:r>
      <w:r>
        <w:t xml:space="preserve">start </w:t>
      </w:r>
      <w:r w:rsidR="008F4866">
        <w:t xml:space="preserve">to a </w:t>
      </w:r>
      <w:r>
        <w:t>washout is necessary so the drill string can be retrieved without severe damage. The variables used here were pump pressure and flow rate. In this study, the authors successfully used a change point algorithm based on the difference between the Z scores</w:t>
      </w:r>
      <w:r w:rsidR="006840B3">
        <w:t>.</w:t>
      </w:r>
      <w:r w:rsidR="00653768">
        <w:t xml:space="preserve"> </w:t>
      </w:r>
      <w:r w:rsidR="006840B3">
        <w:t xml:space="preserve">First </w:t>
      </w:r>
      <w:r w:rsidR="009240EA">
        <w:t>Z score</w:t>
      </w:r>
      <w:r w:rsidR="00B20D7F">
        <w:t xml:space="preserve"> </w:t>
      </w:r>
      <w:r w:rsidR="009240EA">
        <w:t xml:space="preserve">is </w:t>
      </w:r>
      <w:r>
        <w:t>computed f</w:t>
      </w:r>
      <w:r w:rsidR="00F67A8B">
        <w:t>or</w:t>
      </w:r>
      <w:r>
        <w:t xml:space="preserve"> a smaller window of data points leading </w:t>
      </w:r>
      <w:r w:rsidR="00005740">
        <w:t xml:space="preserve">up </w:t>
      </w:r>
      <w:r>
        <w:t xml:space="preserve">to the change and </w:t>
      </w:r>
      <w:r w:rsidR="0046447C">
        <w:t xml:space="preserve">a </w:t>
      </w:r>
      <w:r w:rsidR="00F67A8B">
        <w:t>second</w:t>
      </w:r>
      <w:r w:rsidR="00005740">
        <w:t xml:space="preserve"> Z score is computed for </w:t>
      </w:r>
      <w:r>
        <w:t xml:space="preserve">a wider window of data points leading </w:t>
      </w:r>
      <w:r w:rsidR="00473684">
        <w:t xml:space="preserve">up </w:t>
      </w:r>
      <w:r>
        <w:t xml:space="preserve">to the change point. If the difference </w:t>
      </w:r>
      <w:r w:rsidR="000A0AD1">
        <w:t xml:space="preserve">in the two </w:t>
      </w:r>
      <w:r w:rsidR="00AE53F4">
        <w:t xml:space="preserve">Z </w:t>
      </w:r>
      <w:r w:rsidR="000A0AD1">
        <w:t xml:space="preserve">scores </w:t>
      </w:r>
      <w:r>
        <w:t xml:space="preserve">goes beyond a fixed threshold, then it is </w:t>
      </w:r>
      <w:r w:rsidR="004377BB">
        <w:t xml:space="preserve">regarded as </w:t>
      </w:r>
      <w:r>
        <w:t>an anomaly.</w:t>
      </w:r>
    </w:p>
    <w:p w14:paraId="34D54250" w14:textId="1ED65FCB" w:rsidR="0038281E" w:rsidRDefault="0038281E" w:rsidP="00F77298">
      <w:pPr>
        <w:pStyle w:val="para1"/>
        <w:spacing w:line="480" w:lineRule="auto"/>
      </w:pPr>
      <w:r w:rsidRPr="008F40FE">
        <w:rPr>
          <w:rFonts w:eastAsiaTheme="minorHAnsi"/>
          <w:color w:val="002060"/>
          <w:szCs w:val="24"/>
        </w:rPr>
        <w:t xml:space="preserve">Saghir et al. </w:t>
      </w:r>
      <w:r w:rsidR="00923F35">
        <w:rPr>
          <w:rFonts w:eastAsiaTheme="minorHAnsi"/>
          <w:color w:val="002060"/>
          <w:szCs w:val="24"/>
        </w:rPr>
        <w:t>(</w:t>
      </w:r>
      <w:r w:rsidRPr="008F40FE">
        <w:rPr>
          <w:rFonts w:eastAsiaTheme="minorHAnsi"/>
          <w:color w:val="002060"/>
          <w:szCs w:val="24"/>
        </w:rPr>
        <w:t>2019</w:t>
      </w:r>
      <w:r w:rsidR="00923F35">
        <w:rPr>
          <w:rFonts w:eastAsiaTheme="minorHAnsi"/>
          <w:color w:val="002060"/>
          <w:szCs w:val="24"/>
        </w:rPr>
        <w:t>)</w:t>
      </w:r>
      <w:r>
        <w:t xml:space="preserve"> use time series data from Coal Seam wells and convert it into images to gauge abnormal Progressive Cavity Pump behaviors due to production of coal fines. This is accomplished through a Symbolic Aggregation Approximation (SAX) applied to the PCP time series for flow, speed and torque data. </w:t>
      </w:r>
      <w:r w:rsidR="008138DC">
        <w:t>C</w:t>
      </w:r>
      <w:r>
        <w:t xml:space="preserve">onversion in SAX is </w:t>
      </w:r>
      <w:r w:rsidR="008138DC">
        <w:t xml:space="preserve">the </w:t>
      </w:r>
      <w:r>
        <w:t xml:space="preserve">generation of symbols corresponding to the time series </w:t>
      </w:r>
      <w:r w:rsidR="008138DC">
        <w:t xml:space="preserve">followed by transformation of the symbols to heat maps. </w:t>
      </w:r>
      <w:r>
        <w:t xml:space="preserve">Each heat map corresponding to each variable (flow, speed and torque) is converted into a multivariate heat map with a 1 day-time window. </w:t>
      </w:r>
      <w:r w:rsidR="008138DC">
        <w:t>A</w:t>
      </w:r>
      <w:r>
        <w:t xml:space="preserve"> change in the shape and color of heat map corresponds to an anomaly for the PCP. </w:t>
      </w:r>
      <w:r w:rsidR="005D5E40">
        <w:t xml:space="preserve">An example of SAX </w:t>
      </w:r>
      <w:r w:rsidR="005D17F6">
        <w:t xml:space="preserve">heat maps is shown in </w:t>
      </w:r>
      <w:r w:rsidR="005D17F6" w:rsidRPr="00905EA4">
        <w:rPr>
          <w:b/>
          <w:bCs/>
        </w:rPr>
        <w:t xml:space="preserve">Fig. </w:t>
      </w:r>
      <w:r w:rsidR="00FE61AC">
        <w:rPr>
          <w:b/>
          <w:bCs/>
        </w:rPr>
        <w:t>1.</w:t>
      </w:r>
      <w:r w:rsidR="005D17F6" w:rsidRPr="00905EA4">
        <w:rPr>
          <w:b/>
          <w:bCs/>
        </w:rPr>
        <w:t>7</w:t>
      </w:r>
      <w:r w:rsidR="005D17F6">
        <w:t xml:space="preserve"> </w:t>
      </w:r>
      <w:r w:rsidR="0056003F">
        <w:rPr>
          <w:rFonts w:eastAsiaTheme="minorHAnsi"/>
          <w:color w:val="002060"/>
          <w:szCs w:val="24"/>
        </w:rPr>
        <w:t>(</w:t>
      </w:r>
      <w:r w:rsidR="005D17F6" w:rsidRPr="008F40FE">
        <w:rPr>
          <w:rFonts w:eastAsiaTheme="minorHAnsi"/>
          <w:color w:val="002060"/>
          <w:szCs w:val="24"/>
        </w:rPr>
        <w:t>Saghir et al. 2019</w:t>
      </w:r>
      <w:r w:rsidR="005D17F6">
        <w:rPr>
          <w:rFonts w:eastAsiaTheme="minorHAnsi"/>
          <w:color w:val="002060"/>
          <w:szCs w:val="24"/>
        </w:rPr>
        <w:t>)</w:t>
      </w:r>
      <w:r w:rsidR="005D17F6">
        <w:t xml:space="preserve">. </w:t>
      </w:r>
      <w:r>
        <w:t xml:space="preserve">They further use K-mean clustering to cluster and label the anomaly heat maps for each time series variable considered. </w:t>
      </w:r>
      <w:r w:rsidR="008138DC">
        <w:t xml:space="preserve">However, they could have easily accomplished anomaly detection using K-means directly. The motivation for using SAX is not presented. </w:t>
      </w:r>
    </w:p>
    <w:p w14:paraId="4349535E" w14:textId="77777777" w:rsidR="004E6687" w:rsidRDefault="00EC3C7B" w:rsidP="004E6687">
      <w:pPr>
        <w:pStyle w:val="para1"/>
        <w:keepNext/>
        <w:spacing w:line="480" w:lineRule="auto"/>
      </w:pPr>
      <w:r>
        <w:rPr>
          <w:noProof/>
        </w:rPr>
        <w:lastRenderedPageBreak/>
        <w:drawing>
          <wp:inline distT="0" distB="0" distL="0" distR="0" wp14:anchorId="783CF387" wp14:editId="0DDF9913">
            <wp:extent cx="5943600" cy="1426845"/>
            <wp:effectExtent l="0" t="0" r="0" b="190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426845"/>
                    </a:xfrm>
                    <a:prstGeom prst="rect">
                      <a:avLst/>
                    </a:prstGeom>
                  </pic:spPr>
                </pic:pic>
              </a:graphicData>
            </a:graphic>
          </wp:inline>
        </w:drawing>
      </w:r>
    </w:p>
    <w:p w14:paraId="0879B511" w14:textId="3B7AC17E" w:rsidR="00EC3C7B" w:rsidRDefault="004E6687" w:rsidP="00B646D7">
      <w:pPr>
        <w:pStyle w:val="Caption"/>
      </w:pPr>
      <w:bookmarkStart w:id="14" w:name="_Toc58667131"/>
      <w:r w:rsidRPr="004E6687">
        <w:rPr>
          <w:rFonts w:ascii="Arial" w:eastAsia="Times New Roman" w:hAnsi="Arial" w:cs="Times New Roman"/>
          <w:i w:val="0"/>
          <w:iCs w:val="0"/>
          <w:sz w:val="16"/>
          <w:szCs w:val="20"/>
        </w:rPr>
        <w:t xml:space="preserve">Fig. 1. </w:t>
      </w:r>
      <w:r w:rsidRPr="004E6687">
        <w:rPr>
          <w:rFonts w:ascii="Arial" w:eastAsia="Times New Roman" w:hAnsi="Arial" w:cs="Times New Roman"/>
          <w:i w:val="0"/>
          <w:iCs w:val="0"/>
          <w:sz w:val="16"/>
          <w:szCs w:val="20"/>
        </w:rPr>
        <w:fldChar w:fldCharType="begin"/>
      </w:r>
      <w:r w:rsidRPr="004E6687">
        <w:rPr>
          <w:rFonts w:ascii="Arial" w:eastAsia="Times New Roman" w:hAnsi="Arial" w:cs="Times New Roman"/>
          <w:i w:val="0"/>
          <w:iCs w:val="0"/>
          <w:sz w:val="16"/>
          <w:szCs w:val="20"/>
        </w:rPr>
        <w:instrText xml:space="preserve"> SEQ Fig._1. \* ARABIC </w:instrText>
      </w:r>
      <w:r w:rsidRPr="004E6687">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7</w:t>
      </w:r>
      <w:r w:rsidRPr="004E6687">
        <w:rPr>
          <w:rFonts w:ascii="Arial" w:eastAsia="Times New Roman" w:hAnsi="Arial" w:cs="Times New Roman"/>
          <w:i w:val="0"/>
          <w:iCs w:val="0"/>
          <w:sz w:val="16"/>
          <w:szCs w:val="20"/>
        </w:rPr>
        <w:fldChar w:fldCharType="end"/>
      </w:r>
      <w:r w:rsidR="00DF2DAA">
        <w:rPr>
          <w:rFonts w:ascii="Arial" w:eastAsia="Times New Roman" w:hAnsi="Arial" w:cs="Times New Roman"/>
          <w:i w:val="0"/>
          <w:iCs w:val="0"/>
          <w:sz w:val="16"/>
          <w:szCs w:val="20"/>
        </w:rPr>
        <w:t>—</w:t>
      </w:r>
      <w:r w:rsidRPr="00DC2B34">
        <w:rPr>
          <w:rFonts w:ascii="Arial" w:eastAsia="Times New Roman" w:hAnsi="Arial" w:cs="Times New Roman"/>
          <w:i w:val="0"/>
          <w:iCs w:val="0"/>
          <w:sz w:val="16"/>
          <w:szCs w:val="20"/>
        </w:rPr>
        <w:t xml:space="preserve">Example of a multivariate heat map </w:t>
      </w:r>
      <w:r>
        <w:rPr>
          <w:rFonts w:ascii="Arial" w:eastAsia="Times New Roman" w:hAnsi="Arial" w:cs="Times New Roman"/>
          <w:i w:val="0"/>
          <w:iCs w:val="0"/>
          <w:sz w:val="16"/>
          <w:szCs w:val="20"/>
        </w:rPr>
        <w:t>for</w:t>
      </w:r>
      <w:r w:rsidRPr="00DC2B34">
        <w:rPr>
          <w:rFonts w:ascii="Arial" w:eastAsia="Times New Roman" w:hAnsi="Arial" w:cs="Times New Roman"/>
          <w:i w:val="0"/>
          <w:iCs w:val="0"/>
          <w:sz w:val="16"/>
          <w:szCs w:val="20"/>
        </w:rPr>
        <w:t xml:space="preserve"> </w:t>
      </w:r>
      <w:r>
        <w:rPr>
          <w:rFonts w:ascii="Arial" w:eastAsia="Times New Roman" w:hAnsi="Arial" w:cs="Times New Roman"/>
          <w:i w:val="0"/>
          <w:iCs w:val="0"/>
          <w:sz w:val="16"/>
          <w:szCs w:val="20"/>
        </w:rPr>
        <w:t xml:space="preserve">PCP </w:t>
      </w:r>
      <w:r w:rsidRPr="00DC2B34">
        <w:rPr>
          <w:rFonts w:ascii="Arial" w:eastAsia="Times New Roman" w:hAnsi="Arial" w:cs="Times New Roman"/>
          <w:i w:val="0"/>
          <w:iCs w:val="0"/>
          <w:sz w:val="16"/>
          <w:szCs w:val="20"/>
        </w:rPr>
        <w:t xml:space="preserve">flow, speed and torque plotted over a period of 24 hours. Heat maps are shown for each 1-hour time window </w:t>
      </w:r>
      <w:r w:rsidRPr="009A3B09">
        <w:rPr>
          <w:rFonts w:ascii="Arial" w:eastAsia="Times New Roman" w:hAnsi="Arial" w:cs="Times New Roman"/>
          <w:i w:val="0"/>
          <w:iCs w:val="0"/>
          <w:sz w:val="16"/>
          <w:szCs w:val="20"/>
        </w:rPr>
        <w:t>(Saghir et al. 2019).</w:t>
      </w:r>
      <w:bookmarkEnd w:id="14"/>
    </w:p>
    <w:p w14:paraId="45C92263" w14:textId="59AF1DE8" w:rsidR="00A6154A" w:rsidRDefault="0038281E" w:rsidP="00F77298">
      <w:pPr>
        <w:pStyle w:val="para1"/>
        <w:spacing w:line="480" w:lineRule="auto"/>
      </w:pPr>
      <w:r>
        <w:t xml:space="preserve">For an oil and gas central processing facility which serves five production lines of multiphase flow, </w:t>
      </w:r>
      <w:r w:rsidRPr="008F40FE">
        <w:rPr>
          <w:rFonts w:eastAsiaTheme="minorHAnsi"/>
          <w:color w:val="002060"/>
          <w:szCs w:val="24"/>
        </w:rPr>
        <w:t>C</w:t>
      </w:r>
      <w:r w:rsidR="00442039" w:rsidRPr="008F40FE">
        <w:rPr>
          <w:rFonts w:eastAsiaTheme="minorHAnsi"/>
          <w:color w:val="002060"/>
          <w:szCs w:val="24"/>
        </w:rPr>
        <w:t>a</w:t>
      </w:r>
      <w:r w:rsidRPr="008F40FE">
        <w:rPr>
          <w:rFonts w:eastAsiaTheme="minorHAnsi"/>
          <w:color w:val="002060"/>
          <w:szCs w:val="24"/>
        </w:rPr>
        <w:t xml:space="preserve">dei et al. </w:t>
      </w:r>
      <w:r w:rsidR="00923F35">
        <w:rPr>
          <w:rFonts w:eastAsiaTheme="minorHAnsi"/>
          <w:color w:val="002060"/>
          <w:szCs w:val="24"/>
        </w:rPr>
        <w:t>(</w:t>
      </w:r>
      <w:r w:rsidRPr="008F40FE">
        <w:rPr>
          <w:rFonts w:eastAsiaTheme="minorHAnsi"/>
          <w:color w:val="002060"/>
          <w:szCs w:val="24"/>
        </w:rPr>
        <w:t>20</w:t>
      </w:r>
      <w:r w:rsidR="004D79D6">
        <w:rPr>
          <w:rFonts w:eastAsiaTheme="minorHAnsi"/>
          <w:color w:val="002060"/>
          <w:szCs w:val="24"/>
        </w:rPr>
        <w:t>20</w:t>
      </w:r>
      <w:r w:rsidR="00923F35">
        <w:rPr>
          <w:rFonts w:eastAsiaTheme="minorHAnsi"/>
          <w:color w:val="002060"/>
          <w:szCs w:val="24"/>
        </w:rPr>
        <w:t>)</w:t>
      </w:r>
      <w:r>
        <w:t xml:space="preserve"> develop an anomaly detection method using plant sensor data. </w:t>
      </w:r>
      <w:r w:rsidR="004D492C" w:rsidRPr="00DC6941">
        <w:rPr>
          <w:b/>
          <w:bCs/>
        </w:rPr>
        <w:t>Fig.</w:t>
      </w:r>
      <w:r w:rsidR="00FA5702">
        <w:rPr>
          <w:b/>
          <w:bCs/>
        </w:rPr>
        <w:t xml:space="preserve"> 1.</w:t>
      </w:r>
      <w:r w:rsidR="00264ED7">
        <w:rPr>
          <w:b/>
          <w:bCs/>
        </w:rPr>
        <w:t>8</w:t>
      </w:r>
      <w:r w:rsidR="00A47678">
        <w:t xml:space="preserve"> </w:t>
      </w:r>
      <w:r w:rsidR="004D492C">
        <w:t xml:space="preserve">shows the architecture </w:t>
      </w:r>
      <w:r w:rsidR="00306799">
        <w:t xml:space="preserve">of their digital oil field connecting field sensors to </w:t>
      </w:r>
      <w:r w:rsidR="00DC6941">
        <w:t>the data center for monitoring and reporting</w:t>
      </w:r>
      <w:r w:rsidR="00DD499B">
        <w:t xml:space="preserve">. </w:t>
      </w:r>
      <w:r>
        <w:t xml:space="preserve">Plant sensors </w:t>
      </w:r>
      <w:r w:rsidR="008138DC">
        <w:t>ar</w:t>
      </w:r>
      <w:r>
        <w:t>e flowmeters, pressure and temperature transmitters</w:t>
      </w:r>
      <w:r w:rsidR="008138DC">
        <w:t xml:space="preserve"> fed to an </w:t>
      </w:r>
      <w:r>
        <w:t xml:space="preserve">unsupervised Isolation forest algorithm and a trained Ridge regression model to predict anomalies in the future. </w:t>
      </w:r>
      <w:r w:rsidRPr="008F40FE">
        <w:rPr>
          <w:rFonts w:eastAsiaTheme="minorHAnsi"/>
          <w:color w:val="002060"/>
          <w:szCs w:val="24"/>
        </w:rPr>
        <w:t xml:space="preserve">Akinsete </w:t>
      </w:r>
      <w:r w:rsidR="00825927">
        <w:rPr>
          <w:rFonts w:eastAsiaTheme="minorHAnsi"/>
          <w:color w:val="002060"/>
          <w:szCs w:val="24"/>
        </w:rPr>
        <w:t xml:space="preserve">and </w:t>
      </w:r>
      <w:r w:rsidR="00825927" w:rsidRPr="00825927">
        <w:rPr>
          <w:rFonts w:eastAsiaTheme="minorHAnsi"/>
          <w:color w:val="002060"/>
          <w:szCs w:val="24"/>
        </w:rPr>
        <w:t>Oshingbesan</w:t>
      </w:r>
      <w:r w:rsidR="00825927">
        <w:rPr>
          <w:rFonts w:eastAsiaTheme="minorHAnsi"/>
          <w:color w:val="002060"/>
          <w:szCs w:val="24"/>
        </w:rPr>
        <w:t xml:space="preserve"> </w:t>
      </w:r>
      <w:r w:rsidR="00923F35">
        <w:rPr>
          <w:rFonts w:eastAsiaTheme="minorHAnsi"/>
          <w:color w:val="002060"/>
          <w:szCs w:val="24"/>
        </w:rPr>
        <w:t>(</w:t>
      </w:r>
      <w:r w:rsidRPr="008F40FE">
        <w:rPr>
          <w:rFonts w:eastAsiaTheme="minorHAnsi"/>
          <w:color w:val="002060"/>
          <w:szCs w:val="24"/>
        </w:rPr>
        <w:t>2019</w:t>
      </w:r>
      <w:r w:rsidR="00923F35">
        <w:rPr>
          <w:rFonts w:eastAsiaTheme="minorHAnsi"/>
          <w:color w:val="002060"/>
          <w:szCs w:val="24"/>
        </w:rPr>
        <w:t>)</w:t>
      </w:r>
      <w:r w:rsidR="00CF5D87" w:rsidRPr="00CF5D87">
        <w:rPr>
          <w:rFonts w:eastAsiaTheme="minorHAnsi"/>
          <w:color w:val="002060"/>
          <w:szCs w:val="24"/>
        </w:rPr>
        <w:t xml:space="preserve"> </w:t>
      </w:r>
      <w:r>
        <w:t>detect natural gas pipeline leaks using 5 different models including Random Forests, Decision Trees, Support Vector Machines, Gradient Boosting and Artificial Neural Networks. Each of the model predicts the flow rate based on operational parameters. The authors define a leak index formula which is dependent on the number of flowrate residuals. There is a pipe leak if the leak index is over a predefined threshold based on Mean Absolute Errors from the model. They observe that Random Forests and Decision Trees models are the most sensitive to detect leaks in pipelines.</w:t>
      </w:r>
    </w:p>
    <w:p w14:paraId="3349F04C" w14:textId="77777777" w:rsidR="007952D3" w:rsidRDefault="007952D3" w:rsidP="00F77298">
      <w:pPr>
        <w:pStyle w:val="para1"/>
        <w:spacing w:line="480" w:lineRule="auto"/>
      </w:pPr>
    </w:p>
    <w:p w14:paraId="34ADCDCF" w14:textId="77777777" w:rsidR="00FA5702" w:rsidRDefault="00A6154A" w:rsidP="00FA5702">
      <w:pPr>
        <w:pStyle w:val="para1"/>
        <w:keepNext/>
        <w:spacing w:line="480" w:lineRule="auto"/>
        <w:jc w:val="center"/>
      </w:pPr>
      <w:r>
        <w:rPr>
          <w:noProof/>
        </w:rPr>
        <w:lastRenderedPageBreak/>
        <w:drawing>
          <wp:inline distT="0" distB="0" distL="0" distR="0" wp14:anchorId="70D6D459" wp14:editId="21E0BFEF">
            <wp:extent cx="6074508" cy="31527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89768" cy="3160695"/>
                    </a:xfrm>
                    <a:prstGeom prst="rect">
                      <a:avLst/>
                    </a:prstGeom>
                  </pic:spPr>
                </pic:pic>
              </a:graphicData>
            </a:graphic>
          </wp:inline>
        </w:drawing>
      </w:r>
    </w:p>
    <w:p w14:paraId="54BAA4B6" w14:textId="6B8F2728" w:rsidR="00FA5702" w:rsidRPr="009A3B09" w:rsidRDefault="00FA5702" w:rsidP="00FA5702">
      <w:pPr>
        <w:pStyle w:val="Caption"/>
        <w:rPr>
          <w:rFonts w:ascii="Arial" w:eastAsia="Times New Roman" w:hAnsi="Arial" w:cs="Times New Roman"/>
          <w:i w:val="0"/>
          <w:iCs w:val="0"/>
          <w:sz w:val="16"/>
          <w:szCs w:val="20"/>
        </w:rPr>
      </w:pPr>
      <w:bookmarkStart w:id="15" w:name="_Toc58667132"/>
      <w:r w:rsidRPr="00FA5702">
        <w:rPr>
          <w:rFonts w:ascii="Arial" w:eastAsia="Times New Roman" w:hAnsi="Arial" w:cs="Times New Roman"/>
          <w:i w:val="0"/>
          <w:iCs w:val="0"/>
          <w:sz w:val="16"/>
          <w:szCs w:val="20"/>
        </w:rPr>
        <w:t xml:space="preserve">Fig. 1. </w:t>
      </w:r>
      <w:r w:rsidRPr="00FA5702">
        <w:rPr>
          <w:rFonts w:ascii="Arial" w:eastAsia="Times New Roman" w:hAnsi="Arial" w:cs="Times New Roman"/>
          <w:i w:val="0"/>
          <w:iCs w:val="0"/>
          <w:sz w:val="16"/>
          <w:szCs w:val="20"/>
        </w:rPr>
        <w:fldChar w:fldCharType="begin"/>
      </w:r>
      <w:r w:rsidRPr="00FA5702">
        <w:rPr>
          <w:rFonts w:ascii="Arial" w:eastAsia="Times New Roman" w:hAnsi="Arial" w:cs="Times New Roman"/>
          <w:i w:val="0"/>
          <w:iCs w:val="0"/>
          <w:sz w:val="16"/>
          <w:szCs w:val="20"/>
        </w:rPr>
        <w:instrText xml:space="preserve"> SEQ Fig._1. \* ARABIC </w:instrText>
      </w:r>
      <w:r w:rsidRPr="00FA5702">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8</w:t>
      </w:r>
      <w:r w:rsidRPr="00FA5702">
        <w:rPr>
          <w:rFonts w:ascii="Arial" w:eastAsia="Times New Roman" w:hAnsi="Arial" w:cs="Times New Roman"/>
          <w:i w:val="0"/>
          <w:iCs w:val="0"/>
          <w:sz w:val="16"/>
          <w:szCs w:val="20"/>
        </w:rPr>
        <w:fldChar w:fldCharType="end"/>
      </w:r>
      <w:r w:rsidR="00DF2DAA">
        <w:rPr>
          <w:rFonts w:ascii="Arial" w:eastAsia="Times New Roman" w:hAnsi="Arial" w:cs="Times New Roman"/>
          <w:i w:val="0"/>
          <w:iCs w:val="0"/>
          <w:sz w:val="16"/>
          <w:szCs w:val="20"/>
        </w:rPr>
        <w:t>—</w:t>
      </w:r>
      <w:r w:rsidRPr="0037037A">
        <w:rPr>
          <w:rFonts w:ascii="Arial" w:eastAsia="Times New Roman" w:hAnsi="Arial" w:cs="Times New Roman"/>
          <w:i w:val="0"/>
          <w:iCs w:val="0"/>
          <w:sz w:val="16"/>
          <w:szCs w:val="20"/>
        </w:rPr>
        <w:t xml:space="preserve">Example of the architecture in a digital oil field </w:t>
      </w:r>
      <w:r w:rsidRPr="009A3B09">
        <w:rPr>
          <w:rFonts w:ascii="Arial" w:eastAsia="Times New Roman" w:hAnsi="Arial" w:cs="Times New Roman"/>
          <w:i w:val="0"/>
          <w:iCs w:val="0"/>
          <w:sz w:val="16"/>
          <w:szCs w:val="20"/>
        </w:rPr>
        <w:t>(Cadei et al.</w:t>
      </w:r>
      <w:r w:rsidRPr="009A3B09" w:rsidDel="00C61374">
        <w:rPr>
          <w:rFonts w:ascii="Arial" w:eastAsia="Times New Roman" w:hAnsi="Arial" w:cs="Times New Roman"/>
          <w:i w:val="0"/>
          <w:iCs w:val="0"/>
          <w:sz w:val="16"/>
          <w:szCs w:val="20"/>
        </w:rPr>
        <w:t xml:space="preserve"> </w:t>
      </w:r>
      <w:r w:rsidRPr="009A3B09">
        <w:rPr>
          <w:rFonts w:ascii="Arial" w:eastAsia="Times New Roman" w:hAnsi="Arial" w:cs="Times New Roman"/>
          <w:i w:val="0"/>
          <w:iCs w:val="0"/>
          <w:sz w:val="16"/>
          <w:szCs w:val="20"/>
        </w:rPr>
        <w:t>2020).</w:t>
      </w:r>
      <w:bookmarkEnd w:id="15"/>
    </w:p>
    <w:p w14:paraId="55489CFC" w14:textId="59821240" w:rsidR="00BD76A3" w:rsidRDefault="002A6A8B" w:rsidP="00F77298">
      <w:pPr>
        <w:pStyle w:val="para1"/>
        <w:spacing w:line="480" w:lineRule="auto"/>
      </w:pPr>
      <w:r w:rsidRPr="00A5336C">
        <w:rPr>
          <w:rFonts w:eastAsiaTheme="minorHAnsi"/>
          <w:color w:val="002060"/>
          <w:szCs w:val="24"/>
        </w:rPr>
        <w:t xml:space="preserve">Bello et al. </w:t>
      </w:r>
      <w:r w:rsidR="00A5336C" w:rsidRPr="00A5336C">
        <w:rPr>
          <w:rFonts w:eastAsiaTheme="minorHAnsi"/>
          <w:color w:val="002060"/>
          <w:szCs w:val="24"/>
        </w:rPr>
        <w:t>(</w:t>
      </w:r>
      <w:r w:rsidRPr="00A5336C">
        <w:rPr>
          <w:rFonts w:eastAsiaTheme="minorHAnsi"/>
          <w:color w:val="002060"/>
          <w:szCs w:val="24"/>
        </w:rPr>
        <w:t>2018)</w:t>
      </w:r>
      <w:r>
        <w:t xml:space="preserve"> use a </w:t>
      </w:r>
      <w:r w:rsidR="008138DC">
        <w:t>distributed temperature sensing (DTS) data analytics system</w:t>
      </w:r>
      <w:r>
        <w:t xml:space="preserve"> for online anomaly detection for gas lift valves. The authors use a combination of statistical feature extraction based on the position of gas lift val</w:t>
      </w:r>
      <w:r w:rsidR="002F37AC">
        <w:t>v</w:t>
      </w:r>
      <w:r>
        <w:t xml:space="preserve">e, unsupervised K-means clustering and a supervised Support Vector Machines classifier. </w:t>
      </w:r>
      <w:r w:rsidRPr="00A52F9B">
        <w:rPr>
          <w:rFonts w:eastAsiaTheme="minorHAnsi"/>
          <w:color w:val="002060"/>
          <w:szCs w:val="24"/>
        </w:rPr>
        <w:t>Sn</w:t>
      </w:r>
      <w:r w:rsidR="006B1AAA">
        <w:rPr>
          <w:rFonts w:eastAsiaTheme="minorHAnsi"/>
          <w:color w:val="002060"/>
          <w:szCs w:val="24"/>
        </w:rPr>
        <w:t>y</w:t>
      </w:r>
      <w:r w:rsidRPr="00A52F9B">
        <w:rPr>
          <w:rFonts w:eastAsiaTheme="minorHAnsi"/>
          <w:color w:val="002060"/>
          <w:szCs w:val="24"/>
        </w:rPr>
        <w:t xml:space="preserve">der et al. </w:t>
      </w:r>
      <w:r w:rsidR="00F87EE3">
        <w:rPr>
          <w:rFonts w:eastAsiaTheme="minorHAnsi"/>
          <w:color w:val="002060"/>
          <w:szCs w:val="24"/>
        </w:rPr>
        <w:t>(</w:t>
      </w:r>
      <w:r w:rsidRPr="00A52F9B">
        <w:rPr>
          <w:rFonts w:eastAsiaTheme="minorHAnsi"/>
          <w:color w:val="002060"/>
          <w:szCs w:val="24"/>
        </w:rPr>
        <w:t>2019</w:t>
      </w:r>
      <w:r>
        <w:t>) provide an anomaly detection solution for plunger lifts. They take over 50 input features including gas rate, pressure, plunger arrival times etc. Their methodology is a self-adjusting detection system which comprises of a model statistic and a dynamic threshold.</w:t>
      </w:r>
      <w:r w:rsidR="0067459A">
        <w:t xml:space="preserve"> The authors</w:t>
      </w:r>
      <w:r w:rsidR="00EB7D1C">
        <w:t xml:space="preserve">, </w:t>
      </w:r>
      <w:r w:rsidR="00E530C7">
        <w:t>however</w:t>
      </w:r>
      <w:r w:rsidR="00EB7D1C">
        <w:t>,</w:t>
      </w:r>
      <w:r w:rsidR="00E530C7">
        <w:t xml:space="preserve"> </w:t>
      </w:r>
      <w:r w:rsidR="0067459A">
        <w:t>do not</w:t>
      </w:r>
      <w:r w:rsidR="00A95598">
        <w:t xml:space="preserve"> explain</w:t>
      </w:r>
      <w:r w:rsidR="0007754A">
        <w:t xml:space="preserve"> the</w:t>
      </w:r>
      <w:r w:rsidR="0067459A">
        <w:t xml:space="preserve"> model statistic as well as the dynamic threshold </w:t>
      </w:r>
      <w:r w:rsidR="00B71F7E">
        <w:t xml:space="preserve">used </w:t>
      </w:r>
      <w:r w:rsidR="00C458CD">
        <w:t>in any detail</w:t>
      </w:r>
      <w:r w:rsidR="0067459A">
        <w:t xml:space="preserve">. </w:t>
      </w:r>
      <w:r>
        <w:t xml:space="preserve">An example of this system on plunger lifted gas well is shown in </w:t>
      </w:r>
      <w:r w:rsidR="00FA5702">
        <w:t xml:space="preserve">    </w:t>
      </w:r>
      <w:r w:rsidRPr="00695CAE">
        <w:rPr>
          <w:b/>
          <w:bCs/>
        </w:rPr>
        <w:t>Fig.</w:t>
      </w:r>
      <w:r w:rsidR="00D60C00">
        <w:rPr>
          <w:b/>
          <w:bCs/>
        </w:rPr>
        <w:t xml:space="preserve"> 1.</w:t>
      </w:r>
      <w:r w:rsidR="00264ED7">
        <w:rPr>
          <w:b/>
          <w:bCs/>
        </w:rPr>
        <w:t>9</w:t>
      </w:r>
      <w:r w:rsidRPr="00695CAE">
        <w:t>.</w:t>
      </w:r>
      <w:r>
        <w:t xml:space="preserve"> Th</w:t>
      </w:r>
      <w:r w:rsidR="00EB7D1C">
        <w:t>is</w:t>
      </w:r>
      <w:r>
        <w:t xml:space="preserve"> advanced detection system</w:t>
      </w:r>
      <w:r w:rsidR="00EB7D1C">
        <w:t xml:space="preserve"> according to the authors</w:t>
      </w:r>
      <w:r>
        <w:t xml:space="preserve"> not only reduces the overall downtime due to plunger lift failures but also saves more than $2 million per year overall for the operator.</w:t>
      </w:r>
    </w:p>
    <w:p w14:paraId="344A2693" w14:textId="77777777" w:rsidR="00D60C00" w:rsidRDefault="00BD76A3" w:rsidP="00D60C00">
      <w:pPr>
        <w:pStyle w:val="para1"/>
        <w:keepNext/>
        <w:spacing w:line="480" w:lineRule="auto"/>
        <w:jc w:val="center"/>
      </w:pPr>
      <w:r>
        <w:rPr>
          <w:noProof/>
        </w:rPr>
        <w:lastRenderedPageBreak/>
        <w:drawing>
          <wp:inline distT="0" distB="0" distL="0" distR="0" wp14:anchorId="5C929BCE" wp14:editId="208C2C96">
            <wp:extent cx="5139985" cy="33020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52543" cy="3310067"/>
                    </a:xfrm>
                    <a:prstGeom prst="rect">
                      <a:avLst/>
                    </a:prstGeom>
                  </pic:spPr>
                </pic:pic>
              </a:graphicData>
            </a:graphic>
          </wp:inline>
        </w:drawing>
      </w:r>
    </w:p>
    <w:p w14:paraId="2DCA274F" w14:textId="1DEF6FCD" w:rsidR="00D60C00" w:rsidRPr="009A3B09" w:rsidRDefault="00D60C00" w:rsidP="00D60C00">
      <w:pPr>
        <w:pStyle w:val="Caption"/>
        <w:rPr>
          <w:rFonts w:ascii="Arial" w:eastAsia="Times New Roman" w:hAnsi="Arial" w:cs="Times New Roman"/>
          <w:i w:val="0"/>
          <w:iCs w:val="0"/>
          <w:sz w:val="16"/>
          <w:szCs w:val="20"/>
        </w:rPr>
      </w:pPr>
      <w:bookmarkStart w:id="16" w:name="_Toc58667133"/>
      <w:r w:rsidRPr="00D60C00">
        <w:rPr>
          <w:rFonts w:ascii="Arial" w:eastAsia="Times New Roman" w:hAnsi="Arial" w:cs="Times New Roman"/>
          <w:i w:val="0"/>
          <w:iCs w:val="0"/>
          <w:sz w:val="16"/>
          <w:szCs w:val="20"/>
        </w:rPr>
        <w:t xml:space="preserve">Fig. 1. </w:t>
      </w:r>
      <w:r w:rsidRPr="00D60C00">
        <w:rPr>
          <w:rFonts w:ascii="Arial" w:eastAsia="Times New Roman" w:hAnsi="Arial" w:cs="Times New Roman"/>
          <w:i w:val="0"/>
          <w:iCs w:val="0"/>
          <w:sz w:val="16"/>
          <w:szCs w:val="20"/>
        </w:rPr>
        <w:fldChar w:fldCharType="begin"/>
      </w:r>
      <w:r w:rsidRPr="00D60C00">
        <w:rPr>
          <w:rFonts w:ascii="Arial" w:eastAsia="Times New Roman" w:hAnsi="Arial" w:cs="Times New Roman"/>
          <w:i w:val="0"/>
          <w:iCs w:val="0"/>
          <w:sz w:val="16"/>
          <w:szCs w:val="20"/>
        </w:rPr>
        <w:instrText xml:space="preserve"> SEQ Fig._1. \* ARABIC </w:instrText>
      </w:r>
      <w:r w:rsidRPr="00D60C00">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9</w:t>
      </w:r>
      <w:r w:rsidRPr="00D60C00">
        <w:rPr>
          <w:rFonts w:ascii="Arial" w:eastAsia="Times New Roman" w:hAnsi="Arial" w:cs="Times New Roman"/>
          <w:i w:val="0"/>
          <w:iCs w:val="0"/>
          <w:sz w:val="16"/>
          <w:szCs w:val="20"/>
        </w:rPr>
        <w:fldChar w:fldCharType="end"/>
      </w:r>
      <w:r w:rsidR="005443AF">
        <w:rPr>
          <w:rFonts w:ascii="Arial" w:eastAsia="Times New Roman" w:hAnsi="Arial" w:cs="Times New Roman"/>
          <w:i w:val="0"/>
          <w:iCs w:val="0"/>
          <w:sz w:val="16"/>
          <w:szCs w:val="20"/>
        </w:rPr>
        <w:t>—</w:t>
      </w:r>
      <w:r w:rsidRPr="00683E17">
        <w:rPr>
          <w:rFonts w:ascii="Arial" w:eastAsia="Times New Roman" w:hAnsi="Arial" w:cs="Times New Roman"/>
          <w:i w:val="0"/>
          <w:iCs w:val="0"/>
          <w:sz w:val="16"/>
          <w:szCs w:val="20"/>
        </w:rPr>
        <w:t>Self-adjusting detection system using a dynamic threshold and a model statistic</w:t>
      </w:r>
      <w:r>
        <w:rPr>
          <w:rFonts w:ascii="Arial" w:hAnsi="Arial"/>
          <w:b w:val="0"/>
          <w:sz w:val="16"/>
        </w:rPr>
        <w:t xml:space="preserve"> </w:t>
      </w:r>
      <w:r w:rsidRPr="009A3B09">
        <w:rPr>
          <w:rFonts w:ascii="Arial" w:eastAsia="Times New Roman" w:hAnsi="Arial" w:cs="Times New Roman"/>
          <w:i w:val="0"/>
          <w:iCs w:val="0"/>
          <w:sz w:val="16"/>
          <w:szCs w:val="20"/>
        </w:rPr>
        <w:t>(Sn</w:t>
      </w:r>
      <w:r w:rsidR="00E10832">
        <w:rPr>
          <w:rFonts w:ascii="Arial" w:eastAsia="Times New Roman" w:hAnsi="Arial" w:cs="Times New Roman"/>
          <w:i w:val="0"/>
          <w:iCs w:val="0"/>
          <w:sz w:val="16"/>
          <w:szCs w:val="20"/>
        </w:rPr>
        <w:t>y</w:t>
      </w:r>
      <w:r w:rsidRPr="009A3B09">
        <w:rPr>
          <w:rFonts w:ascii="Arial" w:eastAsia="Times New Roman" w:hAnsi="Arial" w:cs="Times New Roman"/>
          <w:i w:val="0"/>
          <w:iCs w:val="0"/>
          <w:sz w:val="16"/>
          <w:szCs w:val="20"/>
        </w:rPr>
        <w:t>der et al. 2019).</w:t>
      </w:r>
      <w:bookmarkEnd w:id="16"/>
    </w:p>
    <w:p w14:paraId="416D3537" w14:textId="0ED85916" w:rsidR="006C208E" w:rsidRDefault="0038281E" w:rsidP="00F77298">
      <w:pPr>
        <w:pStyle w:val="para1"/>
        <w:spacing w:line="480" w:lineRule="auto"/>
      </w:pPr>
      <w:r>
        <w:t xml:space="preserve">An application of natural language processing and artificial intelligence is seen in anomaly detection from drilling and completion reports. </w:t>
      </w:r>
      <w:r w:rsidRPr="00A52F9B">
        <w:rPr>
          <w:rFonts w:eastAsiaTheme="minorHAnsi"/>
          <w:color w:val="002060"/>
          <w:szCs w:val="24"/>
        </w:rPr>
        <w:t xml:space="preserve">Zhang et al. </w:t>
      </w:r>
      <w:r w:rsidR="0094054A">
        <w:rPr>
          <w:rFonts w:eastAsiaTheme="minorHAnsi"/>
          <w:color w:val="002060"/>
          <w:szCs w:val="24"/>
        </w:rPr>
        <w:t>(</w:t>
      </w:r>
      <w:r w:rsidRPr="00A52F9B">
        <w:rPr>
          <w:rFonts w:eastAsiaTheme="minorHAnsi"/>
          <w:color w:val="002060"/>
          <w:szCs w:val="24"/>
        </w:rPr>
        <w:t>2020</w:t>
      </w:r>
      <w:r w:rsidR="0094054A">
        <w:rPr>
          <w:rFonts w:eastAsiaTheme="minorHAnsi"/>
          <w:color w:val="002060"/>
          <w:szCs w:val="24"/>
        </w:rPr>
        <w:t>)</w:t>
      </w:r>
      <w:r>
        <w:t xml:space="preserve"> use natural language processing to convert words from drilling and completion reports into vectors. Neural Networks then use the numerical vectors as inputs for a classification task between normal and abnormal. </w:t>
      </w:r>
      <w:r w:rsidRPr="00A52F9B">
        <w:rPr>
          <w:rFonts w:eastAsiaTheme="minorHAnsi"/>
          <w:color w:val="002060"/>
          <w:szCs w:val="24"/>
        </w:rPr>
        <w:t xml:space="preserve">Jansen van Rensburg </w:t>
      </w:r>
      <w:r w:rsidR="0094054A">
        <w:rPr>
          <w:rFonts w:eastAsiaTheme="minorHAnsi"/>
          <w:color w:val="002060"/>
          <w:szCs w:val="24"/>
        </w:rPr>
        <w:t>(</w:t>
      </w:r>
      <w:r w:rsidRPr="00A52F9B">
        <w:rPr>
          <w:rFonts w:eastAsiaTheme="minorHAnsi"/>
          <w:color w:val="002060"/>
          <w:szCs w:val="24"/>
        </w:rPr>
        <w:t>2019</w:t>
      </w:r>
      <w:r w:rsidR="0094054A">
        <w:rPr>
          <w:rFonts w:eastAsiaTheme="minorHAnsi"/>
          <w:color w:val="002060"/>
          <w:szCs w:val="24"/>
        </w:rPr>
        <w:t>)</w:t>
      </w:r>
      <w:r>
        <w:t xml:space="preserve"> uses deep neural networks to detect anomalous behavior in Electrical Submersible Pumps (ESP). Several ESP’s in an oilfield are connected remotely to a cloud server through a Supervisory Control and Data Acquisition (SCADA) system. Neural </w:t>
      </w:r>
      <w:r w:rsidR="00830804">
        <w:t>n</w:t>
      </w:r>
      <w:r>
        <w:t xml:space="preserve">etworks hosted on the SCADA system build an autonomous field surveillance system which identify severe anomalies and prevent occurrence of critical ESP failures. </w:t>
      </w:r>
    </w:p>
    <w:p w14:paraId="78DE8F3F" w14:textId="2A75BD34" w:rsidR="008138DC" w:rsidRDefault="0038281E" w:rsidP="00F77298">
      <w:pPr>
        <w:pStyle w:val="para1"/>
        <w:spacing w:line="480" w:lineRule="auto"/>
      </w:pPr>
      <w:r>
        <w:t xml:space="preserve">In this thesis, I also apply a deep learning </w:t>
      </w:r>
      <w:r w:rsidR="000C43A0">
        <w:t>network</w:t>
      </w:r>
      <w:r>
        <w:t xml:space="preserve"> called as the Convolutional Neural Network (CNN)</w:t>
      </w:r>
      <w:r w:rsidR="00870FDA">
        <w:t xml:space="preserve"> for anomaly detection</w:t>
      </w:r>
      <w:r>
        <w:t xml:space="preserve"> </w:t>
      </w:r>
      <w:r w:rsidR="00C34E5C">
        <w:t>in</w:t>
      </w:r>
      <w:r w:rsidR="008138DC">
        <w:t xml:space="preserve"> s</w:t>
      </w:r>
      <w:r>
        <w:t xml:space="preserve">ucker </w:t>
      </w:r>
      <w:r w:rsidR="008138DC">
        <w:t>r</w:t>
      </w:r>
      <w:r>
        <w:t xml:space="preserve">od </w:t>
      </w:r>
      <w:r w:rsidR="008138DC">
        <w:t>pu</w:t>
      </w:r>
      <w:r>
        <w:t>mp</w:t>
      </w:r>
      <w:r w:rsidR="008138DC">
        <w:t>s</w:t>
      </w:r>
      <w:r>
        <w:t xml:space="preserve">. </w:t>
      </w:r>
    </w:p>
    <w:p w14:paraId="30BEB1C4" w14:textId="2CA0F068" w:rsidR="008B732C" w:rsidRDefault="008138DC" w:rsidP="008B732C">
      <w:pPr>
        <w:pStyle w:val="para1"/>
        <w:spacing w:line="480" w:lineRule="auto"/>
      </w:pPr>
      <w:r>
        <w:t>This thesis is organized as follows: Chapter 2 discusse</w:t>
      </w:r>
      <w:r w:rsidR="009E4E12">
        <w:t>s</w:t>
      </w:r>
      <w:r w:rsidR="009E4E12" w:rsidDel="009E4E12">
        <w:t xml:space="preserve"> </w:t>
      </w:r>
      <w:r w:rsidR="00E4331C">
        <w:t xml:space="preserve">the application of a data-driven approach using causal inference applied to solving well spacing problems. This chapter explains </w:t>
      </w:r>
      <w:r w:rsidR="00E4331C">
        <w:lastRenderedPageBreak/>
        <w:t xml:space="preserve">the </w:t>
      </w:r>
      <w:r w:rsidR="00345CE1">
        <w:t>history</w:t>
      </w:r>
      <w:r w:rsidR="007814BE">
        <w:t xml:space="preserve"> behind causality, its assumptions and </w:t>
      </w:r>
      <w:r w:rsidR="00345CE1">
        <w:t>a detailed</w:t>
      </w:r>
      <w:r w:rsidR="007814BE">
        <w:t xml:space="preserve"> workflow for estimating the effect of well spacing on </w:t>
      </w:r>
      <w:r w:rsidR="0002782C">
        <w:t>well performance. The causal inference workflow is applied to</w:t>
      </w:r>
      <w:r w:rsidR="007F67A2">
        <w:t xml:space="preserve"> a dataset </w:t>
      </w:r>
      <w:r w:rsidR="008220B4" w:rsidRPr="001533E3">
        <w:t xml:space="preserve">from a prolific oil basin in Texas with over </w:t>
      </w:r>
      <w:r w:rsidR="008220B4">
        <w:t>7</w:t>
      </w:r>
      <w:r w:rsidR="008220B4" w:rsidRPr="001533E3">
        <w:t>00 wells in the analyses. It includes the formation properties, fluid</w:t>
      </w:r>
      <w:r w:rsidR="0002242A">
        <w:t xml:space="preserve"> volume, </w:t>
      </w:r>
      <w:r w:rsidR="008220B4" w:rsidRPr="001533E3">
        <w:t xml:space="preserve">proppant </w:t>
      </w:r>
      <w:r w:rsidR="0002242A">
        <w:t>weight</w:t>
      </w:r>
      <w:r w:rsidR="008220B4" w:rsidRPr="001533E3">
        <w:t>, landing zones and the downhole locations of the wells.</w:t>
      </w:r>
      <w:r w:rsidR="00686D0B">
        <w:t xml:space="preserve"> The results of the case study </w:t>
      </w:r>
      <w:r w:rsidR="005D65FC">
        <w:t>show the</w:t>
      </w:r>
      <w:r w:rsidR="00352BB5">
        <w:t xml:space="preserve"> </w:t>
      </w:r>
      <w:r w:rsidR="00FE7FDE">
        <w:t xml:space="preserve">optimal </w:t>
      </w:r>
      <w:r w:rsidR="00352BB5">
        <w:t>well</w:t>
      </w:r>
      <w:r w:rsidR="0002782C">
        <w:t xml:space="preserve"> spacing decision</w:t>
      </w:r>
      <w:r w:rsidR="005D65FC">
        <w:t xml:space="preserve"> for this specific shale play</w:t>
      </w:r>
      <w:r w:rsidR="0002782C">
        <w:t xml:space="preserve">. </w:t>
      </w:r>
      <w:r w:rsidR="008B732C">
        <w:t>Chapter 3</w:t>
      </w:r>
      <w:r w:rsidR="003170D9">
        <w:t xml:space="preserve"> </w:t>
      </w:r>
      <w:r w:rsidR="00A822E6">
        <w:t xml:space="preserve">discusses applications of </w:t>
      </w:r>
      <w:r w:rsidR="008B732C">
        <w:t xml:space="preserve">anomaly detection </w:t>
      </w:r>
      <w:r w:rsidR="00A822E6">
        <w:t xml:space="preserve">for the oil and gas industry </w:t>
      </w:r>
      <w:r w:rsidR="00301E0F">
        <w:t>and how</w:t>
      </w:r>
      <w:r w:rsidR="008B732C">
        <w:t xml:space="preserve"> machine learning methods have been applied to solve</w:t>
      </w:r>
      <w:r w:rsidR="00827A9E">
        <w:t>d</w:t>
      </w:r>
      <w:r w:rsidR="008B732C">
        <w:t xml:space="preserve"> problems related to the most widely used </w:t>
      </w:r>
      <w:r w:rsidR="004F2FFA">
        <w:t>a</w:t>
      </w:r>
      <w:r w:rsidR="008B732C">
        <w:t xml:space="preserve">rtificial </w:t>
      </w:r>
      <w:r w:rsidR="004F2FFA">
        <w:t>l</w:t>
      </w:r>
      <w:r w:rsidR="008B732C">
        <w:t xml:space="preserve">ift in the world – </w:t>
      </w:r>
      <w:r w:rsidR="004F2FFA">
        <w:t>s</w:t>
      </w:r>
      <w:r w:rsidR="008B732C">
        <w:t xml:space="preserve">ucker </w:t>
      </w:r>
      <w:r w:rsidR="004F2FFA">
        <w:t>r</w:t>
      </w:r>
      <w:r w:rsidR="008B732C">
        <w:t xml:space="preserve">od </w:t>
      </w:r>
      <w:r w:rsidR="007522DB">
        <w:t>p</w:t>
      </w:r>
      <w:r w:rsidR="008B732C">
        <w:t xml:space="preserve">ump. Then, I explain the dataset used for the case study and discuss the chosen CNN model’s architecture more generally. I dive into how the CNN works for a supervised classification task. Finally, the chapter finishes with the results and conclusions for the sucker rod pump failure anomaly detection. </w:t>
      </w:r>
    </w:p>
    <w:p w14:paraId="4E661D4C" w14:textId="7427718E" w:rsidR="00941D21" w:rsidRDefault="00941D21" w:rsidP="008B732C">
      <w:pPr>
        <w:pStyle w:val="para1"/>
        <w:spacing w:line="480" w:lineRule="auto"/>
      </w:pPr>
    </w:p>
    <w:p w14:paraId="283C3D90" w14:textId="2A128339" w:rsidR="00941D21" w:rsidRDefault="00941D21" w:rsidP="008B732C">
      <w:pPr>
        <w:pStyle w:val="para1"/>
        <w:spacing w:line="480" w:lineRule="auto"/>
      </w:pPr>
    </w:p>
    <w:p w14:paraId="2340E73E" w14:textId="0BF3FE95" w:rsidR="00941D21" w:rsidRDefault="00941D21" w:rsidP="008B732C">
      <w:pPr>
        <w:pStyle w:val="para1"/>
        <w:spacing w:line="480" w:lineRule="auto"/>
      </w:pPr>
    </w:p>
    <w:p w14:paraId="2A7A516D" w14:textId="31929E63" w:rsidR="00941D21" w:rsidRDefault="00941D21" w:rsidP="008B732C">
      <w:pPr>
        <w:pStyle w:val="para1"/>
        <w:spacing w:line="480" w:lineRule="auto"/>
      </w:pPr>
    </w:p>
    <w:p w14:paraId="60D302FF" w14:textId="77777777" w:rsidR="00941D21" w:rsidRDefault="00941D21" w:rsidP="008B732C">
      <w:pPr>
        <w:pStyle w:val="para1"/>
        <w:spacing w:line="480" w:lineRule="auto"/>
      </w:pPr>
    </w:p>
    <w:p w14:paraId="65337235" w14:textId="01B14A14" w:rsidR="008975AB" w:rsidRDefault="008975AB" w:rsidP="008B732C">
      <w:pPr>
        <w:pStyle w:val="para1"/>
        <w:spacing w:line="480" w:lineRule="auto"/>
      </w:pPr>
    </w:p>
    <w:p w14:paraId="0973872F" w14:textId="3015C61B" w:rsidR="008975AB" w:rsidRDefault="008975AB" w:rsidP="008B732C">
      <w:pPr>
        <w:pStyle w:val="para1"/>
        <w:spacing w:line="480" w:lineRule="auto"/>
      </w:pPr>
    </w:p>
    <w:p w14:paraId="4E5DD4D6" w14:textId="00BAFAF0" w:rsidR="008975AB" w:rsidRDefault="008975AB" w:rsidP="008B732C">
      <w:pPr>
        <w:pStyle w:val="para1"/>
        <w:spacing w:line="480" w:lineRule="auto"/>
      </w:pPr>
    </w:p>
    <w:p w14:paraId="2039753F" w14:textId="5753C43C" w:rsidR="008975AB" w:rsidRDefault="008975AB" w:rsidP="008B732C">
      <w:pPr>
        <w:pStyle w:val="para1"/>
        <w:spacing w:line="480" w:lineRule="auto"/>
      </w:pPr>
    </w:p>
    <w:p w14:paraId="439C08AD" w14:textId="5405B2F5" w:rsidR="008975AB" w:rsidRDefault="008975AB" w:rsidP="008B732C">
      <w:pPr>
        <w:pStyle w:val="para1"/>
        <w:spacing w:line="480" w:lineRule="auto"/>
      </w:pPr>
    </w:p>
    <w:p w14:paraId="79AF403C" w14:textId="534038D4" w:rsidR="008975AB" w:rsidRDefault="008975AB" w:rsidP="008B732C">
      <w:pPr>
        <w:pStyle w:val="para1"/>
        <w:spacing w:line="480" w:lineRule="auto"/>
      </w:pPr>
    </w:p>
    <w:p w14:paraId="61D100BE" w14:textId="2A167029" w:rsidR="008975AB" w:rsidRDefault="008975AB" w:rsidP="008B732C">
      <w:pPr>
        <w:pStyle w:val="para1"/>
        <w:spacing w:line="480" w:lineRule="auto"/>
      </w:pPr>
    </w:p>
    <w:p w14:paraId="326AA144" w14:textId="7AAD56B8" w:rsidR="005145D5" w:rsidRDefault="005145D5" w:rsidP="00650788">
      <w:pPr>
        <w:pStyle w:val="Heading1"/>
      </w:pPr>
      <w:bookmarkStart w:id="17" w:name="_Toc58667097"/>
      <w:r w:rsidRPr="00A74993">
        <w:rPr>
          <w:rFonts w:eastAsia="Times New Roman"/>
        </w:rPr>
        <w:lastRenderedPageBreak/>
        <w:t xml:space="preserve">Chapter 2: </w:t>
      </w:r>
      <w:r w:rsidR="001C0B42">
        <w:rPr>
          <w:rFonts w:eastAsia="Times New Roman"/>
        </w:rPr>
        <w:t>Causal</w:t>
      </w:r>
      <w:r w:rsidRPr="00A74993">
        <w:rPr>
          <w:rFonts w:eastAsia="Times New Roman"/>
        </w:rPr>
        <w:t>ity</w:t>
      </w:r>
      <w:r w:rsidR="00135C3F">
        <w:rPr>
          <w:rFonts w:eastAsia="Times New Roman"/>
        </w:rPr>
        <w:t xml:space="preserve"> and Well Spacing Decisions</w:t>
      </w:r>
      <w:bookmarkEnd w:id="17"/>
    </w:p>
    <w:p w14:paraId="3F76A161" w14:textId="7577059C" w:rsidR="005145D5" w:rsidRDefault="00363FA7" w:rsidP="00AB0005">
      <w:pPr>
        <w:pStyle w:val="Heading2"/>
        <w:ind w:left="90" w:hanging="90"/>
      </w:pPr>
      <w:bookmarkStart w:id="18" w:name="_Toc58667098"/>
      <w:r w:rsidRPr="00D33E79">
        <w:t xml:space="preserve">2.1 </w:t>
      </w:r>
      <w:r w:rsidR="005145D5" w:rsidRPr="00D33E79">
        <w:t xml:space="preserve">History of </w:t>
      </w:r>
      <w:r w:rsidR="001C0B42">
        <w:t>Causal</w:t>
      </w:r>
      <w:r w:rsidR="00FC7E05">
        <w:t xml:space="preserve"> </w:t>
      </w:r>
      <w:r w:rsidR="0037228B">
        <w:t>I</w:t>
      </w:r>
      <w:r w:rsidR="00FC7E05">
        <w:t>nference</w:t>
      </w:r>
      <w:bookmarkEnd w:id="18"/>
      <w:r w:rsidR="005145D5" w:rsidRPr="00D33E79">
        <w:t xml:space="preserve"> </w:t>
      </w:r>
    </w:p>
    <w:p w14:paraId="0971B693" w14:textId="53D8577A" w:rsidR="005145D5" w:rsidRDefault="001C0B42" w:rsidP="00905EA4">
      <w:pPr>
        <w:pStyle w:val="para1"/>
        <w:spacing w:line="480" w:lineRule="auto"/>
        <w:ind w:firstLine="0"/>
      </w:pPr>
      <w:r>
        <w:t>Causal</w:t>
      </w:r>
      <w:r w:rsidR="00FC7E05">
        <w:t xml:space="preserve"> inference</w:t>
      </w:r>
      <w:r w:rsidR="009D19AA">
        <w:t xml:space="preserve"> is a growing field of study and has increased relevance today. </w:t>
      </w:r>
      <w:r w:rsidR="005145D5">
        <w:t xml:space="preserve">Questions in many disciplines such as </w:t>
      </w:r>
      <w:r w:rsidR="009D19AA">
        <w:t>the efficacy of</w:t>
      </w:r>
      <w:r w:rsidR="005145D5">
        <w:t xml:space="preserve"> new vaccine</w:t>
      </w:r>
      <w:r w:rsidR="009D19AA">
        <w:t>s</w:t>
      </w:r>
      <w:r w:rsidR="005145D5">
        <w:t xml:space="preserve"> against </w:t>
      </w:r>
      <w:r w:rsidR="009D19AA">
        <w:t xml:space="preserve">COVID-19, the </w:t>
      </w:r>
      <w:r w:rsidR="005145D5">
        <w:t xml:space="preserve">impact of a new corporate tax law on the growth of GDP or </w:t>
      </w:r>
      <w:r w:rsidR="009D19AA">
        <w:t xml:space="preserve">quantifying the impact of a </w:t>
      </w:r>
      <w:r w:rsidR="005145D5">
        <w:t>new marketing campaign ha</w:t>
      </w:r>
      <w:r w:rsidR="008713B8">
        <w:t>s</w:t>
      </w:r>
      <w:r w:rsidR="005145D5">
        <w:t xml:space="preserve"> on the sales of a product can be answered through </w:t>
      </w:r>
      <w:r w:rsidR="00E86371">
        <w:t>c</w:t>
      </w:r>
      <w:r>
        <w:t>ausal</w:t>
      </w:r>
      <w:r w:rsidR="00FC7E05">
        <w:t xml:space="preserve"> inference</w:t>
      </w:r>
      <w:r w:rsidR="005145D5">
        <w:t xml:space="preserve"> </w:t>
      </w:r>
      <w:r w:rsidR="006A5D19">
        <w:rPr>
          <w:rFonts w:eastAsiaTheme="minorHAnsi"/>
          <w:color w:val="002060"/>
          <w:szCs w:val="24"/>
        </w:rPr>
        <w:t>(</w:t>
      </w:r>
      <w:r w:rsidR="005145D5" w:rsidRPr="004E70D4">
        <w:rPr>
          <w:rFonts w:eastAsiaTheme="minorHAnsi"/>
          <w:color w:val="002060"/>
          <w:szCs w:val="24"/>
        </w:rPr>
        <w:t>Pearl and Mackenzie</w:t>
      </w:r>
      <w:r w:rsidR="006A5D19">
        <w:rPr>
          <w:rFonts w:eastAsiaTheme="minorHAnsi"/>
          <w:color w:val="002060"/>
          <w:szCs w:val="24"/>
        </w:rPr>
        <w:t xml:space="preserve"> </w:t>
      </w:r>
      <w:r w:rsidR="005145D5" w:rsidRPr="004E70D4">
        <w:rPr>
          <w:rFonts w:eastAsiaTheme="minorHAnsi"/>
          <w:color w:val="002060"/>
          <w:szCs w:val="24"/>
        </w:rPr>
        <w:t>2017)</w:t>
      </w:r>
      <w:r w:rsidR="005145D5" w:rsidRPr="004E70D4">
        <w:t>.</w:t>
      </w:r>
    </w:p>
    <w:p w14:paraId="26A5658F" w14:textId="43522B41" w:rsidR="00194087" w:rsidRDefault="005145D5" w:rsidP="00F77298">
      <w:pPr>
        <w:pStyle w:val="para1"/>
        <w:spacing w:line="480" w:lineRule="auto"/>
      </w:pPr>
      <w:r w:rsidRPr="003460AB">
        <w:t xml:space="preserve">In statistics, one is taught “Correlation is not Causation” with very good convincing examples but it </w:t>
      </w:r>
      <w:r w:rsidR="00D1313A">
        <w:t>does not</w:t>
      </w:r>
      <w:r w:rsidRPr="003460AB">
        <w:t xml:space="preserve"> tell us what causation really is. </w:t>
      </w:r>
      <w:r>
        <w:t xml:space="preserve">There </w:t>
      </w:r>
      <w:r w:rsidR="006A5D19">
        <w:t>are,</w:t>
      </w:r>
      <w:r w:rsidR="00194087">
        <w:t xml:space="preserve"> however, spurious correlations prevalent in real data where </w:t>
      </w:r>
      <w:r>
        <w:t xml:space="preserve">two completely unrelated variables are highly correlated with each other. In </w:t>
      </w:r>
      <w:r w:rsidR="0054678C">
        <w:t xml:space="preserve">  </w:t>
      </w:r>
      <w:r w:rsidRPr="00BD0902">
        <w:rPr>
          <w:b/>
          <w:bCs/>
        </w:rPr>
        <w:t>Fi</w:t>
      </w:r>
      <w:r w:rsidR="00BD0902" w:rsidRPr="00BD0902">
        <w:rPr>
          <w:b/>
          <w:bCs/>
        </w:rPr>
        <w:t>g.</w:t>
      </w:r>
      <w:r w:rsidR="0054678C">
        <w:rPr>
          <w:b/>
          <w:bCs/>
        </w:rPr>
        <w:t xml:space="preserve"> 2.1</w:t>
      </w:r>
      <w:r>
        <w:t xml:space="preserve">, the per capita consumption of Margarine (black curve) correlates with the divorce rate (red curve) in Maine, but we know that consuming margarine </w:t>
      </w:r>
      <w:r w:rsidR="00D1313A">
        <w:t>does not</w:t>
      </w:r>
      <w:r>
        <w:t xml:space="preserve"> cause a divorce. </w:t>
      </w:r>
    </w:p>
    <w:p w14:paraId="021D397E" w14:textId="77777777" w:rsidR="00885424" w:rsidRDefault="00194087" w:rsidP="00885424">
      <w:pPr>
        <w:pStyle w:val="para1"/>
        <w:keepNext/>
        <w:spacing w:line="480" w:lineRule="auto"/>
        <w:jc w:val="center"/>
      </w:pPr>
      <w:r>
        <w:rPr>
          <w:noProof/>
        </w:rPr>
        <w:drawing>
          <wp:inline distT="0" distB="0" distL="0" distR="0" wp14:anchorId="4C6E8CF8" wp14:editId="4822EBB2">
            <wp:extent cx="5608027" cy="2065263"/>
            <wp:effectExtent l="19050" t="19050" r="12065"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983" cy="2105020"/>
                    </a:xfrm>
                    <a:prstGeom prst="rect">
                      <a:avLst/>
                    </a:prstGeom>
                    <a:ln>
                      <a:solidFill>
                        <a:schemeClr val="tx1"/>
                      </a:solidFill>
                    </a:ln>
                  </pic:spPr>
                </pic:pic>
              </a:graphicData>
            </a:graphic>
          </wp:inline>
        </w:drawing>
      </w:r>
    </w:p>
    <w:p w14:paraId="7E8022AF" w14:textId="730915D8" w:rsidR="00356E70" w:rsidRDefault="00885424" w:rsidP="00885424">
      <w:pPr>
        <w:pStyle w:val="para1"/>
        <w:spacing w:line="480" w:lineRule="auto"/>
        <w:ind w:firstLine="0"/>
        <w:jc w:val="center"/>
      </w:pPr>
      <w:bookmarkStart w:id="19" w:name="_Toc58667134"/>
      <w:r w:rsidRPr="00885424">
        <w:rPr>
          <w:rFonts w:ascii="Arial" w:hAnsi="Arial"/>
          <w:b/>
          <w:sz w:val="16"/>
        </w:rPr>
        <w:t xml:space="preserve">Fig. 2. </w:t>
      </w:r>
      <w:r w:rsidRPr="00885424">
        <w:rPr>
          <w:rFonts w:ascii="Arial" w:hAnsi="Arial"/>
          <w:b/>
          <w:sz w:val="16"/>
        </w:rPr>
        <w:fldChar w:fldCharType="begin"/>
      </w:r>
      <w:r w:rsidRPr="00885424">
        <w:rPr>
          <w:rFonts w:ascii="Arial" w:hAnsi="Arial"/>
          <w:b/>
          <w:sz w:val="16"/>
        </w:rPr>
        <w:instrText xml:space="preserve"> SEQ Fig._2. \* ARABIC </w:instrText>
      </w:r>
      <w:r w:rsidRPr="00885424">
        <w:rPr>
          <w:rFonts w:ascii="Arial" w:hAnsi="Arial"/>
          <w:b/>
          <w:sz w:val="16"/>
        </w:rPr>
        <w:fldChar w:fldCharType="separate"/>
      </w:r>
      <w:r w:rsidR="00D006A5">
        <w:rPr>
          <w:rFonts w:ascii="Arial" w:hAnsi="Arial"/>
          <w:b/>
          <w:noProof/>
          <w:sz w:val="16"/>
        </w:rPr>
        <w:t>1</w:t>
      </w:r>
      <w:r w:rsidRPr="00885424">
        <w:rPr>
          <w:rFonts w:ascii="Arial" w:hAnsi="Arial"/>
          <w:b/>
          <w:sz w:val="16"/>
        </w:rPr>
        <w:fldChar w:fldCharType="end"/>
      </w:r>
      <w:r w:rsidRPr="004C3E90">
        <w:rPr>
          <w:rFonts w:ascii="Arial" w:hAnsi="Arial"/>
          <w:b/>
          <w:sz w:val="16"/>
        </w:rPr>
        <w:t>—</w:t>
      </w:r>
      <w:r w:rsidRPr="003E54A5">
        <w:rPr>
          <w:rFonts w:ascii="Arial" w:hAnsi="Arial"/>
          <w:b/>
          <w:sz w:val="16"/>
        </w:rPr>
        <w:t xml:space="preserve"> Divorce </w:t>
      </w:r>
      <w:r w:rsidRPr="00DE2AB0">
        <w:rPr>
          <w:rFonts w:ascii="Arial" w:hAnsi="Arial"/>
          <w:b/>
          <w:sz w:val="16"/>
        </w:rPr>
        <w:t>rate in Maine and per capita consumption of margarine plotted versus time between years 2000 and 2009</w:t>
      </w:r>
      <w:r>
        <w:rPr>
          <w:rFonts w:ascii="Arial" w:hAnsi="Arial"/>
          <w:b/>
          <w:sz w:val="16"/>
        </w:rPr>
        <w:t xml:space="preserve"> </w:t>
      </w:r>
      <w:hyperlink r:id="rId23" w:history="1">
        <w:r w:rsidRPr="006167BB">
          <w:rPr>
            <w:rStyle w:val="Hyperlink"/>
            <w:rFonts w:ascii="Arial" w:eastAsiaTheme="minorHAnsi" w:hAnsi="Arial" w:cs="Arial"/>
            <w:sz w:val="16"/>
            <w:szCs w:val="16"/>
          </w:rPr>
          <w:t>https://blogs.ams.org/blogonmathblogs/2017/04/10/divorce-and-margarine/</w:t>
        </w:r>
      </w:hyperlink>
      <w:r>
        <w:rPr>
          <w:rFonts w:ascii="Arial" w:eastAsiaTheme="minorHAnsi" w:hAnsi="Arial" w:cs="Arial"/>
          <w:color w:val="002060"/>
          <w:sz w:val="16"/>
          <w:szCs w:val="16"/>
        </w:rPr>
        <w:t xml:space="preserve"> </w:t>
      </w:r>
      <w:r>
        <w:rPr>
          <w:rFonts w:ascii="Arial" w:hAnsi="Arial"/>
          <w:b/>
          <w:sz w:val="16"/>
        </w:rPr>
        <w:t xml:space="preserve">(accessed 11 October 2020) </w:t>
      </w:r>
      <w:r w:rsidRPr="009A3B09">
        <w:rPr>
          <w:rFonts w:ascii="Arial" w:hAnsi="Arial"/>
          <w:b/>
          <w:sz w:val="16"/>
        </w:rPr>
        <w:t>(Vigen 2014).</w:t>
      </w:r>
      <w:bookmarkEnd w:id="19"/>
    </w:p>
    <w:p w14:paraId="50AF68B0" w14:textId="4252266B" w:rsidR="00A42286" w:rsidRDefault="005145D5" w:rsidP="00F77298">
      <w:pPr>
        <w:pStyle w:val="para1"/>
        <w:spacing w:line="480" w:lineRule="auto"/>
      </w:pPr>
      <w:r>
        <w:t xml:space="preserve">In </w:t>
      </w:r>
      <w:r w:rsidRPr="00BD0902">
        <w:rPr>
          <w:b/>
          <w:bCs/>
        </w:rPr>
        <w:t>Fig</w:t>
      </w:r>
      <w:r w:rsidR="00AC5D40">
        <w:rPr>
          <w:b/>
          <w:bCs/>
        </w:rPr>
        <w:t>.</w:t>
      </w:r>
      <w:r w:rsidRPr="00BD0902">
        <w:rPr>
          <w:b/>
          <w:bCs/>
        </w:rPr>
        <w:t xml:space="preserve"> </w:t>
      </w:r>
      <w:r w:rsidR="0054678C">
        <w:rPr>
          <w:b/>
          <w:bCs/>
        </w:rPr>
        <w:t>2.2</w:t>
      </w:r>
      <w:r>
        <w:t>, a rooster</w:t>
      </w:r>
      <w:r w:rsidR="00BF3A92">
        <w:t>’s</w:t>
      </w:r>
      <w:r>
        <w:t xml:space="preserve"> crow </w:t>
      </w:r>
      <w:r w:rsidR="00194087">
        <w:t xml:space="preserve">at sunrise but does it cause the sun to rise? </w:t>
      </w:r>
      <w:r w:rsidR="00387982">
        <w:rPr>
          <w:rFonts w:eastAsiaTheme="minorHAnsi"/>
          <w:color w:val="002060"/>
          <w:szCs w:val="24"/>
        </w:rPr>
        <w:t>(</w:t>
      </w:r>
      <w:r w:rsidRPr="00924309">
        <w:rPr>
          <w:rFonts w:eastAsiaTheme="minorHAnsi"/>
          <w:color w:val="002060"/>
          <w:szCs w:val="24"/>
        </w:rPr>
        <w:t>Pearl and</w:t>
      </w:r>
      <w:r>
        <w:t xml:space="preserve"> </w:t>
      </w:r>
      <w:r w:rsidRPr="00924309">
        <w:rPr>
          <w:rFonts w:eastAsiaTheme="minorHAnsi"/>
          <w:color w:val="002060"/>
          <w:szCs w:val="24"/>
        </w:rPr>
        <w:t>Mackenzie 2017</w:t>
      </w:r>
      <w:r w:rsidR="00B25B65">
        <w:rPr>
          <w:rFonts w:eastAsiaTheme="minorHAnsi"/>
          <w:color w:val="002060"/>
          <w:szCs w:val="24"/>
        </w:rPr>
        <w:t>)</w:t>
      </w:r>
      <w:r>
        <w:t>.</w:t>
      </w:r>
      <w:r w:rsidRPr="00777C37">
        <w:t xml:space="preserve"> </w:t>
      </w:r>
      <w:r w:rsidR="00194087">
        <w:t xml:space="preserve">These are cases with obvious correlation with a lack of causation. </w:t>
      </w:r>
    </w:p>
    <w:p w14:paraId="59727499" w14:textId="77777777" w:rsidR="00885424" w:rsidRDefault="00194087" w:rsidP="00885424">
      <w:pPr>
        <w:pStyle w:val="para1"/>
        <w:keepNext/>
        <w:spacing w:line="480" w:lineRule="auto"/>
        <w:jc w:val="center"/>
      </w:pPr>
      <w:r>
        <w:rPr>
          <w:noProof/>
        </w:rPr>
        <w:lastRenderedPageBreak/>
        <w:drawing>
          <wp:inline distT="0" distB="0" distL="0" distR="0" wp14:anchorId="5D7B03F5" wp14:editId="5353ADB0">
            <wp:extent cx="3176953" cy="1588477"/>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01440" cy="1600721"/>
                    </a:xfrm>
                    <a:prstGeom prst="rect">
                      <a:avLst/>
                    </a:prstGeom>
                    <a:noFill/>
                    <a:ln>
                      <a:noFill/>
                    </a:ln>
                  </pic:spPr>
                </pic:pic>
              </a:graphicData>
            </a:graphic>
          </wp:inline>
        </w:drawing>
      </w:r>
    </w:p>
    <w:p w14:paraId="7658EA4A" w14:textId="602ED321" w:rsidR="003E54A5" w:rsidRDefault="00885424" w:rsidP="00885424">
      <w:pPr>
        <w:pStyle w:val="Caption"/>
      </w:pPr>
      <w:bookmarkStart w:id="20" w:name="_Toc58667135"/>
      <w:r w:rsidRPr="00885424">
        <w:rPr>
          <w:rFonts w:ascii="Arial" w:hAnsi="Arial"/>
          <w:i w:val="0"/>
          <w:iCs w:val="0"/>
          <w:sz w:val="16"/>
        </w:rPr>
        <w:t xml:space="preserve">Fig. 2. </w:t>
      </w:r>
      <w:r w:rsidRPr="00885424">
        <w:rPr>
          <w:rFonts w:ascii="Arial" w:hAnsi="Arial"/>
          <w:i w:val="0"/>
          <w:iCs w:val="0"/>
          <w:sz w:val="16"/>
        </w:rPr>
        <w:fldChar w:fldCharType="begin"/>
      </w:r>
      <w:r w:rsidRPr="00885424">
        <w:rPr>
          <w:rFonts w:ascii="Arial" w:hAnsi="Arial"/>
          <w:i w:val="0"/>
          <w:iCs w:val="0"/>
          <w:sz w:val="16"/>
        </w:rPr>
        <w:instrText xml:space="preserve"> SEQ Fig._2. \* ARABIC </w:instrText>
      </w:r>
      <w:r w:rsidRPr="00885424">
        <w:rPr>
          <w:rFonts w:ascii="Arial" w:hAnsi="Arial"/>
          <w:i w:val="0"/>
          <w:iCs w:val="0"/>
          <w:sz w:val="16"/>
        </w:rPr>
        <w:fldChar w:fldCharType="separate"/>
      </w:r>
      <w:r w:rsidR="00D006A5">
        <w:rPr>
          <w:rFonts w:ascii="Arial" w:hAnsi="Arial"/>
          <w:i w:val="0"/>
          <w:iCs w:val="0"/>
          <w:noProof/>
          <w:sz w:val="16"/>
        </w:rPr>
        <w:t>2</w:t>
      </w:r>
      <w:r w:rsidRPr="00885424">
        <w:rPr>
          <w:rFonts w:ascii="Arial" w:hAnsi="Arial"/>
          <w:i w:val="0"/>
          <w:iCs w:val="0"/>
          <w:sz w:val="16"/>
        </w:rPr>
        <w:fldChar w:fldCharType="end"/>
      </w:r>
      <w:r w:rsidRPr="004C3E90">
        <w:rPr>
          <w:rFonts w:ascii="Arial" w:hAnsi="Arial"/>
          <w:i w:val="0"/>
          <w:iCs w:val="0"/>
          <w:sz w:val="16"/>
        </w:rPr>
        <w:t>—</w:t>
      </w:r>
      <w:r w:rsidRPr="003E54A5">
        <w:rPr>
          <w:rFonts w:ascii="Arial" w:hAnsi="Arial"/>
          <w:i w:val="0"/>
          <w:iCs w:val="0"/>
          <w:sz w:val="16"/>
        </w:rPr>
        <w:t>Rooster’s</w:t>
      </w:r>
      <w:r w:rsidRPr="00F92125">
        <w:rPr>
          <w:rFonts w:ascii="Arial" w:hAnsi="Arial"/>
          <w:sz w:val="16"/>
        </w:rPr>
        <w:t xml:space="preserve"> </w:t>
      </w:r>
      <w:r w:rsidRPr="006D4102">
        <w:rPr>
          <w:rFonts w:ascii="Arial" w:hAnsi="Arial"/>
          <w:i w:val="0"/>
          <w:iCs w:val="0"/>
          <w:sz w:val="16"/>
        </w:rPr>
        <w:t>crow heralds the sunrise</w:t>
      </w:r>
      <w:r>
        <w:rPr>
          <w:rFonts w:ascii="Arial" w:hAnsi="Arial"/>
          <w:i w:val="0"/>
          <w:iCs w:val="0"/>
          <w:sz w:val="16"/>
        </w:rPr>
        <w:t xml:space="preserve"> </w:t>
      </w:r>
      <w:hyperlink r:id="rId25" w:history="1">
        <w:r w:rsidRPr="006167BB">
          <w:rPr>
            <w:rStyle w:val="Hyperlink"/>
            <w:rFonts w:ascii="Arial" w:hAnsi="Arial"/>
            <w:i w:val="0"/>
            <w:iCs w:val="0"/>
            <w:sz w:val="16"/>
          </w:rPr>
          <w:t>https://www.trialrun.us/roosters-crow-causes-sun-rise-eat-chocolate-win-nobel-prize-statements-not-make-sense-blog-will/</w:t>
        </w:r>
      </w:hyperlink>
      <w:r w:rsidRPr="00286CC1">
        <w:rPr>
          <w:rFonts w:ascii="Arial" w:hAnsi="Arial"/>
          <w:i w:val="0"/>
          <w:iCs w:val="0"/>
          <w:sz w:val="16"/>
        </w:rPr>
        <w:t xml:space="preserve"> </w:t>
      </w:r>
      <w:r w:rsidRPr="0054678C">
        <w:rPr>
          <w:rFonts w:ascii="Arial" w:hAnsi="Arial"/>
          <w:i w:val="0"/>
          <w:iCs w:val="0"/>
          <w:sz w:val="16"/>
        </w:rPr>
        <w:t xml:space="preserve">(accessed 11 October 2020) </w:t>
      </w:r>
      <w:r w:rsidRPr="009A3B09">
        <w:rPr>
          <w:rFonts w:ascii="Arial" w:eastAsia="Times New Roman" w:hAnsi="Arial" w:cs="Times New Roman"/>
          <w:i w:val="0"/>
          <w:iCs w:val="0"/>
          <w:sz w:val="16"/>
          <w:szCs w:val="20"/>
        </w:rPr>
        <w:t>(Trial Run 2020).</w:t>
      </w:r>
      <w:bookmarkEnd w:id="20"/>
    </w:p>
    <w:p w14:paraId="57477AA6" w14:textId="6E172F80" w:rsidR="005145D5" w:rsidRDefault="00EE4313" w:rsidP="00CE6FC2">
      <w:pPr>
        <w:pStyle w:val="para1"/>
        <w:spacing w:line="480" w:lineRule="auto"/>
      </w:pPr>
      <w:r>
        <w:t>However</w:t>
      </w:r>
      <w:r w:rsidR="00827620">
        <w:t>,</w:t>
      </w:r>
      <w:r w:rsidR="005145D5" w:rsidRPr="00907949">
        <w:t xml:space="preserve"> in some cases</w:t>
      </w:r>
      <w:r w:rsidR="00827620">
        <w:t xml:space="preserve"> </w:t>
      </w:r>
      <w:r w:rsidR="005145D5" w:rsidRPr="00907949">
        <w:t xml:space="preserve">there might be a correlation statistically and the existence of any </w:t>
      </w:r>
      <w:r w:rsidR="001C0B42">
        <w:t>causal</w:t>
      </w:r>
      <w:r w:rsidR="005145D5" w:rsidRPr="00907949">
        <w:t xml:space="preserve">ity is not that obvious. </w:t>
      </w:r>
      <w:r w:rsidR="00194087">
        <w:t>I</w:t>
      </w:r>
      <w:r w:rsidR="005145D5" w:rsidRPr="00907949">
        <w:t>n the 1950’s</w:t>
      </w:r>
      <w:r w:rsidR="00194087">
        <w:t xml:space="preserve">, such an example was the </w:t>
      </w:r>
      <w:r w:rsidR="005145D5" w:rsidRPr="00907949">
        <w:t xml:space="preserve">effects of smoking on lung cancer. Sir Ronald Fischer who created and designed the randomized experiment in 1935 believed the association between smoking and lung cancer </w:t>
      </w:r>
      <w:r w:rsidR="00194087">
        <w:t>wa</w:t>
      </w:r>
      <w:r w:rsidR="005145D5" w:rsidRPr="00907949">
        <w:t xml:space="preserve">s spurious. </w:t>
      </w:r>
      <w:r w:rsidR="00231630" w:rsidRPr="00981FE6">
        <w:rPr>
          <w:rFonts w:eastAsiaTheme="minorHAnsi"/>
          <w:color w:val="002060"/>
          <w:szCs w:val="24"/>
        </w:rPr>
        <w:t xml:space="preserve">Fischer </w:t>
      </w:r>
      <w:r w:rsidR="00231630">
        <w:rPr>
          <w:rFonts w:eastAsiaTheme="minorHAnsi"/>
          <w:color w:val="002060"/>
          <w:szCs w:val="24"/>
        </w:rPr>
        <w:t>(</w:t>
      </w:r>
      <w:r w:rsidR="00231630" w:rsidRPr="00981FE6">
        <w:rPr>
          <w:rFonts w:eastAsiaTheme="minorHAnsi"/>
          <w:color w:val="002060"/>
          <w:szCs w:val="24"/>
        </w:rPr>
        <w:t>1958</w:t>
      </w:r>
      <w:r w:rsidR="00231630">
        <w:rPr>
          <w:rFonts w:eastAsiaTheme="minorHAnsi"/>
          <w:color w:val="002060"/>
          <w:szCs w:val="24"/>
        </w:rPr>
        <w:t>)</w:t>
      </w:r>
      <w:r w:rsidR="005145D5" w:rsidRPr="00907949">
        <w:t xml:space="preserve"> claimed that </w:t>
      </w:r>
      <w:r w:rsidR="00194087">
        <w:t>in order to</w:t>
      </w:r>
      <w:r w:rsidR="005145D5" w:rsidRPr="00907949">
        <w:t xml:space="preserve"> understand the effects of cigarette smoking on lung cancer, other common causes such as genotypes should be investigated before implying causation</w:t>
      </w:r>
      <w:r w:rsidR="008B0296">
        <w:t>.</w:t>
      </w:r>
      <w:r w:rsidR="005145D5" w:rsidRPr="00907949">
        <w:t xml:space="preserve"> Interestingly here</w:t>
      </w:r>
      <w:r w:rsidR="00AF176F">
        <w:t>,</w:t>
      </w:r>
      <w:r w:rsidR="005145D5" w:rsidRPr="00907949">
        <w:t xml:space="preserve"> the doctors could not hold randomized control trials to ascertain causation simply because they </w:t>
      </w:r>
      <w:r w:rsidR="0028386E">
        <w:t>were</w:t>
      </w:r>
      <w:r w:rsidR="0074624D">
        <w:t xml:space="preserve"> unable</w:t>
      </w:r>
      <w:r w:rsidR="0028386E">
        <w:t xml:space="preserve"> </w:t>
      </w:r>
      <w:r w:rsidR="0074624D">
        <w:t>to</w:t>
      </w:r>
      <w:r w:rsidR="005145D5" w:rsidRPr="00907949">
        <w:t xml:space="preserve"> randomly select individuals and ask them to smoke cigarettes </w:t>
      </w:r>
      <w:r w:rsidR="00E5106B">
        <w:t>in order</w:t>
      </w:r>
      <w:r w:rsidR="005145D5" w:rsidRPr="00907949">
        <w:t xml:space="preserve"> to gauge the effect on their health decades later. </w:t>
      </w:r>
      <w:r w:rsidR="00194087">
        <w:t xml:space="preserve">An advertisement using doctors as an advertising aid for cigarettes is shown in </w:t>
      </w:r>
      <w:r w:rsidR="005168EE" w:rsidRPr="00BD0902">
        <w:rPr>
          <w:b/>
          <w:bCs/>
        </w:rPr>
        <w:t>Fig</w:t>
      </w:r>
      <w:r w:rsidR="00AC5D40">
        <w:rPr>
          <w:b/>
          <w:bCs/>
        </w:rPr>
        <w:t>.</w:t>
      </w:r>
      <w:r w:rsidR="005168EE" w:rsidRPr="00BD0902">
        <w:rPr>
          <w:b/>
          <w:bCs/>
        </w:rPr>
        <w:t xml:space="preserve"> </w:t>
      </w:r>
      <w:r w:rsidR="0054678C">
        <w:rPr>
          <w:b/>
          <w:bCs/>
        </w:rPr>
        <w:t>2.3</w:t>
      </w:r>
      <w:r w:rsidR="005145D5" w:rsidRPr="00907949">
        <w:t xml:space="preserve">. Eventually, the US surgeon general in 1964 declared that “Cigarette Smoking is </w:t>
      </w:r>
      <w:r w:rsidR="001C0B42">
        <w:t>causal</w:t>
      </w:r>
      <w:r w:rsidR="005145D5" w:rsidRPr="00907949">
        <w:t>ly related to lung cancer in men”</w:t>
      </w:r>
      <w:r w:rsidR="00194087">
        <w:t xml:space="preserve"> which </w:t>
      </w:r>
      <w:r w:rsidR="005145D5" w:rsidRPr="00907949">
        <w:t xml:space="preserve">then resulted in decline of cigarette smoking among the US population in the years to follow and has increased life expectancy </w:t>
      </w:r>
      <w:r w:rsidR="00B955C6">
        <w:rPr>
          <w:rFonts w:eastAsiaTheme="minorHAnsi"/>
          <w:color w:val="002060"/>
          <w:szCs w:val="24"/>
        </w:rPr>
        <w:t>(</w:t>
      </w:r>
      <w:r w:rsidR="005145D5" w:rsidRPr="00090728">
        <w:rPr>
          <w:rFonts w:eastAsiaTheme="minorHAnsi"/>
          <w:color w:val="002060"/>
          <w:szCs w:val="24"/>
        </w:rPr>
        <w:t>Pearl and Mackenzie 2017</w:t>
      </w:r>
      <w:r w:rsidR="00B25B65">
        <w:rPr>
          <w:rFonts w:eastAsiaTheme="minorHAnsi"/>
          <w:color w:val="002060"/>
          <w:szCs w:val="24"/>
        </w:rPr>
        <w:t>)</w:t>
      </w:r>
      <w:r w:rsidR="005145D5" w:rsidRPr="00907949">
        <w:t>.</w:t>
      </w:r>
    </w:p>
    <w:p w14:paraId="06BA5475" w14:textId="77777777" w:rsidR="00885424" w:rsidRDefault="00F91BEF" w:rsidP="00885424">
      <w:pPr>
        <w:pStyle w:val="para1"/>
        <w:keepNext/>
        <w:spacing w:line="480" w:lineRule="auto"/>
        <w:jc w:val="center"/>
      </w:pPr>
      <w:r>
        <w:rPr>
          <w:noProof/>
        </w:rPr>
        <w:lastRenderedPageBreak/>
        <w:drawing>
          <wp:inline distT="0" distB="0" distL="0" distR="0" wp14:anchorId="20E334CC" wp14:editId="476D3127">
            <wp:extent cx="4630511" cy="62484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32573" cy="6251183"/>
                    </a:xfrm>
                    <a:prstGeom prst="rect">
                      <a:avLst/>
                    </a:prstGeom>
                  </pic:spPr>
                </pic:pic>
              </a:graphicData>
            </a:graphic>
          </wp:inline>
        </w:drawing>
      </w:r>
    </w:p>
    <w:p w14:paraId="59C21993" w14:textId="31C49232" w:rsidR="005145D5" w:rsidRPr="009A3B09" w:rsidRDefault="00885424" w:rsidP="00885424">
      <w:pPr>
        <w:pStyle w:val="para1"/>
        <w:spacing w:line="480" w:lineRule="auto"/>
        <w:ind w:firstLine="0"/>
        <w:jc w:val="center"/>
        <w:rPr>
          <w:rFonts w:ascii="Arial" w:hAnsi="Arial"/>
          <w:b/>
          <w:sz w:val="16"/>
        </w:rPr>
      </w:pPr>
      <w:bookmarkStart w:id="21" w:name="_Toc58667136"/>
      <w:r w:rsidRPr="00885424">
        <w:rPr>
          <w:rFonts w:ascii="Arial" w:hAnsi="Arial"/>
          <w:b/>
          <w:sz w:val="16"/>
        </w:rPr>
        <w:t xml:space="preserve">Fig. 2. </w:t>
      </w:r>
      <w:r w:rsidRPr="00885424">
        <w:rPr>
          <w:rFonts w:ascii="Arial" w:hAnsi="Arial"/>
          <w:b/>
          <w:sz w:val="16"/>
        </w:rPr>
        <w:fldChar w:fldCharType="begin"/>
      </w:r>
      <w:r w:rsidRPr="00885424">
        <w:rPr>
          <w:rFonts w:ascii="Arial" w:hAnsi="Arial"/>
          <w:b/>
          <w:sz w:val="16"/>
        </w:rPr>
        <w:instrText xml:space="preserve"> SEQ Fig._2. \* ARABIC </w:instrText>
      </w:r>
      <w:r w:rsidRPr="00885424">
        <w:rPr>
          <w:rFonts w:ascii="Arial" w:hAnsi="Arial"/>
          <w:b/>
          <w:sz w:val="16"/>
        </w:rPr>
        <w:fldChar w:fldCharType="separate"/>
      </w:r>
      <w:r w:rsidR="00D006A5">
        <w:rPr>
          <w:rFonts w:ascii="Arial" w:hAnsi="Arial"/>
          <w:b/>
          <w:noProof/>
          <w:sz w:val="16"/>
        </w:rPr>
        <w:t>3</w:t>
      </w:r>
      <w:r w:rsidRPr="00885424">
        <w:rPr>
          <w:rFonts w:ascii="Arial" w:hAnsi="Arial"/>
          <w:b/>
          <w:sz w:val="16"/>
        </w:rPr>
        <w:fldChar w:fldCharType="end"/>
      </w:r>
      <w:r>
        <w:rPr>
          <w:rFonts w:ascii="Arial" w:hAnsi="Arial"/>
          <w:b/>
          <w:sz w:val="16"/>
        </w:rPr>
        <w:t>—</w:t>
      </w:r>
      <w:r w:rsidRPr="00492259">
        <w:rPr>
          <w:rFonts w:ascii="Arial" w:hAnsi="Arial"/>
          <w:b/>
          <w:sz w:val="16"/>
        </w:rPr>
        <w:t xml:space="preserve">Controversial advertisement in 1948 reassures the public that smoking is not injurious to health </w:t>
      </w:r>
      <w:r w:rsidRPr="009A3B09">
        <w:rPr>
          <w:rFonts w:ascii="Arial" w:hAnsi="Arial"/>
          <w:b/>
          <w:sz w:val="16"/>
        </w:rPr>
        <w:t>(Pearl and Mackenzie 2017).</w:t>
      </w:r>
      <w:bookmarkEnd w:id="21"/>
    </w:p>
    <w:p w14:paraId="13136267" w14:textId="367930B2" w:rsidR="005145D5" w:rsidRPr="00907949" w:rsidRDefault="005145D5" w:rsidP="00F77298">
      <w:pPr>
        <w:pStyle w:val="para1"/>
        <w:spacing w:line="480" w:lineRule="auto"/>
      </w:pPr>
      <w:r w:rsidRPr="00907949">
        <w:t xml:space="preserve">In the field of medicine where randomized clinical trials are </w:t>
      </w:r>
      <w:r w:rsidR="00194087">
        <w:t>used to determine</w:t>
      </w:r>
      <w:r w:rsidRPr="00907949">
        <w:t xml:space="preserve"> the effect of a treatment on the prevention of a disease, a large group of people </w:t>
      </w:r>
      <w:r w:rsidR="00194087">
        <w:t>given the drug</w:t>
      </w:r>
      <w:r w:rsidRPr="00907949">
        <w:t xml:space="preserve"> are allocated </w:t>
      </w:r>
      <w:r w:rsidR="00C30D43">
        <w:t xml:space="preserve">to </w:t>
      </w:r>
      <w:r w:rsidRPr="00907949">
        <w:t xml:space="preserve">the “Treatment” group and another large group of people who </w:t>
      </w:r>
      <w:r w:rsidR="00194087">
        <w:t xml:space="preserve">are not given the treatment or given </w:t>
      </w:r>
      <w:r w:rsidR="00F91BEF">
        <w:t>a placebo</w:t>
      </w:r>
      <w:r w:rsidRPr="00907949">
        <w:t xml:space="preserve"> are allocated to the “Control” group. However, just like the smoking-lung cancer </w:t>
      </w:r>
      <w:r w:rsidRPr="00907949">
        <w:lastRenderedPageBreak/>
        <w:t xml:space="preserve">example, randomized control trials which are considered the gold standard in determining casual relationships are not always feasible for designing a statistical experiment. Fortunately, if we have a lot of observational data available to us, then one could still identify a </w:t>
      </w:r>
      <w:r w:rsidR="001C0B42">
        <w:t>causal</w:t>
      </w:r>
      <w:r w:rsidRPr="00907949">
        <w:t xml:space="preserve"> effect if there is one. </w:t>
      </w:r>
      <w:r w:rsidRPr="00090728">
        <w:rPr>
          <w:rFonts w:eastAsiaTheme="minorHAnsi"/>
          <w:color w:val="002060"/>
          <w:szCs w:val="24"/>
        </w:rPr>
        <w:t xml:space="preserve">Cochran </w:t>
      </w:r>
      <w:r w:rsidR="00E01D39">
        <w:rPr>
          <w:rFonts w:eastAsiaTheme="minorHAnsi"/>
          <w:color w:val="002060"/>
          <w:szCs w:val="24"/>
        </w:rPr>
        <w:t>(</w:t>
      </w:r>
      <w:r w:rsidRPr="00090728">
        <w:rPr>
          <w:rFonts w:eastAsiaTheme="minorHAnsi"/>
          <w:color w:val="002060"/>
          <w:szCs w:val="24"/>
        </w:rPr>
        <w:t>1972</w:t>
      </w:r>
      <w:r w:rsidR="00E01D39">
        <w:rPr>
          <w:rFonts w:eastAsiaTheme="minorHAnsi"/>
          <w:color w:val="002060"/>
          <w:szCs w:val="24"/>
        </w:rPr>
        <w:t>)</w:t>
      </w:r>
      <w:r w:rsidRPr="00907949">
        <w:t xml:space="preserve"> writes “Observational studies are an interesting and challenging field which demands a good deal of humility, since we can claim only to be groping toward the truth”. </w:t>
      </w:r>
    </w:p>
    <w:p w14:paraId="0B4CE3E3" w14:textId="00EF82B9" w:rsidR="00C33871" w:rsidRPr="00907949" w:rsidRDefault="005145D5" w:rsidP="00F77298">
      <w:pPr>
        <w:pStyle w:val="para1"/>
        <w:spacing w:line="480" w:lineRule="auto"/>
      </w:pPr>
      <w:r w:rsidRPr="00907949">
        <w:t>There is a clear distinction between randomized control trials</w:t>
      </w:r>
      <w:r w:rsidR="00FB4784">
        <w:t xml:space="preserve"> (RCT)</w:t>
      </w:r>
      <w:r w:rsidRPr="00907949">
        <w:t xml:space="preserve"> and observational studies which are both aimed at finding </w:t>
      </w:r>
      <w:r w:rsidR="001C0B42">
        <w:t>causal</w:t>
      </w:r>
      <w:r w:rsidRPr="00907949">
        <w:t xml:space="preserve"> effects. A randomized control trial is an experiment where the study is under the complete control of the investigator in the sense that the people or subjects and the treatments assigned to those subjects are selected by the investigator. In the observational studies, the selection of the subjects to treatment groups are outside the controls of the investigator </w:t>
      </w:r>
      <w:r w:rsidR="004F2618">
        <w:rPr>
          <w:rFonts w:eastAsiaTheme="minorHAnsi"/>
          <w:color w:val="002060"/>
          <w:szCs w:val="24"/>
        </w:rPr>
        <w:t>(</w:t>
      </w:r>
      <w:r w:rsidRPr="00090728">
        <w:rPr>
          <w:rFonts w:eastAsiaTheme="minorHAnsi"/>
          <w:color w:val="002060"/>
          <w:szCs w:val="24"/>
        </w:rPr>
        <w:t>Cox and Reid 2000</w:t>
      </w:r>
      <w:r w:rsidR="004F2618">
        <w:rPr>
          <w:rFonts w:eastAsiaTheme="minorHAnsi"/>
          <w:color w:val="002060"/>
          <w:szCs w:val="24"/>
        </w:rPr>
        <w:t>;</w:t>
      </w:r>
      <w:r w:rsidRPr="00090728">
        <w:rPr>
          <w:rFonts w:eastAsiaTheme="minorHAnsi"/>
          <w:color w:val="002060"/>
          <w:szCs w:val="24"/>
        </w:rPr>
        <w:t xml:space="preserve"> Morgan and Winship 20</w:t>
      </w:r>
      <w:r w:rsidR="000D35A1">
        <w:rPr>
          <w:rFonts w:eastAsiaTheme="minorHAnsi"/>
          <w:color w:val="002060"/>
          <w:szCs w:val="24"/>
        </w:rPr>
        <w:t>14</w:t>
      </w:r>
      <w:r w:rsidR="00E01D39">
        <w:rPr>
          <w:rFonts w:eastAsiaTheme="minorHAnsi"/>
          <w:color w:val="002060"/>
          <w:szCs w:val="24"/>
        </w:rPr>
        <w:t>)</w:t>
      </w:r>
      <w:r w:rsidRPr="00907949">
        <w:t xml:space="preserve">. Therefore, the main design criteria which separates randomized control trials from the observational studies is the randomized allocation of subjects to treatment and control groups. </w:t>
      </w:r>
    </w:p>
    <w:p w14:paraId="3876DAAB" w14:textId="6498AD7C" w:rsidR="00EF2888" w:rsidRDefault="005145D5" w:rsidP="00EF2888">
      <w:pPr>
        <w:pStyle w:val="para1"/>
        <w:spacing w:line="480" w:lineRule="auto"/>
        <w:rPr>
          <w:rFonts w:eastAsiaTheme="minorHAnsi"/>
          <w:color w:val="002060"/>
          <w:szCs w:val="24"/>
        </w:rPr>
      </w:pPr>
      <w:r>
        <w:t xml:space="preserve">Although the English statistician, Sir </w:t>
      </w:r>
      <w:r w:rsidRPr="00D93819">
        <w:t xml:space="preserve">Ronald Fischer </w:t>
      </w:r>
      <w:r>
        <w:t>was the first to propose the randomized control trials in 1925, Jerzy Neyman conducted a completely randomized control trial for his Ph.D. dissertation in Mathematics</w:t>
      </w:r>
      <w:r w:rsidR="00E55846">
        <w:t xml:space="preserve"> in 1923</w:t>
      </w:r>
      <w:r>
        <w:t>. More importantly, he used a different notation for a randomized agricultural experiment called as potential outcomes. Here his subjects were units of land</w:t>
      </w:r>
      <w:r w:rsidR="006417E8">
        <w:t xml:space="preserve">, the treatment was </w:t>
      </w:r>
      <w:r w:rsidR="00BB116E">
        <w:t>type of manure</w:t>
      </w:r>
      <w:r w:rsidR="00F82AC7">
        <w:t xml:space="preserve"> used</w:t>
      </w:r>
      <w:r w:rsidR="009931FD">
        <w:t xml:space="preserve"> and </w:t>
      </w:r>
      <w:r>
        <w:t>potential outcomes w</w:t>
      </w:r>
      <w:r w:rsidR="00F82AC7">
        <w:t>ere</w:t>
      </w:r>
      <w:r>
        <w:t xml:space="preserve"> the crop yield</w:t>
      </w:r>
      <w:r w:rsidR="005A6498">
        <w:t>s</w:t>
      </w:r>
      <w:r>
        <w:t xml:space="preserve"> from the land units. Neyman’s notation is given by the expressio</w:t>
      </w:r>
      <w:r w:rsidR="000F5C40">
        <w:t>n</w:t>
      </w:r>
      <w:r w:rsidR="006D45EE">
        <w:t xml:space="preserve"> </w:t>
      </w:r>
      <w:r w:rsidR="00F63A3E">
        <w:t xml:space="preserve">in </w:t>
      </w:r>
      <w:r w:rsidR="00B63572">
        <w:t>Eq.</w:t>
      </w:r>
      <w:r w:rsidR="00A9045D">
        <w:t xml:space="preserve"> 2.</w:t>
      </w:r>
      <w:r w:rsidR="00B63572">
        <w:t>1</w:t>
      </w:r>
      <w:r w:rsidR="005B38DA">
        <w:t>.</w:t>
      </w:r>
      <w:r>
        <w:t xml:space="preserve"> Here the </w:t>
      </w:r>
      <w:r w:rsidR="001C0B42">
        <w:t>causal</w:t>
      </w:r>
      <w:r>
        <w:t xml:space="preserve"> effect in a randomized controlled experiment is the difference of sample means between the treatment group </w:t>
      </w:r>
      <m:oMath>
        <m:acc>
          <m:accPr>
            <m:chr m:val="̅"/>
            <m:ctrlPr>
              <w:rPr>
                <w:rFonts w:ascii="Cambria Math" w:hAnsi="Cambria Math"/>
              </w:rPr>
            </m:ctrlPr>
          </m:accPr>
          <m:e>
            <m:sSub>
              <m:sSubPr>
                <m:ctrlPr>
                  <w:rPr>
                    <w:rFonts w:ascii="Cambria Math" w:hAnsi="Cambria Math"/>
                  </w:rPr>
                </m:ctrlPr>
              </m:sSubPr>
              <m:e>
                <m:r>
                  <w:rPr>
                    <w:rFonts w:ascii="Cambria Math" w:hAnsi="Cambria Math"/>
                  </w:rPr>
                  <m:t>Y</m:t>
                </m:r>
              </m:e>
              <m:sub>
                <m:r>
                  <m:rPr>
                    <m:sty m:val="p"/>
                  </m:rPr>
                  <w:rPr>
                    <w:rFonts w:ascii="Cambria Math" w:hAnsi="Cambria Math"/>
                  </w:rPr>
                  <m:t>1</m:t>
                </m:r>
              </m:sub>
            </m:sSub>
          </m:e>
        </m:acc>
      </m:oMath>
      <w:r w:rsidRPr="00907949">
        <w:t xml:space="preserve"> </w:t>
      </w:r>
      <w:r>
        <w:t xml:space="preserve">and the control group </w:t>
      </w:r>
      <m:oMath>
        <m:acc>
          <m:accPr>
            <m:chr m:val="̅"/>
            <m:ctrlPr>
              <w:rPr>
                <w:rFonts w:ascii="Cambria Math" w:hAnsi="Cambria Math"/>
              </w:rPr>
            </m:ctrlPr>
          </m:accPr>
          <m:e>
            <m:sSub>
              <m:sSubPr>
                <m:ctrlPr>
                  <w:rPr>
                    <w:rFonts w:ascii="Cambria Math" w:hAnsi="Cambria Math"/>
                  </w:rPr>
                </m:ctrlPr>
              </m:sSubPr>
              <m:e>
                <m:r>
                  <w:rPr>
                    <w:rFonts w:ascii="Cambria Math" w:hAnsi="Cambria Math"/>
                  </w:rPr>
                  <m:t>Y</m:t>
                </m:r>
              </m:e>
              <m:sub>
                <m:r>
                  <m:rPr>
                    <m:sty m:val="p"/>
                  </m:rPr>
                  <w:rPr>
                    <w:rFonts w:ascii="Cambria Math" w:hAnsi="Cambria Math"/>
                  </w:rPr>
                  <m:t>0</m:t>
                </m:r>
              </m:sub>
            </m:sSub>
          </m:e>
        </m:acc>
      </m:oMath>
      <w:r>
        <w:t xml:space="preserve"> </w:t>
      </w:r>
      <w:r w:rsidR="003E17C3" w:rsidRPr="00E01D39">
        <w:rPr>
          <w:rFonts w:eastAsiaTheme="minorHAnsi"/>
          <w:color w:val="002060"/>
          <w:szCs w:val="24"/>
        </w:rPr>
        <w:t>(</w:t>
      </w:r>
      <w:r w:rsidRPr="00E01D39">
        <w:rPr>
          <w:rFonts w:eastAsiaTheme="minorHAnsi"/>
          <w:color w:val="002060"/>
          <w:szCs w:val="24"/>
        </w:rPr>
        <w:t>Rubin 2005</w:t>
      </w:r>
      <w:r w:rsidR="00E01D39" w:rsidRPr="00E01D39">
        <w:rPr>
          <w:rFonts w:eastAsiaTheme="minorHAnsi"/>
          <w:color w:val="002060"/>
          <w:szCs w:val="24"/>
        </w:rPr>
        <w:t>)</w:t>
      </w:r>
      <w:r w:rsidRPr="00E01D39">
        <w:rPr>
          <w:rFonts w:eastAsiaTheme="minorHAnsi"/>
          <w:color w:val="002060"/>
          <w:szCs w:val="24"/>
        </w:rPr>
        <w:t>.</w:t>
      </w:r>
    </w:p>
    <w:p w14:paraId="1A3A17ED" w14:textId="77777777" w:rsidR="00B63572" w:rsidRDefault="00B63572" w:rsidP="00EF2888">
      <w:pPr>
        <w:pStyle w:val="para1"/>
        <w:spacing w:line="480" w:lineRule="auto"/>
      </w:pPr>
    </w:p>
    <w:p w14:paraId="257C1A6D" w14:textId="1F1B3BA0" w:rsidR="005145D5" w:rsidRPr="00EF2888" w:rsidRDefault="002E6043" w:rsidP="00EF2888">
      <w:pPr>
        <w:pStyle w:val="para1"/>
        <w:spacing w:line="480" w:lineRule="auto"/>
      </w:pPr>
      <m:oMath>
        <m:acc>
          <m:accPr>
            <m:chr m:val="̅"/>
            <m:ctrlPr>
              <w:rPr>
                <w:rFonts w:ascii="Cambria Math" w:hAnsi="Cambria Math"/>
              </w:rPr>
            </m:ctrlPr>
          </m:accPr>
          <m:e>
            <m:sSub>
              <m:sSubPr>
                <m:ctrlPr>
                  <w:rPr>
                    <w:rFonts w:ascii="Cambria Math" w:hAnsi="Cambria Math"/>
                  </w:rPr>
                </m:ctrlPr>
              </m:sSubPr>
              <m:e>
                <m:r>
                  <w:rPr>
                    <w:rFonts w:ascii="Cambria Math" w:hAnsi="Cambria Math"/>
                  </w:rPr>
                  <m:t>Y</m:t>
                </m:r>
              </m:e>
              <m:sub>
                <m:r>
                  <m:rPr>
                    <m:sty m:val="p"/>
                  </m:rPr>
                  <w:rPr>
                    <w:rFonts w:ascii="Cambria Math" w:hAnsi="Cambria Math"/>
                  </w:rPr>
                  <m:t>1</m:t>
                </m:r>
              </m:sub>
            </m:sSub>
          </m:e>
        </m:acc>
        <m:r>
          <m:rPr>
            <m:sty m:val="p"/>
          </m:rPr>
          <w:rPr>
            <w:rFonts w:ascii="Cambria Math" w:hAnsi="Cambria Math"/>
          </w:rPr>
          <m:t>-</m:t>
        </m:r>
        <m:acc>
          <m:accPr>
            <m:chr m:val="̅"/>
            <m:ctrlPr>
              <w:rPr>
                <w:rFonts w:ascii="Cambria Math" w:hAnsi="Cambria Math"/>
              </w:rPr>
            </m:ctrlPr>
          </m:accPr>
          <m:e>
            <m:sSub>
              <m:sSubPr>
                <m:ctrlPr>
                  <w:rPr>
                    <w:rFonts w:ascii="Cambria Math" w:hAnsi="Cambria Math"/>
                  </w:rPr>
                </m:ctrlPr>
              </m:sSubPr>
              <m:e>
                <m:r>
                  <w:rPr>
                    <w:rFonts w:ascii="Cambria Math" w:hAnsi="Cambria Math"/>
                  </w:rPr>
                  <m:t>Y</m:t>
                </m:r>
              </m:e>
              <m:sub>
                <m:r>
                  <m:rPr>
                    <m:sty m:val="p"/>
                  </m:rPr>
                  <w:rPr>
                    <w:rFonts w:ascii="Cambria Math" w:hAnsi="Cambria Math"/>
                  </w:rPr>
                  <m:t>0</m:t>
                </m:r>
              </m:sub>
            </m:sSub>
          </m:e>
        </m:acc>
        <m:r>
          <m:rPr>
            <m:sty m:val="p"/>
          </m:rPr>
          <w:rPr>
            <w:rFonts w:ascii="Cambria Math" w:hAnsi="Cambria Math"/>
          </w:rPr>
          <m:t>=</m:t>
        </m:r>
        <m:nary>
          <m:naryPr>
            <m:chr m:val="∑"/>
            <m:limLoc m:val="undOvr"/>
            <m:ctrlPr>
              <w:rPr>
                <w:rFonts w:ascii="Cambria Math" w:hAnsi="Cambria Math"/>
              </w:rPr>
            </m:ctrlPr>
          </m:naryPr>
          <m:sub>
            <m:r>
              <w:rPr>
                <w:rFonts w:ascii="Cambria Math" w:hAnsi="Cambria Math"/>
              </w:rPr>
              <m:t>i</m:t>
            </m:r>
            <m:r>
              <m:rPr>
                <m:sty m:val="p"/>
              </m:rPr>
              <w:rPr>
                <w:rFonts w:ascii="Cambria Math" w:hAnsi="Cambria Math"/>
              </w:rPr>
              <m:t>=1</m:t>
            </m:r>
          </m:sub>
          <m:sup>
            <m:r>
              <w:rPr>
                <w:rFonts w:ascii="Cambria Math" w:hAnsi="Cambria Math"/>
              </w:rPr>
              <m:t>N</m:t>
            </m:r>
          </m:sup>
          <m:e>
            <m:f>
              <m:fPr>
                <m:ctrlPr>
                  <w:rPr>
                    <w:rFonts w:ascii="Cambria Math" w:hAnsi="Cambria Math"/>
                  </w:rPr>
                </m:ctrlPr>
              </m:fPr>
              <m:num>
                <m:sSub>
                  <m:sSubPr>
                    <m:ctrlPr>
                      <w:rPr>
                        <w:rFonts w:ascii="Cambria Math" w:hAnsi="Cambria Math"/>
                      </w:rPr>
                    </m:ctrlPr>
                  </m:sSubPr>
                  <m:e>
                    <m:r>
                      <w:rPr>
                        <w:rFonts w:ascii="Cambria Math" w:hAnsi="Cambria Math"/>
                      </w:rPr>
                      <m:t>Y</m:t>
                    </m:r>
                  </m:e>
                  <m:sub>
                    <m:r>
                      <w:rPr>
                        <w:rFonts w:ascii="Cambria Math" w:hAnsi="Cambria Math"/>
                      </w:rPr>
                      <m:t>i</m:t>
                    </m:r>
                  </m:sub>
                </m:sSub>
                <m:d>
                  <m:dPr>
                    <m:ctrlPr>
                      <w:rPr>
                        <w:rFonts w:ascii="Cambria Math" w:hAnsi="Cambria Math"/>
                      </w:rPr>
                    </m:ctrlPr>
                  </m:dPr>
                  <m:e>
                    <m:r>
                      <m:rPr>
                        <m:sty m:val="p"/>
                      </m:rPr>
                      <w:rPr>
                        <w:rFonts w:ascii="Cambria Math" w:hAnsi="Cambria Math"/>
                      </w:rPr>
                      <m:t>1</m:t>
                    </m:r>
                  </m:e>
                </m:d>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d>
                  <m:dPr>
                    <m:ctrlPr>
                      <w:rPr>
                        <w:rFonts w:ascii="Cambria Math" w:hAnsi="Cambria Math"/>
                      </w:rPr>
                    </m:ctrlPr>
                  </m:dPr>
                  <m:e>
                    <m:r>
                      <m:rPr>
                        <m:sty m:val="p"/>
                      </m:rPr>
                      <w:rPr>
                        <w:rFonts w:ascii="Cambria Math" w:hAnsi="Cambria Math"/>
                      </w:rPr>
                      <m:t>0</m:t>
                    </m:r>
                  </m:e>
                </m:d>
              </m:num>
              <m:den>
                <m:r>
                  <w:rPr>
                    <w:rFonts w:ascii="Cambria Math" w:hAnsi="Cambria Math"/>
                  </w:rPr>
                  <m:t>N</m:t>
                </m:r>
              </m:den>
            </m:f>
          </m:e>
        </m:nary>
      </m:oMath>
      <w:r w:rsidR="00EF2888">
        <w:t>……………………………………………………………</w:t>
      </w:r>
      <w:r w:rsidR="00BB48BB">
        <w:t>……</w:t>
      </w:r>
      <w:r w:rsidR="00F63A3E">
        <w:t xml:space="preserve"> (</w:t>
      </w:r>
      <w:r w:rsidR="00A9045D">
        <w:t>2.</w:t>
      </w:r>
      <w:r w:rsidR="00EF2888">
        <w:t>1</w:t>
      </w:r>
      <w:r w:rsidR="00BB48BB">
        <w:t>)</w:t>
      </w:r>
    </w:p>
    <w:p w14:paraId="587B6EBA" w14:textId="5F13761A" w:rsidR="005145D5" w:rsidRDefault="005145D5" w:rsidP="00F77298">
      <w:pPr>
        <w:pStyle w:val="para1"/>
        <w:spacing w:line="480" w:lineRule="auto"/>
      </w:pPr>
      <w:r>
        <w:lastRenderedPageBreak/>
        <w:t xml:space="preserve">Almost half a century later in 1974, </w:t>
      </w:r>
      <w:r w:rsidR="00031546">
        <w:t xml:space="preserve">Donald </w:t>
      </w:r>
      <w:r>
        <w:t>Rubin expanded Neyman’s potential outcome notations for defining casual effects in</w:t>
      </w:r>
      <w:r w:rsidR="00332ADF">
        <w:t xml:space="preserve">to </w:t>
      </w:r>
      <w:r>
        <w:t>non-randomized or observational studies. Hence his model of potential outcomes framework is popularly known as the Neyman-Rubin model.</w:t>
      </w:r>
      <w:r w:rsidRPr="0064394B">
        <w:t xml:space="preserve"> The potential outcomes framework today </w:t>
      </w:r>
      <w:r w:rsidR="00C02B3A">
        <w:t xml:space="preserve">is </w:t>
      </w:r>
      <w:r w:rsidRPr="0064394B">
        <w:t xml:space="preserve">used in many fields including social sciences, economics, epidemiology, medicine, computer science and mathematics. </w:t>
      </w:r>
    </w:p>
    <w:p w14:paraId="2F88A04D" w14:textId="4906D864" w:rsidR="005145D5" w:rsidRPr="00AF5621" w:rsidRDefault="005145D5" w:rsidP="00F77298">
      <w:pPr>
        <w:pStyle w:val="para1"/>
        <w:spacing w:line="480" w:lineRule="auto"/>
      </w:pPr>
      <w:r>
        <w:t xml:space="preserve">Suppose we are interested in the </w:t>
      </w:r>
      <w:r w:rsidR="001C0B42">
        <w:t>causal</w:t>
      </w:r>
      <w:r>
        <w:t xml:space="preserve"> effect of treatment</w:t>
      </w:r>
      <w:r w:rsidR="00244766">
        <w:t xml:space="preserve">, </w:t>
      </w:r>
      <w:r>
        <w:t>T on some outcome</w:t>
      </w:r>
      <w:r w:rsidR="00244766">
        <w:t xml:space="preserve">, </w:t>
      </w:r>
      <w:r>
        <w:t xml:space="preserve">Y. </w:t>
      </w:r>
      <w:r w:rsidRPr="00245D39">
        <w:rPr>
          <w:b/>
          <w:bCs/>
        </w:rPr>
        <w:t xml:space="preserve">Table </w:t>
      </w:r>
      <w:r w:rsidR="000D3AF1">
        <w:rPr>
          <w:b/>
          <w:bCs/>
        </w:rPr>
        <w:t>2</w:t>
      </w:r>
      <w:r w:rsidRPr="00245D39">
        <w:rPr>
          <w:b/>
          <w:bCs/>
        </w:rPr>
        <w:t>.</w:t>
      </w:r>
      <w:r w:rsidR="00F30B1A">
        <w:rPr>
          <w:b/>
          <w:bCs/>
        </w:rPr>
        <w:t>1</w:t>
      </w:r>
      <w:r>
        <w:t xml:space="preserve"> show</w:t>
      </w:r>
      <w:r w:rsidR="00580E80">
        <w:t>s</w:t>
      </w:r>
      <w:r>
        <w:t xml:space="preserve"> the potential outcomes Y (1) (treatment), which is the outcome that would be observed when the treatment status</w:t>
      </w:r>
      <w:r w:rsidR="006D7A46">
        <w:t>,</w:t>
      </w:r>
      <w:r>
        <w:t xml:space="preserve"> T=1 at time t and Y (0) (control) which is the outcome that would be observed when the treatment</w:t>
      </w:r>
      <w:r w:rsidR="006D7A46">
        <w:t>,</w:t>
      </w:r>
      <w:r>
        <w:t xml:space="preserve"> T=0 at time t, for both treatment and control groups for all units ranging from 1 to N. These potential outcomes can be compared at the unit-level and at the group level. Covariates given by X are those variables which cannot be affected by the treatment status or take a fixed value before the treatment assignment. </w:t>
      </w:r>
      <w:r w:rsidR="00627F09">
        <w:t>I</w:t>
      </w:r>
      <w:r>
        <w:t xml:space="preserve"> refer to these outcomes as potential outcomes because </w:t>
      </w:r>
      <w:r w:rsidR="00562201">
        <w:t>one</w:t>
      </w:r>
      <w:r>
        <w:t xml:space="preserve"> cannot observe both the outcomes when treatment status</w:t>
      </w:r>
      <w:r w:rsidR="006D7A46">
        <w:t xml:space="preserve">, </w:t>
      </w:r>
      <w:r>
        <w:t xml:space="preserve">T=0 or T=1 for a unit i at time t </w:t>
      </w:r>
      <w:r w:rsidR="003E17C3">
        <w:rPr>
          <w:rFonts w:eastAsiaTheme="minorHAnsi"/>
          <w:color w:val="002060"/>
          <w:szCs w:val="24"/>
        </w:rPr>
        <w:t>(</w:t>
      </w:r>
      <w:r w:rsidRPr="00090728">
        <w:rPr>
          <w:rFonts w:eastAsiaTheme="minorHAnsi"/>
          <w:color w:val="002060"/>
          <w:szCs w:val="24"/>
        </w:rPr>
        <w:t>Rubin 2005</w:t>
      </w:r>
      <w:r w:rsidR="00D32BDD">
        <w:rPr>
          <w:rFonts w:eastAsiaTheme="minorHAnsi"/>
          <w:color w:val="002060"/>
          <w:szCs w:val="24"/>
        </w:rPr>
        <w:t>)</w:t>
      </w:r>
      <w:r>
        <w:t>.</w:t>
      </w:r>
    </w:p>
    <w:p w14:paraId="6E547F11" w14:textId="77777777" w:rsidR="00C81BE2" w:rsidRDefault="005145D5" w:rsidP="00C81BE2">
      <w:pPr>
        <w:pStyle w:val="para1"/>
        <w:keepNext/>
        <w:spacing w:line="480" w:lineRule="auto"/>
      </w:pPr>
      <w:r>
        <w:rPr>
          <w:noProof/>
        </w:rPr>
        <w:drawing>
          <wp:inline distT="0" distB="0" distL="0" distR="0" wp14:anchorId="0A95C7DC" wp14:editId="2F210190">
            <wp:extent cx="5943600" cy="25590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2559050"/>
                    </a:xfrm>
                    <a:prstGeom prst="rect">
                      <a:avLst/>
                    </a:prstGeom>
                  </pic:spPr>
                </pic:pic>
              </a:graphicData>
            </a:graphic>
          </wp:inline>
        </w:drawing>
      </w:r>
    </w:p>
    <w:p w14:paraId="29C51CC7" w14:textId="4DA46B46" w:rsidR="00FC0BC4" w:rsidRDefault="00C81BE2" w:rsidP="00C81BE2">
      <w:pPr>
        <w:pStyle w:val="Caption"/>
      </w:pPr>
      <w:bookmarkStart w:id="22" w:name="_Toc58667115"/>
      <w:r w:rsidRPr="00C81BE2">
        <w:rPr>
          <w:rFonts w:ascii="Arial" w:eastAsia="Times New Roman" w:hAnsi="Arial" w:cs="Times New Roman"/>
          <w:i w:val="0"/>
          <w:iCs w:val="0"/>
          <w:sz w:val="16"/>
          <w:szCs w:val="20"/>
        </w:rPr>
        <w:t xml:space="preserve">Table 2. </w:t>
      </w:r>
      <w:r w:rsidRPr="00C81BE2">
        <w:rPr>
          <w:rFonts w:ascii="Arial" w:eastAsia="Times New Roman" w:hAnsi="Arial" w:cs="Times New Roman"/>
          <w:i w:val="0"/>
          <w:iCs w:val="0"/>
          <w:sz w:val="16"/>
          <w:szCs w:val="20"/>
        </w:rPr>
        <w:fldChar w:fldCharType="begin"/>
      </w:r>
      <w:r w:rsidRPr="00C81BE2">
        <w:rPr>
          <w:rFonts w:ascii="Arial" w:eastAsia="Times New Roman" w:hAnsi="Arial" w:cs="Times New Roman"/>
          <w:i w:val="0"/>
          <w:iCs w:val="0"/>
          <w:sz w:val="16"/>
          <w:szCs w:val="20"/>
        </w:rPr>
        <w:instrText xml:space="preserve"> SEQ Table_2. \* ARABIC </w:instrText>
      </w:r>
      <w:r w:rsidRPr="00C81BE2">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1</w:t>
      </w:r>
      <w:r w:rsidRPr="00C81BE2">
        <w:rPr>
          <w:rFonts w:ascii="Arial" w:eastAsia="Times New Roman" w:hAnsi="Arial" w:cs="Times New Roman"/>
          <w:i w:val="0"/>
          <w:iCs w:val="0"/>
          <w:sz w:val="16"/>
          <w:szCs w:val="20"/>
        </w:rPr>
        <w:fldChar w:fldCharType="end"/>
      </w:r>
      <w:r w:rsidRPr="00A23D9A">
        <w:rPr>
          <w:rFonts w:ascii="Arial" w:eastAsia="Times New Roman" w:hAnsi="Arial" w:cs="Times New Roman"/>
          <w:i w:val="0"/>
          <w:iCs w:val="0"/>
          <w:sz w:val="16"/>
          <w:szCs w:val="20"/>
        </w:rPr>
        <w:t xml:space="preserve">— </w:t>
      </w:r>
      <w:r w:rsidRPr="00DB7E42">
        <w:rPr>
          <w:rFonts w:ascii="Arial" w:eastAsia="Times New Roman" w:hAnsi="Arial" w:cs="Times New Roman"/>
          <w:i w:val="0"/>
          <w:iCs w:val="0"/>
          <w:sz w:val="16"/>
          <w:szCs w:val="20"/>
        </w:rPr>
        <w:t xml:space="preserve">Potential Outcomes </w:t>
      </w:r>
      <w:r w:rsidRPr="009A3B09">
        <w:rPr>
          <w:rFonts w:ascii="Arial" w:eastAsia="Times New Roman" w:hAnsi="Arial" w:cs="Times New Roman"/>
          <w:i w:val="0"/>
          <w:iCs w:val="0"/>
          <w:sz w:val="16"/>
          <w:szCs w:val="20"/>
        </w:rPr>
        <w:t>(Rubin 2005).</w:t>
      </w:r>
      <w:bookmarkEnd w:id="22"/>
    </w:p>
    <w:p w14:paraId="2AC6EDD4" w14:textId="345886AC" w:rsidR="00DB7E42" w:rsidRDefault="00DB7E42" w:rsidP="00A23D9A">
      <w:pPr>
        <w:pStyle w:val="Caption"/>
      </w:pPr>
    </w:p>
    <w:p w14:paraId="59D384D9" w14:textId="2645EA41" w:rsidR="005145D5" w:rsidRPr="009163FA" w:rsidRDefault="00363FA7" w:rsidP="00EB453C">
      <w:pPr>
        <w:pStyle w:val="Heading2"/>
        <w:ind w:left="0" w:firstLine="0"/>
      </w:pPr>
      <w:bookmarkStart w:id="23" w:name="_Toc58667099"/>
      <w:r w:rsidRPr="009163FA">
        <w:lastRenderedPageBreak/>
        <w:t xml:space="preserve">2.2 </w:t>
      </w:r>
      <w:r w:rsidR="005145D5" w:rsidRPr="009163FA">
        <w:t xml:space="preserve">Potential Outcomes and the </w:t>
      </w:r>
      <w:r w:rsidR="00DE2AB0" w:rsidRPr="009163FA">
        <w:t>F</w:t>
      </w:r>
      <w:r w:rsidR="005145D5" w:rsidRPr="009163FA">
        <w:t xml:space="preserve">undamental </w:t>
      </w:r>
      <w:r w:rsidR="00DE2AB0" w:rsidRPr="009163FA">
        <w:t>P</w:t>
      </w:r>
      <w:r w:rsidR="005145D5" w:rsidRPr="009163FA">
        <w:t xml:space="preserve">roblem of </w:t>
      </w:r>
      <w:r w:rsidR="001C0B42">
        <w:t>Causal</w:t>
      </w:r>
      <w:r w:rsidR="00FC7E05">
        <w:t xml:space="preserve"> </w:t>
      </w:r>
      <w:r w:rsidR="002836ED">
        <w:t>I</w:t>
      </w:r>
      <w:r w:rsidR="00FC7E05">
        <w:t>nference</w:t>
      </w:r>
      <w:bookmarkEnd w:id="23"/>
      <w:r w:rsidR="005145D5" w:rsidRPr="009163FA">
        <w:t xml:space="preserve"> </w:t>
      </w:r>
    </w:p>
    <w:p w14:paraId="6119ADCB" w14:textId="26A84D45" w:rsidR="005145D5" w:rsidRDefault="005145D5" w:rsidP="00756753">
      <w:pPr>
        <w:pStyle w:val="para1"/>
        <w:spacing w:line="480" w:lineRule="auto"/>
        <w:ind w:firstLine="0"/>
      </w:pPr>
      <w:r>
        <w:t xml:space="preserve">The assignment of the treatment to the subjects in RCTs is essentially random. Therefore, from </w:t>
      </w:r>
      <w:r w:rsidRPr="00AF70FA">
        <w:rPr>
          <w:b/>
          <w:bCs/>
        </w:rPr>
        <w:t xml:space="preserve">Table </w:t>
      </w:r>
      <w:r w:rsidR="00757070">
        <w:rPr>
          <w:b/>
          <w:bCs/>
        </w:rPr>
        <w:t>2</w:t>
      </w:r>
      <w:r w:rsidR="00AF70FA" w:rsidRPr="00AF70FA">
        <w:rPr>
          <w:b/>
          <w:bCs/>
        </w:rPr>
        <w:t>.1</w:t>
      </w:r>
      <w:r>
        <w:t xml:space="preserve">. assuming we have conducted the RCT, we can compute the unbiased estimate of the average treatment effect or the </w:t>
      </w:r>
      <w:r w:rsidR="001C0B42">
        <w:t>causal</w:t>
      </w:r>
      <w:r>
        <w:t xml:space="preserve"> effect directly from the experimental data. This estimate is given by the expression</w:t>
      </w:r>
      <w:r w:rsidR="00B326A1">
        <w:t xml:space="preserve"> by Eq. </w:t>
      </w:r>
      <w:r w:rsidR="00F63A3E">
        <w:t>2</w:t>
      </w:r>
      <w:r w:rsidR="003D72C1">
        <w:t>.2</w:t>
      </w:r>
      <w:r>
        <w:t xml:space="preserve">. As one can notice, this is same as the important observation from Neyman’s seminal work in 1923. For RCTs, we can take the difference between the means of the treatment group and the control group to arrive at the unbiased </w:t>
      </w:r>
      <w:r w:rsidR="001C0B42">
        <w:t>causal</w:t>
      </w:r>
      <w:r>
        <w:t xml:space="preserve"> effect </w:t>
      </w:r>
      <w:r w:rsidR="00AF257F" w:rsidRPr="003D5FEB">
        <w:rPr>
          <w:rFonts w:eastAsiaTheme="minorHAnsi"/>
          <w:color w:val="002060"/>
          <w:szCs w:val="24"/>
        </w:rPr>
        <w:t>(</w:t>
      </w:r>
      <w:r w:rsidRPr="003D5FEB">
        <w:rPr>
          <w:rFonts w:eastAsiaTheme="minorHAnsi"/>
          <w:color w:val="002060"/>
          <w:szCs w:val="24"/>
        </w:rPr>
        <w:t>Austin</w:t>
      </w:r>
      <w:r w:rsidR="003D5FEB" w:rsidRPr="003D5FEB">
        <w:rPr>
          <w:rFonts w:eastAsiaTheme="minorHAnsi"/>
          <w:color w:val="002060"/>
          <w:szCs w:val="24"/>
        </w:rPr>
        <w:t xml:space="preserve"> </w:t>
      </w:r>
      <w:r w:rsidRPr="003D5FEB">
        <w:rPr>
          <w:rFonts w:eastAsiaTheme="minorHAnsi"/>
          <w:color w:val="002060"/>
          <w:szCs w:val="24"/>
        </w:rPr>
        <w:t>2011)</w:t>
      </w:r>
      <w:r>
        <w:t>.</w:t>
      </w:r>
    </w:p>
    <w:p w14:paraId="2EC106B6" w14:textId="7A757808" w:rsidR="005145D5" w:rsidRPr="00583405" w:rsidRDefault="005145D5" w:rsidP="00F77298">
      <w:pPr>
        <w:pStyle w:val="para1"/>
        <w:spacing w:line="480" w:lineRule="auto"/>
      </w:pPr>
      <m:oMath>
        <m:r>
          <w:rPr>
            <w:rFonts w:ascii="Cambria Math" w:hAnsi="Cambria Math"/>
          </w:rPr>
          <m:t>E</m:t>
        </m:r>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d>
          <m:dPr>
            <m:ctrlPr>
              <w:rPr>
                <w:rFonts w:ascii="Cambria Math" w:hAnsi="Cambria Math"/>
              </w:rPr>
            </m:ctrlPr>
          </m:dPr>
          <m:e>
            <m:r>
              <m:rPr>
                <m:sty m:val="p"/>
              </m:rPr>
              <w:rPr>
                <w:rFonts w:ascii="Cambria Math" w:hAnsi="Cambria Math"/>
              </w:rPr>
              <m:t>1</m:t>
            </m:r>
          </m:e>
        </m:d>
        <m:r>
          <m:rPr>
            <m:sty m:val="p"/>
          </m:rPr>
          <w:rPr>
            <w:rFonts w:ascii="Cambria Math" w:hAnsi="Cambria Math"/>
          </w:rPr>
          <m:t>-</m:t>
        </m:r>
        <m:sSub>
          <m:sSubPr>
            <m:ctrlPr>
              <w:rPr>
                <w:rFonts w:ascii="Cambria Math" w:hAnsi="Cambria Math"/>
              </w:rPr>
            </m:ctrlPr>
          </m:sSubPr>
          <m:e>
            <m:r>
              <w:rPr>
                <w:rFonts w:ascii="Cambria Math" w:hAnsi="Cambria Math"/>
              </w:rPr>
              <m:t>Y</m:t>
            </m:r>
          </m:e>
          <m:sub>
            <m:r>
              <w:rPr>
                <w:rFonts w:ascii="Cambria Math" w:hAnsi="Cambria Math"/>
              </w:rPr>
              <m:t>i</m:t>
            </m:r>
          </m:sub>
        </m:sSub>
        <m:d>
          <m:dPr>
            <m:ctrlPr>
              <w:rPr>
                <w:rFonts w:ascii="Cambria Math" w:hAnsi="Cambria Math"/>
              </w:rPr>
            </m:ctrlPr>
          </m:dPr>
          <m:e>
            <m:r>
              <m:rPr>
                <m:sty m:val="p"/>
              </m:rPr>
              <w:rPr>
                <w:rFonts w:ascii="Cambria Math" w:hAnsi="Cambria Math"/>
              </w:rPr>
              <m:t>0</m:t>
            </m:r>
          </m:e>
        </m:d>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Y</m:t>
        </m:r>
        <m:d>
          <m:dPr>
            <m:ctrlPr>
              <w:rPr>
                <w:rFonts w:ascii="Cambria Math" w:hAnsi="Cambria Math"/>
              </w:rPr>
            </m:ctrlPr>
          </m:dPr>
          <m:e>
            <m:r>
              <m:rPr>
                <m:sty m:val="p"/>
              </m:rPr>
              <w:rPr>
                <w:rFonts w:ascii="Cambria Math" w:hAnsi="Cambria Math"/>
              </w:rPr>
              <m:t>1</m:t>
            </m:r>
          </m:e>
        </m:d>
        <m:r>
          <m:rPr>
            <m:sty m:val="p"/>
          </m:rPr>
          <w:rPr>
            <w:rFonts w:ascii="Cambria Math" w:hAnsi="Cambria Math"/>
          </w:rPr>
          <m:t>]-</m:t>
        </m:r>
        <m:r>
          <w:rPr>
            <w:rFonts w:ascii="Cambria Math" w:hAnsi="Cambria Math"/>
          </w:rPr>
          <m:t>E</m:t>
        </m:r>
        <m:r>
          <m:rPr>
            <m:sty m:val="p"/>
          </m:rPr>
          <w:rPr>
            <w:rFonts w:ascii="Cambria Math" w:hAnsi="Cambria Math"/>
          </w:rPr>
          <m:t>[</m:t>
        </m:r>
        <m:r>
          <w:rPr>
            <w:rFonts w:ascii="Cambria Math" w:hAnsi="Cambria Math"/>
          </w:rPr>
          <m:t>Y</m:t>
        </m:r>
        <m:d>
          <m:dPr>
            <m:ctrlPr>
              <w:rPr>
                <w:rFonts w:ascii="Cambria Math" w:hAnsi="Cambria Math"/>
              </w:rPr>
            </m:ctrlPr>
          </m:dPr>
          <m:e>
            <m:r>
              <m:rPr>
                <m:sty m:val="p"/>
              </m:rPr>
              <w:rPr>
                <w:rFonts w:ascii="Cambria Math" w:hAnsi="Cambria Math"/>
              </w:rPr>
              <m:t>0</m:t>
            </m:r>
          </m:e>
        </m:d>
        <m:r>
          <m:rPr>
            <m:sty m:val="p"/>
          </m:rPr>
          <w:rPr>
            <w:rFonts w:ascii="Cambria Math" w:hAnsi="Cambria Math"/>
          </w:rPr>
          <m:t>]</m:t>
        </m:r>
      </m:oMath>
      <w:r w:rsidR="00583405">
        <w:t>………………………………………………</w:t>
      </w:r>
      <w:r w:rsidR="008B2BC5">
        <w:t>…</w:t>
      </w:r>
      <w:r w:rsidR="00F062AB">
        <w:t xml:space="preserve"> (</w:t>
      </w:r>
      <w:r w:rsidR="00F63A3E">
        <w:t>2</w:t>
      </w:r>
      <w:r w:rsidR="003D72C1">
        <w:t>.2</w:t>
      </w:r>
      <w:r w:rsidR="00583405">
        <w:t>)</w:t>
      </w:r>
    </w:p>
    <w:p w14:paraId="3E9E391A" w14:textId="21A91AD9" w:rsidR="002836ED" w:rsidRDefault="005145D5" w:rsidP="00F77298">
      <w:pPr>
        <w:pStyle w:val="para1"/>
        <w:spacing w:line="480" w:lineRule="auto"/>
      </w:pPr>
      <w:r>
        <w:t>This, however, is not the case for the observational studies. The subjects in observational studies in the treatment group and control group are different from each other as the assignment of treatment itself is not random to begin with. Hence, we have the expressions</w:t>
      </w:r>
      <w:r w:rsidR="00403A8C">
        <w:t xml:space="preserve"> in Eq. </w:t>
      </w:r>
      <w:r w:rsidR="003D72C1">
        <w:t>2.</w:t>
      </w:r>
      <w:r w:rsidR="00F63A3E">
        <w:t>3</w:t>
      </w:r>
      <w:r w:rsidR="00403A8C">
        <w:t xml:space="preserve"> and Eq. </w:t>
      </w:r>
      <w:r w:rsidR="003D72C1">
        <w:t>2.</w:t>
      </w:r>
      <w:r w:rsidR="00F63A3E">
        <w:t>4</w:t>
      </w:r>
      <w:r>
        <w:t xml:space="preserve"> considering T as the treatment status (1=given, 0=not given). So, we cannot obtain an unbiased estimate for the </w:t>
      </w:r>
      <w:r w:rsidR="001C0B42">
        <w:t>causal</w:t>
      </w:r>
      <w:r>
        <w:t xml:space="preserve"> effect by taking the difference in the means of the treatment and control group </w:t>
      </w:r>
      <w:r w:rsidR="00403A8C">
        <w:rPr>
          <w:rFonts w:eastAsiaTheme="minorHAnsi"/>
          <w:color w:val="002060"/>
          <w:szCs w:val="24"/>
        </w:rPr>
        <w:t>(</w:t>
      </w:r>
      <w:r w:rsidRPr="00090728">
        <w:rPr>
          <w:rFonts w:eastAsiaTheme="minorHAnsi"/>
          <w:color w:val="002060"/>
          <w:szCs w:val="24"/>
        </w:rPr>
        <w:t>Austin</w:t>
      </w:r>
      <w:r w:rsidR="00403A8C">
        <w:rPr>
          <w:rFonts w:eastAsiaTheme="minorHAnsi"/>
          <w:color w:val="002060"/>
          <w:szCs w:val="24"/>
        </w:rPr>
        <w:t xml:space="preserve"> </w:t>
      </w:r>
      <w:r w:rsidRPr="00090728">
        <w:rPr>
          <w:rFonts w:eastAsiaTheme="minorHAnsi"/>
          <w:color w:val="002060"/>
          <w:szCs w:val="24"/>
        </w:rPr>
        <w:t>2011</w:t>
      </w:r>
      <w:r w:rsidR="00E4053B">
        <w:rPr>
          <w:rFonts w:eastAsiaTheme="minorHAnsi"/>
          <w:color w:val="002060"/>
          <w:szCs w:val="24"/>
        </w:rPr>
        <w:t>)</w:t>
      </w:r>
      <w:r>
        <w:t xml:space="preserve">. </w:t>
      </w:r>
    </w:p>
    <w:p w14:paraId="6CC33E6F" w14:textId="6221770D" w:rsidR="005145D5" w:rsidRPr="008B2BC5" w:rsidRDefault="005145D5" w:rsidP="00F77298">
      <w:pPr>
        <w:pStyle w:val="para1"/>
        <w:spacing w:line="480" w:lineRule="auto"/>
      </w:pPr>
      <m:oMath>
        <m:r>
          <w:rPr>
            <w:rFonts w:ascii="Cambria Math" w:hAnsi="Cambria Math"/>
          </w:rPr>
          <m:t>E</m:t>
        </m:r>
        <m:r>
          <m:rPr>
            <m:sty m:val="p"/>
          </m:rPr>
          <w:rPr>
            <w:rFonts w:ascii="Cambria Math" w:hAnsi="Cambria Math"/>
          </w:rPr>
          <m:t>[</m:t>
        </m:r>
        <m:r>
          <w:rPr>
            <w:rFonts w:ascii="Cambria Math" w:hAnsi="Cambria Math"/>
          </w:rPr>
          <m:t>Y</m:t>
        </m:r>
        <m:r>
          <m:rPr>
            <m:sty m:val="p"/>
          </m:rPr>
          <w:rPr>
            <w:rFonts w:ascii="Cambria Math" w:hAnsi="Cambria Math"/>
          </w:rPr>
          <m:t xml:space="preserve">| </m:t>
        </m:r>
        <m:r>
          <w:rPr>
            <w:rFonts w:ascii="Cambria Math" w:hAnsi="Cambria Math"/>
          </w:rPr>
          <m:t>T</m:t>
        </m:r>
        <m:r>
          <m:rPr>
            <m:sty m:val="p"/>
          </m:rPr>
          <w:rPr>
            <w:rFonts w:ascii="Cambria Math" w:hAnsi="Cambria Math"/>
          </w:rPr>
          <m:t xml:space="preserve">=1]≠ </m:t>
        </m:r>
        <m:r>
          <w:rPr>
            <w:rFonts w:ascii="Cambria Math" w:hAnsi="Cambria Math"/>
          </w:rPr>
          <m:t>E</m:t>
        </m:r>
        <m:d>
          <m:dPr>
            <m:begChr m:val="["/>
            <m:endChr m:val="]"/>
            <m:ctrlPr>
              <w:rPr>
                <w:rFonts w:ascii="Cambria Math" w:hAnsi="Cambria Math"/>
              </w:rPr>
            </m:ctrlPr>
          </m:dPr>
          <m:e>
            <m:r>
              <w:rPr>
                <w:rFonts w:ascii="Cambria Math" w:hAnsi="Cambria Math"/>
              </w:rPr>
              <m:t>Y</m:t>
            </m:r>
            <m:d>
              <m:dPr>
                <m:ctrlPr>
                  <w:rPr>
                    <w:rFonts w:ascii="Cambria Math" w:hAnsi="Cambria Math"/>
                  </w:rPr>
                </m:ctrlPr>
              </m:dPr>
              <m:e>
                <m:r>
                  <m:rPr>
                    <m:sty m:val="p"/>
                  </m:rPr>
                  <w:rPr>
                    <w:rFonts w:ascii="Cambria Math" w:hAnsi="Cambria Math"/>
                  </w:rPr>
                  <m:t>1</m:t>
                </m:r>
              </m:e>
            </m:d>
          </m:e>
        </m:d>
      </m:oMath>
      <w:r w:rsidR="008B2BC5">
        <w:t>…………………………………………………………………</w:t>
      </w:r>
      <w:r w:rsidR="003D72C1">
        <w:t>.</w:t>
      </w:r>
      <w:r w:rsidR="003274E2">
        <w:t xml:space="preserve"> (</w:t>
      </w:r>
      <w:r w:rsidR="003D72C1">
        <w:t>2.</w:t>
      </w:r>
      <w:r w:rsidR="00F63A3E">
        <w:t>3</w:t>
      </w:r>
      <w:r w:rsidR="008F106C">
        <w:t>)</w:t>
      </w:r>
    </w:p>
    <w:p w14:paraId="24A6EFF3" w14:textId="6B57B448" w:rsidR="005145D5" w:rsidRPr="008B2BC5" w:rsidRDefault="005145D5" w:rsidP="00F77298">
      <w:pPr>
        <w:pStyle w:val="para1"/>
        <w:spacing w:line="480" w:lineRule="auto"/>
      </w:pPr>
      <m:oMath>
        <m:r>
          <w:rPr>
            <w:rFonts w:ascii="Cambria Math" w:hAnsi="Cambria Math"/>
          </w:rPr>
          <m:t>E</m:t>
        </m:r>
        <m:r>
          <m:rPr>
            <m:sty m:val="p"/>
          </m:rPr>
          <w:rPr>
            <w:rFonts w:ascii="Cambria Math" w:hAnsi="Cambria Math"/>
          </w:rPr>
          <m:t>[</m:t>
        </m:r>
        <m:r>
          <w:rPr>
            <w:rFonts w:ascii="Cambria Math" w:hAnsi="Cambria Math"/>
          </w:rPr>
          <m:t>Y</m:t>
        </m:r>
        <m:r>
          <m:rPr>
            <m:sty m:val="p"/>
          </m:rPr>
          <w:rPr>
            <w:rFonts w:ascii="Cambria Math" w:hAnsi="Cambria Math"/>
          </w:rPr>
          <m:t xml:space="preserve">| </m:t>
        </m:r>
        <m:r>
          <w:rPr>
            <w:rFonts w:ascii="Cambria Math" w:hAnsi="Cambria Math"/>
          </w:rPr>
          <m:t>T</m:t>
        </m:r>
        <m:r>
          <m:rPr>
            <m:sty m:val="p"/>
          </m:rPr>
          <w:rPr>
            <w:rFonts w:ascii="Cambria Math" w:hAnsi="Cambria Math"/>
          </w:rPr>
          <m:t xml:space="preserve">=0]≠ </m:t>
        </m:r>
        <m:r>
          <w:rPr>
            <w:rFonts w:ascii="Cambria Math" w:hAnsi="Cambria Math"/>
          </w:rPr>
          <m:t>E</m:t>
        </m:r>
        <m:d>
          <m:dPr>
            <m:begChr m:val="["/>
            <m:endChr m:val="]"/>
            <m:ctrlPr>
              <w:rPr>
                <w:rFonts w:ascii="Cambria Math" w:hAnsi="Cambria Math"/>
              </w:rPr>
            </m:ctrlPr>
          </m:dPr>
          <m:e>
            <m:r>
              <w:rPr>
                <w:rFonts w:ascii="Cambria Math" w:hAnsi="Cambria Math"/>
              </w:rPr>
              <m:t>Y</m:t>
            </m:r>
            <m:d>
              <m:dPr>
                <m:ctrlPr>
                  <w:rPr>
                    <w:rFonts w:ascii="Cambria Math" w:hAnsi="Cambria Math"/>
                  </w:rPr>
                </m:ctrlPr>
              </m:dPr>
              <m:e>
                <m:r>
                  <m:rPr>
                    <m:sty m:val="p"/>
                  </m:rPr>
                  <w:rPr>
                    <w:rFonts w:ascii="Cambria Math" w:hAnsi="Cambria Math"/>
                  </w:rPr>
                  <m:t>0</m:t>
                </m:r>
              </m:e>
            </m:d>
          </m:e>
        </m:d>
      </m:oMath>
      <w:r w:rsidR="008F106C">
        <w:t>………………………………………………………………</w:t>
      </w:r>
      <w:r w:rsidR="003D72C1">
        <w:t>…. (2.</w:t>
      </w:r>
      <w:r w:rsidR="00F63A3E">
        <w:t>4</w:t>
      </w:r>
      <w:r w:rsidR="000D0DFA">
        <w:t>)</w:t>
      </w:r>
    </w:p>
    <w:p w14:paraId="5C849D06" w14:textId="0FCD44A0" w:rsidR="00D56C80" w:rsidRDefault="0074002E" w:rsidP="00712E5D">
      <w:pPr>
        <w:pStyle w:val="para1"/>
        <w:spacing w:line="480" w:lineRule="auto"/>
      </w:pPr>
      <w:r w:rsidRPr="00907949">
        <w:t xml:space="preserve">Therefore, </w:t>
      </w:r>
      <m:oMath>
        <m:r>
          <w:rPr>
            <w:rFonts w:ascii="Cambria Math" w:hAnsi="Cambria Math"/>
          </w:rPr>
          <m:t>E</m:t>
        </m:r>
        <m:r>
          <m:rPr>
            <m:sty m:val="p"/>
          </m:rPr>
          <w:rPr>
            <w:rFonts w:ascii="Cambria Math" w:hAnsi="Cambria Math"/>
          </w:rPr>
          <m:t>[</m:t>
        </m:r>
        <m:r>
          <w:rPr>
            <w:rFonts w:ascii="Cambria Math" w:hAnsi="Cambria Math"/>
          </w:rPr>
          <m:t>Y</m:t>
        </m:r>
        <m:r>
          <m:rPr>
            <m:sty m:val="p"/>
          </m:rPr>
          <w:rPr>
            <w:rFonts w:ascii="Cambria Math" w:hAnsi="Cambria Math"/>
          </w:rPr>
          <m:t xml:space="preserve">| </m:t>
        </m:r>
        <m:r>
          <w:rPr>
            <w:rFonts w:ascii="Cambria Math" w:hAnsi="Cambria Math"/>
          </w:rPr>
          <m:t>T</m:t>
        </m:r>
        <m:r>
          <m:rPr>
            <m:sty m:val="p"/>
          </m:rPr>
          <w:rPr>
            <w:rFonts w:ascii="Cambria Math" w:hAnsi="Cambria Math"/>
          </w:rPr>
          <m:t xml:space="preserve">=1]- </m:t>
        </m:r>
        <m:r>
          <w:rPr>
            <w:rFonts w:ascii="Cambria Math" w:hAnsi="Cambria Math"/>
          </w:rPr>
          <m:t>E</m:t>
        </m:r>
        <m:r>
          <m:rPr>
            <m:sty m:val="p"/>
          </m:rPr>
          <w:rPr>
            <w:rFonts w:ascii="Cambria Math" w:hAnsi="Cambria Math"/>
          </w:rPr>
          <m:t>[</m:t>
        </m:r>
        <m:r>
          <w:rPr>
            <w:rFonts w:ascii="Cambria Math" w:hAnsi="Cambria Math"/>
          </w:rPr>
          <m:t>Y</m:t>
        </m:r>
        <m:r>
          <m:rPr>
            <m:sty m:val="p"/>
          </m:rPr>
          <w:rPr>
            <w:rFonts w:ascii="Cambria Math" w:hAnsi="Cambria Math"/>
          </w:rPr>
          <m:t xml:space="preserve">| </m:t>
        </m:r>
        <m:r>
          <w:rPr>
            <w:rFonts w:ascii="Cambria Math" w:hAnsi="Cambria Math"/>
          </w:rPr>
          <m:t>T</m:t>
        </m:r>
        <m:r>
          <m:rPr>
            <m:sty m:val="p"/>
          </m:rPr>
          <w:rPr>
            <w:rFonts w:ascii="Cambria Math" w:hAnsi="Cambria Math"/>
          </w:rPr>
          <m:t>=0]</m:t>
        </m:r>
      </m:oMath>
      <w:r w:rsidRPr="00907949">
        <w:t xml:space="preserve"> is not the average causal effect here because we are considering two different sub-sets of the subject population with different treatments and covariates.</w:t>
      </w:r>
      <w:r>
        <w:t xml:space="preserve"> Unfortunately, this has been the basis of several published papers </w:t>
      </w:r>
      <w:r w:rsidRPr="00D02359">
        <w:rPr>
          <w:rFonts w:eastAsiaTheme="minorHAnsi"/>
          <w:color w:val="002060"/>
          <w:szCs w:val="24"/>
        </w:rPr>
        <w:t>(</w:t>
      </w:r>
      <w:r w:rsidR="00020BD0" w:rsidRPr="00D02359">
        <w:rPr>
          <w:rFonts w:eastAsiaTheme="minorHAnsi"/>
          <w:color w:val="002060"/>
          <w:szCs w:val="24"/>
        </w:rPr>
        <w:t>Miller et al. 2016</w:t>
      </w:r>
      <w:r w:rsidR="00020BD0">
        <w:rPr>
          <w:rFonts w:eastAsiaTheme="minorHAnsi"/>
          <w:color w:val="002060"/>
          <w:szCs w:val="24"/>
        </w:rPr>
        <w:t xml:space="preserve">; </w:t>
      </w:r>
      <w:r w:rsidRPr="00D02359">
        <w:rPr>
          <w:rFonts w:eastAsiaTheme="minorHAnsi"/>
          <w:color w:val="002060"/>
          <w:szCs w:val="24"/>
        </w:rPr>
        <w:t>Lindsay et al. 201</w:t>
      </w:r>
      <w:r w:rsidR="00020BD0">
        <w:rPr>
          <w:rFonts w:eastAsiaTheme="minorHAnsi"/>
          <w:color w:val="002060"/>
          <w:szCs w:val="24"/>
        </w:rPr>
        <w:t>8</w:t>
      </w:r>
      <w:r w:rsidR="004C63CE">
        <w:rPr>
          <w:rFonts w:eastAsiaTheme="minorHAnsi"/>
          <w:color w:val="002060"/>
          <w:szCs w:val="24"/>
        </w:rPr>
        <w:t xml:space="preserve">; </w:t>
      </w:r>
      <w:r w:rsidRPr="00D02359">
        <w:rPr>
          <w:rFonts w:eastAsiaTheme="minorHAnsi"/>
          <w:color w:val="002060"/>
          <w:szCs w:val="24"/>
        </w:rPr>
        <w:t>Xu et al. 201</w:t>
      </w:r>
      <w:r w:rsidR="00F6207C">
        <w:rPr>
          <w:rFonts w:eastAsiaTheme="minorHAnsi"/>
          <w:color w:val="002060"/>
          <w:szCs w:val="24"/>
        </w:rPr>
        <w:t>9</w:t>
      </w:r>
      <w:r w:rsidRPr="00D02359">
        <w:rPr>
          <w:rFonts w:eastAsiaTheme="minorHAnsi"/>
          <w:color w:val="002060"/>
          <w:szCs w:val="24"/>
        </w:rPr>
        <w:t>)</w:t>
      </w:r>
      <w:r>
        <w:t xml:space="preserve"> that discuss parent-child well performance</w:t>
      </w:r>
      <w:r w:rsidR="00D56C80">
        <w:t>.</w:t>
      </w:r>
    </w:p>
    <w:p w14:paraId="1822A4F9" w14:textId="5E659801" w:rsidR="0074002E" w:rsidRDefault="0074002E" w:rsidP="00712E5D">
      <w:pPr>
        <w:pStyle w:val="para1"/>
        <w:spacing w:line="480" w:lineRule="auto"/>
      </w:pPr>
      <w:r>
        <w:t xml:space="preserve"> </w:t>
      </w:r>
      <w:r w:rsidRPr="00907949">
        <w:t xml:space="preserve"> </w:t>
      </w:r>
      <m:oMath>
        <m:r>
          <w:rPr>
            <w:rFonts w:ascii="Cambria Math" w:hAnsi="Cambria Math"/>
          </w:rPr>
          <m:t>E</m:t>
        </m:r>
        <m:r>
          <m:rPr>
            <m:sty m:val="p"/>
          </m:rPr>
          <w:rPr>
            <w:rFonts w:ascii="Cambria Math" w:hAnsi="Cambria Math"/>
          </w:rPr>
          <m:t>[</m:t>
        </m:r>
        <m:r>
          <w:rPr>
            <w:rFonts w:ascii="Cambria Math" w:hAnsi="Cambria Math"/>
          </w:rPr>
          <m:t>Y</m:t>
        </m:r>
        <m:d>
          <m:dPr>
            <m:ctrlPr>
              <w:rPr>
                <w:rFonts w:ascii="Cambria Math" w:hAnsi="Cambria Math"/>
              </w:rPr>
            </m:ctrlPr>
          </m:dPr>
          <m:e>
            <m:r>
              <m:rPr>
                <m:sty m:val="p"/>
              </m:rPr>
              <w:rPr>
                <w:rFonts w:ascii="Cambria Math" w:hAnsi="Cambria Math"/>
              </w:rPr>
              <m:t>1</m:t>
            </m:r>
          </m:e>
        </m:d>
        <m:r>
          <m:rPr>
            <m:sty m:val="p"/>
          </m:rPr>
          <w:rPr>
            <w:rFonts w:ascii="Cambria Math" w:hAnsi="Cambria Math"/>
          </w:rPr>
          <m:t>]-</m:t>
        </m:r>
        <m:r>
          <w:rPr>
            <w:rFonts w:ascii="Cambria Math" w:hAnsi="Cambria Math"/>
          </w:rPr>
          <m:t>E</m:t>
        </m:r>
        <m:d>
          <m:dPr>
            <m:begChr m:val="["/>
            <m:endChr m:val="]"/>
            <m:ctrlPr>
              <w:rPr>
                <w:rFonts w:ascii="Cambria Math" w:hAnsi="Cambria Math"/>
              </w:rPr>
            </m:ctrlPr>
          </m:dPr>
          <m:e>
            <m:r>
              <w:rPr>
                <w:rFonts w:ascii="Cambria Math" w:hAnsi="Cambria Math"/>
              </w:rPr>
              <m:t>Y</m:t>
            </m:r>
            <m:d>
              <m:dPr>
                <m:ctrlPr>
                  <w:rPr>
                    <w:rFonts w:ascii="Cambria Math" w:hAnsi="Cambria Math"/>
                  </w:rPr>
                </m:ctrlPr>
              </m:dPr>
              <m:e>
                <m:r>
                  <m:rPr>
                    <m:sty m:val="p"/>
                  </m:rPr>
                  <w:rPr>
                    <w:rFonts w:ascii="Cambria Math" w:hAnsi="Cambria Math"/>
                  </w:rPr>
                  <m:t>0</m:t>
                </m:r>
              </m:e>
            </m:d>
          </m:e>
        </m:d>
      </m:oMath>
      <w:r w:rsidRPr="00907949">
        <w:t xml:space="preserve"> is the true causal effect that we seek to find since it is comparing and taking the difference in potential outcomes for the same population </w:t>
      </w:r>
      <w:r w:rsidR="00D02359">
        <w:t>(</w:t>
      </w:r>
      <w:r w:rsidRPr="00E4053B">
        <w:rPr>
          <w:rFonts w:eastAsiaTheme="minorHAnsi"/>
          <w:color w:val="002060"/>
          <w:szCs w:val="24"/>
        </w:rPr>
        <w:t>Roy 2019)</w:t>
      </w:r>
      <w:r w:rsidRPr="00907949">
        <w:t>.</w:t>
      </w:r>
    </w:p>
    <w:p w14:paraId="7DF36A43" w14:textId="6802C3EF" w:rsidR="00C2651D" w:rsidRDefault="005145D5" w:rsidP="00F77298">
      <w:pPr>
        <w:pStyle w:val="para1"/>
        <w:spacing w:line="480" w:lineRule="auto"/>
      </w:pPr>
      <w:r>
        <w:lastRenderedPageBreak/>
        <w:t xml:space="preserve">This leads us to the discussion of the fundamental problem in </w:t>
      </w:r>
      <w:r w:rsidR="000A20F9">
        <w:t>causal inference</w:t>
      </w:r>
      <w:r w:rsidR="009D1C61">
        <w:t xml:space="preserve">. </w:t>
      </w:r>
      <w:r>
        <w:t xml:space="preserve">In order to illustrate this problem, I will take the following example from day-to-day life. In </w:t>
      </w:r>
      <w:r w:rsidR="00AC5D40" w:rsidRPr="00BD0902">
        <w:rPr>
          <w:b/>
          <w:bCs/>
        </w:rPr>
        <w:t>Fig</w:t>
      </w:r>
      <w:r w:rsidR="00AC5D40">
        <w:rPr>
          <w:b/>
          <w:bCs/>
        </w:rPr>
        <w:t>.</w:t>
      </w:r>
      <w:r w:rsidR="00AC5D40" w:rsidRPr="00BD0902">
        <w:rPr>
          <w:b/>
          <w:bCs/>
        </w:rPr>
        <w:t xml:space="preserve"> </w:t>
      </w:r>
      <w:r w:rsidR="009D1C61">
        <w:rPr>
          <w:b/>
          <w:bCs/>
        </w:rPr>
        <w:t>2.4</w:t>
      </w:r>
      <w:r>
        <w:t xml:space="preserve">, suppose a person has a strong headache and as a quick remedy or treatment he or she takes 2 pills of Ibuprofen. </w:t>
      </w:r>
      <w:r w:rsidR="009E5076">
        <w:t>Let us a</w:t>
      </w:r>
      <w:r>
        <w:t xml:space="preserve">ssume the headache is gone in an hour. </w:t>
      </w:r>
      <w:r w:rsidRPr="00255A6F">
        <w:t>So</w:t>
      </w:r>
      <w:r>
        <w:t xml:space="preserve">, </w:t>
      </w:r>
      <w:r w:rsidRPr="00255A6F">
        <w:t xml:space="preserve">can </w:t>
      </w:r>
      <w:r>
        <w:t>we</w:t>
      </w:r>
      <w:r w:rsidRPr="00255A6F">
        <w:t xml:space="preserve"> say that treatment</w:t>
      </w:r>
      <w:r>
        <w:t>- Ibuprofen</w:t>
      </w:r>
      <w:r w:rsidRPr="00255A6F">
        <w:t xml:space="preserve"> for</w:t>
      </w:r>
      <w:r>
        <w:t xml:space="preserve"> the headache </w:t>
      </w:r>
      <w:r w:rsidRPr="00255A6F">
        <w:t xml:space="preserve">worked and that was the </w:t>
      </w:r>
      <w:r w:rsidR="001C0B42">
        <w:t>causal</w:t>
      </w:r>
      <w:r w:rsidRPr="00255A6F">
        <w:t xml:space="preserve"> effect of taking </w:t>
      </w:r>
      <w:r>
        <w:t>Ibuprofen</w:t>
      </w:r>
      <w:r w:rsidRPr="00255A6F">
        <w:t xml:space="preserve"> on </w:t>
      </w:r>
      <w:r>
        <w:t>the headache</w:t>
      </w:r>
      <w:r w:rsidRPr="00255A6F">
        <w:t>?</w:t>
      </w:r>
      <w:r>
        <w:t xml:space="preserve"> That claim </w:t>
      </w:r>
      <w:r w:rsidRPr="002D63D4">
        <w:t>i</w:t>
      </w:r>
      <w:r>
        <w:t>s in</w:t>
      </w:r>
      <w:r w:rsidRPr="002D63D4">
        <w:t>correct</w:t>
      </w:r>
      <w:r>
        <w:t xml:space="preserve"> because </w:t>
      </w:r>
      <w:r w:rsidRPr="002D63D4">
        <w:t xml:space="preserve">we </w:t>
      </w:r>
      <w:r w:rsidR="00E96078">
        <w:t>do not</w:t>
      </w:r>
      <w:r w:rsidRPr="002D63D4">
        <w:t xml:space="preserve"> know what would have happened had the person not taken Ibuprofen</w:t>
      </w:r>
      <w:r>
        <w:t xml:space="preserve"> at all</w:t>
      </w:r>
      <w:r w:rsidRPr="002D63D4">
        <w:t>.</w:t>
      </w:r>
      <w:r>
        <w:t xml:space="preserve"> </w:t>
      </w:r>
    </w:p>
    <w:p w14:paraId="581C943C" w14:textId="78696724" w:rsidR="003958B9" w:rsidRDefault="005145D5" w:rsidP="00F77298">
      <w:pPr>
        <w:pStyle w:val="para1"/>
        <w:spacing w:line="480" w:lineRule="auto"/>
      </w:pPr>
      <w:r w:rsidRPr="002D63D4">
        <w:t xml:space="preserve">This is the </w:t>
      </w:r>
      <w:r>
        <w:t>f</w:t>
      </w:r>
      <w:r w:rsidRPr="002D63D4">
        <w:t xml:space="preserve">undamental </w:t>
      </w:r>
      <w:r>
        <w:t>p</w:t>
      </w:r>
      <w:r w:rsidRPr="002D63D4">
        <w:t xml:space="preserve">roblem of </w:t>
      </w:r>
      <w:r w:rsidR="001C0B42">
        <w:t>causal</w:t>
      </w:r>
      <w:r w:rsidR="00FC7E05">
        <w:t xml:space="preserve"> inference</w:t>
      </w:r>
      <w:r>
        <w:t xml:space="preserve"> that w</w:t>
      </w:r>
      <w:r w:rsidRPr="002D63D4">
        <w:t xml:space="preserve">e can never ever really observe a </w:t>
      </w:r>
      <w:r w:rsidR="001C0B42">
        <w:t>causal</w:t>
      </w:r>
      <w:r w:rsidRPr="002D63D4">
        <w:t xml:space="preserve"> effect because we cannot have both outcomes at the same time for one person. </w:t>
      </w:r>
      <w:r>
        <w:t xml:space="preserve">Such outcomes as aforementioned are called “Potential Outcomes”. In this case, where we </w:t>
      </w:r>
      <w:r w:rsidR="00E96078">
        <w:t>do not</w:t>
      </w:r>
      <w:r>
        <w:t xml:space="preserve"> know the outcome when the person has not taken Ibuprofen</w:t>
      </w:r>
      <w:r w:rsidR="009D4E63">
        <w:t>,</w:t>
      </w:r>
      <w:r>
        <w:t xml:space="preserve"> is considered as a potential outcome. Instead</w:t>
      </w:r>
      <w:r w:rsidRPr="002D63D4">
        <w:t xml:space="preserve">, we should ask </w:t>
      </w:r>
      <w:r>
        <w:t xml:space="preserve">the question, </w:t>
      </w:r>
      <w:r w:rsidRPr="002D63D4">
        <w:t xml:space="preserve">“What would be the rate of </w:t>
      </w:r>
      <w:r>
        <w:t>headache</w:t>
      </w:r>
      <w:r w:rsidRPr="002D63D4">
        <w:t xml:space="preserve"> remission be if everyone took </w:t>
      </w:r>
      <w:r>
        <w:t>Ibuprofen</w:t>
      </w:r>
      <w:r w:rsidRPr="002D63D4">
        <w:t xml:space="preserve"> when they had a</w:t>
      </w:r>
      <w:r>
        <w:t xml:space="preserve"> headache v</w:t>
      </w:r>
      <w:r w:rsidRPr="002D63D4">
        <w:t>ersus if no one did?</w:t>
      </w:r>
      <w:r>
        <w:t>”.</w:t>
      </w:r>
      <w:r w:rsidRPr="002D63D4">
        <w:t xml:space="preserve"> </w:t>
      </w:r>
    </w:p>
    <w:p w14:paraId="35EE5AA1" w14:textId="1CC82A8E" w:rsidR="005145D5" w:rsidRDefault="005145D5" w:rsidP="00F77298">
      <w:pPr>
        <w:pStyle w:val="para1"/>
        <w:spacing w:line="480" w:lineRule="auto"/>
      </w:pPr>
      <w:r w:rsidRPr="002D63D4">
        <w:t xml:space="preserve">We deal with the fundamental problem of </w:t>
      </w:r>
      <w:r w:rsidR="001C0B42">
        <w:t>causal</w:t>
      </w:r>
      <w:r w:rsidR="00FC7E05">
        <w:t xml:space="preserve"> inference</w:t>
      </w:r>
      <w:r w:rsidRPr="002D63D4">
        <w:t xml:space="preserve"> by looking at a group level rather than on an individual level. </w:t>
      </w:r>
      <w:r>
        <w:t xml:space="preserve">Similarly, in multivariate observational studies like the one discussed in this thesis; </w:t>
      </w:r>
      <w:r w:rsidR="008429B1">
        <w:t>I</w:t>
      </w:r>
      <w:r>
        <w:t xml:space="preserve"> conduct the </w:t>
      </w:r>
      <w:r w:rsidR="001C0B42">
        <w:t>causal</w:t>
      </w:r>
      <w:r w:rsidR="00FC7E05">
        <w:t xml:space="preserve"> inference</w:t>
      </w:r>
      <w:r>
        <w:t xml:space="preserve"> analysis at the group level. </w:t>
      </w:r>
      <w:r w:rsidRPr="005055DF">
        <w:t>Only when there is a difference between the two potential outcomes</w:t>
      </w:r>
      <w:r>
        <w:t xml:space="preserve"> taken at the group level</w:t>
      </w:r>
      <w:r w:rsidRPr="005055DF">
        <w:t xml:space="preserve">, there is a </w:t>
      </w:r>
      <w:r w:rsidR="001C0B42">
        <w:t>causal</w:t>
      </w:r>
      <w:r w:rsidRPr="005055DF">
        <w:t xml:space="preserve"> effect of the treatment on the outcome</w:t>
      </w:r>
      <w:r>
        <w:t xml:space="preserve"> </w:t>
      </w:r>
      <w:r w:rsidR="004F2944">
        <w:rPr>
          <w:rFonts w:eastAsiaTheme="minorHAnsi"/>
          <w:color w:val="002060"/>
          <w:szCs w:val="24"/>
        </w:rPr>
        <w:t>(</w:t>
      </w:r>
      <w:r w:rsidRPr="00090728">
        <w:rPr>
          <w:rFonts w:eastAsiaTheme="minorHAnsi"/>
          <w:color w:val="002060"/>
          <w:szCs w:val="24"/>
        </w:rPr>
        <w:t>Morgan and Winship 20</w:t>
      </w:r>
      <w:r w:rsidR="00F95F9A">
        <w:rPr>
          <w:rFonts w:eastAsiaTheme="minorHAnsi"/>
          <w:color w:val="002060"/>
          <w:szCs w:val="24"/>
        </w:rPr>
        <w:t>14</w:t>
      </w:r>
      <w:r w:rsidR="009F3921">
        <w:rPr>
          <w:rFonts w:eastAsiaTheme="minorHAnsi"/>
          <w:color w:val="002060"/>
          <w:szCs w:val="24"/>
        </w:rPr>
        <w:t>).</w:t>
      </w:r>
    </w:p>
    <w:p w14:paraId="14179301" w14:textId="77777777" w:rsidR="005145D5" w:rsidRDefault="005145D5" w:rsidP="00F77298">
      <w:pPr>
        <w:pStyle w:val="para1"/>
        <w:spacing w:line="480" w:lineRule="auto"/>
      </w:pPr>
    </w:p>
    <w:p w14:paraId="4D61C64D" w14:textId="77777777" w:rsidR="00885424" w:rsidRDefault="005145D5" w:rsidP="00885424">
      <w:pPr>
        <w:pStyle w:val="para1"/>
        <w:keepNext/>
        <w:spacing w:line="480" w:lineRule="auto"/>
        <w:jc w:val="center"/>
      </w:pPr>
      <w:r w:rsidRPr="00D117A6">
        <w:rPr>
          <w:noProof/>
        </w:rPr>
        <w:lastRenderedPageBreak/>
        <w:drawing>
          <wp:inline distT="0" distB="0" distL="0" distR="0" wp14:anchorId="2045C576" wp14:editId="2FB4F2AB">
            <wp:extent cx="3443046" cy="1975338"/>
            <wp:effectExtent l="0" t="0" r="508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480982" cy="1997103"/>
                    </a:xfrm>
                    <a:prstGeom prst="rect">
                      <a:avLst/>
                    </a:prstGeom>
                  </pic:spPr>
                </pic:pic>
              </a:graphicData>
            </a:graphic>
          </wp:inline>
        </w:drawing>
      </w:r>
    </w:p>
    <w:p w14:paraId="67E4AC8F" w14:textId="0CF0AE21" w:rsidR="00D02359" w:rsidRPr="009A3B09" w:rsidRDefault="00885424" w:rsidP="00885424">
      <w:pPr>
        <w:pStyle w:val="Default"/>
        <w:spacing w:line="480" w:lineRule="auto"/>
        <w:jc w:val="center"/>
        <w:rPr>
          <w:rFonts w:ascii="Arial" w:hAnsi="Arial"/>
          <w:b/>
          <w:sz w:val="16"/>
        </w:rPr>
      </w:pPr>
      <w:bookmarkStart w:id="24" w:name="_Toc58667137"/>
      <w:r w:rsidRPr="00885424">
        <w:rPr>
          <w:rFonts w:ascii="Arial" w:hAnsi="Arial"/>
          <w:b/>
          <w:sz w:val="16"/>
        </w:rPr>
        <w:t xml:space="preserve">Fig. 2. </w:t>
      </w:r>
      <w:r w:rsidRPr="00885424">
        <w:rPr>
          <w:rFonts w:ascii="Arial" w:hAnsi="Arial"/>
          <w:b/>
          <w:sz w:val="16"/>
        </w:rPr>
        <w:fldChar w:fldCharType="begin"/>
      </w:r>
      <w:r w:rsidRPr="00885424">
        <w:rPr>
          <w:rFonts w:ascii="Arial" w:hAnsi="Arial"/>
          <w:b/>
          <w:sz w:val="16"/>
        </w:rPr>
        <w:instrText xml:space="preserve"> SEQ Fig._2. \* ARABIC </w:instrText>
      </w:r>
      <w:r w:rsidRPr="00885424">
        <w:rPr>
          <w:rFonts w:ascii="Arial" w:hAnsi="Arial"/>
          <w:b/>
          <w:sz w:val="16"/>
        </w:rPr>
        <w:fldChar w:fldCharType="separate"/>
      </w:r>
      <w:r w:rsidR="00D006A5">
        <w:rPr>
          <w:rFonts w:ascii="Arial" w:hAnsi="Arial"/>
          <w:b/>
          <w:noProof/>
          <w:sz w:val="16"/>
        </w:rPr>
        <w:t>4</w:t>
      </w:r>
      <w:r w:rsidRPr="00885424">
        <w:rPr>
          <w:rFonts w:ascii="Arial" w:hAnsi="Arial"/>
          <w:b/>
          <w:sz w:val="16"/>
        </w:rPr>
        <w:fldChar w:fldCharType="end"/>
      </w:r>
      <w:r>
        <w:rPr>
          <w:rFonts w:ascii="Arial" w:hAnsi="Arial"/>
          <w:b/>
          <w:sz w:val="16"/>
        </w:rPr>
        <w:t>—</w:t>
      </w:r>
      <w:r w:rsidRPr="00911860">
        <w:rPr>
          <w:rFonts w:ascii="Arial" w:hAnsi="Arial"/>
          <w:b/>
          <w:sz w:val="16"/>
        </w:rPr>
        <w:t xml:space="preserve">Example of potential outcomes illustrating the fundamental problem of </w:t>
      </w:r>
      <w:r>
        <w:rPr>
          <w:rFonts w:ascii="Arial" w:hAnsi="Arial"/>
          <w:b/>
          <w:sz w:val="16"/>
        </w:rPr>
        <w:t xml:space="preserve">causal inference </w:t>
      </w:r>
      <w:r w:rsidRPr="009A3B09">
        <w:rPr>
          <w:rFonts w:ascii="Arial" w:hAnsi="Arial"/>
          <w:b/>
          <w:sz w:val="16"/>
        </w:rPr>
        <w:t>(Sakhardande and Devegowda 2021).</w:t>
      </w:r>
      <w:bookmarkEnd w:id="24"/>
    </w:p>
    <w:p w14:paraId="7602B376" w14:textId="3609848A" w:rsidR="001E2A7B" w:rsidRPr="00907949" w:rsidRDefault="00363FA7" w:rsidP="00B4620C">
      <w:pPr>
        <w:pStyle w:val="Heading2"/>
        <w:ind w:left="0" w:firstLine="0"/>
      </w:pPr>
      <w:bookmarkStart w:id="25" w:name="_Toc58667100"/>
      <w:r w:rsidRPr="00D33E79">
        <w:t xml:space="preserve">2.3 </w:t>
      </w:r>
      <w:r w:rsidR="005145D5" w:rsidRPr="00D33E79">
        <w:t xml:space="preserve">Assumptions behind </w:t>
      </w:r>
      <w:r w:rsidR="004E1F02">
        <w:t>C</w:t>
      </w:r>
      <w:r w:rsidR="001C0B42">
        <w:t>ausal</w:t>
      </w:r>
      <w:r w:rsidR="00FC7E05">
        <w:t xml:space="preserve"> </w:t>
      </w:r>
      <w:r w:rsidR="004E1F02">
        <w:t>I</w:t>
      </w:r>
      <w:r w:rsidR="00FC7E05">
        <w:t>nference</w:t>
      </w:r>
      <w:bookmarkEnd w:id="25"/>
      <w:r w:rsidR="005145D5" w:rsidRPr="00DE2AB0">
        <w:rPr>
          <w:bCs/>
        </w:rPr>
        <w:t xml:space="preserve"> </w:t>
      </w:r>
    </w:p>
    <w:p w14:paraId="3320F465" w14:textId="641A125F" w:rsidR="001E2A7B" w:rsidRPr="00907949" w:rsidRDefault="005145D5" w:rsidP="00756753">
      <w:pPr>
        <w:pStyle w:val="para1"/>
        <w:spacing w:line="480" w:lineRule="auto"/>
        <w:ind w:firstLine="0"/>
      </w:pPr>
      <w:r w:rsidRPr="00907949">
        <w:t xml:space="preserve">Since we do not always have the capability to conduct a randomized control trial in most cases and are often left with data to infer about </w:t>
      </w:r>
      <w:r w:rsidR="003E75EF">
        <w:t>c</w:t>
      </w:r>
      <w:r w:rsidR="001C0B42">
        <w:t>ausal</w:t>
      </w:r>
      <w:r w:rsidRPr="00907949">
        <w:t xml:space="preserve">ity, observational studies must be accompanied with certain assumptions. These assumptions are called </w:t>
      </w:r>
      <w:r w:rsidR="00EF0AF8">
        <w:t>c</w:t>
      </w:r>
      <w:r w:rsidR="001C0B42">
        <w:t>ausal</w:t>
      </w:r>
      <w:r w:rsidRPr="00907949">
        <w:t xml:space="preserve"> assumptions. The </w:t>
      </w:r>
      <w:r w:rsidR="001C0B42">
        <w:t>causal</w:t>
      </w:r>
      <w:r w:rsidRPr="00907949">
        <w:t xml:space="preserve"> assumptions will be made regarding the observed outcome</w:t>
      </w:r>
      <w:r w:rsidR="005D7B76">
        <w:t xml:space="preserve">, </w:t>
      </w:r>
      <w:r w:rsidRPr="00907949">
        <w:t>Y, some treatment</w:t>
      </w:r>
      <w:r w:rsidR="005D7B76">
        <w:t xml:space="preserve">, </w:t>
      </w:r>
      <w:r w:rsidRPr="00907949">
        <w:t>T and a set of pre-treatment covariates</w:t>
      </w:r>
      <w:r w:rsidR="005D7B76">
        <w:t>,</w:t>
      </w:r>
      <w:r w:rsidRPr="00907949">
        <w:t xml:space="preserve"> X </w:t>
      </w:r>
      <w:r w:rsidR="008F3521">
        <w:rPr>
          <w:rFonts w:eastAsiaTheme="minorHAnsi"/>
          <w:color w:val="002060"/>
          <w:szCs w:val="24"/>
        </w:rPr>
        <w:t>(</w:t>
      </w:r>
      <w:r w:rsidRPr="001E3B93">
        <w:rPr>
          <w:rFonts w:eastAsiaTheme="minorHAnsi"/>
          <w:color w:val="002060"/>
          <w:szCs w:val="24"/>
        </w:rPr>
        <w:t>Roy 2019</w:t>
      </w:r>
      <w:r w:rsidR="00F66E3D">
        <w:rPr>
          <w:rFonts w:eastAsiaTheme="minorHAnsi"/>
          <w:color w:val="002060"/>
          <w:szCs w:val="24"/>
        </w:rPr>
        <w:t>)</w:t>
      </w:r>
      <w:r w:rsidRPr="00907949">
        <w:t xml:space="preserve">. Here I am listing the </w:t>
      </w:r>
      <w:r w:rsidR="003E75EF">
        <w:t>c</w:t>
      </w:r>
      <w:r w:rsidRPr="00907949">
        <w:t xml:space="preserve">asual assumptions </w:t>
      </w:r>
      <w:r w:rsidR="005B4FCC">
        <w:t>here as follows</w:t>
      </w:r>
      <w:r w:rsidRPr="00907949">
        <w:t xml:space="preserve">: </w:t>
      </w:r>
    </w:p>
    <w:p w14:paraId="74E19D95" w14:textId="110FAEDC" w:rsidR="005145D5" w:rsidRPr="00907949" w:rsidRDefault="005145D5" w:rsidP="00806ADE">
      <w:pPr>
        <w:pStyle w:val="para1"/>
        <w:numPr>
          <w:ilvl w:val="0"/>
          <w:numId w:val="2"/>
        </w:numPr>
        <w:spacing w:line="480" w:lineRule="auto"/>
      </w:pPr>
      <w:r w:rsidRPr="00907949">
        <w:t>Stable Unit Treatment Value Assumption (SUTVA)</w:t>
      </w:r>
    </w:p>
    <w:p w14:paraId="0E676102" w14:textId="076F7771" w:rsidR="005145D5" w:rsidRPr="00907949" w:rsidRDefault="005145D5" w:rsidP="00806ADE">
      <w:pPr>
        <w:pStyle w:val="para1"/>
        <w:numPr>
          <w:ilvl w:val="0"/>
          <w:numId w:val="3"/>
        </w:numPr>
        <w:spacing w:line="480" w:lineRule="auto"/>
        <w:ind w:left="990"/>
      </w:pPr>
      <w:r w:rsidRPr="00907949">
        <w:t>SUTVA is simply the a priori assumption that the value of outcome</w:t>
      </w:r>
      <w:r w:rsidR="005D7B76">
        <w:t>,</w:t>
      </w:r>
      <w:r w:rsidRPr="00907949">
        <w:t xml:space="preserve"> Y for a unit u when exposed to treatment</w:t>
      </w:r>
      <w:r w:rsidR="005D7B76">
        <w:t>,</w:t>
      </w:r>
      <w:r w:rsidRPr="00907949">
        <w:t xml:space="preserve"> </w:t>
      </w:r>
      <w:r w:rsidR="002A7EFE">
        <w:t>T</w:t>
      </w:r>
      <w:r w:rsidRPr="00907949">
        <w:t xml:space="preserve"> will be the same no matter what mechanism is used to assign treatment</w:t>
      </w:r>
      <w:r w:rsidR="005D7B76">
        <w:t>,</w:t>
      </w:r>
      <w:r w:rsidRPr="00907949">
        <w:t xml:space="preserve"> </w:t>
      </w:r>
      <w:r w:rsidR="002A7EFE">
        <w:t>T</w:t>
      </w:r>
      <w:r w:rsidRPr="00907949">
        <w:t xml:space="preserve"> to unit u and no matter what treatments the other units receive </w:t>
      </w:r>
      <w:r w:rsidR="008F3521">
        <w:t>(</w:t>
      </w:r>
      <w:r w:rsidRPr="00B73D43">
        <w:rPr>
          <w:rFonts w:eastAsiaTheme="minorHAnsi"/>
          <w:color w:val="002060"/>
          <w:szCs w:val="24"/>
        </w:rPr>
        <w:t>Rubin 1986</w:t>
      </w:r>
      <w:r w:rsidR="008F3521">
        <w:rPr>
          <w:rFonts w:eastAsiaTheme="minorHAnsi"/>
          <w:color w:val="002060"/>
          <w:szCs w:val="24"/>
        </w:rPr>
        <w:t xml:space="preserve"> </w:t>
      </w:r>
      <w:r w:rsidR="005D1983">
        <w:rPr>
          <w:rFonts w:eastAsiaTheme="minorHAnsi"/>
          <w:color w:val="002060"/>
          <w:szCs w:val="24"/>
        </w:rPr>
        <w:t>;</w:t>
      </w:r>
      <w:r w:rsidR="005D1983" w:rsidRPr="005D1983">
        <w:rPr>
          <w:rFonts w:eastAsiaTheme="minorHAnsi"/>
          <w:color w:val="002060"/>
          <w:szCs w:val="24"/>
        </w:rPr>
        <w:t xml:space="preserve"> </w:t>
      </w:r>
      <w:r w:rsidR="005D1983" w:rsidRPr="00B73D43">
        <w:rPr>
          <w:rFonts w:eastAsiaTheme="minorHAnsi"/>
          <w:color w:val="002060"/>
          <w:szCs w:val="24"/>
        </w:rPr>
        <w:t>Morgan and Winship 20</w:t>
      </w:r>
      <w:r w:rsidR="00F95F9A">
        <w:rPr>
          <w:rFonts w:eastAsiaTheme="minorHAnsi"/>
          <w:color w:val="002060"/>
          <w:szCs w:val="24"/>
        </w:rPr>
        <w:t>14</w:t>
      </w:r>
      <w:r w:rsidR="005D1983">
        <w:rPr>
          <w:rFonts w:eastAsiaTheme="minorHAnsi"/>
          <w:color w:val="002060"/>
          <w:szCs w:val="24"/>
        </w:rPr>
        <w:t>)</w:t>
      </w:r>
      <w:r w:rsidRPr="00907949">
        <w:t>.</w:t>
      </w:r>
    </w:p>
    <w:p w14:paraId="2F013137" w14:textId="19703F6D" w:rsidR="005145D5" w:rsidRDefault="005145D5" w:rsidP="00806ADE">
      <w:pPr>
        <w:pStyle w:val="para1"/>
        <w:numPr>
          <w:ilvl w:val="0"/>
          <w:numId w:val="3"/>
        </w:numPr>
        <w:spacing w:line="480" w:lineRule="auto"/>
        <w:ind w:left="900"/>
      </w:pPr>
      <w:r w:rsidRPr="00907949">
        <w:t>There is only one version of the treatment</w:t>
      </w:r>
      <w:r w:rsidR="009A34A6">
        <w:t xml:space="preserve"> </w:t>
      </w:r>
      <w:r w:rsidR="006665C2">
        <w:rPr>
          <w:rFonts w:eastAsiaTheme="minorHAnsi"/>
          <w:color w:val="002060"/>
          <w:szCs w:val="24"/>
        </w:rPr>
        <w:t>(</w:t>
      </w:r>
      <w:r w:rsidR="009A34A6" w:rsidRPr="00B73D43">
        <w:rPr>
          <w:rFonts w:eastAsiaTheme="minorHAnsi"/>
          <w:color w:val="002060"/>
          <w:szCs w:val="24"/>
        </w:rPr>
        <w:t>Morgan and Winship 20</w:t>
      </w:r>
      <w:r w:rsidR="00DD542A">
        <w:rPr>
          <w:rFonts w:eastAsiaTheme="minorHAnsi"/>
          <w:color w:val="002060"/>
          <w:szCs w:val="24"/>
        </w:rPr>
        <w:t>14</w:t>
      </w:r>
      <w:r w:rsidR="009A34A6">
        <w:rPr>
          <w:rFonts w:eastAsiaTheme="minorHAnsi"/>
          <w:color w:val="002060"/>
          <w:szCs w:val="24"/>
        </w:rPr>
        <w:t>)</w:t>
      </w:r>
      <w:r w:rsidR="009A34A6" w:rsidRPr="00907949">
        <w:t>.</w:t>
      </w:r>
    </w:p>
    <w:p w14:paraId="5A07F6BF" w14:textId="150B5A8B" w:rsidR="00DE2AB0" w:rsidRDefault="008B6E1F" w:rsidP="00806ADE">
      <w:pPr>
        <w:pStyle w:val="para1"/>
        <w:numPr>
          <w:ilvl w:val="0"/>
          <w:numId w:val="2"/>
        </w:numPr>
        <w:spacing w:line="480" w:lineRule="auto"/>
      </w:pPr>
      <w:r>
        <w:t>Ignorability</w:t>
      </w:r>
      <w:r w:rsidR="005145D5" w:rsidRPr="00907949">
        <w:t xml:space="preserve"> </w:t>
      </w:r>
    </w:p>
    <w:p w14:paraId="019A07CC" w14:textId="4CBB6949" w:rsidR="009002E1" w:rsidRPr="00907949" w:rsidRDefault="005145D5" w:rsidP="00F77298">
      <w:pPr>
        <w:pStyle w:val="para1"/>
        <w:spacing w:line="480" w:lineRule="auto"/>
      </w:pPr>
      <w:r w:rsidRPr="00907949">
        <w:t xml:space="preserve">Given the pre-treatment covariates, the treatment assignment is said to be ignorable or independent from the potential outcomes. In other words, the knowledge of a unit’s treatment assignment yields no information whatsoever about the unit’s potential outcomes conditional on </w:t>
      </w:r>
      <w:r w:rsidRPr="00907949">
        <w:lastRenderedPageBreak/>
        <w:t xml:space="preserve">its covariates </w:t>
      </w:r>
      <w:r w:rsidR="003E75EF">
        <w:rPr>
          <w:rFonts w:eastAsiaTheme="minorHAnsi"/>
          <w:color w:val="002060"/>
          <w:szCs w:val="24"/>
        </w:rPr>
        <w:t>(</w:t>
      </w:r>
      <w:r w:rsidRPr="00B73D43">
        <w:rPr>
          <w:rFonts w:eastAsiaTheme="minorHAnsi"/>
          <w:color w:val="002060"/>
          <w:szCs w:val="24"/>
        </w:rPr>
        <w:t>Rosenbuam and Rubin</w:t>
      </w:r>
      <w:r w:rsidR="000C0FC4">
        <w:rPr>
          <w:rFonts w:eastAsiaTheme="minorHAnsi"/>
          <w:color w:val="002060"/>
          <w:szCs w:val="24"/>
        </w:rPr>
        <w:t xml:space="preserve"> </w:t>
      </w:r>
      <w:r w:rsidRPr="00B73D43">
        <w:rPr>
          <w:rFonts w:eastAsiaTheme="minorHAnsi"/>
          <w:color w:val="002060"/>
          <w:szCs w:val="24"/>
        </w:rPr>
        <w:t>1983a; Morgan and Winship</w:t>
      </w:r>
      <w:r w:rsidR="003E75EF">
        <w:rPr>
          <w:rFonts w:eastAsiaTheme="minorHAnsi"/>
          <w:color w:val="002060"/>
          <w:szCs w:val="24"/>
        </w:rPr>
        <w:t xml:space="preserve"> </w:t>
      </w:r>
      <w:r w:rsidRPr="00B73D43">
        <w:rPr>
          <w:rFonts w:eastAsiaTheme="minorHAnsi"/>
          <w:color w:val="002060"/>
          <w:szCs w:val="24"/>
        </w:rPr>
        <w:t>20</w:t>
      </w:r>
      <w:r w:rsidR="00DB4F42">
        <w:rPr>
          <w:rFonts w:eastAsiaTheme="minorHAnsi"/>
          <w:color w:val="002060"/>
          <w:szCs w:val="24"/>
        </w:rPr>
        <w:t>14</w:t>
      </w:r>
      <w:r w:rsidR="005E3497">
        <w:rPr>
          <w:rFonts w:eastAsiaTheme="minorHAnsi"/>
          <w:color w:val="002060"/>
          <w:szCs w:val="24"/>
        </w:rPr>
        <w:t>)</w:t>
      </w:r>
      <w:r w:rsidRPr="00907949">
        <w:t xml:space="preserve">. </w:t>
      </w:r>
      <w:r w:rsidR="002820FD">
        <w:t>This</w:t>
      </w:r>
      <w:r w:rsidRPr="00907949">
        <w:t xml:space="preserve"> can be expressed as follows</w:t>
      </w:r>
      <w:r w:rsidR="002820FD">
        <w:t xml:space="preserve"> </w:t>
      </w:r>
      <w:r w:rsidR="00577AED">
        <w:t xml:space="preserve">in </w:t>
      </w:r>
      <w:r w:rsidR="002820FD">
        <w:t>Eq.</w:t>
      </w:r>
      <w:r w:rsidR="00A9045D">
        <w:t xml:space="preserve"> 2.</w:t>
      </w:r>
      <w:r w:rsidR="00390A7F">
        <w:t>5</w:t>
      </w:r>
      <w:r w:rsidR="002820FD">
        <w:t>:</w:t>
      </w:r>
    </w:p>
    <w:p w14:paraId="33F3B02F" w14:textId="7516A9BE" w:rsidR="00B81AA5" w:rsidRPr="003675C9" w:rsidRDefault="00B81AA5" w:rsidP="00B81AA5">
      <w:pPr>
        <w:pStyle w:val="para1"/>
        <w:spacing w:line="480" w:lineRule="auto"/>
      </w:pPr>
      <m:oMath>
        <m:r>
          <w:rPr>
            <w:rFonts w:ascii="Cambria Math" w:hAnsi="Cambria Math"/>
          </w:rPr>
          <m:t>Y</m:t>
        </m:r>
        <m:d>
          <m:dPr>
            <m:ctrlPr>
              <w:rPr>
                <w:rFonts w:ascii="Cambria Math" w:hAnsi="Cambria Math"/>
              </w:rPr>
            </m:ctrlPr>
          </m:dPr>
          <m:e>
            <m:r>
              <m:rPr>
                <m:sty m:val="p"/>
              </m:rPr>
              <w:rPr>
                <w:rFonts w:ascii="Cambria Math" w:hAnsi="Cambria Math"/>
              </w:rPr>
              <m:t>1</m:t>
            </m:r>
          </m:e>
        </m:d>
        <m:r>
          <m:rPr>
            <m:sty m:val="p"/>
          </m:rPr>
          <w:rPr>
            <w:rFonts w:ascii="Cambria Math" w:hAnsi="Cambria Math"/>
          </w:rPr>
          <m:t>,</m:t>
        </m:r>
        <m:r>
          <w:rPr>
            <w:rFonts w:ascii="Cambria Math" w:hAnsi="Cambria Math"/>
          </w:rPr>
          <m:t>Y</m:t>
        </m:r>
        <m:d>
          <m:dPr>
            <m:ctrlPr>
              <w:rPr>
                <w:rFonts w:ascii="Cambria Math" w:hAnsi="Cambria Math"/>
              </w:rPr>
            </m:ctrlPr>
          </m:dPr>
          <m:e>
            <m:r>
              <m:rPr>
                <m:sty m:val="p"/>
              </m:rPr>
              <w:rPr>
                <w:rFonts w:ascii="Cambria Math" w:hAnsi="Cambria Math"/>
              </w:rPr>
              <m:t>0</m:t>
            </m:r>
          </m:e>
        </m:d>
        <m:r>
          <m:rPr>
            <m:sty m:val="p"/>
          </m:rPr>
          <w:rPr>
            <w:rFonts w:ascii="Cambria Math" w:hAnsi="Cambria Math"/>
          </w:rPr>
          <m:t>⫫</m:t>
        </m:r>
        <m:r>
          <w:rPr>
            <w:rFonts w:ascii="Cambria Math" w:hAnsi="Cambria Math"/>
          </w:rPr>
          <m:t>T</m:t>
        </m:r>
        <m:r>
          <m:rPr>
            <m:sty m:val="p"/>
          </m:rPr>
          <w:rPr>
            <w:rFonts w:ascii="Cambria Math" w:hAnsi="Cambria Math"/>
          </w:rPr>
          <m:t>|</m:t>
        </m:r>
        <m:r>
          <m:rPr>
            <m:sty m:val="bi"/>
          </m:rPr>
          <w:rPr>
            <w:rFonts w:ascii="Cambria Math" w:hAnsi="Cambria Math"/>
          </w:rPr>
          <m:t>X</m:t>
        </m:r>
        <m:r>
          <m:rPr>
            <m:sty m:val="p"/>
          </m:rPr>
          <w:rPr>
            <w:rFonts w:ascii="Cambria Math" w:hAnsi="Cambria Math"/>
          </w:rPr>
          <m:t xml:space="preserve"> </m:t>
        </m:r>
      </m:oMath>
      <w:r w:rsidR="003675C9">
        <w:t>………………………………………………………………………</w:t>
      </w:r>
      <w:r w:rsidR="00545CA8">
        <w:t>… (2.</w:t>
      </w:r>
      <w:r w:rsidR="00390A7F">
        <w:t>5</w:t>
      </w:r>
      <w:r w:rsidR="003675C9">
        <w:t>)</w:t>
      </w:r>
    </w:p>
    <w:p w14:paraId="6E9158AD" w14:textId="12F25E96" w:rsidR="005A2F17" w:rsidRDefault="005A2F17" w:rsidP="005A2F17">
      <w:pPr>
        <w:pStyle w:val="para1"/>
        <w:spacing w:line="480" w:lineRule="auto"/>
      </w:pPr>
      <w:r w:rsidRPr="00907949">
        <w:t xml:space="preserve">Thus, the </w:t>
      </w:r>
      <w:r>
        <w:t>i</w:t>
      </w:r>
      <w:r w:rsidRPr="00907949">
        <w:t>gnorabil</w:t>
      </w:r>
      <w:r>
        <w:t>i</w:t>
      </w:r>
      <w:r w:rsidRPr="00907949">
        <w:t xml:space="preserve">ty assumption is satisfied if some units across the treatment and the control group have similar covariates which means that their treatment assignment is essentially random. The </w:t>
      </w:r>
      <w:r>
        <w:t>i</w:t>
      </w:r>
      <w:r w:rsidRPr="00907949">
        <w:t xml:space="preserve">gnorability is achieved using a method called </w:t>
      </w:r>
      <w:r>
        <w:t>p</w:t>
      </w:r>
      <w:r w:rsidRPr="00907949">
        <w:t xml:space="preserve">ropensity </w:t>
      </w:r>
      <w:r>
        <w:t>s</w:t>
      </w:r>
      <w:r w:rsidRPr="00907949">
        <w:t xml:space="preserve">core </w:t>
      </w:r>
      <w:r>
        <w:t>m</w:t>
      </w:r>
      <w:r w:rsidRPr="00907949">
        <w:t xml:space="preserve">atching which I will discuss later in the </w:t>
      </w:r>
      <w:r>
        <w:t>m</w:t>
      </w:r>
      <w:r w:rsidRPr="00907949">
        <w:t>ethodology section.</w:t>
      </w:r>
    </w:p>
    <w:p w14:paraId="13B829C3" w14:textId="188DC6C3" w:rsidR="005145D5" w:rsidRDefault="005145D5" w:rsidP="00806ADE">
      <w:pPr>
        <w:pStyle w:val="para1"/>
        <w:numPr>
          <w:ilvl w:val="0"/>
          <w:numId w:val="2"/>
        </w:numPr>
        <w:spacing w:line="480" w:lineRule="auto"/>
      </w:pPr>
      <w:r w:rsidRPr="00907949">
        <w:t>Positivity</w:t>
      </w:r>
    </w:p>
    <w:p w14:paraId="3F075642" w14:textId="00B952AC" w:rsidR="005145D5" w:rsidRPr="00907949" w:rsidRDefault="005145D5" w:rsidP="00F77298">
      <w:pPr>
        <w:pStyle w:val="para1"/>
        <w:spacing w:line="480" w:lineRule="auto"/>
      </w:pPr>
      <w:r w:rsidRPr="00907949">
        <w:t>Every unit has a non-zero probability of being in the treatment or the control group conditional on the unit’s covariates</w:t>
      </w:r>
      <w:r w:rsidR="00143DD9">
        <w:t xml:space="preserve">, </w:t>
      </w:r>
      <w:r w:rsidRPr="00B54704">
        <w:rPr>
          <w:b/>
          <w:bCs/>
        </w:rPr>
        <w:t>X</w:t>
      </w:r>
      <w:r w:rsidRPr="00907949">
        <w:t xml:space="preserve"> </w:t>
      </w:r>
      <w:r w:rsidR="000C0FC4">
        <w:rPr>
          <w:rFonts w:eastAsiaTheme="minorHAnsi"/>
          <w:color w:val="002060"/>
          <w:szCs w:val="24"/>
        </w:rPr>
        <w:t>(</w:t>
      </w:r>
      <w:r w:rsidRPr="00B73D43">
        <w:rPr>
          <w:rFonts w:eastAsiaTheme="minorHAnsi"/>
          <w:color w:val="002060"/>
          <w:szCs w:val="24"/>
        </w:rPr>
        <w:t>Rosenbuam and Rubin 1983a; Austin 2011</w:t>
      </w:r>
      <w:r w:rsidR="00D45CDA">
        <w:rPr>
          <w:rFonts w:eastAsiaTheme="minorHAnsi"/>
          <w:color w:val="002060"/>
          <w:szCs w:val="24"/>
        </w:rPr>
        <w:t>)</w:t>
      </w:r>
      <w:r w:rsidRPr="00905EA4">
        <w:rPr>
          <w:rFonts w:eastAsiaTheme="minorHAnsi"/>
          <w:color w:val="002060"/>
          <w:szCs w:val="24"/>
        </w:rPr>
        <w:t>.</w:t>
      </w:r>
      <w:r w:rsidRPr="00907949">
        <w:t xml:space="preserve"> This is given by the expressio</w:t>
      </w:r>
      <w:r w:rsidR="000F5C40">
        <w:t>n</w:t>
      </w:r>
      <w:r w:rsidRPr="00907949">
        <w:t xml:space="preserve"> </w:t>
      </w:r>
      <w:r w:rsidR="00577AED">
        <w:t xml:space="preserve">in </w:t>
      </w:r>
      <w:r w:rsidR="00232F93">
        <w:t>Eq.</w:t>
      </w:r>
      <w:r w:rsidR="00894597">
        <w:t xml:space="preserve"> </w:t>
      </w:r>
      <w:r w:rsidR="00545CA8">
        <w:t>2.</w:t>
      </w:r>
      <w:r w:rsidR="00894597">
        <w:t>6</w:t>
      </w:r>
      <w:r w:rsidR="00232F93">
        <w:t xml:space="preserve"> </w:t>
      </w:r>
      <w:r w:rsidRPr="00907949">
        <w:t xml:space="preserve">where I assume that </w:t>
      </w:r>
      <w:r w:rsidR="009E78F1">
        <w:t>treatment</w:t>
      </w:r>
      <w:r w:rsidR="005D7B76">
        <w:t xml:space="preserve">, </w:t>
      </w:r>
      <w:r w:rsidRPr="00907949">
        <w:t>T is binary:</w:t>
      </w:r>
    </w:p>
    <w:p w14:paraId="67C177AC" w14:textId="59B412FB" w:rsidR="009163FA" w:rsidRPr="00907949" w:rsidRDefault="005145D5" w:rsidP="00390A7F">
      <w:pPr>
        <w:pStyle w:val="para1"/>
        <w:spacing w:line="480" w:lineRule="auto"/>
      </w:pPr>
      <m:oMath>
        <m:r>
          <m:rPr>
            <m:sty m:val="p"/>
          </m:rPr>
          <w:rPr>
            <w:rFonts w:ascii="Cambria Math" w:hAnsi="Cambria Math"/>
          </w:rPr>
          <m:t>0&lt;</m:t>
        </m:r>
        <m:r>
          <w:rPr>
            <w:rFonts w:ascii="Cambria Math" w:hAnsi="Cambria Math"/>
          </w:rPr>
          <m:t>P</m:t>
        </m:r>
        <m:d>
          <m:dPr>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t</m:t>
            </m:r>
          </m:e>
          <m:e>
            <m:r>
              <m:rPr>
                <m:sty m:val="bi"/>
              </m:rPr>
              <w:rPr>
                <w:rFonts w:ascii="Cambria Math" w:hAnsi="Cambria Math"/>
              </w:rPr>
              <m:t>X</m:t>
            </m:r>
            <m:r>
              <m:rPr>
                <m:sty m:val="p"/>
              </m:rPr>
              <w:rPr>
                <w:rFonts w:ascii="Cambria Math" w:hAnsi="Cambria Math"/>
              </w:rPr>
              <m:t>=</m:t>
            </m:r>
            <m:r>
              <m:rPr>
                <m:sty m:val="bi"/>
              </m:rPr>
              <w:rPr>
                <w:rFonts w:ascii="Cambria Math" w:hAnsi="Cambria Math"/>
              </w:rPr>
              <m:t>x</m:t>
            </m:r>
          </m:e>
        </m:d>
        <m:r>
          <m:rPr>
            <m:sty m:val="p"/>
          </m:rPr>
          <w:rPr>
            <w:rFonts w:ascii="Cambria Math" w:hAnsi="Cambria Math"/>
          </w:rPr>
          <m:t xml:space="preserve">&lt;1 ∀ </m:t>
        </m:r>
        <m:r>
          <w:rPr>
            <w:rFonts w:ascii="Cambria Math" w:hAnsi="Cambria Math"/>
          </w:rPr>
          <m:t>t</m:t>
        </m:r>
        <m:r>
          <m:rPr>
            <m:sty m:val="p"/>
          </m:rPr>
          <w:rPr>
            <w:rFonts w:ascii="Cambria Math" w:hAnsi="Cambria Math"/>
          </w:rPr>
          <m:t>,</m:t>
        </m:r>
        <m:r>
          <m:rPr>
            <m:sty m:val="bi"/>
          </m:rPr>
          <w:rPr>
            <w:rFonts w:ascii="Cambria Math" w:hAnsi="Cambria Math"/>
          </w:rPr>
          <m:t>x</m:t>
        </m:r>
      </m:oMath>
      <w:r w:rsidR="00A56BB2">
        <w:t>………………………………………………………</w:t>
      </w:r>
      <w:r w:rsidR="00545CA8">
        <w:t xml:space="preserve">… (2. </w:t>
      </w:r>
      <w:r w:rsidR="00390A7F">
        <w:t>6</w:t>
      </w:r>
      <w:r w:rsidR="00A56BB2">
        <w:t>)</w:t>
      </w:r>
      <w:r w:rsidR="00390A7F">
        <w:tab/>
      </w:r>
    </w:p>
    <w:p w14:paraId="1AD9FAEB" w14:textId="1935CC01" w:rsidR="005145D5" w:rsidRPr="00D33E79" w:rsidRDefault="004D6DC3" w:rsidP="00584D5F">
      <w:pPr>
        <w:pStyle w:val="Heading2"/>
        <w:ind w:left="0" w:firstLine="0"/>
      </w:pPr>
      <w:bookmarkStart w:id="26" w:name="_Toc58667101"/>
      <w:r w:rsidRPr="00D33E79">
        <w:t xml:space="preserve">2.4 </w:t>
      </w:r>
      <w:r w:rsidR="005145D5" w:rsidRPr="00D33E79">
        <w:t>Confounding Bias and Directed Acyclic Graphs</w:t>
      </w:r>
      <w:bookmarkEnd w:id="26"/>
      <w:r w:rsidR="005145D5" w:rsidRPr="00D33E79">
        <w:t xml:space="preserve">  </w:t>
      </w:r>
    </w:p>
    <w:p w14:paraId="4C4799C6" w14:textId="60A53A11" w:rsidR="008E0E68" w:rsidRPr="00907949" w:rsidRDefault="002E7F13" w:rsidP="002E7F13">
      <w:pPr>
        <w:pStyle w:val="para1"/>
        <w:spacing w:line="480" w:lineRule="auto"/>
        <w:ind w:firstLine="0"/>
      </w:pPr>
      <w:r w:rsidRPr="00907949">
        <w:t xml:space="preserve">To explain </w:t>
      </w:r>
      <w:r w:rsidR="005145D5" w:rsidRPr="00907949">
        <w:t xml:space="preserve">the bias due to confounding, first I define the term “Confounders”. Confounders are those variables or a set of pre-treatment covariates which affect both the outcome and the treatment assignment. To understand the variables which can be considered as confounders and which </w:t>
      </w:r>
      <w:r w:rsidR="0058520C">
        <w:t>cannot</w:t>
      </w:r>
      <w:r w:rsidR="005145D5" w:rsidRPr="00907949">
        <w:t xml:space="preserve"> </w:t>
      </w:r>
      <w:r w:rsidR="0058520C">
        <w:t xml:space="preserve">be considered as </w:t>
      </w:r>
      <w:r w:rsidR="005145D5" w:rsidRPr="00907949">
        <w:t xml:space="preserve">confounders, I will give a </w:t>
      </w:r>
      <w:r w:rsidR="00B54704">
        <w:t>couple of</w:t>
      </w:r>
      <w:r w:rsidR="005145D5" w:rsidRPr="00907949">
        <w:t xml:space="preserve"> examples:</w:t>
      </w:r>
    </w:p>
    <w:p w14:paraId="15F954FC" w14:textId="5A379F73" w:rsidR="005145D5" w:rsidRDefault="005145D5" w:rsidP="00806ADE">
      <w:pPr>
        <w:pStyle w:val="para1"/>
        <w:numPr>
          <w:ilvl w:val="0"/>
          <w:numId w:val="4"/>
        </w:numPr>
        <w:spacing w:line="480" w:lineRule="auto"/>
      </w:pPr>
      <w:r w:rsidRPr="00907949">
        <w:t>Let</w:t>
      </w:r>
      <w:r w:rsidR="00F166DB">
        <w:t xml:space="preserve"> us</w:t>
      </w:r>
      <w:r w:rsidRPr="00907949">
        <w:t xml:space="preserve"> assume if the treatment assignment is random and it is based on a coin toss. Then the toss of a coin affects the treatment status, but it </w:t>
      </w:r>
      <w:r w:rsidR="00D1313A">
        <w:t>does not</w:t>
      </w:r>
      <w:r w:rsidRPr="00907949">
        <w:t xml:space="preserve"> affect the outcome which is a head or a tail. Therefore</w:t>
      </w:r>
      <w:r w:rsidR="002943FC">
        <w:t xml:space="preserve"> </w:t>
      </w:r>
      <w:r w:rsidRPr="00907949">
        <w:t>here</w:t>
      </w:r>
      <w:r w:rsidR="002943FC">
        <w:t>,</w:t>
      </w:r>
      <w:r w:rsidRPr="00907949">
        <w:t xml:space="preserve"> the coin toss cannot be considered as a confounder.</w:t>
      </w:r>
    </w:p>
    <w:p w14:paraId="7055E523" w14:textId="5B162759" w:rsidR="005145D5" w:rsidRPr="00907949" w:rsidRDefault="005145D5" w:rsidP="00806ADE">
      <w:pPr>
        <w:pStyle w:val="para1"/>
        <w:numPr>
          <w:ilvl w:val="0"/>
          <w:numId w:val="4"/>
        </w:numPr>
        <w:spacing w:line="480" w:lineRule="auto"/>
      </w:pPr>
      <w:r w:rsidRPr="00907949">
        <w:t>Let</w:t>
      </w:r>
      <w:r w:rsidR="00D1313A">
        <w:t xml:space="preserve"> us</w:t>
      </w:r>
      <w:r w:rsidRPr="00907949">
        <w:t xml:space="preserve"> assume that people with high levels of cholesterol have a high chance of developing a heart disease. If cholesterol levels in blood is considered as a factor which influences the </w:t>
      </w:r>
      <w:r w:rsidRPr="00907949">
        <w:lastRenderedPageBreak/>
        <w:t>type of treatment given, then cholesterol levels in this population would affect the treatment status as well as the outcomes. Therefore</w:t>
      </w:r>
      <w:r w:rsidR="007669EC">
        <w:t xml:space="preserve"> here</w:t>
      </w:r>
      <w:r w:rsidRPr="00907949">
        <w:t xml:space="preserve">, </w:t>
      </w:r>
      <w:r w:rsidR="005F3286">
        <w:t xml:space="preserve">the blood </w:t>
      </w:r>
      <w:r w:rsidRPr="00907949">
        <w:t>cholesterol level is a confounder.</w:t>
      </w:r>
    </w:p>
    <w:p w14:paraId="4C923C7E" w14:textId="661CBAE0" w:rsidR="005145D5" w:rsidRPr="00907949" w:rsidRDefault="005145D5" w:rsidP="00F77298">
      <w:pPr>
        <w:pStyle w:val="para1"/>
        <w:spacing w:line="480" w:lineRule="auto"/>
      </w:pPr>
      <w:r w:rsidRPr="00907949">
        <w:t>We want to be able to find such confounders or covariates</w:t>
      </w:r>
      <w:r w:rsidR="0053430C">
        <w:t xml:space="preserve">, </w:t>
      </w:r>
      <w:r w:rsidRPr="001A7F9B">
        <w:t>X</w:t>
      </w:r>
      <w:r w:rsidRPr="00907949">
        <w:t xml:space="preserve"> such that the </w:t>
      </w:r>
      <w:r w:rsidR="008B6E1F">
        <w:t>i</w:t>
      </w:r>
      <w:r w:rsidRPr="00907949">
        <w:t>gnorabil</w:t>
      </w:r>
      <w:r w:rsidR="008B6E1F">
        <w:t>i</w:t>
      </w:r>
      <w:r w:rsidRPr="00907949">
        <w:t>ty</w:t>
      </w:r>
      <w:r w:rsidR="00117B75" w:rsidRPr="00117B75">
        <w:t xml:space="preserve"> </w:t>
      </w:r>
      <w:r w:rsidRPr="00907949">
        <w:t>assumption holds true. If we find such covariates or set of pre-treatment variables, then it said to be sufficient for controlling the bias due to confounding. This bias stems from the fact that the confounder or the covariates</w:t>
      </w:r>
      <w:r w:rsidR="0053430C">
        <w:t xml:space="preserve">, </w:t>
      </w:r>
      <w:r w:rsidRPr="001A7F9B">
        <w:t>X</w:t>
      </w:r>
      <w:r w:rsidRPr="00907949">
        <w:t xml:space="preserve"> have an association with the treatment variable</w:t>
      </w:r>
      <w:r w:rsidR="002E6C85">
        <w:t>,</w:t>
      </w:r>
      <w:r w:rsidRPr="00907949">
        <w:t xml:space="preserve"> T and the outcome</w:t>
      </w:r>
      <w:r w:rsidR="00A86135">
        <w:t>,</w:t>
      </w:r>
      <w:r w:rsidRPr="00907949">
        <w:t xml:space="preserve"> Y. In other words, we cannot observe the true </w:t>
      </w:r>
      <w:r w:rsidR="001C0B42">
        <w:t>causal</w:t>
      </w:r>
      <w:r w:rsidRPr="00907949">
        <w:t xml:space="preserve"> effect of the treatment</w:t>
      </w:r>
      <w:r w:rsidR="002E6C85">
        <w:t>,</w:t>
      </w:r>
      <w:r w:rsidRPr="00907949">
        <w:t xml:space="preserve"> T on the outcome</w:t>
      </w:r>
      <w:r w:rsidR="002E6C85">
        <w:t xml:space="preserve">, </w:t>
      </w:r>
      <w:r w:rsidRPr="00907949">
        <w:t xml:space="preserve">Y unless we have controlled for this bias due to the presence of common cause </w:t>
      </w:r>
      <w:r w:rsidR="002E6C85" w:rsidRPr="00907949">
        <w:t>variables</w:t>
      </w:r>
      <w:r w:rsidR="002E6C85">
        <w:t>, that are,</w:t>
      </w:r>
      <w:r w:rsidR="002E6C85" w:rsidRPr="00907949">
        <w:t xml:space="preserve"> </w:t>
      </w:r>
      <w:r w:rsidRPr="00907949">
        <w:t>covariates</w:t>
      </w:r>
      <w:r w:rsidR="002E6C85">
        <w:t>,</w:t>
      </w:r>
      <w:r w:rsidRPr="00907949">
        <w:t xml:space="preserve"> </w:t>
      </w:r>
      <w:r w:rsidRPr="001A7F9B">
        <w:t>X</w:t>
      </w:r>
      <w:r w:rsidRPr="00907949">
        <w:t xml:space="preserve">. This is also known as the bias due to confounding. In order to achieve </w:t>
      </w:r>
      <w:r w:rsidR="00972890">
        <w:t>the</w:t>
      </w:r>
      <w:r w:rsidRPr="00907949">
        <w:t xml:space="preserve"> goal</w:t>
      </w:r>
      <w:r w:rsidR="0044377D">
        <w:t xml:space="preserve"> of controlling this bias</w:t>
      </w:r>
      <w:r w:rsidRPr="00907949">
        <w:t xml:space="preserve">, I now introduce the concept of </w:t>
      </w:r>
      <w:r w:rsidR="00A3621C">
        <w:t>d</w:t>
      </w:r>
      <w:r w:rsidRPr="00907949">
        <w:t xml:space="preserve">irected </w:t>
      </w:r>
      <w:r w:rsidR="00A3621C">
        <w:t>a</w:t>
      </w:r>
      <w:r w:rsidRPr="00907949">
        <w:t xml:space="preserve">cyclic </w:t>
      </w:r>
      <w:r w:rsidR="00A3621C">
        <w:t>g</w:t>
      </w:r>
      <w:r w:rsidRPr="00907949">
        <w:t>raphs (DAGs) which will help us in finding those set of covariates</w:t>
      </w:r>
      <w:r w:rsidR="002E6C85">
        <w:t>,</w:t>
      </w:r>
      <w:r w:rsidRPr="00907949">
        <w:t xml:space="preserve"> </w:t>
      </w:r>
      <w:r w:rsidRPr="001A7F9B">
        <w:t>X</w:t>
      </w:r>
      <w:r w:rsidRPr="00907949">
        <w:t xml:space="preserve"> such that </w:t>
      </w:r>
      <w:r w:rsidR="0006403C">
        <w:t>i</w:t>
      </w:r>
      <w:r w:rsidR="008B6E1F">
        <w:t>gnorability</w:t>
      </w:r>
      <w:r w:rsidRPr="00907949">
        <w:t xml:space="preserve"> assumption is achieved </w:t>
      </w:r>
      <w:r w:rsidR="000F216D">
        <w:rPr>
          <w:rFonts w:eastAsiaTheme="minorHAnsi"/>
          <w:color w:val="002060"/>
          <w:szCs w:val="24"/>
        </w:rPr>
        <w:t>(</w:t>
      </w:r>
      <w:r w:rsidRPr="00B73D43">
        <w:rPr>
          <w:rFonts w:eastAsiaTheme="minorHAnsi"/>
          <w:color w:val="002060"/>
          <w:szCs w:val="24"/>
        </w:rPr>
        <w:t>Pearl 2009; Roy 2019</w:t>
      </w:r>
      <w:r w:rsidR="005062D7">
        <w:rPr>
          <w:rFonts w:eastAsiaTheme="minorHAnsi"/>
          <w:color w:val="002060"/>
          <w:szCs w:val="24"/>
        </w:rPr>
        <w:t>)</w:t>
      </w:r>
      <w:r w:rsidRPr="00907949">
        <w:t>.</w:t>
      </w:r>
    </w:p>
    <w:p w14:paraId="3AB6976A" w14:textId="30A030DB" w:rsidR="00122B8F" w:rsidRPr="00907949" w:rsidRDefault="005145D5" w:rsidP="00F77298">
      <w:pPr>
        <w:pStyle w:val="para1"/>
        <w:spacing w:line="480" w:lineRule="auto"/>
      </w:pPr>
      <w:r w:rsidRPr="00907949">
        <w:t xml:space="preserve">We can express our assumed </w:t>
      </w:r>
      <w:r w:rsidR="001C0B42">
        <w:t>causal</w:t>
      </w:r>
      <w:r w:rsidRPr="00907949">
        <w:t xml:space="preserve"> relationships in the form of </w:t>
      </w:r>
      <w:r w:rsidR="00A3621C">
        <w:t>d</w:t>
      </w:r>
      <w:r w:rsidRPr="00907949">
        <w:t xml:space="preserve">irected </w:t>
      </w:r>
      <w:r w:rsidR="00A3621C">
        <w:t>a</w:t>
      </w:r>
      <w:r w:rsidRPr="00907949">
        <w:t xml:space="preserve">cyclic </w:t>
      </w:r>
      <w:r w:rsidR="00A3621C">
        <w:t>g</w:t>
      </w:r>
      <w:r w:rsidRPr="00907949">
        <w:t>raphs (DAGs). Specially in the case</w:t>
      </w:r>
      <w:r w:rsidR="00966898">
        <w:t>,</w:t>
      </w:r>
      <w:r w:rsidRPr="00907949">
        <w:t xml:space="preserve"> where there is confounding (there are common cause variables/covariates present), DAGs are useful in explaining how we can achieve </w:t>
      </w:r>
      <w:r w:rsidR="008B6E1F">
        <w:t>i</w:t>
      </w:r>
      <w:r w:rsidRPr="00907949">
        <w:t xml:space="preserve">gnorability. To start off, let us consider this simple directed graph in </w:t>
      </w:r>
      <w:r w:rsidRPr="001A3B5D">
        <w:rPr>
          <w:b/>
          <w:bCs/>
        </w:rPr>
        <w:t>Fig</w:t>
      </w:r>
      <w:r w:rsidR="001A3B5D" w:rsidRPr="001A3B5D">
        <w:rPr>
          <w:b/>
          <w:bCs/>
        </w:rPr>
        <w:t>.</w:t>
      </w:r>
      <w:r w:rsidR="00AA751B">
        <w:rPr>
          <w:b/>
          <w:bCs/>
        </w:rPr>
        <w:t xml:space="preserve"> 2.5</w:t>
      </w:r>
      <w:r w:rsidRPr="00907949">
        <w:t>.</w:t>
      </w:r>
    </w:p>
    <w:p w14:paraId="63EEB73D" w14:textId="77777777" w:rsidR="00885424" w:rsidRDefault="003343CD" w:rsidP="00885424">
      <w:pPr>
        <w:pStyle w:val="para1"/>
        <w:keepNext/>
        <w:tabs>
          <w:tab w:val="left" w:pos="5870"/>
        </w:tabs>
        <w:spacing w:line="480" w:lineRule="auto"/>
        <w:jc w:val="center"/>
      </w:pPr>
      <w:r>
        <w:rPr>
          <w:noProof/>
        </w:rPr>
        <w:drawing>
          <wp:inline distT="0" distB="0" distL="0" distR="0" wp14:anchorId="72FC9316" wp14:editId="5EA3A57C">
            <wp:extent cx="1743075" cy="590550"/>
            <wp:effectExtent l="0" t="0" r="952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43075" cy="590550"/>
                    </a:xfrm>
                    <a:prstGeom prst="rect">
                      <a:avLst/>
                    </a:prstGeom>
                  </pic:spPr>
                </pic:pic>
              </a:graphicData>
            </a:graphic>
          </wp:inline>
        </w:drawing>
      </w:r>
    </w:p>
    <w:p w14:paraId="26D2174E" w14:textId="7A034394" w:rsidR="00AA751B" w:rsidRDefault="00885424" w:rsidP="00885424">
      <w:pPr>
        <w:pStyle w:val="Caption"/>
      </w:pPr>
      <w:bookmarkStart w:id="27" w:name="_Toc58667138"/>
      <w:r w:rsidRPr="00885424">
        <w:rPr>
          <w:rFonts w:ascii="Arial" w:hAnsi="Arial"/>
          <w:i w:val="0"/>
          <w:iCs w:val="0"/>
          <w:color w:val="000000"/>
          <w:sz w:val="16"/>
          <w:szCs w:val="24"/>
        </w:rPr>
        <w:t xml:space="preserve">Fig. 2. </w:t>
      </w:r>
      <w:r w:rsidRPr="00885424">
        <w:rPr>
          <w:rFonts w:ascii="Arial" w:hAnsi="Arial"/>
          <w:i w:val="0"/>
          <w:iCs w:val="0"/>
          <w:color w:val="000000"/>
          <w:sz w:val="16"/>
          <w:szCs w:val="24"/>
        </w:rPr>
        <w:fldChar w:fldCharType="begin"/>
      </w:r>
      <w:r w:rsidRPr="00885424">
        <w:rPr>
          <w:rFonts w:ascii="Arial" w:hAnsi="Arial"/>
          <w:i w:val="0"/>
          <w:iCs w:val="0"/>
          <w:color w:val="000000"/>
          <w:sz w:val="16"/>
          <w:szCs w:val="24"/>
        </w:rPr>
        <w:instrText xml:space="preserve"> SEQ Fig._2. \* ARABIC </w:instrText>
      </w:r>
      <w:r w:rsidRPr="00885424">
        <w:rPr>
          <w:rFonts w:ascii="Arial" w:hAnsi="Arial"/>
          <w:i w:val="0"/>
          <w:iCs w:val="0"/>
          <w:color w:val="000000"/>
          <w:sz w:val="16"/>
          <w:szCs w:val="24"/>
        </w:rPr>
        <w:fldChar w:fldCharType="separate"/>
      </w:r>
      <w:r w:rsidR="00D006A5">
        <w:rPr>
          <w:rFonts w:ascii="Arial" w:hAnsi="Arial"/>
          <w:i w:val="0"/>
          <w:iCs w:val="0"/>
          <w:noProof/>
          <w:color w:val="000000"/>
          <w:sz w:val="16"/>
          <w:szCs w:val="24"/>
        </w:rPr>
        <w:t>5</w:t>
      </w:r>
      <w:r w:rsidRPr="00885424">
        <w:rPr>
          <w:rFonts w:ascii="Arial" w:hAnsi="Arial"/>
          <w:i w:val="0"/>
          <w:iCs w:val="0"/>
          <w:color w:val="000000"/>
          <w:sz w:val="16"/>
          <w:szCs w:val="24"/>
        </w:rPr>
        <w:fldChar w:fldCharType="end"/>
      </w:r>
      <w:r>
        <w:rPr>
          <w:rFonts w:ascii="Arial" w:hAnsi="Arial"/>
          <w:i w:val="0"/>
          <w:iCs w:val="0"/>
          <w:color w:val="000000"/>
          <w:sz w:val="16"/>
          <w:szCs w:val="24"/>
        </w:rPr>
        <w:t>—</w:t>
      </w:r>
      <w:r w:rsidRPr="00AA751B">
        <w:rPr>
          <w:rFonts w:ascii="Arial" w:hAnsi="Arial"/>
          <w:i w:val="0"/>
          <w:iCs w:val="0"/>
          <w:color w:val="000000"/>
          <w:sz w:val="16"/>
          <w:szCs w:val="24"/>
        </w:rPr>
        <w:t xml:space="preserve"> An example of a simple directed graph</w:t>
      </w:r>
      <w:bookmarkEnd w:id="27"/>
    </w:p>
    <w:p w14:paraId="25DA6BC8" w14:textId="3A13BC75" w:rsidR="005145D5" w:rsidRDefault="005145D5" w:rsidP="00F77298">
      <w:pPr>
        <w:pStyle w:val="para1"/>
        <w:spacing w:line="480" w:lineRule="auto"/>
      </w:pPr>
      <w:r w:rsidRPr="00907949">
        <w:t>Here</w:t>
      </w:r>
      <w:r w:rsidR="00885424">
        <w:t xml:space="preserve">, </w:t>
      </w:r>
      <w:r w:rsidRPr="00907949">
        <w:t>I am assuming that there is a treatment</w:t>
      </w:r>
      <w:r w:rsidR="00CD0DB8">
        <w:t>,</w:t>
      </w:r>
      <w:r w:rsidRPr="00907949">
        <w:t xml:space="preserve"> T which affects the outcome</w:t>
      </w:r>
      <w:r w:rsidR="00CD0DB8">
        <w:t>,</w:t>
      </w:r>
      <w:r w:rsidRPr="00907949">
        <w:t xml:space="preserve"> Y. There is a belief that T causes Y and the assumed cause and effect relationship is expressed by the blue arrow directed from T to Y. Now, let’s consider another directed graph in </w:t>
      </w:r>
      <w:r w:rsidRPr="007A6465">
        <w:rPr>
          <w:b/>
          <w:bCs/>
        </w:rPr>
        <w:t>Fig</w:t>
      </w:r>
      <w:r w:rsidR="007A6465" w:rsidRPr="007A6465">
        <w:rPr>
          <w:b/>
          <w:bCs/>
        </w:rPr>
        <w:t>.</w:t>
      </w:r>
      <w:r w:rsidRPr="007A6465">
        <w:rPr>
          <w:b/>
          <w:bCs/>
        </w:rPr>
        <w:t xml:space="preserve"> </w:t>
      </w:r>
      <w:r w:rsidR="00B82480">
        <w:rPr>
          <w:b/>
          <w:bCs/>
        </w:rPr>
        <w:t>2.6</w:t>
      </w:r>
      <w:r w:rsidRPr="00907949">
        <w:t>.</w:t>
      </w:r>
    </w:p>
    <w:p w14:paraId="741D3B54" w14:textId="77777777" w:rsidR="00335361" w:rsidRDefault="00556911" w:rsidP="00335361">
      <w:pPr>
        <w:pStyle w:val="para1"/>
        <w:keepNext/>
        <w:spacing w:line="480" w:lineRule="auto"/>
        <w:jc w:val="center"/>
      </w:pPr>
      <w:r>
        <w:rPr>
          <w:noProof/>
        </w:rPr>
        <w:lastRenderedPageBreak/>
        <w:drawing>
          <wp:inline distT="0" distB="0" distL="0" distR="0" wp14:anchorId="2FB40A96" wp14:editId="58900A73">
            <wp:extent cx="2073910" cy="136133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12238" cy="1386494"/>
                    </a:xfrm>
                    <a:prstGeom prst="rect">
                      <a:avLst/>
                    </a:prstGeom>
                    <a:noFill/>
                  </pic:spPr>
                </pic:pic>
              </a:graphicData>
            </a:graphic>
          </wp:inline>
        </w:drawing>
      </w:r>
    </w:p>
    <w:p w14:paraId="3840DC23" w14:textId="325A2CCC" w:rsidR="00B82480" w:rsidRDefault="00335361" w:rsidP="00335361">
      <w:pPr>
        <w:pStyle w:val="Caption"/>
        <w:spacing w:after="0"/>
      </w:pPr>
      <w:bookmarkStart w:id="28" w:name="_Toc58667139"/>
      <w:r w:rsidRPr="00335361">
        <w:rPr>
          <w:rFonts w:ascii="Arial" w:hAnsi="Arial"/>
          <w:i w:val="0"/>
          <w:iCs w:val="0"/>
          <w:color w:val="000000"/>
          <w:sz w:val="16"/>
          <w:szCs w:val="24"/>
        </w:rPr>
        <w:t xml:space="preserve">Fig. 2. </w:t>
      </w:r>
      <w:r w:rsidRPr="00335361">
        <w:rPr>
          <w:rFonts w:ascii="Arial" w:hAnsi="Arial"/>
          <w:i w:val="0"/>
          <w:iCs w:val="0"/>
          <w:color w:val="000000"/>
          <w:sz w:val="16"/>
          <w:szCs w:val="24"/>
        </w:rPr>
        <w:fldChar w:fldCharType="begin"/>
      </w:r>
      <w:r w:rsidRPr="00335361">
        <w:rPr>
          <w:rFonts w:ascii="Arial" w:hAnsi="Arial"/>
          <w:i w:val="0"/>
          <w:iCs w:val="0"/>
          <w:color w:val="000000"/>
          <w:sz w:val="16"/>
          <w:szCs w:val="24"/>
        </w:rPr>
        <w:instrText xml:space="preserve"> SEQ Fig._2. \* ARABIC </w:instrText>
      </w:r>
      <w:r w:rsidRPr="00335361">
        <w:rPr>
          <w:rFonts w:ascii="Arial" w:hAnsi="Arial"/>
          <w:i w:val="0"/>
          <w:iCs w:val="0"/>
          <w:color w:val="000000"/>
          <w:sz w:val="16"/>
          <w:szCs w:val="24"/>
        </w:rPr>
        <w:fldChar w:fldCharType="separate"/>
      </w:r>
      <w:r w:rsidR="00D006A5">
        <w:rPr>
          <w:rFonts w:ascii="Arial" w:hAnsi="Arial"/>
          <w:i w:val="0"/>
          <w:iCs w:val="0"/>
          <w:noProof/>
          <w:color w:val="000000"/>
          <w:sz w:val="16"/>
          <w:szCs w:val="24"/>
        </w:rPr>
        <w:t>6</w:t>
      </w:r>
      <w:r w:rsidRPr="00335361">
        <w:rPr>
          <w:rFonts w:ascii="Arial" w:hAnsi="Arial"/>
          <w:i w:val="0"/>
          <w:iCs w:val="0"/>
          <w:color w:val="000000"/>
          <w:sz w:val="16"/>
          <w:szCs w:val="24"/>
        </w:rPr>
        <w:fldChar w:fldCharType="end"/>
      </w:r>
      <w:r>
        <w:rPr>
          <w:rFonts w:ascii="Arial" w:hAnsi="Arial"/>
          <w:i w:val="0"/>
          <w:iCs w:val="0"/>
          <w:color w:val="000000"/>
          <w:sz w:val="16"/>
          <w:szCs w:val="24"/>
        </w:rPr>
        <w:t>—</w:t>
      </w:r>
      <w:r w:rsidRPr="00B82480">
        <w:rPr>
          <w:rFonts w:ascii="Arial" w:hAnsi="Arial"/>
          <w:i w:val="0"/>
          <w:iCs w:val="0"/>
          <w:color w:val="000000"/>
          <w:sz w:val="16"/>
          <w:szCs w:val="24"/>
        </w:rPr>
        <w:t xml:space="preserve"> An example of a directed acyclic graph (DAG)</w:t>
      </w:r>
      <w:bookmarkEnd w:id="28"/>
    </w:p>
    <w:p w14:paraId="17B0A9D9" w14:textId="0BF4E498" w:rsidR="00EE0EB0" w:rsidRPr="00907949" w:rsidRDefault="005145D5" w:rsidP="00F77298">
      <w:pPr>
        <w:pStyle w:val="para1"/>
        <w:spacing w:line="480" w:lineRule="auto"/>
      </w:pPr>
      <w:r w:rsidRPr="00907949">
        <w:t xml:space="preserve">Here I am assuming that T affects Y and </w:t>
      </w:r>
      <w:r w:rsidRPr="001A7F9B">
        <w:t>X</w:t>
      </w:r>
      <w:r w:rsidRPr="00907949">
        <w:t xml:space="preserve"> affects T and Y. This graph is also called as a directed acyclic graph because every variable in it has a direction or an arrow associated with it and it has no cycles present </w:t>
      </w:r>
      <w:r w:rsidR="00A07274">
        <w:t>,</w:t>
      </w:r>
      <w:r w:rsidR="00417534">
        <w:t>that is</w:t>
      </w:r>
      <w:r w:rsidR="00A07274">
        <w:t>,</w:t>
      </w:r>
      <w:r w:rsidRPr="00907949">
        <w:t xml:space="preserve"> if we start at one variable and follow the direction of the arrows we won’t end up back on the same variable. There are more complicated DAGs that we can draw based upon the complexity of relationships between the variables in </w:t>
      </w:r>
      <w:r w:rsidR="00F76254">
        <w:t>the</w:t>
      </w:r>
      <w:r w:rsidRPr="00907949">
        <w:t xml:space="preserve"> study. I will mention the DAG from </w:t>
      </w:r>
      <w:r w:rsidRPr="000B12BB">
        <w:t>Fi</w:t>
      </w:r>
      <w:r w:rsidR="00302F6E" w:rsidRPr="000B12BB">
        <w:t>g.</w:t>
      </w:r>
      <w:r w:rsidRPr="000B12BB">
        <w:t xml:space="preserve"> </w:t>
      </w:r>
      <w:r w:rsidR="000B12BB">
        <w:t>2.</w:t>
      </w:r>
      <w:r w:rsidR="007C609F">
        <w:t>6</w:t>
      </w:r>
      <w:r w:rsidRPr="00907949">
        <w:t xml:space="preserve"> later when I discuss the design of the experiment. </w:t>
      </w:r>
    </w:p>
    <w:p w14:paraId="34406B52" w14:textId="396A2E56" w:rsidR="005145D5" w:rsidRPr="00907949" w:rsidRDefault="005145D5" w:rsidP="00F77298">
      <w:pPr>
        <w:pStyle w:val="para1"/>
        <w:spacing w:line="480" w:lineRule="auto"/>
      </w:pPr>
      <w:r w:rsidRPr="00907949">
        <w:t xml:space="preserve">In </w:t>
      </w:r>
      <w:r w:rsidRPr="007C609F">
        <w:t>Fig</w:t>
      </w:r>
      <w:r w:rsidR="00EE0EB0" w:rsidRPr="007C609F">
        <w:t>.</w:t>
      </w:r>
      <w:r w:rsidRPr="007C609F">
        <w:t xml:space="preserve"> </w:t>
      </w:r>
      <w:r w:rsidR="007C609F" w:rsidRPr="007C609F">
        <w:t>2.6</w:t>
      </w:r>
      <w:r w:rsidRPr="00907949">
        <w:t xml:space="preserve">., there is also a path going from Y to T indirectly through X. Now in </w:t>
      </w:r>
      <w:r w:rsidRPr="004F458B">
        <w:rPr>
          <w:b/>
          <w:bCs/>
        </w:rPr>
        <w:t>Fig</w:t>
      </w:r>
      <w:r w:rsidR="004F458B" w:rsidRPr="004F458B">
        <w:rPr>
          <w:b/>
          <w:bCs/>
        </w:rPr>
        <w:t>.</w:t>
      </w:r>
      <w:r w:rsidRPr="004F458B">
        <w:rPr>
          <w:b/>
          <w:bCs/>
        </w:rPr>
        <w:t xml:space="preserve"> </w:t>
      </w:r>
      <w:r w:rsidR="007C609F">
        <w:rPr>
          <w:b/>
          <w:bCs/>
        </w:rPr>
        <w:t>2.7</w:t>
      </w:r>
      <w:r w:rsidRPr="00907949">
        <w:t xml:space="preserve">, if we condition on levels or some values of X, then this would block the path carrying the association between </w:t>
      </w:r>
      <w:r w:rsidRPr="001A7F9B">
        <w:t>X</w:t>
      </w:r>
      <w:r w:rsidRPr="00907949">
        <w:t xml:space="preserve"> and Y and </w:t>
      </w:r>
      <w:r w:rsidRPr="001A7F9B">
        <w:t>X</w:t>
      </w:r>
      <w:r w:rsidRPr="00907949">
        <w:t xml:space="preserve"> and T. This would essentially mean that we are able to remove all other association between T and Y (through </w:t>
      </w:r>
      <w:r w:rsidRPr="001A7F9B">
        <w:t>X</w:t>
      </w:r>
      <w:r w:rsidRPr="00907949">
        <w:t xml:space="preserve">) which is not through a direct effect of T on Y. This path blocking by conditioning on a common cause in a </w:t>
      </w:r>
      <w:r w:rsidR="00D4612C">
        <w:t>d</w:t>
      </w:r>
      <w:r w:rsidRPr="00907949">
        <w:t xml:space="preserve">irected </w:t>
      </w:r>
      <w:r w:rsidR="00D4612C">
        <w:t>a</w:t>
      </w:r>
      <w:r w:rsidRPr="00907949">
        <w:t xml:space="preserve">cyclic </w:t>
      </w:r>
      <w:r w:rsidR="00D4612C">
        <w:t>g</w:t>
      </w:r>
      <w:r w:rsidRPr="00907949">
        <w:t xml:space="preserve">raph eliminates the bias due to confounding. </w:t>
      </w:r>
    </w:p>
    <w:p w14:paraId="3F922696" w14:textId="77777777" w:rsidR="00335361" w:rsidRDefault="00A4735B" w:rsidP="00335361">
      <w:pPr>
        <w:pStyle w:val="para1"/>
        <w:keepNext/>
        <w:spacing w:line="480" w:lineRule="auto"/>
        <w:jc w:val="center"/>
      </w:pPr>
      <w:r>
        <w:rPr>
          <w:noProof/>
        </w:rPr>
        <w:drawing>
          <wp:inline distT="0" distB="0" distL="0" distR="0" wp14:anchorId="2289B0D0" wp14:editId="1750E6B8">
            <wp:extent cx="2038350" cy="1343025"/>
            <wp:effectExtent l="0" t="0" r="0"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38350" cy="1343025"/>
                    </a:xfrm>
                    <a:prstGeom prst="rect">
                      <a:avLst/>
                    </a:prstGeom>
                  </pic:spPr>
                </pic:pic>
              </a:graphicData>
            </a:graphic>
          </wp:inline>
        </w:drawing>
      </w:r>
    </w:p>
    <w:p w14:paraId="03312585" w14:textId="0ED21BE8" w:rsidR="00335361" w:rsidRPr="007C609F" w:rsidRDefault="00335361" w:rsidP="00335361">
      <w:pPr>
        <w:pStyle w:val="Caption"/>
        <w:rPr>
          <w:rFonts w:ascii="Arial" w:hAnsi="Arial" w:cs="Times New Roman"/>
          <w:i w:val="0"/>
          <w:iCs w:val="0"/>
          <w:color w:val="000000"/>
          <w:sz w:val="16"/>
          <w:szCs w:val="24"/>
        </w:rPr>
      </w:pPr>
      <w:bookmarkStart w:id="29" w:name="_Toc58667140"/>
      <w:r w:rsidRPr="00335361">
        <w:rPr>
          <w:rFonts w:ascii="Arial" w:hAnsi="Arial" w:cs="Times New Roman"/>
          <w:i w:val="0"/>
          <w:iCs w:val="0"/>
          <w:color w:val="000000"/>
          <w:sz w:val="16"/>
          <w:szCs w:val="24"/>
        </w:rPr>
        <w:t xml:space="preserve">Fig. 2. </w:t>
      </w:r>
      <w:r w:rsidRPr="00335361">
        <w:rPr>
          <w:rFonts w:ascii="Arial" w:hAnsi="Arial" w:cs="Times New Roman"/>
          <w:i w:val="0"/>
          <w:iCs w:val="0"/>
          <w:color w:val="000000"/>
          <w:sz w:val="16"/>
          <w:szCs w:val="24"/>
        </w:rPr>
        <w:fldChar w:fldCharType="begin"/>
      </w:r>
      <w:r w:rsidRPr="00335361">
        <w:rPr>
          <w:rFonts w:ascii="Arial" w:hAnsi="Arial" w:cs="Times New Roman"/>
          <w:i w:val="0"/>
          <w:iCs w:val="0"/>
          <w:color w:val="000000"/>
          <w:sz w:val="16"/>
          <w:szCs w:val="24"/>
        </w:rPr>
        <w:instrText xml:space="preserve"> SEQ Fig._2. \* ARABIC </w:instrText>
      </w:r>
      <w:r w:rsidRPr="00335361">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7</w:t>
      </w:r>
      <w:r w:rsidRPr="00335361">
        <w:rPr>
          <w:rFonts w:ascii="Arial" w:hAnsi="Arial" w:cs="Times New Roman"/>
          <w:i w:val="0"/>
          <w:iCs w:val="0"/>
          <w:color w:val="000000"/>
          <w:sz w:val="16"/>
          <w:szCs w:val="24"/>
        </w:rPr>
        <w:fldChar w:fldCharType="end"/>
      </w:r>
      <w:r w:rsidRPr="007C609F">
        <w:rPr>
          <w:rFonts w:ascii="Arial" w:hAnsi="Arial" w:cs="Times New Roman"/>
          <w:i w:val="0"/>
          <w:iCs w:val="0"/>
          <w:color w:val="000000"/>
          <w:sz w:val="16"/>
          <w:szCs w:val="24"/>
        </w:rPr>
        <w:t xml:space="preserve">— </w:t>
      </w:r>
      <w:r w:rsidRPr="00A4735B">
        <w:rPr>
          <w:rFonts w:ascii="Arial" w:hAnsi="Arial" w:cs="Times New Roman"/>
          <w:i w:val="0"/>
          <w:iCs w:val="0"/>
          <w:color w:val="000000"/>
          <w:sz w:val="16"/>
          <w:szCs w:val="24"/>
        </w:rPr>
        <w:t>Conditioning on a confounder X</w:t>
      </w:r>
      <w:r>
        <w:rPr>
          <w:rFonts w:ascii="Arial" w:hAnsi="Arial" w:cs="Times New Roman"/>
          <w:i w:val="0"/>
          <w:iCs w:val="0"/>
          <w:color w:val="000000"/>
          <w:sz w:val="16"/>
          <w:szCs w:val="24"/>
        </w:rPr>
        <w:t>.</w:t>
      </w:r>
      <w:bookmarkEnd w:id="29"/>
    </w:p>
    <w:p w14:paraId="77DD61F8" w14:textId="0F792095" w:rsidR="007C609F" w:rsidRDefault="007C609F" w:rsidP="00335361">
      <w:pPr>
        <w:pStyle w:val="Caption"/>
      </w:pPr>
    </w:p>
    <w:p w14:paraId="33BA94D7" w14:textId="39807D92" w:rsidR="0017595F" w:rsidRDefault="005145D5" w:rsidP="00F77298">
      <w:pPr>
        <w:pStyle w:val="para1"/>
        <w:spacing w:line="480" w:lineRule="auto"/>
      </w:pPr>
      <w:r w:rsidRPr="00907949">
        <w:lastRenderedPageBreak/>
        <w:t>For example, let us assume that treatment</w:t>
      </w:r>
      <w:r w:rsidR="003B5F9F">
        <w:t xml:space="preserve">, </w:t>
      </w:r>
      <w:r w:rsidRPr="00907949">
        <w:t>T is a heart treatment and outcome</w:t>
      </w:r>
      <w:r w:rsidR="00516814">
        <w:t>,</w:t>
      </w:r>
      <w:r w:rsidRPr="00907949">
        <w:t xml:space="preserve"> Y was heart attack and there is only one common cause blood pressure</w:t>
      </w:r>
      <w:r w:rsidR="00516814">
        <w:t>,</w:t>
      </w:r>
      <w:r w:rsidRPr="00907949">
        <w:t xml:space="preserve"> X. If we think that there are people in the population with abnormal blood pressure and they have a higher chance of getting the heart treatment, then the treatment assignment</w:t>
      </w:r>
      <w:r w:rsidR="00516814">
        <w:t>,</w:t>
      </w:r>
      <w:r w:rsidRPr="00907949">
        <w:t xml:space="preserve"> T is not random to begin. Conversely, we can say that people with normal blood pressure are less likely to get the treatment. Thus, the </w:t>
      </w:r>
      <w:r w:rsidR="00D4612C">
        <w:t>i</w:t>
      </w:r>
      <w:r w:rsidRPr="00907949">
        <w:t>gnorabil</w:t>
      </w:r>
      <w:r w:rsidR="00D4612C">
        <w:t>i</w:t>
      </w:r>
      <w:r w:rsidRPr="00907949">
        <w:t xml:space="preserve">ty assumption </w:t>
      </w:r>
      <w:r w:rsidR="00D1313A">
        <w:t>does not</w:t>
      </w:r>
      <w:r w:rsidRPr="00907949">
        <w:t xml:space="preserve"> hold here. </w:t>
      </w:r>
    </w:p>
    <w:p w14:paraId="06A981E6" w14:textId="773A1231" w:rsidR="00845344" w:rsidRPr="00907949" w:rsidRDefault="005145D5" w:rsidP="00F77298">
      <w:pPr>
        <w:pStyle w:val="para1"/>
        <w:spacing w:line="480" w:lineRule="auto"/>
      </w:pPr>
      <w:r w:rsidRPr="00907949">
        <w:t xml:space="preserve">In order to achieve the </w:t>
      </w:r>
      <w:r w:rsidR="008B6E1F">
        <w:t>ignorability</w:t>
      </w:r>
      <w:r w:rsidRPr="00907949">
        <w:t xml:space="preserve"> assumption then, we must condition on a certain sub-set of population with only abnormal blood pressure or only normal blood pressure. Then within that sub-set of population, everyone has an equal chance of getting treatment thereby making the treatment assignment mechanism random satisfying the </w:t>
      </w:r>
      <w:r w:rsidR="0006403C">
        <w:t>i</w:t>
      </w:r>
      <w:r w:rsidR="008B6E1F">
        <w:t>gnorability</w:t>
      </w:r>
      <w:r w:rsidRPr="00907949">
        <w:t xml:space="preserve"> assumption. So, if we condition on levels of population with a similar range of abnormal blood pressure</w:t>
      </w:r>
      <w:r w:rsidR="00DF783B">
        <w:t>,</w:t>
      </w:r>
      <w:r w:rsidRPr="00907949">
        <w:t xml:space="preserve"> X as per </w:t>
      </w:r>
      <w:r w:rsidRPr="00A348CE">
        <w:t>Fig</w:t>
      </w:r>
      <w:r w:rsidR="003C229C" w:rsidRPr="00A348CE">
        <w:t>.</w:t>
      </w:r>
      <w:r w:rsidRPr="003C229C">
        <w:rPr>
          <w:b/>
          <w:bCs/>
        </w:rPr>
        <w:t xml:space="preserve"> </w:t>
      </w:r>
      <w:r w:rsidR="00005F31">
        <w:t>2.7</w:t>
      </w:r>
      <w:r w:rsidRPr="00A348CE">
        <w:t>.</w:t>
      </w:r>
      <w:r w:rsidRPr="00907949">
        <w:t>, we block any association between heart treatment</w:t>
      </w:r>
      <w:r w:rsidR="0063354A">
        <w:t xml:space="preserve">, </w:t>
      </w:r>
      <w:r w:rsidR="00845344">
        <w:t xml:space="preserve">T </w:t>
      </w:r>
      <w:r w:rsidRPr="00907949">
        <w:t>and heart attack</w:t>
      </w:r>
      <w:r w:rsidR="0063354A">
        <w:t>,</w:t>
      </w:r>
      <w:r w:rsidRPr="00907949">
        <w:t xml:space="preserve"> </w:t>
      </w:r>
      <w:r w:rsidR="00845344">
        <w:t xml:space="preserve">Y </w:t>
      </w:r>
      <w:r w:rsidRPr="00907949">
        <w:t>which is not due to direct effect of heart treatment</w:t>
      </w:r>
      <w:r w:rsidR="0063354A">
        <w:t xml:space="preserve">, </w:t>
      </w:r>
      <w:r w:rsidRPr="00907949">
        <w:t>T</w:t>
      </w:r>
      <w:r w:rsidR="0063354A">
        <w:t xml:space="preserve"> </w:t>
      </w:r>
      <w:r w:rsidRPr="00907949">
        <w:t>on heart attack</w:t>
      </w:r>
      <w:r w:rsidR="0063354A">
        <w:t xml:space="preserve">, </w:t>
      </w:r>
      <w:r w:rsidRPr="00907949">
        <w:t>Y. This eliminates the confounding bias.</w:t>
      </w:r>
    </w:p>
    <w:p w14:paraId="73779595" w14:textId="09A44C27" w:rsidR="008B6E1F" w:rsidRPr="00907949" w:rsidRDefault="005145D5" w:rsidP="00F77298">
      <w:pPr>
        <w:pStyle w:val="para1"/>
        <w:spacing w:line="480" w:lineRule="auto"/>
      </w:pPr>
      <w:r w:rsidRPr="00907949">
        <w:t xml:space="preserve">With this brief history and some background in </w:t>
      </w:r>
      <w:r w:rsidR="00D007E9">
        <w:t>c</w:t>
      </w:r>
      <w:r w:rsidR="001C0B42">
        <w:t>ausal</w:t>
      </w:r>
      <w:r w:rsidRPr="00907949">
        <w:t xml:space="preserve">ity, I will now transition to the problem at hand which is quantifying the </w:t>
      </w:r>
      <w:r w:rsidR="001C0B42">
        <w:t>causal</w:t>
      </w:r>
      <w:r w:rsidRPr="00907949">
        <w:t xml:space="preserve"> effect of well spacing on well performance. Before I discuss the methodology used, first I will describe the dataset used for the </w:t>
      </w:r>
      <w:r w:rsidR="00D007E9">
        <w:t>c</w:t>
      </w:r>
      <w:r w:rsidR="001C0B42">
        <w:t>ausal</w:t>
      </w:r>
      <w:r w:rsidR="00FC7E05">
        <w:t xml:space="preserve"> inference</w:t>
      </w:r>
      <w:r w:rsidRPr="00907949">
        <w:t xml:space="preserve"> workflow. </w:t>
      </w:r>
    </w:p>
    <w:p w14:paraId="13C5645D" w14:textId="0C3FB53F" w:rsidR="005145D5" w:rsidRPr="00907949" w:rsidRDefault="0045757B" w:rsidP="00DD7450">
      <w:pPr>
        <w:pStyle w:val="Heading2"/>
        <w:ind w:left="0" w:firstLine="0"/>
      </w:pPr>
      <w:bookmarkStart w:id="30" w:name="_Toc58667102"/>
      <w:r w:rsidRPr="00D33E79">
        <w:t xml:space="preserve">2.5 </w:t>
      </w:r>
      <w:r w:rsidR="005145D5" w:rsidRPr="00D33E79">
        <w:t>Dataset Description</w:t>
      </w:r>
      <w:bookmarkEnd w:id="30"/>
    </w:p>
    <w:p w14:paraId="72C4E67C" w14:textId="316482C8" w:rsidR="001564FD" w:rsidRDefault="005145D5" w:rsidP="0033462B">
      <w:pPr>
        <w:pStyle w:val="para1"/>
        <w:spacing w:line="480" w:lineRule="auto"/>
        <w:ind w:firstLine="0"/>
      </w:pPr>
      <w:r w:rsidRPr="00907949">
        <w:t xml:space="preserve">For this study, a multivariate observational data from 725 wells is used. These wells are in the Permian Basin, West Texas. The dataset includes location of these wells in latitudes and longitudes for the well head as well as the bottomhole locations, true vertical depths (TVD) and reservoir and completion design variables. </w:t>
      </w:r>
      <w:r w:rsidR="006941C6">
        <w:t>T</w:t>
      </w:r>
      <w:r w:rsidR="006941C6" w:rsidRPr="00907949">
        <w:t>he reservoir</w:t>
      </w:r>
      <w:r w:rsidR="006941C6">
        <w:t xml:space="preserve"> properties</w:t>
      </w:r>
      <w:r w:rsidR="006941C6" w:rsidRPr="00907949">
        <w:t xml:space="preserve">, completion design variables and TVD are defined as </w:t>
      </w:r>
      <w:r w:rsidR="006941C6">
        <w:t>c</w:t>
      </w:r>
      <w:r w:rsidR="006941C6" w:rsidRPr="00907949">
        <w:t>ovariates because together</w:t>
      </w:r>
      <w:r w:rsidR="006941C6">
        <w:t xml:space="preserve"> </w:t>
      </w:r>
      <w:r w:rsidR="006941C6" w:rsidRPr="00907949">
        <w:t xml:space="preserve">they impact the well spacing decision and well performance. </w:t>
      </w:r>
      <w:r w:rsidR="006941C6">
        <w:t>The dataset has</w:t>
      </w:r>
      <w:r w:rsidR="006941C6" w:rsidRPr="00907949">
        <w:t xml:space="preserve"> </w:t>
      </w:r>
      <w:r w:rsidR="006941C6">
        <w:t>over 400</w:t>
      </w:r>
      <w:r w:rsidR="006941C6" w:rsidRPr="00907949">
        <w:t xml:space="preserve"> covariates</w:t>
      </w:r>
      <w:r w:rsidR="006941C6">
        <w:t xml:space="preserve">, which are known to </w:t>
      </w:r>
      <w:r w:rsidR="006941C6" w:rsidRPr="00907949">
        <w:t xml:space="preserve">impact the well </w:t>
      </w:r>
      <w:r w:rsidR="006941C6" w:rsidRPr="00907949">
        <w:lastRenderedPageBreak/>
        <w:t xml:space="preserve">performance and the well spacing. </w:t>
      </w:r>
      <w:r w:rsidR="006941C6">
        <w:t xml:space="preserve">There are </w:t>
      </w:r>
      <w:r w:rsidR="006941C6" w:rsidRPr="00907949">
        <w:t xml:space="preserve">2 completion variables </w:t>
      </w:r>
      <w:r w:rsidR="006941C6">
        <w:t>which are the</w:t>
      </w:r>
      <w:r w:rsidR="006941C6" w:rsidRPr="00907949">
        <w:t xml:space="preserve"> fracture fluid </w:t>
      </w:r>
      <w:r w:rsidR="00FE1331">
        <w:t xml:space="preserve">volume </w:t>
      </w:r>
      <w:r w:rsidR="006941C6" w:rsidRPr="00907949">
        <w:t xml:space="preserve">and </w:t>
      </w:r>
      <w:r w:rsidR="0002242A">
        <w:t>proppant weight</w:t>
      </w:r>
      <w:r w:rsidR="00FE1331">
        <w:t>.</w:t>
      </w:r>
      <w:r w:rsidR="006941C6">
        <w:t xml:space="preserve"> The TVD was another variable and the remaining were petrophysical/reservoir properties. </w:t>
      </w:r>
      <w:r w:rsidR="006941C6" w:rsidRPr="00907949">
        <w:t xml:space="preserve"> </w:t>
      </w:r>
    </w:p>
    <w:p w14:paraId="70E219A5" w14:textId="14AD0444" w:rsidR="00F42758" w:rsidRDefault="008F42D7" w:rsidP="001564FD">
      <w:pPr>
        <w:pStyle w:val="para1"/>
        <w:spacing w:line="480" w:lineRule="auto"/>
      </w:pPr>
      <w:r>
        <w:t xml:space="preserve">As explained earlier </w:t>
      </w:r>
      <w:r w:rsidR="00FC2223">
        <w:t xml:space="preserve">by </w:t>
      </w:r>
      <w:r w:rsidR="00FC2223" w:rsidRPr="000C1214">
        <w:rPr>
          <w:rFonts w:eastAsiaTheme="minorHAnsi"/>
          <w:color w:val="002060"/>
          <w:szCs w:val="24"/>
        </w:rPr>
        <w:t>Gupta et al. (2020)</w:t>
      </w:r>
      <w:r w:rsidR="00FC2223">
        <w:t xml:space="preserve"> and </w:t>
      </w:r>
      <w:r w:rsidR="00FC2223" w:rsidRPr="000C1214">
        <w:rPr>
          <w:rFonts w:eastAsiaTheme="minorHAnsi"/>
          <w:color w:val="002060"/>
          <w:szCs w:val="24"/>
        </w:rPr>
        <w:t>Rafi</w:t>
      </w:r>
      <w:r w:rsidR="001B5C48" w:rsidRPr="000C1214">
        <w:rPr>
          <w:rFonts w:eastAsiaTheme="minorHAnsi"/>
          <w:color w:val="002060"/>
          <w:szCs w:val="24"/>
        </w:rPr>
        <w:t>ee</w:t>
      </w:r>
      <w:r w:rsidR="00FC2223" w:rsidRPr="000C1214">
        <w:rPr>
          <w:rFonts w:eastAsiaTheme="minorHAnsi"/>
          <w:color w:val="002060"/>
          <w:szCs w:val="24"/>
        </w:rPr>
        <w:t xml:space="preserve"> </w:t>
      </w:r>
      <w:r w:rsidR="007A3C26" w:rsidRPr="000C1214">
        <w:rPr>
          <w:rFonts w:eastAsiaTheme="minorHAnsi"/>
          <w:color w:val="002060"/>
          <w:szCs w:val="24"/>
        </w:rPr>
        <w:t>and Grover</w:t>
      </w:r>
      <w:r w:rsidR="007A3C26">
        <w:t xml:space="preserve"> </w:t>
      </w:r>
      <w:r w:rsidR="007A3C26" w:rsidRPr="000C1214">
        <w:rPr>
          <w:rFonts w:eastAsiaTheme="minorHAnsi"/>
          <w:color w:val="002060"/>
          <w:szCs w:val="24"/>
        </w:rPr>
        <w:t>(201</w:t>
      </w:r>
      <w:r w:rsidR="001B5C48" w:rsidRPr="000C1214">
        <w:rPr>
          <w:rFonts w:eastAsiaTheme="minorHAnsi"/>
          <w:color w:val="002060"/>
          <w:szCs w:val="24"/>
        </w:rPr>
        <w:t>7</w:t>
      </w:r>
      <w:r w:rsidR="007A3C26" w:rsidRPr="000C1214">
        <w:rPr>
          <w:rFonts w:eastAsiaTheme="minorHAnsi"/>
          <w:color w:val="002060"/>
          <w:szCs w:val="24"/>
        </w:rPr>
        <w:t>)</w:t>
      </w:r>
      <w:r w:rsidR="007A3C26">
        <w:t xml:space="preserve">, completion size and </w:t>
      </w:r>
      <w:r w:rsidR="00787ABD">
        <w:t xml:space="preserve">reservoir properties </w:t>
      </w:r>
      <w:r w:rsidR="003D0FCF">
        <w:t xml:space="preserve">have a direct influence </w:t>
      </w:r>
      <w:r w:rsidR="00787ABD">
        <w:t xml:space="preserve">on </w:t>
      </w:r>
      <w:r w:rsidR="003D0FCF">
        <w:t xml:space="preserve">the </w:t>
      </w:r>
      <w:r w:rsidR="00B06CF3">
        <w:t xml:space="preserve">long term </w:t>
      </w:r>
      <w:r w:rsidR="00787ABD">
        <w:t xml:space="preserve">well </w:t>
      </w:r>
      <w:r w:rsidR="007A3C26">
        <w:t>EUR</w:t>
      </w:r>
      <w:r w:rsidR="003D0FCF">
        <w:t xml:space="preserve">. Also, any </w:t>
      </w:r>
      <w:r w:rsidR="0046677C">
        <w:t>lease</w:t>
      </w:r>
      <w:r w:rsidR="003D0FCF">
        <w:t xml:space="preserve"> development requires </w:t>
      </w:r>
      <w:r w:rsidR="00AC7D51">
        <w:t>careful</w:t>
      </w:r>
      <w:r w:rsidR="003D0FCF">
        <w:t xml:space="preserve"> study</w:t>
      </w:r>
      <w:r w:rsidR="005D12A5">
        <w:t xml:space="preserve"> of the </w:t>
      </w:r>
      <w:r w:rsidR="0046677C">
        <w:t xml:space="preserve">complex interplay between </w:t>
      </w:r>
      <w:r w:rsidR="005D12A5">
        <w:t>reservoir properties, the choice of completion desig</w:t>
      </w:r>
      <w:r w:rsidR="00AF3775">
        <w:t xml:space="preserve">n, </w:t>
      </w:r>
      <w:r w:rsidR="004760FE">
        <w:t xml:space="preserve">landing zones </w:t>
      </w:r>
      <w:r w:rsidR="00F31922">
        <w:t>and</w:t>
      </w:r>
      <w:r w:rsidR="004760FE">
        <w:t xml:space="preserve"> geomechanical </w:t>
      </w:r>
      <w:r w:rsidR="00A467AA">
        <w:t xml:space="preserve">properties </w:t>
      </w:r>
      <w:r w:rsidR="00EF2182">
        <w:t>(</w:t>
      </w:r>
      <w:r w:rsidR="00EF2182" w:rsidRPr="0045501A">
        <w:rPr>
          <w:rFonts w:eastAsiaTheme="minorHAnsi"/>
          <w:color w:val="002060"/>
          <w:szCs w:val="24"/>
        </w:rPr>
        <w:t>Shahkar</w:t>
      </w:r>
      <w:r w:rsidR="00EF2F2F" w:rsidRPr="0045501A">
        <w:rPr>
          <w:rFonts w:eastAsiaTheme="minorHAnsi"/>
          <w:color w:val="002060"/>
          <w:szCs w:val="24"/>
        </w:rPr>
        <w:t>a</w:t>
      </w:r>
      <w:r w:rsidR="00EF2182" w:rsidRPr="0045501A">
        <w:rPr>
          <w:rFonts w:eastAsiaTheme="minorHAnsi"/>
          <w:color w:val="002060"/>
          <w:szCs w:val="24"/>
        </w:rPr>
        <w:t xml:space="preserve">mi </w:t>
      </w:r>
      <w:r w:rsidR="00DB6E61">
        <w:rPr>
          <w:rFonts w:eastAsiaTheme="minorHAnsi"/>
          <w:color w:val="002060"/>
          <w:szCs w:val="24"/>
        </w:rPr>
        <w:t xml:space="preserve">and Wang </w:t>
      </w:r>
      <w:r w:rsidR="00C90A08" w:rsidRPr="0045501A">
        <w:rPr>
          <w:rFonts w:eastAsiaTheme="minorHAnsi"/>
          <w:color w:val="002060"/>
          <w:szCs w:val="24"/>
        </w:rPr>
        <w:t>2017</w:t>
      </w:r>
      <w:r w:rsidR="00C90A08">
        <w:t xml:space="preserve">) </w:t>
      </w:r>
      <w:r w:rsidR="00A467AA">
        <w:t>as</w:t>
      </w:r>
      <w:r w:rsidR="0046677C">
        <w:t xml:space="preserve"> they all </w:t>
      </w:r>
      <w:r w:rsidR="00A467AA">
        <w:t>influence the well placement decision</w:t>
      </w:r>
      <w:r w:rsidR="000F2F8B">
        <w:t xml:space="preserve"> and economics behind it</w:t>
      </w:r>
      <w:r w:rsidR="00A467AA">
        <w:t xml:space="preserve">. </w:t>
      </w:r>
    </w:p>
    <w:p w14:paraId="5BAB5397" w14:textId="57248B48" w:rsidR="009214CB" w:rsidRDefault="00154208" w:rsidP="00AD0C73">
      <w:pPr>
        <w:spacing w:after="0"/>
        <w:ind w:firstLine="288"/>
        <w:contextualSpacing/>
      </w:pPr>
      <w:r>
        <w:t>I</w:t>
      </w:r>
      <w:r w:rsidR="009214CB" w:rsidRPr="007707B3">
        <w:t xml:space="preserve">n order to understand the </w:t>
      </w:r>
      <w:r>
        <w:t>importance</w:t>
      </w:r>
      <w:r w:rsidR="009214CB" w:rsidRPr="007707B3">
        <w:t xml:space="preserve"> of the completion variables in the causal analyses, in </w:t>
      </w:r>
      <w:r w:rsidR="009214CB" w:rsidRPr="007707B3">
        <w:rPr>
          <w:b/>
          <w:bCs/>
        </w:rPr>
        <w:t>Fig. 2.</w:t>
      </w:r>
      <w:r w:rsidR="00D956EA">
        <w:rPr>
          <w:b/>
          <w:bCs/>
        </w:rPr>
        <w:t>8</w:t>
      </w:r>
      <w:r w:rsidR="00BD32BD">
        <w:rPr>
          <w:b/>
          <w:bCs/>
        </w:rPr>
        <w:t xml:space="preserve"> and </w:t>
      </w:r>
      <w:r w:rsidR="009214CB" w:rsidRPr="007707B3">
        <w:rPr>
          <w:b/>
          <w:bCs/>
        </w:rPr>
        <w:t>2.</w:t>
      </w:r>
      <w:r w:rsidR="00D956EA">
        <w:rPr>
          <w:b/>
          <w:bCs/>
        </w:rPr>
        <w:t>9</w:t>
      </w:r>
      <w:r w:rsidR="009214CB" w:rsidRPr="007707B3">
        <w:rPr>
          <w:b/>
          <w:bCs/>
        </w:rPr>
        <w:t xml:space="preserve"> </w:t>
      </w:r>
      <w:r w:rsidR="009214CB" w:rsidRPr="007707B3">
        <w:t xml:space="preserve">, I plot the actual cumulative 360-day production normalized to lateral length from the dataset for all wells versus the </w:t>
      </w:r>
      <w:r w:rsidR="0002242A">
        <w:t>proppant weight</w:t>
      </w:r>
      <w:r w:rsidR="009214CB" w:rsidRPr="007707B3">
        <w:t xml:space="preserve"> normalized to lateral length, fracture fluid volume normalized to lateral length and TVD respectively. Fig. 2.</w:t>
      </w:r>
      <w:r w:rsidR="0078729B">
        <w:t>8</w:t>
      </w:r>
      <w:r w:rsidR="009214CB" w:rsidRPr="007707B3">
        <w:t xml:space="preserve"> a</w:t>
      </w:r>
      <w:r w:rsidR="00BD32BD">
        <w:t xml:space="preserve">nd </w:t>
      </w:r>
      <w:r w:rsidR="00EF4B83" w:rsidRPr="007707B3">
        <w:t>2.</w:t>
      </w:r>
      <w:r w:rsidR="00EF4B83">
        <w:t>9</w:t>
      </w:r>
      <w:r w:rsidR="00F75774">
        <w:t xml:space="preserve"> show that</w:t>
      </w:r>
      <w:r w:rsidR="009214CB" w:rsidRPr="007707B3">
        <w:t xml:space="preserve"> well performance has an overall weak but positive relationship with respect to both completion variables</w:t>
      </w:r>
      <w:r w:rsidR="00A07274">
        <w:t>,</w:t>
      </w:r>
      <w:r w:rsidR="009214CB" w:rsidRPr="007707B3">
        <w:t xml:space="preserve"> </w:t>
      </w:r>
      <w:r w:rsidR="0002242A">
        <w:t>proppant weight</w:t>
      </w:r>
      <w:r w:rsidR="009214CB" w:rsidRPr="007707B3">
        <w:t xml:space="preserve"> and fracture fluid volume normalized to well lateral length. </w:t>
      </w:r>
      <w:r w:rsidR="00F75774">
        <w:t xml:space="preserve">This relationship makes assessing the impact of well spacing on performance quite challenging. </w:t>
      </w:r>
    </w:p>
    <w:p w14:paraId="168D4C91" w14:textId="0851EB4D" w:rsidR="003B7B13" w:rsidRDefault="00575C72" w:rsidP="00575C72">
      <w:pPr>
        <w:spacing w:after="0"/>
        <w:contextualSpacing/>
        <w:jc w:val="center"/>
      </w:pPr>
      <w:r>
        <w:rPr>
          <w:noProof/>
        </w:rPr>
        <w:lastRenderedPageBreak/>
        <w:drawing>
          <wp:inline distT="0" distB="0" distL="0" distR="0" wp14:anchorId="0D036812" wp14:editId="3332DB79">
            <wp:extent cx="5077794" cy="3444240"/>
            <wp:effectExtent l="0" t="0" r="889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80313" cy="3445949"/>
                    </a:xfrm>
                    <a:prstGeom prst="rect">
                      <a:avLst/>
                    </a:prstGeom>
                  </pic:spPr>
                </pic:pic>
              </a:graphicData>
            </a:graphic>
          </wp:inline>
        </w:drawing>
      </w:r>
    </w:p>
    <w:p w14:paraId="533E6F7A" w14:textId="73934BF7" w:rsidR="0023316C" w:rsidRDefault="00335361" w:rsidP="00335361">
      <w:pPr>
        <w:pStyle w:val="Caption"/>
        <w:rPr>
          <w:rFonts w:ascii="Arial" w:hAnsi="Arial" w:cs="Arial"/>
          <w:i w:val="0"/>
          <w:iCs w:val="0"/>
          <w:sz w:val="16"/>
          <w:szCs w:val="16"/>
        </w:rPr>
      </w:pPr>
      <w:bookmarkStart w:id="31" w:name="_Toc58667141"/>
      <w:r w:rsidRPr="002B1BB9">
        <w:rPr>
          <w:rFonts w:ascii="Arial" w:hAnsi="Arial" w:cs="Arial"/>
          <w:i w:val="0"/>
          <w:iCs w:val="0"/>
          <w:sz w:val="16"/>
          <w:szCs w:val="16"/>
        </w:rPr>
        <w:t xml:space="preserve">Fig. 2. </w:t>
      </w:r>
      <w:r w:rsidRPr="002B1BB9">
        <w:rPr>
          <w:rFonts w:ascii="Arial" w:hAnsi="Arial" w:cs="Arial"/>
          <w:i w:val="0"/>
          <w:iCs w:val="0"/>
          <w:sz w:val="16"/>
          <w:szCs w:val="16"/>
        </w:rPr>
        <w:fldChar w:fldCharType="begin"/>
      </w:r>
      <w:r w:rsidRPr="002B1BB9">
        <w:rPr>
          <w:rFonts w:ascii="Arial" w:hAnsi="Arial" w:cs="Arial"/>
          <w:i w:val="0"/>
          <w:iCs w:val="0"/>
          <w:sz w:val="16"/>
          <w:szCs w:val="16"/>
        </w:rPr>
        <w:instrText xml:space="preserve"> SEQ Fig._2. \* ARABIC </w:instrText>
      </w:r>
      <w:r w:rsidRPr="002B1BB9">
        <w:rPr>
          <w:rFonts w:ascii="Arial" w:hAnsi="Arial" w:cs="Arial"/>
          <w:i w:val="0"/>
          <w:iCs w:val="0"/>
          <w:sz w:val="16"/>
          <w:szCs w:val="16"/>
        </w:rPr>
        <w:fldChar w:fldCharType="separate"/>
      </w:r>
      <w:r w:rsidR="00D006A5">
        <w:rPr>
          <w:rFonts w:ascii="Arial" w:hAnsi="Arial" w:cs="Arial"/>
          <w:i w:val="0"/>
          <w:iCs w:val="0"/>
          <w:noProof/>
          <w:sz w:val="16"/>
          <w:szCs w:val="16"/>
        </w:rPr>
        <w:t>8</w:t>
      </w:r>
      <w:r w:rsidRPr="002B1BB9">
        <w:rPr>
          <w:rFonts w:ascii="Arial" w:hAnsi="Arial" w:cs="Arial"/>
          <w:i w:val="0"/>
          <w:iCs w:val="0"/>
          <w:sz w:val="16"/>
          <w:szCs w:val="16"/>
        </w:rPr>
        <w:fldChar w:fldCharType="end"/>
      </w:r>
      <w:r w:rsidRPr="002B1BB9">
        <w:rPr>
          <w:rFonts w:ascii="Arial" w:hAnsi="Arial" w:cs="Arial"/>
          <w:i w:val="0"/>
          <w:iCs w:val="0"/>
          <w:sz w:val="16"/>
          <w:szCs w:val="16"/>
        </w:rPr>
        <w:t>—</w:t>
      </w:r>
      <w:r w:rsidRPr="007707B3">
        <w:rPr>
          <w:rFonts w:ascii="Arial" w:hAnsi="Arial" w:cs="Arial"/>
          <w:i w:val="0"/>
          <w:iCs w:val="0"/>
          <w:sz w:val="16"/>
          <w:szCs w:val="16"/>
        </w:rPr>
        <w:t xml:space="preserve"> A plot of actual 360-day cumulative production normalized to lateral length (</w:t>
      </w:r>
      <w:r w:rsidR="008A4E27">
        <w:rPr>
          <w:rFonts w:ascii="Arial" w:hAnsi="Arial" w:cs="Arial"/>
          <w:i w:val="0"/>
          <w:iCs w:val="0"/>
          <w:sz w:val="16"/>
          <w:szCs w:val="16"/>
        </w:rPr>
        <w:t>bbl</w:t>
      </w:r>
      <w:r w:rsidRPr="007707B3">
        <w:rPr>
          <w:rFonts w:ascii="Arial" w:hAnsi="Arial" w:cs="Arial"/>
          <w:i w:val="0"/>
          <w:iCs w:val="0"/>
          <w:sz w:val="16"/>
          <w:szCs w:val="16"/>
        </w:rPr>
        <w:t xml:space="preserve">/ft) for all wells versus </w:t>
      </w:r>
      <w:r w:rsidR="0002242A">
        <w:rPr>
          <w:rFonts w:ascii="Arial" w:hAnsi="Arial" w:cs="Arial"/>
          <w:i w:val="0"/>
          <w:iCs w:val="0"/>
          <w:sz w:val="16"/>
          <w:szCs w:val="16"/>
        </w:rPr>
        <w:t xml:space="preserve">proppant </w:t>
      </w:r>
      <w:r w:rsidR="006C72F6">
        <w:rPr>
          <w:rFonts w:ascii="Arial" w:hAnsi="Arial" w:cs="Arial"/>
          <w:i w:val="0"/>
          <w:iCs w:val="0"/>
          <w:sz w:val="16"/>
          <w:szCs w:val="16"/>
        </w:rPr>
        <w:t>weight</w:t>
      </w:r>
      <w:r w:rsidR="006C72F6" w:rsidRPr="007707B3">
        <w:rPr>
          <w:rFonts w:ascii="Arial" w:hAnsi="Arial" w:cs="Arial"/>
          <w:i w:val="0"/>
          <w:iCs w:val="0"/>
          <w:sz w:val="16"/>
          <w:szCs w:val="16"/>
        </w:rPr>
        <w:t xml:space="preserve"> normalized</w:t>
      </w:r>
      <w:r w:rsidRPr="007707B3">
        <w:rPr>
          <w:rFonts w:ascii="Arial" w:hAnsi="Arial" w:cs="Arial"/>
          <w:i w:val="0"/>
          <w:iCs w:val="0"/>
          <w:sz w:val="16"/>
          <w:szCs w:val="16"/>
        </w:rPr>
        <w:t xml:space="preserve"> to lateral length (l</w:t>
      </w:r>
      <w:r w:rsidR="008A4E27">
        <w:rPr>
          <w:rFonts w:ascii="Arial" w:hAnsi="Arial" w:cs="Arial"/>
          <w:i w:val="0"/>
          <w:iCs w:val="0"/>
          <w:sz w:val="16"/>
          <w:szCs w:val="16"/>
        </w:rPr>
        <w:t>b</w:t>
      </w:r>
      <w:r w:rsidRPr="007707B3">
        <w:rPr>
          <w:rFonts w:ascii="Arial" w:hAnsi="Arial" w:cs="Arial"/>
          <w:i w:val="0"/>
          <w:iCs w:val="0"/>
          <w:sz w:val="16"/>
          <w:szCs w:val="16"/>
        </w:rPr>
        <w:t>/ft).</w:t>
      </w:r>
      <w:bookmarkEnd w:id="31"/>
    </w:p>
    <w:p w14:paraId="52C68CF5" w14:textId="2C1989D7" w:rsidR="0088640C" w:rsidRDefault="00D07979" w:rsidP="00D07979">
      <w:pPr>
        <w:jc w:val="center"/>
        <w:rPr>
          <w:rFonts w:ascii="Arial" w:hAnsi="Arial" w:cs="Arial"/>
          <w:sz w:val="16"/>
          <w:szCs w:val="16"/>
        </w:rPr>
      </w:pPr>
      <w:r>
        <w:rPr>
          <w:noProof/>
        </w:rPr>
        <w:drawing>
          <wp:inline distT="0" distB="0" distL="0" distR="0" wp14:anchorId="789F948A" wp14:editId="1D12618E">
            <wp:extent cx="4857750" cy="33147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857750" cy="3314700"/>
                    </a:xfrm>
                    <a:prstGeom prst="rect">
                      <a:avLst/>
                    </a:prstGeom>
                  </pic:spPr>
                </pic:pic>
              </a:graphicData>
            </a:graphic>
          </wp:inline>
        </w:drawing>
      </w:r>
    </w:p>
    <w:p w14:paraId="46EB2922" w14:textId="752CD413" w:rsidR="008856D7" w:rsidRPr="0088640C" w:rsidRDefault="00335361" w:rsidP="0088640C">
      <w:pPr>
        <w:pStyle w:val="Caption"/>
        <w:rPr>
          <w:rFonts w:ascii="Arial" w:hAnsi="Arial" w:cs="Arial"/>
          <w:i w:val="0"/>
          <w:iCs w:val="0"/>
          <w:sz w:val="16"/>
          <w:szCs w:val="16"/>
        </w:rPr>
      </w:pPr>
      <w:bookmarkStart w:id="32" w:name="_Toc58667142"/>
      <w:r w:rsidRPr="00335361">
        <w:rPr>
          <w:rFonts w:ascii="Arial" w:hAnsi="Arial" w:cs="Arial"/>
          <w:i w:val="0"/>
          <w:iCs w:val="0"/>
          <w:sz w:val="16"/>
          <w:szCs w:val="16"/>
        </w:rPr>
        <w:t xml:space="preserve">Fig. 2. </w:t>
      </w:r>
      <w:r w:rsidRPr="00335361">
        <w:rPr>
          <w:rFonts w:ascii="Arial" w:hAnsi="Arial" w:cs="Arial"/>
          <w:i w:val="0"/>
          <w:iCs w:val="0"/>
          <w:sz w:val="16"/>
          <w:szCs w:val="16"/>
        </w:rPr>
        <w:fldChar w:fldCharType="begin"/>
      </w:r>
      <w:r w:rsidRPr="00335361">
        <w:rPr>
          <w:rFonts w:ascii="Arial" w:hAnsi="Arial" w:cs="Arial"/>
          <w:i w:val="0"/>
          <w:iCs w:val="0"/>
          <w:sz w:val="16"/>
          <w:szCs w:val="16"/>
        </w:rPr>
        <w:instrText xml:space="preserve"> SEQ Fig._2. \* ARABIC </w:instrText>
      </w:r>
      <w:r w:rsidRPr="00335361">
        <w:rPr>
          <w:rFonts w:ascii="Arial" w:hAnsi="Arial" w:cs="Arial"/>
          <w:i w:val="0"/>
          <w:iCs w:val="0"/>
          <w:sz w:val="16"/>
          <w:szCs w:val="16"/>
        </w:rPr>
        <w:fldChar w:fldCharType="separate"/>
      </w:r>
      <w:r w:rsidR="00D006A5">
        <w:rPr>
          <w:rFonts w:ascii="Arial" w:hAnsi="Arial" w:cs="Arial"/>
          <w:i w:val="0"/>
          <w:iCs w:val="0"/>
          <w:noProof/>
          <w:sz w:val="16"/>
          <w:szCs w:val="16"/>
        </w:rPr>
        <w:t>9</w:t>
      </w:r>
      <w:r w:rsidRPr="00335361">
        <w:rPr>
          <w:rFonts w:ascii="Arial" w:hAnsi="Arial" w:cs="Arial"/>
          <w:i w:val="0"/>
          <w:iCs w:val="0"/>
          <w:sz w:val="16"/>
          <w:szCs w:val="16"/>
        </w:rPr>
        <w:fldChar w:fldCharType="end"/>
      </w:r>
      <w:r w:rsidRPr="007707B3">
        <w:rPr>
          <w:rFonts w:ascii="Arial" w:hAnsi="Arial" w:cs="Arial"/>
          <w:i w:val="0"/>
          <w:iCs w:val="0"/>
          <w:sz w:val="16"/>
          <w:szCs w:val="16"/>
        </w:rPr>
        <w:t>— A plot of actual 360-day cumulative production normalized to lateral length (bbl/ft) for all wells versus fracture fluid volume normalized to lateral length (bbl/ft).</w:t>
      </w:r>
      <w:bookmarkEnd w:id="32"/>
    </w:p>
    <w:p w14:paraId="4D9C219F" w14:textId="79A7FD24" w:rsidR="000F3214" w:rsidRDefault="00ED7BC3" w:rsidP="000F3214">
      <w:pPr>
        <w:pStyle w:val="para1"/>
        <w:spacing w:line="480" w:lineRule="auto"/>
      </w:pPr>
      <w:r>
        <w:lastRenderedPageBreak/>
        <w:t xml:space="preserve">As mentioned earlier, this dataset has over 400 covariates. </w:t>
      </w:r>
      <w:r w:rsidR="000F3214">
        <w:t>In order to minimize the number of covariates, I use</w:t>
      </w:r>
      <w:r w:rsidR="000F3214" w:rsidRPr="00907949">
        <w:t xml:space="preserve"> a dimension reduction technique called Principal Component Analysis (PCA). </w:t>
      </w:r>
    </w:p>
    <w:p w14:paraId="271FCFE7" w14:textId="319A100E" w:rsidR="00667C34" w:rsidRDefault="000F3214" w:rsidP="00250528">
      <w:pPr>
        <w:pStyle w:val="para1"/>
        <w:spacing w:line="480" w:lineRule="auto"/>
      </w:pPr>
      <w:r w:rsidRPr="00907949">
        <w:t xml:space="preserve">PCA is used to combine the highly correlated variables together to form a smaller number of </w:t>
      </w:r>
      <w:r>
        <w:t>uncorrelated</w:t>
      </w:r>
      <w:r w:rsidRPr="00907949">
        <w:t xml:space="preserve"> variables which are called “Principal Components”</w:t>
      </w:r>
      <w:r w:rsidRPr="006B1604">
        <w:t xml:space="preserve"> </w:t>
      </w:r>
      <w:r w:rsidRPr="00BA54CE">
        <w:rPr>
          <w:rFonts w:eastAsiaTheme="minorHAnsi"/>
          <w:color w:val="002060"/>
          <w:szCs w:val="24"/>
        </w:rPr>
        <w:t>(Pearson 1901; Hotelling 1933;</w:t>
      </w:r>
      <w:r w:rsidRPr="00D45CAB">
        <w:rPr>
          <w:color w:val="000000"/>
          <w:szCs w:val="24"/>
        </w:rPr>
        <w:t xml:space="preserve"> </w:t>
      </w:r>
      <w:r w:rsidRPr="00BA54CE">
        <w:rPr>
          <w:rFonts w:eastAsiaTheme="minorHAnsi"/>
          <w:color w:val="002060"/>
          <w:szCs w:val="24"/>
        </w:rPr>
        <w:t>Jolliffe 2002)</w:t>
      </w:r>
      <w:r w:rsidRPr="00907949">
        <w:t xml:space="preserve">. These principal components account for or explain most of the variance from the original data. After conducting principal component analysis on the reservoir variables, </w:t>
      </w:r>
      <w:r>
        <w:t xml:space="preserve">I choose </w:t>
      </w:r>
      <w:r w:rsidRPr="00907949">
        <w:t>the first 5 principal components which explain about 80% of variance in the data</w:t>
      </w:r>
      <w:r>
        <w:t xml:space="preserve"> as shown in </w:t>
      </w:r>
      <w:r w:rsidR="003E0FA1">
        <w:t xml:space="preserve">    </w:t>
      </w:r>
      <w:r w:rsidRPr="00517AF0">
        <w:rPr>
          <w:b/>
          <w:bCs/>
        </w:rPr>
        <w:t>Fig.</w:t>
      </w:r>
      <w:r>
        <w:rPr>
          <w:b/>
          <w:bCs/>
        </w:rPr>
        <w:t xml:space="preserve"> 2.</w:t>
      </w:r>
      <w:r w:rsidR="00BF20B8">
        <w:rPr>
          <w:b/>
          <w:bCs/>
        </w:rPr>
        <w:t>1</w:t>
      </w:r>
      <w:r w:rsidR="00697AB5">
        <w:rPr>
          <w:b/>
          <w:bCs/>
        </w:rPr>
        <w:t>0</w:t>
      </w:r>
      <w:r w:rsidRPr="00907949">
        <w:t xml:space="preserve">. These 5 principal components become </w:t>
      </w:r>
      <w:r w:rsidR="003E0FA1">
        <w:t>the</w:t>
      </w:r>
      <w:r w:rsidRPr="00907949">
        <w:t xml:space="preserve"> new set of covariates which represent the original </w:t>
      </w:r>
      <w:r>
        <w:t>400+</w:t>
      </w:r>
      <w:r w:rsidRPr="00907949">
        <w:t xml:space="preserve"> reservoir variables.</w:t>
      </w:r>
    </w:p>
    <w:p w14:paraId="27D0F4D6" w14:textId="3B6CB756" w:rsidR="00667C34" w:rsidRDefault="000C2A8C" w:rsidP="00250528">
      <w:pPr>
        <w:pStyle w:val="para1"/>
        <w:spacing w:line="480" w:lineRule="auto"/>
      </w:pPr>
      <w:r w:rsidRPr="00502A7D">
        <w:rPr>
          <w:noProof/>
        </w:rPr>
        <mc:AlternateContent>
          <mc:Choice Requires="wps">
            <w:drawing>
              <wp:anchor distT="0" distB="0" distL="114300" distR="114300" simplePos="0" relativeHeight="251662848" behindDoc="0" locked="0" layoutInCell="1" allowOverlap="1" wp14:anchorId="6E3CCBCA" wp14:editId="5C123F58">
                <wp:simplePos x="0" y="0"/>
                <wp:positionH relativeFrom="column">
                  <wp:posOffset>762000</wp:posOffset>
                </wp:positionH>
                <wp:positionV relativeFrom="paragraph">
                  <wp:posOffset>784225</wp:posOffset>
                </wp:positionV>
                <wp:extent cx="173990" cy="138430"/>
                <wp:effectExtent l="19050" t="19050" r="16510" b="13970"/>
                <wp:wrapNone/>
                <wp:docPr id="231" name="Oval 8"/>
                <wp:cNvGraphicFramePr/>
                <a:graphic xmlns:a="http://schemas.openxmlformats.org/drawingml/2006/main">
                  <a:graphicData uri="http://schemas.microsoft.com/office/word/2010/wordprocessingShape">
                    <wps:wsp>
                      <wps:cNvSpPr/>
                      <wps:spPr>
                        <a:xfrm>
                          <a:off x="0" y="0"/>
                          <a:ext cx="173990" cy="138430"/>
                        </a:xfrm>
                        <a:prstGeom prst="ellipse">
                          <a:avLst/>
                        </a:prstGeom>
                        <a:noFill/>
                        <a:ln w="3175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oval w14:anchorId="2C196F29" id="Oval 8" o:spid="_x0000_s1026" style="position:absolute;margin-left:60pt;margin-top:61.75pt;width:13.7pt;height:10.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" filled="f" strokecolor="#ffc000" strokeweight="2.5pt">
                <v:stroke joinstyle="miter"/>
              </v:oval>
            </w:pict>
          </mc:Fallback>
        </mc:AlternateContent>
      </w:r>
      <w:r w:rsidR="00667C34">
        <w:rPr>
          <w:noProof/>
        </w:rPr>
        <w:drawing>
          <wp:inline distT="0" distB="0" distL="0" distR="0" wp14:anchorId="7C3BBBB9" wp14:editId="4E63C5F4">
            <wp:extent cx="5943600" cy="2988945"/>
            <wp:effectExtent l="0" t="0" r="0" b="190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988945"/>
                    </a:xfrm>
                    <a:prstGeom prst="rect">
                      <a:avLst/>
                    </a:prstGeom>
                  </pic:spPr>
                </pic:pic>
              </a:graphicData>
            </a:graphic>
          </wp:inline>
        </w:drawing>
      </w:r>
    </w:p>
    <w:p w14:paraId="4A9B9249" w14:textId="3808AF41" w:rsidR="00697AB5" w:rsidRDefault="00335361" w:rsidP="00335361">
      <w:pPr>
        <w:pStyle w:val="Caption"/>
      </w:pPr>
      <w:bookmarkStart w:id="33" w:name="_Toc58667143"/>
      <w:r w:rsidRPr="00335361">
        <w:rPr>
          <w:rFonts w:ascii="Arial" w:hAnsi="Arial" w:cs="Times New Roman"/>
          <w:i w:val="0"/>
          <w:iCs w:val="0"/>
          <w:color w:val="000000"/>
          <w:sz w:val="16"/>
          <w:szCs w:val="24"/>
        </w:rPr>
        <w:t xml:space="preserve">Fig. 2. </w:t>
      </w:r>
      <w:r w:rsidRPr="00335361">
        <w:rPr>
          <w:rFonts w:ascii="Arial" w:hAnsi="Arial" w:cs="Times New Roman"/>
          <w:i w:val="0"/>
          <w:iCs w:val="0"/>
          <w:color w:val="000000"/>
          <w:sz w:val="16"/>
          <w:szCs w:val="24"/>
        </w:rPr>
        <w:fldChar w:fldCharType="begin"/>
      </w:r>
      <w:r w:rsidRPr="00335361">
        <w:rPr>
          <w:rFonts w:ascii="Arial" w:hAnsi="Arial" w:cs="Times New Roman"/>
          <w:i w:val="0"/>
          <w:iCs w:val="0"/>
          <w:color w:val="000000"/>
          <w:sz w:val="16"/>
          <w:szCs w:val="24"/>
        </w:rPr>
        <w:instrText xml:space="preserve"> SEQ Fig._2. \* ARABIC </w:instrText>
      </w:r>
      <w:r w:rsidRPr="00335361">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10</w:t>
      </w:r>
      <w:r w:rsidRPr="00335361">
        <w:rPr>
          <w:rFonts w:ascii="Arial" w:hAnsi="Arial" w:cs="Times New Roman"/>
          <w:i w:val="0"/>
          <w:iCs w:val="0"/>
          <w:color w:val="000000"/>
          <w:sz w:val="16"/>
          <w:szCs w:val="24"/>
        </w:rPr>
        <w:fldChar w:fldCharType="end"/>
      </w:r>
      <w:r w:rsidRPr="002A4EC3">
        <w:rPr>
          <w:rFonts w:ascii="Arial" w:hAnsi="Arial" w:cs="Times New Roman"/>
          <w:i w:val="0"/>
          <w:iCs w:val="0"/>
          <w:color w:val="000000"/>
          <w:sz w:val="16"/>
          <w:szCs w:val="24"/>
        </w:rPr>
        <w:t xml:space="preserve">— </w:t>
      </w:r>
      <w:r w:rsidRPr="000E3967">
        <w:rPr>
          <w:rFonts w:ascii="Arial" w:hAnsi="Arial" w:cs="Times New Roman"/>
          <w:i w:val="0"/>
          <w:iCs w:val="0"/>
          <w:color w:val="000000"/>
          <w:sz w:val="16"/>
          <w:szCs w:val="24"/>
        </w:rPr>
        <w:t>A Scree plot showing that 80% of cumulative variance (</w:t>
      </w:r>
      <w:r>
        <w:rPr>
          <w:rFonts w:ascii="Arial" w:hAnsi="Arial" w:cs="Times New Roman"/>
          <w:i w:val="0"/>
          <w:iCs w:val="0"/>
          <w:color w:val="000000"/>
          <w:sz w:val="16"/>
          <w:szCs w:val="24"/>
        </w:rPr>
        <w:t>y</w:t>
      </w:r>
      <w:r w:rsidRPr="000E3967">
        <w:rPr>
          <w:rFonts w:ascii="Arial" w:hAnsi="Arial" w:cs="Times New Roman"/>
          <w:i w:val="0"/>
          <w:iCs w:val="0"/>
          <w:color w:val="000000"/>
          <w:sz w:val="16"/>
          <w:szCs w:val="24"/>
        </w:rPr>
        <w:t>-axis) is represented by 5 Principal components</w:t>
      </w:r>
      <w:r>
        <w:rPr>
          <w:rFonts w:ascii="Arial" w:hAnsi="Arial" w:cs="Times New Roman"/>
          <w:i w:val="0"/>
          <w:iCs w:val="0"/>
          <w:color w:val="000000"/>
          <w:sz w:val="16"/>
          <w:szCs w:val="24"/>
        </w:rPr>
        <w:t xml:space="preserve"> (x-axis)</w:t>
      </w:r>
      <w:r w:rsidRPr="000E3967">
        <w:rPr>
          <w:rFonts w:ascii="Arial" w:hAnsi="Arial" w:cs="Times New Roman"/>
          <w:i w:val="0"/>
          <w:iCs w:val="0"/>
          <w:color w:val="000000"/>
          <w:sz w:val="16"/>
          <w:szCs w:val="24"/>
        </w:rPr>
        <w:t>.</w:t>
      </w:r>
      <w:bookmarkEnd w:id="33"/>
    </w:p>
    <w:p w14:paraId="45862E59" w14:textId="174CDA50" w:rsidR="005145D5" w:rsidRPr="00907949" w:rsidRDefault="005145D5" w:rsidP="00F42758">
      <w:pPr>
        <w:pStyle w:val="para1"/>
        <w:spacing w:line="480" w:lineRule="auto"/>
      </w:pPr>
      <w:r w:rsidRPr="00907949">
        <w:t xml:space="preserve">Using TVD and bottomhole latitudes and longitudes, a 3-dimensional well distance for each well with respect to the rest of the wells is computed. Then taking the 3D well distance and time criteria based on well production start dates, the wells were divided into parent wells and child wells groups. </w:t>
      </w:r>
    </w:p>
    <w:p w14:paraId="6A7CAF89" w14:textId="23792644" w:rsidR="005A5522" w:rsidRDefault="005145D5" w:rsidP="00F77298">
      <w:pPr>
        <w:pStyle w:val="para1"/>
        <w:spacing w:line="480" w:lineRule="auto"/>
      </w:pPr>
      <w:r w:rsidRPr="00907949">
        <w:lastRenderedPageBreak/>
        <w:t>In this case study, four well spacing options for parent-child wells groups are considered. These were 500</w:t>
      </w:r>
      <w:r w:rsidR="00515BC9">
        <w:t xml:space="preserve"> </w:t>
      </w:r>
      <w:r w:rsidRPr="00907949">
        <w:t>ft, 600</w:t>
      </w:r>
      <w:r w:rsidR="00515BC9">
        <w:t xml:space="preserve"> </w:t>
      </w:r>
      <w:r w:rsidRPr="00907949">
        <w:t xml:space="preserve">ft, 700 ft and 800 ft. </w:t>
      </w:r>
      <w:r w:rsidR="007044EA">
        <w:t>The distance and time criteria used for separating t</w:t>
      </w:r>
      <w:r w:rsidR="003E19E3">
        <w:t xml:space="preserve">he wells into </w:t>
      </w:r>
      <w:r w:rsidR="007044EA">
        <w:t xml:space="preserve">a </w:t>
      </w:r>
      <w:r w:rsidR="003E19E3">
        <w:t xml:space="preserve">parent </w:t>
      </w:r>
      <w:r w:rsidR="007044EA">
        <w:t xml:space="preserve">well </w:t>
      </w:r>
      <w:r w:rsidR="003E19E3">
        <w:t xml:space="preserve">and </w:t>
      </w:r>
      <w:r w:rsidR="007044EA">
        <w:t xml:space="preserve">a </w:t>
      </w:r>
      <w:r w:rsidR="003E19E3">
        <w:t xml:space="preserve">child well group </w:t>
      </w:r>
      <w:r w:rsidR="007044EA">
        <w:t xml:space="preserve">is explained in the next section. </w:t>
      </w:r>
      <w:r w:rsidRPr="00907949">
        <w:t>Well spacing options outside this range</w:t>
      </w:r>
      <w:r w:rsidR="006F598E">
        <w:t>,</w:t>
      </w:r>
      <w:r w:rsidRPr="00907949">
        <w:t xml:space="preserve"> from 500 ft to 800 ft</w:t>
      </w:r>
      <w:r w:rsidR="006F598E">
        <w:t xml:space="preserve">, </w:t>
      </w:r>
      <w:r w:rsidR="004C13C9">
        <w:t>were not</w:t>
      </w:r>
      <w:r w:rsidRPr="00907949">
        <w:t xml:space="preserve"> considered because the parent-child well search criteria led to insufficient number of wells to carry out the </w:t>
      </w:r>
      <w:r w:rsidR="00F06C93">
        <w:t>c</w:t>
      </w:r>
      <w:r w:rsidR="001C0B42">
        <w:t>ausal</w:t>
      </w:r>
      <w:r w:rsidR="00FC7E05">
        <w:t xml:space="preserve"> inference</w:t>
      </w:r>
      <w:r w:rsidRPr="00907949">
        <w:t xml:space="preserve"> workflow. The well performance was estimated by normalizing cumulative 180-day and 360-day well production numbers by their lateral length</w:t>
      </w:r>
      <w:r w:rsidR="00F46000">
        <w:t xml:space="preserve"> for each well in the dataset</w:t>
      </w:r>
      <w:r w:rsidRPr="00907949">
        <w:t>.</w:t>
      </w:r>
    </w:p>
    <w:p w14:paraId="0C9F64C1" w14:textId="1679EB8F" w:rsidR="005145D5" w:rsidRDefault="005145D5" w:rsidP="0005430C">
      <w:pPr>
        <w:pStyle w:val="Heading2"/>
        <w:numPr>
          <w:ilvl w:val="1"/>
          <w:numId w:val="4"/>
        </w:numPr>
        <w:ind w:left="0" w:firstLine="0"/>
      </w:pPr>
      <w:bookmarkStart w:id="34" w:name="_Toc58667103"/>
      <w:r w:rsidRPr="00D33E79">
        <w:t>Design of the Experiment</w:t>
      </w:r>
      <w:bookmarkEnd w:id="34"/>
    </w:p>
    <w:p w14:paraId="7415A52E" w14:textId="14929DD3" w:rsidR="00DE1882" w:rsidRPr="00907949" w:rsidRDefault="00DE1882" w:rsidP="00B83C16">
      <w:pPr>
        <w:pStyle w:val="para1"/>
        <w:spacing w:line="480" w:lineRule="auto"/>
        <w:ind w:firstLine="0"/>
      </w:pPr>
      <w:r w:rsidRPr="00907949">
        <w:t xml:space="preserve">For this dataset, the treatment variable is </w:t>
      </w:r>
      <w:r>
        <w:t>chosen to be</w:t>
      </w:r>
      <w:r w:rsidRPr="00907949">
        <w:t xml:space="preserve"> well spacing</w:t>
      </w:r>
      <w:r>
        <w:t xml:space="preserve"> to evaluate the impact of spacing decisions on well performance</w:t>
      </w:r>
      <w:r w:rsidRPr="00907949">
        <w:t xml:space="preserve">. The child wells are placed in the treatment group and the parent wells are placed in the control group. The outcome is set to either cumulative 180-day or 360-day production normalized to lateral length. If the outcome is cumulative 360-day production </w:t>
      </w:r>
      <w:r w:rsidR="00715814">
        <w:t>normalized</w:t>
      </w:r>
      <w:r w:rsidRPr="00907949">
        <w:t xml:space="preserve"> to lateral length, then we are interested in seeing the difference in the potential outcomes at the group level. As mentioned earlier, 5 principal components representing the reservoir variables, 2 completion variables (</w:t>
      </w:r>
      <w:r w:rsidRPr="002E3804">
        <w:t>proppant and frac</w:t>
      </w:r>
      <w:r w:rsidR="00715814" w:rsidRPr="002E3804">
        <w:t>ture</w:t>
      </w:r>
      <w:r w:rsidRPr="002E3804">
        <w:t xml:space="preserve"> fluid volumes</w:t>
      </w:r>
      <w:r w:rsidRPr="00715814">
        <w:t xml:space="preserve"> </w:t>
      </w:r>
      <w:r w:rsidR="00715814" w:rsidRPr="00715814">
        <w:t>normalized</w:t>
      </w:r>
      <w:r w:rsidR="00715814">
        <w:t xml:space="preserve"> </w:t>
      </w:r>
      <w:r w:rsidRPr="00907949">
        <w:t>to lateral length) and true vertical depths form the set of covariates or the confounding variables.</w:t>
      </w:r>
    </w:p>
    <w:p w14:paraId="1F566C3D" w14:textId="79BDB639" w:rsidR="00DE1882" w:rsidRDefault="00DE1882" w:rsidP="003D2F2D">
      <w:pPr>
        <w:pStyle w:val="para1"/>
        <w:spacing w:line="480" w:lineRule="auto"/>
      </w:pPr>
      <w:r w:rsidRPr="00907949">
        <w:t xml:space="preserve">For each well pair, a 3-dimensional distance is computed from the true vertical depth, bottomhole latitude, and longitude. The wells get assigned to either the parent wells group or child wells group based on the 3-dimensional distance and time criteria. </w:t>
      </w:r>
      <w:r>
        <w:t>Using an example, I describe the criteria to assign wells to a treatment (child) group or control (parent) group. Let us consider the group with 700 ft spacing and an outcome of 360-day cumulative oil normalized to lateral length:</w:t>
      </w:r>
    </w:p>
    <w:p w14:paraId="51832086" w14:textId="77777777" w:rsidR="00DE1882" w:rsidRDefault="00DE1882" w:rsidP="00DE1882">
      <w:pPr>
        <w:pStyle w:val="para1"/>
        <w:numPr>
          <w:ilvl w:val="0"/>
          <w:numId w:val="12"/>
        </w:numPr>
        <w:spacing w:line="480" w:lineRule="auto"/>
      </w:pPr>
      <w:r>
        <w:lastRenderedPageBreak/>
        <w:t>I</w:t>
      </w:r>
      <w:r w:rsidRPr="00907949">
        <w:t xml:space="preserve">f the 3-dimensional distance between a well pair is greater than 700 ft, then both wells are placed in parent well group. </w:t>
      </w:r>
      <w:r>
        <w:t>The assumption is that over a period of one year, the impact of interference between the wells is negligible.</w:t>
      </w:r>
    </w:p>
    <w:p w14:paraId="2E838FA5" w14:textId="305BD3E6" w:rsidR="00DE1882" w:rsidRDefault="00DE1882" w:rsidP="00DE1882">
      <w:pPr>
        <w:pStyle w:val="para1"/>
        <w:numPr>
          <w:ilvl w:val="0"/>
          <w:numId w:val="12"/>
        </w:numPr>
        <w:spacing w:line="480" w:lineRule="auto"/>
      </w:pPr>
      <w:r w:rsidRPr="00907949">
        <w:t xml:space="preserve">If the 3-dimensional distance is less than 700 ft, then the well production start dates for the well pair is considered. </w:t>
      </w:r>
      <w:r>
        <w:t>I</w:t>
      </w:r>
      <w:r w:rsidRPr="00907949">
        <w:t>f well 2 is put on production within 1</w:t>
      </w:r>
      <w:r>
        <w:t>-</w:t>
      </w:r>
      <w:r w:rsidRPr="00907949">
        <w:t>year of well 1</w:t>
      </w:r>
      <w:r>
        <w:t xml:space="preserve"> start date, both wells are placed in the child well group.</w:t>
      </w:r>
      <w:r w:rsidR="000A57BB">
        <w:t xml:space="preserve"> </w:t>
      </w:r>
      <w:r w:rsidR="000D2539">
        <w:t xml:space="preserve">The assumption is that </w:t>
      </w:r>
      <w:r w:rsidR="005273F8">
        <w:t>within</w:t>
      </w:r>
      <w:r w:rsidR="000A57BB">
        <w:t xml:space="preserve"> a period of </w:t>
      </w:r>
      <w:r w:rsidR="00FF1DE4">
        <w:t>one</w:t>
      </w:r>
      <w:r w:rsidR="000A57BB">
        <w:t xml:space="preserve"> year</w:t>
      </w:r>
      <w:r w:rsidR="004D51BD">
        <w:t xml:space="preserve"> due to their proximity to each other, </w:t>
      </w:r>
      <w:r w:rsidR="00BB3FBD">
        <w:t xml:space="preserve">there </w:t>
      </w:r>
      <w:r w:rsidR="00A0529C">
        <w:t>is</w:t>
      </w:r>
      <w:r w:rsidR="00BB3FBD">
        <w:t xml:space="preserve"> well interference</w:t>
      </w:r>
      <w:r w:rsidR="009D0F09">
        <w:t xml:space="preserve"> impact</w:t>
      </w:r>
      <w:r w:rsidR="00A0529C">
        <w:t>ing</w:t>
      </w:r>
      <w:r w:rsidR="00B76ABA">
        <w:t xml:space="preserve"> production of</w:t>
      </w:r>
      <w:r w:rsidR="009D0F09">
        <w:t xml:space="preserve"> </w:t>
      </w:r>
      <w:r w:rsidR="005A22D8">
        <w:t>both wells</w:t>
      </w:r>
      <w:r w:rsidR="00B76ABA">
        <w:t>.</w:t>
      </w:r>
    </w:p>
    <w:p w14:paraId="082A740D" w14:textId="18E7E5C0" w:rsidR="00DE1882" w:rsidRDefault="00DE1882" w:rsidP="00DE1882">
      <w:pPr>
        <w:pStyle w:val="para1"/>
        <w:numPr>
          <w:ilvl w:val="0"/>
          <w:numId w:val="12"/>
        </w:numPr>
        <w:spacing w:line="480" w:lineRule="auto"/>
      </w:pPr>
      <w:r>
        <w:t>I</w:t>
      </w:r>
      <w:r w:rsidRPr="00907949">
        <w:t xml:space="preserve">f well 2 is put on production </w:t>
      </w:r>
      <w:r>
        <w:t>more than</w:t>
      </w:r>
      <w:r w:rsidRPr="00907949">
        <w:t xml:space="preserve"> 12 months of well 1 being on production, then well 1 goes into the parent well group and well 2 goes into child well group. </w:t>
      </w:r>
      <w:r w:rsidR="00137757">
        <w:t xml:space="preserve">The assumption is </w:t>
      </w:r>
      <w:r w:rsidR="00E94FA4">
        <w:t>over</w:t>
      </w:r>
      <w:r w:rsidR="00A250A6">
        <w:t xml:space="preserve"> a period of 1 year, </w:t>
      </w:r>
      <w:r w:rsidR="00FE4571">
        <w:t>the impact of interference is negligible</w:t>
      </w:r>
      <w:r w:rsidR="00A809FE">
        <w:t xml:space="preserve"> </w:t>
      </w:r>
      <w:r w:rsidR="005B7A9B">
        <w:t xml:space="preserve">for </w:t>
      </w:r>
      <w:r w:rsidR="009419EE">
        <w:t xml:space="preserve">well </w:t>
      </w:r>
      <w:r w:rsidR="00F17D39">
        <w:t>1</w:t>
      </w:r>
      <w:r w:rsidR="00A250A6">
        <w:t xml:space="preserve"> but not for well 2</w:t>
      </w:r>
      <w:r w:rsidR="003A6B39">
        <w:t xml:space="preserve"> as </w:t>
      </w:r>
      <w:r w:rsidR="000C0199">
        <w:t xml:space="preserve">well 2 may not have access to virgin reservoir pressure </w:t>
      </w:r>
      <w:r w:rsidR="00025736">
        <w:t>and undrained volume unlike well 1</w:t>
      </w:r>
      <w:r w:rsidR="00FE550A">
        <w:t xml:space="preserve"> when it started production.</w:t>
      </w:r>
    </w:p>
    <w:p w14:paraId="5FB2D8A8" w14:textId="117DBF17" w:rsidR="00DE1882" w:rsidRDefault="00DE1882" w:rsidP="00DE1882">
      <w:pPr>
        <w:pStyle w:val="para1"/>
        <w:numPr>
          <w:ilvl w:val="0"/>
          <w:numId w:val="12"/>
        </w:numPr>
        <w:spacing w:line="480" w:lineRule="auto"/>
      </w:pPr>
      <w:r w:rsidRPr="00907949">
        <w:t>Using the same logic, wells are allocated into the parent and child well groups at all other well spacing options considered</w:t>
      </w:r>
      <w:r w:rsidR="00CC1321">
        <w:t>,</w:t>
      </w:r>
      <w:r w:rsidRPr="00907949">
        <w:t xml:space="preserve"> </w:t>
      </w:r>
      <w:r w:rsidR="003D5525">
        <w:t xml:space="preserve">that </w:t>
      </w:r>
      <w:r w:rsidR="00CC1321">
        <w:t xml:space="preserve">are, </w:t>
      </w:r>
      <w:r w:rsidRPr="00907949">
        <w:t>500</w:t>
      </w:r>
      <w:r w:rsidR="00515BC9">
        <w:t xml:space="preserve"> </w:t>
      </w:r>
      <w:r w:rsidRPr="00907949">
        <w:t xml:space="preserve">ft, 600 ft and 800 ft. </w:t>
      </w:r>
    </w:p>
    <w:p w14:paraId="6B2E9F3D" w14:textId="6993960C" w:rsidR="00DE1882" w:rsidRPr="00907949" w:rsidRDefault="00DE1882" w:rsidP="00DE1882">
      <w:pPr>
        <w:pStyle w:val="para1"/>
        <w:spacing w:line="480" w:lineRule="auto"/>
      </w:pPr>
      <w:r w:rsidRPr="00907949">
        <w:t xml:space="preserve">Also, the well spacing status is binary </w:t>
      </w:r>
      <w:r>
        <w:t>with</w:t>
      </w:r>
      <w:r w:rsidRPr="00907949">
        <w:t xml:space="preserve"> parent wells denoted by “0” and child wells by “1”.  As mentioned earlier, other spacing options outside the 500 ft to 800 ft range were not considered because the parent-child well search led to insufficient number of wells to carry out the </w:t>
      </w:r>
      <w:r w:rsidR="00A11B04">
        <w:t>c</w:t>
      </w:r>
      <w:r w:rsidRPr="00907949">
        <w:t xml:space="preserve">ausal </w:t>
      </w:r>
      <w:r w:rsidR="00A11B04">
        <w:t>i</w:t>
      </w:r>
      <w:r w:rsidRPr="00907949">
        <w:t>nference workflow</w:t>
      </w:r>
      <w:r w:rsidR="00CF26D3">
        <w:t>.</w:t>
      </w:r>
      <w:r w:rsidRPr="00907949">
        <w:t xml:space="preserve"> </w:t>
      </w:r>
    </w:p>
    <w:p w14:paraId="769FCAD0" w14:textId="3E5BD003" w:rsidR="00DE1882" w:rsidRDefault="005E28B0" w:rsidP="001115C7">
      <w:pPr>
        <w:pStyle w:val="para1"/>
        <w:spacing w:line="480" w:lineRule="auto"/>
      </w:pPr>
      <w:r>
        <w:t>I</w:t>
      </w:r>
      <w:r w:rsidR="00DE1882" w:rsidRPr="00907949">
        <w:t xml:space="preserve">n </w:t>
      </w:r>
      <w:r w:rsidR="00DE1882" w:rsidRPr="0044111A">
        <w:rPr>
          <w:b/>
          <w:bCs/>
        </w:rPr>
        <w:t xml:space="preserve">Fig. </w:t>
      </w:r>
      <w:r w:rsidR="00E52D11">
        <w:rPr>
          <w:b/>
          <w:bCs/>
        </w:rPr>
        <w:t>2.</w:t>
      </w:r>
      <w:r w:rsidR="00DC1C5D">
        <w:rPr>
          <w:b/>
          <w:bCs/>
        </w:rPr>
        <w:t>1</w:t>
      </w:r>
      <w:r w:rsidR="00BD32BD">
        <w:rPr>
          <w:b/>
          <w:bCs/>
        </w:rPr>
        <w:t>1</w:t>
      </w:r>
      <w:r w:rsidR="00DE1882" w:rsidRPr="00907949">
        <w:t xml:space="preserve">, I use a directed acyclic graph </w:t>
      </w:r>
      <w:r w:rsidR="00DE1882">
        <w:t xml:space="preserve">just as shown in </w:t>
      </w:r>
      <w:r w:rsidR="00DE1882" w:rsidRPr="00907949">
        <w:t>Fig</w:t>
      </w:r>
      <w:r w:rsidR="00DE1882">
        <w:t>.</w:t>
      </w:r>
      <w:r w:rsidR="00DE1882" w:rsidRPr="00907949">
        <w:t xml:space="preserve"> </w:t>
      </w:r>
      <w:r w:rsidR="00E52D11">
        <w:t>2.6</w:t>
      </w:r>
      <w:r w:rsidR="00DE1882" w:rsidRPr="00907949">
        <w:t xml:space="preserve"> to explain the association between the covariates, the well spacing decision and the outcome</w:t>
      </w:r>
      <w:r w:rsidR="000269CF">
        <w:t xml:space="preserve">, </w:t>
      </w:r>
      <w:r w:rsidR="003D5525">
        <w:t>that is</w:t>
      </w:r>
      <w:r w:rsidR="00CC1321">
        <w:t>,</w:t>
      </w:r>
      <w:r w:rsidR="00DE1882" w:rsidRPr="00907949">
        <w:t xml:space="preserve"> well performance. Here the covariates are denoted by </w:t>
      </w:r>
      <w:r w:rsidR="00DE1882" w:rsidRPr="007A509A">
        <w:rPr>
          <w:b/>
          <w:bCs/>
        </w:rPr>
        <w:t>X</w:t>
      </w:r>
      <w:r w:rsidR="00DE1882" w:rsidRPr="00907949">
        <w:t xml:space="preserve">, the well spacing decision is denoted by T and the well performance denoted by Y. The direction of the arrows indicates the assumed cause and effect </w:t>
      </w:r>
      <w:r w:rsidR="00DE1882" w:rsidRPr="00907949">
        <w:lastRenderedPageBreak/>
        <w:t xml:space="preserve">relationship between the variables. In order to estimate the impact of well spacing on well performance, it is necessary to decouple the effect of well spacing on the well performance from the variations that we see in the heterogenous completion designs, reservoir properties and </w:t>
      </w:r>
      <w:r w:rsidR="00DE1882">
        <w:t xml:space="preserve">well </w:t>
      </w:r>
      <w:r w:rsidR="00DE1882" w:rsidRPr="00907949">
        <w:t xml:space="preserve">landing zones. </w:t>
      </w:r>
    </w:p>
    <w:p w14:paraId="0406DDDC" w14:textId="61CD6989" w:rsidR="002650DF" w:rsidRPr="002650DF" w:rsidRDefault="00DE1882" w:rsidP="00B73DAC">
      <w:pPr>
        <w:pStyle w:val="para1"/>
        <w:spacing w:line="480" w:lineRule="auto"/>
      </w:pPr>
      <w:r w:rsidRPr="00907949">
        <w:t xml:space="preserve">If we </w:t>
      </w:r>
      <w:r>
        <w:t xml:space="preserve">select candidate wells in the </w:t>
      </w:r>
      <w:r w:rsidRPr="00907949">
        <w:t xml:space="preserve">parent and child wells groups </w:t>
      </w:r>
      <w:r>
        <w:t>with</w:t>
      </w:r>
      <w:r w:rsidRPr="00907949">
        <w:t xml:space="preserve"> covariates </w:t>
      </w:r>
      <w:r>
        <w:t xml:space="preserve">that lie in </w:t>
      </w:r>
      <w:r w:rsidRPr="00907949">
        <w:t xml:space="preserve">a similar range like </w:t>
      </w:r>
      <w:r w:rsidRPr="00325EBA">
        <w:t xml:space="preserve">Fig. </w:t>
      </w:r>
      <w:r w:rsidR="00E52D11">
        <w:t>2.6</w:t>
      </w:r>
      <w:r w:rsidRPr="00907949">
        <w:t xml:space="preserve"> shown earlier, we block any association between well spacing and well performance arising due to the covariates</w:t>
      </w:r>
      <w:r>
        <w:t xml:space="preserve">, or we eliminate the impact of reservoir properties or completion design on well spacing decisions. </w:t>
      </w:r>
      <w:r w:rsidRPr="00907949">
        <w:t xml:space="preserve">This eliminates the confounding bias. In other words, </w:t>
      </w:r>
      <w:r>
        <w:t>the</w:t>
      </w:r>
      <w:r w:rsidRPr="00907949">
        <w:t xml:space="preserve"> </w:t>
      </w:r>
      <w:r>
        <w:t>aim</w:t>
      </w:r>
      <w:r w:rsidRPr="00907949">
        <w:t xml:space="preserve"> is to </w:t>
      </w:r>
      <w:r>
        <w:t>search for</w:t>
      </w:r>
      <w:r w:rsidRPr="00907949">
        <w:t xml:space="preserve"> child and parent wells in both groups that have similar covariates before comparing their performance over a certain period. The </w:t>
      </w:r>
      <w:r>
        <w:t>workflow</w:t>
      </w:r>
      <w:r w:rsidRPr="00907949">
        <w:t xml:space="preserve"> that would </w:t>
      </w:r>
      <w:r>
        <w:t>enable</w:t>
      </w:r>
      <w:r w:rsidRPr="00907949">
        <w:t xml:space="preserve"> such a parent-child well </w:t>
      </w:r>
      <w:r>
        <w:t xml:space="preserve">production </w:t>
      </w:r>
      <w:r w:rsidRPr="00907949">
        <w:t xml:space="preserve">performance comparison over time </w:t>
      </w:r>
      <w:r>
        <w:t xml:space="preserve">is </w:t>
      </w:r>
      <w:r w:rsidRPr="00907949">
        <w:t>described in the next section</w:t>
      </w:r>
      <w:r w:rsidR="00B668D5">
        <w:t>.</w:t>
      </w:r>
    </w:p>
    <w:p w14:paraId="45A66218" w14:textId="77777777" w:rsidR="00335361" w:rsidRDefault="004B34B0" w:rsidP="00335361">
      <w:pPr>
        <w:pStyle w:val="para1"/>
        <w:keepNext/>
        <w:spacing w:line="480" w:lineRule="auto"/>
        <w:jc w:val="center"/>
      </w:pPr>
      <w:r w:rsidRPr="00907949">
        <w:rPr>
          <w:noProof/>
        </w:rPr>
        <w:drawing>
          <wp:inline distT="0" distB="0" distL="0" distR="0" wp14:anchorId="4B4DEDDD" wp14:editId="2BF80B0C">
            <wp:extent cx="2683328" cy="2145726"/>
            <wp:effectExtent l="0" t="0" r="317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690634" cy="2151568"/>
                    </a:xfrm>
                    <a:prstGeom prst="rect">
                      <a:avLst/>
                    </a:prstGeom>
                  </pic:spPr>
                </pic:pic>
              </a:graphicData>
            </a:graphic>
          </wp:inline>
        </w:drawing>
      </w:r>
    </w:p>
    <w:p w14:paraId="265D1D89" w14:textId="5229460D" w:rsidR="00697AB5" w:rsidRDefault="00335361" w:rsidP="00335361">
      <w:pPr>
        <w:pStyle w:val="Caption"/>
      </w:pPr>
      <w:bookmarkStart w:id="35" w:name="_Toc58667144"/>
      <w:r w:rsidRPr="00335361">
        <w:rPr>
          <w:rFonts w:ascii="Arial" w:hAnsi="Arial"/>
          <w:i w:val="0"/>
          <w:iCs w:val="0"/>
          <w:color w:val="000000"/>
          <w:sz w:val="16"/>
          <w:szCs w:val="24"/>
        </w:rPr>
        <w:t xml:space="preserve">Fig. 2. </w:t>
      </w:r>
      <w:r w:rsidRPr="00335361">
        <w:rPr>
          <w:rFonts w:ascii="Arial" w:hAnsi="Arial"/>
          <w:i w:val="0"/>
          <w:iCs w:val="0"/>
          <w:color w:val="000000"/>
          <w:sz w:val="16"/>
          <w:szCs w:val="24"/>
        </w:rPr>
        <w:fldChar w:fldCharType="begin"/>
      </w:r>
      <w:r w:rsidRPr="00335361">
        <w:rPr>
          <w:rFonts w:ascii="Arial" w:hAnsi="Arial"/>
          <w:i w:val="0"/>
          <w:iCs w:val="0"/>
          <w:color w:val="000000"/>
          <w:sz w:val="16"/>
          <w:szCs w:val="24"/>
        </w:rPr>
        <w:instrText xml:space="preserve"> SEQ Fig._2. \* ARABIC </w:instrText>
      </w:r>
      <w:r w:rsidRPr="00335361">
        <w:rPr>
          <w:rFonts w:ascii="Arial" w:hAnsi="Arial"/>
          <w:i w:val="0"/>
          <w:iCs w:val="0"/>
          <w:color w:val="000000"/>
          <w:sz w:val="16"/>
          <w:szCs w:val="24"/>
        </w:rPr>
        <w:fldChar w:fldCharType="separate"/>
      </w:r>
      <w:r w:rsidR="00D006A5">
        <w:rPr>
          <w:rFonts w:ascii="Arial" w:hAnsi="Arial"/>
          <w:i w:val="0"/>
          <w:iCs w:val="0"/>
          <w:noProof/>
          <w:color w:val="000000"/>
          <w:sz w:val="16"/>
          <w:szCs w:val="24"/>
        </w:rPr>
        <w:t>11</w:t>
      </w:r>
      <w:r w:rsidRPr="00335361">
        <w:rPr>
          <w:rFonts w:ascii="Arial" w:hAnsi="Arial"/>
          <w:i w:val="0"/>
          <w:iCs w:val="0"/>
          <w:color w:val="000000"/>
          <w:sz w:val="16"/>
          <w:szCs w:val="24"/>
        </w:rPr>
        <w:fldChar w:fldCharType="end"/>
      </w:r>
      <w:r>
        <w:rPr>
          <w:rFonts w:ascii="Arial" w:hAnsi="Arial"/>
          <w:i w:val="0"/>
          <w:iCs w:val="0"/>
          <w:color w:val="000000"/>
          <w:sz w:val="16"/>
          <w:szCs w:val="24"/>
        </w:rPr>
        <w:t>—</w:t>
      </w:r>
      <w:r w:rsidRPr="007422D7">
        <w:rPr>
          <w:rFonts w:ascii="Arial" w:hAnsi="Arial"/>
          <w:i w:val="0"/>
          <w:iCs w:val="0"/>
          <w:color w:val="000000"/>
          <w:sz w:val="16"/>
          <w:szCs w:val="24"/>
        </w:rPr>
        <w:t xml:space="preserve">Association between well spacing, covariates and well performance </w:t>
      </w:r>
      <w:r w:rsidRPr="009A3B09">
        <w:rPr>
          <w:rFonts w:ascii="Arial" w:hAnsi="Arial"/>
          <w:i w:val="0"/>
          <w:iCs w:val="0"/>
          <w:color w:val="000000"/>
          <w:sz w:val="16"/>
          <w:szCs w:val="24"/>
        </w:rPr>
        <w:t>(Sakhardande and Devegowda 2021)</w:t>
      </w:r>
      <w:r w:rsidR="009A3B09">
        <w:rPr>
          <w:rFonts w:ascii="Arial" w:hAnsi="Arial"/>
          <w:i w:val="0"/>
          <w:iCs w:val="0"/>
          <w:color w:val="000000"/>
          <w:sz w:val="16"/>
          <w:szCs w:val="24"/>
        </w:rPr>
        <w:t>.</w:t>
      </w:r>
      <w:bookmarkEnd w:id="35"/>
    </w:p>
    <w:p w14:paraId="1A00634B" w14:textId="3BCFEFD1" w:rsidR="005145D5" w:rsidRPr="00907949" w:rsidRDefault="00FD47E0" w:rsidP="003D41D5">
      <w:pPr>
        <w:pStyle w:val="Heading2"/>
        <w:ind w:left="0" w:firstLine="0"/>
      </w:pPr>
      <w:bookmarkStart w:id="36" w:name="_Toc58667104"/>
      <w:r w:rsidRPr="00D33E79">
        <w:t xml:space="preserve">2.7 </w:t>
      </w:r>
      <w:r w:rsidR="005F79F3" w:rsidRPr="00D33E79">
        <w:t>M</w:t>
      </w:r>
      <w:r w:rsidR="005145D5" w:rsidRPr="00D33E79">
        <w:t>ethodology</w:t>
      </w:r>
      <w:bookmarkEnd w:id="36"/>
    </w:p>
    <w:p w14:paraId="10A72350" w14:textId="4D4952CC" w:rsidR="00856B92" w:rsidRPr="00907949" w:rsidRDefault="00B74F9B" w:rsidP="00D77F7D">
      <w:pPr>
        <w:pStyle w:val="para1"/>
        <w:spacing w:line="480" w:lineRule="auto"/>
        <w:ind w:firstLine="0"/>
      </w:pPr>
      <w:r>
        <w:t>Here I ex</w:t>
      </w:r>
      <w:r w:rsidR="00C95DD0">
        <w:t xml:space="preserve">plain the </w:t>
      </w:r>
      <w:r w:rsidR="00A11B04">
        <w:t>c</w:t>
      </w:r>
      <w:r w:rsidR="001C0B42">
        <w:t>ausal</w:t>
      </w:r>
      <w:r w:rsidR="00FC7E05">
        <w:t xml:space="preserve"> inference</w:t>
      </w:r>
      <w:r w:rsidR="005145D5" w:rsidRPr="00907949">
        <w:t xml:space="preserve"> workflow</w:t>
      </w:r>
      <w:r w:rsidR="00C95DD0">
        <w:t xml:space="preserve"> </w:t>
      </w:r>
      <w:r w:rsidR="005145D5" w:rsidRPr="00907949">
        <w:t xml:space="preserve">in </w:t>
      </w:r>
      <w:r w:rsidR="00C95DD0">
        <w:t xml:space="preserve">five </w:t>
      </w:r>
      <w:r w:rsidR="005145D5" w:rsidRPr="00907949">
        <w:t>step</w:t>
      </w:r>
      <w:r w:rsidR="00C95DD0">
        <w:t>s</w:t>
      </w:r>
      <w:r w:rsidR="005145D5" w:rsidRPr="00907949">
        <w:t xml:space="preserve"> </w:t>
      </w:r>
      <w:r w:rsidR="00595163">
        <w:t>as follows</w:t>
      </w:r>
      <w:r w:rsidR="005145D5" w:rsidRPr="00907949">
        <w:t>:</w:t>
      </w:r>
    </w:p>
    <w:p w14:paraId="437A6B71" w14:textId="6CA06604" w:rsidR="00B45DB8" w:rsidRDefault="00F94D5E" w:rsidP="002E3804">
      <w:pPr>
        <w:pStyle w:val="para1"/>
        <w:numPr>
          <w:ilvl w:val="0"/>
          <w:numId w:val="1"/>
        </w:numPr>
        <w:spacing w:line="480" w:lineRule="auto"/>
        <w:ind w:left="270" w:hanging="270"/>
      </w:pPr>
      <w:r w:rsidRPr="00A42286">
        <w:rPr>
          <w:rFonts w:eastAsiaTheme="minorHAnsi"/>
          <w:i/>
          <w:iCs/>
          <w:color w:val="000000"/>
          <w:szCs w:val="24"/>
        </w:rPr>
        <w:t>P</w:t>
      </w:r>
      <w:r w:rsidR="005145D5" w:rsidRPr="00A42286">
        <w:rPr>
          <w:rFonts w:eastAsiaTheme="minorHAnsi"/>
          <w:i/>
          <w:iCs/>
          <w:color w:val="000000"/>
          <w:szCs w:val="24"/>
        </w:rPr>
        <w:t>ropensity score</w:t>
      </w:r>
      <w:r w:rsidRPr="00A42286">
        <w:rPr>
          <w:rFonts w:eastAsiaTheme="minorHAnsi"/>
          <w:i/>
          <w:iCs/>
          <w:color w:val="000000"/>
          <w:szCs w:val="24"/>
        </w:rPr>
        <w:t xml:space="preserve"> estimation</w:t>
      </w:r>
    </w:p>
    <w:p w14:paraId="295318EA" w14:textId="10FA4CA8" w:rsidR="00352C33" w:rsidRDefault="00B45DB8" w:rsidP="00F77298">
      <w:pPr>
        <w:pStyle w:val="para1"/>
        <w:spacing w:line="480" w:lineRule="auto"/>
      </w:pPr>
      <w:r>
        <w:t xml:space="preserve">The first step </w:t>
      </w:r>
      <w:r w:rsidR="000B388D">
        <w:t xml:space="preserve">here is to estimate a probability score on each well </w:t>
      </w:r>
      <w:r w:rsidR="00E807F1">
        <w:t>if it is placed in either of parent or child well groups</w:t>
      </w:r>
      <w:r w:rsidR="00F72074">
        <w:t xml:space="preserve"> given their covariates.</w:t>
      </w:r>
      <w:r w:rsidR="00C7623C">
        <w:t xml:space="preserve"> </w:t>
      </w:r>
      <w:r w:rsidR="00696041">
        <w:t>I</w:t>
      </w:r>
      <w:r w:rsidR="00C7623C">
        <w:t xml:space="preserve"> will refer to this probability estimate as the propensity </w:t>
      </w:r>
      <w:r w:rsidR="00C7623C">
        <w:lastRenderedPageBreak/>
        <w:t xml:space="preserve">score. </w:t>
      </w:r>
      <w:r w:rsidR="00220D47">
        <w:t>The assumption for the well spacing status here is binary</w:t>
      </w:r>
      <w:r w:rsidR="00CC1321">
        <w:t xml:space="preserve">, </w:t>
      </w:r>
      <w:r w:rsidR="00417534">
        <w:t>that is</w:t>
      </w:r>
      <w:r w:rsidR="00CC1321">
        <w:t>,</w:t>
      </w:r>
      <w:r w:rsidR="00220D47">
        <w:t xml:space="preserve"> after the </w:t>
      </w:r>
      <w:r w:rsidR="006E7BF5">
        <w:t>search for the parent and child wells is complete</w:t>
      </w:r>
      <w:r w:rsidR="004409A3">
        <w:t xml:space="preserve">. Parent wells are placed in the group assigned status “0” </w:t>
      </w:r>
      <w:r w:rsidR="00056CAE">
        <w:t xml:space="preserve">and the child wells are placed in the group assigned status “1”. </w:t>
      </w:r>
    </w:p>
    <w:p w14:paraId="103845A5" w14:textId="312A4E81" w:rsidR="00350890" w:rsidRDefault="00B81D16" w:rsidP="00F77298">
      <w:pPr>
        <w:pStyle w:val="para1"/>
        <w:spacing w:line="480" w:lineRule="auto"/>
      </w:pPr>
      <w:r>
        <w:t xml:space="preserve">The estimation of the propensity score </w:t>
      </w:r>
      <w:r w:rsidR="00DC6E3E">
        <w:t xml:space="preserve">is carried out through a logistic regression model of the </w:t>
      </w:r>
      <w:r w:rsidR="00926D50">
        <w:t xml:space="preserve">treatment variable </w:t>
      </w:r>
      <w:r w:rsidR="009E4A62">
        <w:t>(</w:t>
      </w:r>
      <w:r w:rsidR="00926D50">
        <w:t>well spacing</w:t>
      </w:r>
      <w:r w:rsidR="009E4A62">
        <w:t>)</w:t>
      </w:r>
      <w:r w:rsidR="00926D50">
        <w:t xml:space="preserve"> on the </w:t>
      </w:r>
      <w:r w:rsidR="00CF3906">
        <w:t>covariates</w:t>
      </w:r>
      <w:r w:rsidR="00926D50">
        <w:t xml:space="preserve"> </w:t>
      </w:r>
      <w:r w:rsidR="009E4A62">
        <w:t>(</w:t>
      </w:r>
      <w:r w:rsidR="00CF3906">
        <w:t>reservoir properties, completion design</w:t>
      </w:r>
      <w:r w:rsidR="00F86FEE">
        <w:t xml:space="preserve"> and TVD</w:t>
      </w:r>
      <w:r w:rsidR="009E4A62">
        <w:t>)</w:t>
      </w:r>
      <w:r w:rsidR="00F86FEE">
        <w:t xml:space="preserve">. </w:t>
      </w:r>
      <w:r w:rsidR="00926D50">
        <w:t xml:space="preserve"> </w:t>
      </w:r>
      <w:r w:rsidR="00C9381C">
        <w:t xml:space="preserve">Here I </w:t>
      </w:r>
      <w:r w:rsidR="0035751F">
        <w:t xml:space="preserve">assign these variables </w:t>
      </w:r>
      <w:r w:rsidR="00751BC8">
        <w:t xml:space="preserve">as </w:t>
      </w:r>
      <w:r w:rsidR="0035751F">
        <w:t xml:space="preserve">letters for simplicity. </w:t>
      </w:r>
      <w:r w:rsidR="00393FE9">
        <w:t xml:space="preserve">The treatment variable </w:t>
      </w:r>
      <w:r w:rsidR="00CC1321">
        <w:t>,</w:t>
      </w:r>
      <w:r w:rsidR="00417534">
        <w:t>that is</w:t>
      </w:r>
      <w:r w:rsidR="00CC1321">
        <w:t>,</w:t>
      </w:r>
      <w:r w:rsidR="00393FE9">
        <w:t xml:space="preserve"> well spacing </w:t>
      </w:r>
      <w:r w:rsidR="00D457D9">
        <w:t xml:space="preserve">is denoted </w:t>
      </w:r>
      <w:r w:rsidR="00393FE9">
        <w:t xml:space="preserve">by T, the set of covariates </w:t>
      </w:r>
      <w:r w:rsidR="00D457D9">
        <w:t xml:space="preserve">denoted </w:t>
      </w:r>
      <w:r w:rsidR="00393FE9">
        <w:t xml:space="preserve">by </w:t>
      </w:r>
      <w:r w:rsidR="00393FE9" w:rsidRPr="00091676">
        <w:rPr>
          <w:b/>
          <w:bCs/>
        </w:rPr>
        <w:t>X</w:t>
      </w:r>
      <w:r w:rsidR="00393FE9">
        <w:t xml:space="preserve"> and the outcome </w:t>
      </w:r>
      <w:r w:rsidR="00CC1321">
        <w:t>,</w:t>
      </w:r>
      <w:r w:rsidR="00417534">
        <w:t>that is</w:t>
      </w:r>
      <w:r w:rsidR="00CC1321">
        <w:t>,</w:t>
      </w:r>
      <w:r w:rsidR="00393FE9">
        <w:t xml:space="preserve"> </w:t>
      </w:r>
      <w:r w:rsidR="00433835">
        <w:t>180-day or 360-day c</w:t>
      </w:r>
      <w:r w:rsidR="00393FE9">
        <w:t xml:space="preserve">umulative </w:t>
      </w:r>
      <w:r w:rsidR="00D457D9">
        <w:t xml:space="preserve"> </w:t>
      </w:r>
      <w:r w:rsidR="00433835">
        <w:t xml:space="preserve">production </w:t>
      </w:r>
      <w:r w:rsidR="00393FE9">
        <w:t xml:space="preserve">normalized to lateral length </w:t>
      </w:r>
      <w:r w:rsidR="00D457D9">
        <w:t xml:space="preserve">denoted </w:t>
      </w:r>
      <w:r w:rsidR="00393FE9">
        <w:t>by Y.</w:t>
      </w:r>
      <w:r w:rsidR="00227B32">
        <w:t xml:space="preserve"> </w:t>
      </w:r>
      <w:r w:rsidR="004C6157">
        <w:t>Mathematical e</w:t>
      </w:r>
      <w:r w:rsidR="005145D5">
        <w:t>xpression</w:t>
      </w:r>
      <w:r w:rsidR="00227B32">
        <w:t xml:space="preserve"> given </w:t>
      </w:r>
      <w:r w:rsidR="00D43594">
        <w:t xml:space="preserve">in Eq. 2.7 </w:t>
      </w:r>
      <w:r w:rsidR="00C21E58">
        <w:t xml:space="preserve">shows the </w:t>
      </w:r>
      <w:r w:rsidR="008018F5">
        <w:t>probability of getting treatment</w:t>
      </w:r>
      <w:r w:rsidR="005145D5">
        <w:t xml:space="preserve"> </w:t>
      </w:r>
      <m:oMath>
        <m:sSub>
          <m:sSubPr>
            <m:ctrlPr>
              <w:rPr>
                <w:rFonts w:ascii="Cambria Math" w:hAnsi="Cambria Math"/>
              </w:rPr>
            </m:ctrlPr>
          </m:sSubPr>
          <m:e>
            <m:r>
              <w:rPr>
                <w:rFonts w:ascii="Cambria Math" w:hAnsi="Cambria Math"/>
              </w:rPr>
              <m:t>π</m:t>
            </m:r>
          </m:e>
          <m:sub>
            <m:r>
              <w:rPr>
                <w:rFonts w:ascii="Cambria Math" w:hAnsi="Cambria Math"/>
              </w:rPr>
              <m:t>i</m:t>
            </m:r>
          </m:sub>
        </m:sSub>
      </m:oMath>
      <w:r w:rsidR="00865972">
        <w:t xml:space="preserve">  and the binary regression model is </w:t>
      </w:r>
      <w:r w:rsidR="00967246">
        <w:t xml:space="preserve">given by Eq. </w:t>
      </w:r>
      <w:r w:rsidR="00D43594">
        <w:t>2.8</w:t>
      </w:r>
      <w:r w:rsidR="00967246">
        <w:t xml:space="preserve">. </w:t>
      </w:r>
      <w:r w:rsidR="008018F5">
        <w:t xml:space="preserve">This </w:t>
      </w:r>
      <w:r w:rsidR="005145D5" w:rsidRPr="00907949">
        <w:t xml:space="preserve">is the propensity score </w:t>
      </w:r>
      <w:r w:rsidR="004C6157">
        <w:t xml:space="preserve">estimate </w:t>
      </w:r>
      <w:r w:rsidR="005145D5" w:rsidRPr="00907949">
        <w:t xml:space="preserve">for each </w:t>
      </w:r>
      <w:r w:rsidR="004C6157">
        <w:t xml:space="preserve">child </w:t>
      </w:r>
      <w:r w:rsidR="005145D5" w:rsidRPr="00907949">
        <w:t xml:space="preserve">well </w:t>
      </w:r>
      <w:r w:rsidR="004C6157">
        <w:t xml:space="preserve">and parent well </w:t>
      </w:r>
      <w:r w:rsidR="005145D5" w:rsidRPr="00907949">
        <w:t>given th</w:t>
      </w:r>
      <w:r w:rsidR="00C93CE8">
        <w:t xml:space="preserve">eir </w:t>
      </w:r>
      <w:r w:rsidR="005145D5" w:rsidRPr="00907949">
        <w:t>covariates</w:t>
      </w:r>
      <w:r w:rsidR="00B44FC4">
        <w:t>.</w:t>
      </w:r>
    </w:p>
    <w:p w14:paraId="10DC0A52" w14:textId="57B308E5" w:rsidR="005145D5" w:rsidRDefault="009E2CC1" w:rsidP="002E7F72">
      <w:pPr>
        <w:pStyle w:val="para1"/>
        <w:spacing w:line="480" w:lineRule="auto"/>
        <w:ind w:firstLine="180"/>
        <w:jc w:val="left"/>
      </w:pPr>
      <m:oMath>
        <m:r>
          <w:rPr>
            <w:rFonts w:ascii="Cambria Math" w:hAnsi="Cambria Math"/>
          </w:rPr>
          <m:t xml:space="preserve"> </m:t>
        </m:r>
        <m:sSub>
          <m:sSubPr>
            <m:ctrlPr>
              <w:rPr>
                <w:rFonts w:ascii="Cambria Math" w:hAnsi="Cambria Math"/>
              </w:rPr>
            </m:ctrlPr>
          </m:sSubPr>
          <m:e>
            <m:r>
              <w:rPr>
                <w:rFonts w:ascii="Cambria Math" w:hAnsi="Cambria Math"/>
              </w:rPr>
              <m:t>π</m:t>
            </m:r>
          </m:e>
          <m:sub>
            <m:r>
              <w:rPr>
                <w:rFonts w:ascii="Cambria Math" w:hAnsi="Cambria Math"/>
              </w:rPr>
              <m:t>i</m:t>
            </m:r>
          </m:sub>
        </m:sSub>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T</m:t>
        </m:r>
        <m:r>
          <m:rPr>
            <m:sty m:val="p"/>
          </m:rPr>
          <w:rPr>
            <w:rFonts w:ascii="Cambria Math" w:hAnsi="Cambria Math"/>
          </w:rPr>
          <m:t>=1|</m:t>
        </m:r>
        <m:sSub>
          <m:sSubPr>
            <m:ctrlPr>
              <w:rPr>
                <w:rFonts w:ascii="Cambria Math" w:hAnsi="Cambria Math"/>
              </w:rPr>
            </m:ctrlPr>
          </m:sSubPr>
          <m:e>
            <m:r>
              <m:rPr>
                <m:sty m:val="bi"/>
              </m:rPr>
              <w:rPr>
                <w:rFonts w:ascii="Cambria Math" w:hAnsi="Cambria Math"/>
              </w:rPr>
              <m:t>X</m:t>
            </m:r>
          </m:e>
          <m:sub>
            <m:r>
              <w:rPr>
                <w:rFonts w:ascii="Cambria Math" w:hAnsi="Cambria Math"/>
              </w:rPr>
              <m:t>i</m:t>
            </m:r>
          </m:sub>
        </m:sSub>
      </m:oMath>
      <w:r w:rsidR="00C73DC9" w:rsidRPr="00756B1C">
        <w:t>)</w:t>
      </w:r>
      <w:r w:rsidR="00C73DC9">
        <w:t xml:space="preserve"> ………………………………………………………………………</w:t>
      </w:r>
      <w:r w:rsidR="00235B99">
        <w:t>… (</w:t>
      </w:r>
      <w:r w:rsidR="004C0110">
        <w:t>2.7</w:t>
      </w:r>
      <w:r w:rsidR="00C73DC9">
        <w:t>)</w:t>
      </w:r>
    </w:p>
    <w:p w14:paraId="53698B65" w14:textId="3F128334" w:rsidR="00D948AF" w:rsidRDefault="00D948AF" w:rsidP="00BE3883">
      <w:pPr>
        <w:pStyle w:val="para1"/>
        <w:spacing w:line="480" w:lineRule="auto"/>
        <w:ind w:firstLine="0"/>
      </w:pPr>
      <w:r>
        <w:t xml:space="preserve">The </w:t>
      </w:r>
      <w:r w:rsidR="007D7671">
        <w:t xml:space="preserve">binary </w:t>
      </w:r>
      <w:r>
        <w:t xml:space="preserve">logistic regression model for </w:t>
      </w:r>
      <m:oMath>
        <m:sSub>
          <m:sSubPr>
            <m:ctrlPr>
              <w:rPr>
                <w:rFonts w:ascii="Cambria Math" w:hAnsi="Cambria Math"/>
              </w:rPr>
            </m:ctrlPr>
          </m:sSubPr>
          <m:e>
            <m:r>
              <w:rPr>
                <w:rFonts w:ascii="Cambria Math" w:hAnsi="Cambria Math"/>
              </w:rPr>
              <m:t>π</m:t>
            </m:r>
          </m:e>
          <m:sub>
            <m:r>
              <w:rPr>
                <w:rFonts w:ascii="Cambria Math" w:hAnsi="Cambria Math"/>
              </w:rPr>
              <m:t>i</m:t>
            </m:r>
          </m:sub>
        </m:sSub>
      </m:oMath>
      <w:r>
        <w:t xml:space="preserve">is given by </w:t>
      </w:r>
      <w:r w:rsidR="00A53574">
        <w:t>the expression</w:t>
      </w:r>
      <w:r w:rsidR="004C7B41">
        <w:t>:</w:t>
      </w:r>
    </w:p>
    <w:p w14:paraId="48673C04" w14:textId="444041A6" w:rsidR="00350890" w:rsidRPr="00A25D05" w:rsidRDefault="002E6043" w:rsidP="002E7F72">
      <w:pPr>
        <w:pStyle w:val="para1"/>
        <w:spacing w:line="480" w:lineRule="auto"/>
        <w:ind w:firstLine="180"/>
        <w:jc w:val="center"/>
        <w:rPr>
          <w:iCs/>
        </w:rPr>
      </w:pPr>
      <m:oMath>
        <m:sSub>
          <m:sSubPr>
            <m:ctrlPr>
              <w:rPr>
                <w:rFonts w:ascii="Cambria Math" w:hAnsi="Cambria Math"/>
              </w:rPr>
            </m:ctrlPr>
          </m:sSubPr>
          <m:e>
            <m:r>
              <w:rPr>
                <w:rFonts w:ascii="Cambria Math" w:hAnsi="Cambria Math"/>
              </w:rPr>
              <m:t>π</m:t>
            </m:r>
          </m:e>
          <m:sub>
            <m:r>
              <w:rPr>
                <w:rFonts w:ascii="Cambria Math" w:hAnsi="Cambria Math"/>
              </w:rPr>
              <m:t>i</m:t>
            </m:r>
          </m:sub>
        </m:sSub>
        <m:r>
          <w:rPr>
            <w:rFonts w:ascii="Cambria Math" w:hAnsi="Cambria Math"/>
          </w:rPr>
          <m:t>=P</m:t>
        </m:r>
        <m:d>
          <m:dPr>
            <m:ctrlPr>
              <w:rPr>
                <w:rFonts w:ascii="Cambria Math" w:hAnsi="Cambria Math"/>
              </w:rPr>
            </m:ctrlPr>
          </m:dPr>
          <m:e>
            <m:r>
              <w:rPr>
                <w:rFonts w:ascii="Cambria Math" w:hAnsi="Cambria Math"/>
              </w:rPr>
              <m:t>T</m:t>
            </m:r>
            <m:r>
              <m:rPr>
                <m:sty m:val="p"/>
              </m:rPr>
              <w:rPr>
                <w:rFonts w:ascii="Cambria Math" w:hAnsi="Cambria Math"/>
              </w:rPr>
              <m:t>=1</m:t>
            </m:r>
          </m:e>
          <m:e>
            <m:sSub>
              <m:sSubPr>
                <m:ctrlPr>
                  <w:rPr>
                    <w:rFonts w:ascii="Cambria Math" w:hAnsi="Cambria Math"/>
                  </w:rPr>
                </m:ctrlPr>
              </m:sSubPr>
              <m:e>
                <m:r>
                  <m:rPr>
                    <m:sty m:val="bi"/>
                  </m:rP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b/>
                    <w:bCs/>
                  </w:rPr>
                </m:ctrlPr>
              </m:sSubPr>
              <m:e>
                <m:r>
                  <m:rPr>
                    <m:sty m:val="bi"/>
                  </m:rPr>
                  <w:rPr>
                    <w:rFonts w:ascii="Cambria Math" w:hAnsi="Cambria Math"/>
                  </w:rPr>
                  <m:t>x</m:t>
                </m:r>
              </m:e>
              <m:sub>
                <m:r>
                  <m:rPr>
                    <m:sty m:val="bi"/>
                  </m:rPr>
                  <w:rPr>
                    <w:rFonts w:ascii="Cambria Math" w:hAnsi="Cambria Math"/>
                  </w:rPr>
                  <m:t>i</m:t>
                </m:r>
              </m:sub>
            </m:sSub>
          </m:e>
        </m:d>
        <m:r>
          <m:rPr>
            <m:sty m:val="p"/>
          </m:rPr>
          <w:rPr>
            <w:rFonts w:asci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e</m:t>
                </m:r>
              </m:e>
              <m:sup>
                <m:sSub>
                  <m:sSubPr>
                    <m:ctrlPr>
                      <w:rPr>
                        <w:rFonts w:ascii="Cambria Math" w:hAnsi="Cambria Math"/>
                        <w:i/>
                        <w:iCs/>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iCs/>
                      </w:rPr>
                    </m:ctrlPr>
                  </m:sSubPr>
                  <m:e>
                    <m:r>
                      <w:rPr>
                        <w:rFonts w:ascii="Cambria Math" w:hAnsi="Cambria Math"/>
                      </w:rPr>
                      <m:t>β</m:t>
                    </m:r>
                  </m:e>
                  <m:sub>
                    <m:r>
                      <w:rPr>
                        <w:rFonts w:ascii="Cambria Math" w:hAnsi="Cambria Math"/>
                      </w:rPr>
                      <m:t>1</m:t>
                    </m:r>
                  </m:sub>
                </m:sSub>
                <m:sSub>
                  <m:sSubPr>
                    <m:ctrlPr>
                      <w:rPr>
                        <w:rFonts w:ascii="Cambria Math" w:hAnsi="Cambria Math"/>
                        <w:i/>
                        <w:iCs/>
                      </w:rPr>
                    </m:ctrlPr>
                  </m:sSubPr>
                  <m:e>
                    <m:r>
                      <w:rPr>
                        <w:rFonts w:ascii="Cambria Math" w:hAnsi="Cambria Math"/>
                      </w:rPr>
                      <m:t>x</m:t>
                    </m:r>
                  </m:e>
                  <m:sub>
                    <m:r>
                      <w:rPr>
                        <w:rFonts w:ascii="Cambria Math" w:hAnsi="Cambria Math"/>
                      </w:rPr>
                      <m:t>i</m:t>
                    </m:r>
                  </m:sub>
                </m:sSub>
              </m:sup>
            </m:sSup>
          </m:num>
          <m:den>
            <m:r>
              <w:rPr>
                <w:rFonts w:ascii="Cambria Math" w:hAnsi="Cambria Math"/>
              </w:rPr>
              <m:t>1+</m:t>
            </m:r>
            <m:sSup>
              <m:sSupPr>
                <m:ctrlPr>
                  <w:rPr>
                    <w:rFonts w:ascii="Cambria Math" w:hAnsi="Cambria Math"/>
                    <w:i/>
                    <w:iCs/>
                  </w:rPr>
                </m:ctrlPr>
              </m:sSupPr>
              <m:e>
                <m:r>
                  <w:rPr>
                    <w:rFonts w:ascii="Cambria Math" w:hAnsi="Cambria Math"/>
                  </w:rPr>
                  <m:t>e</m:t>
                </m:r>
              </m:e>
              <m:sup>
                <m:sSub>
                  <m:sSubPr>
                    <m:ctrlPr>
                      <w:rPr>
                        <w:rFonts w:ascii="Cambria Math" w:hAnsi="Cambria Math"/>
                        <w:i/>
                        <w:iCs/>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iCs/>
                      </w:rPr>
                    </m:ctrlPr>
                  </m:sSubPr>
                  <m:e>
                    <m:r>
                      <w:rPr>
                        <w:rFonts w:ascii="Cambria Math" w:hAnsi="Cambria Math"/>
                      </w:rPr>
                      <m:t>β</m:t>
                    </m:r>
                  </m:e>
                  <m:sub>
                    <m:r>
                      <w:rPr>
                        <w:rFonts w:ascii="Cambria Math" w:hAnsi="Cambria Math"/>
                      </w:rPr>
                      <m:t>1</m:t>
                    </m:r>
                  </m:sub>
                </m:sSub>
                <m:sSub>
                  <m:sSubPr>
                    <m:ctrlPr>
                      <w:rPr>
                        <w:rFonts w:ascii="Cambria Math" w:hAnsi="Cambria Math"/>
                        <w:i/>
                        <w:iCs/>
                      </w:rPr>
                    </m:ctrlPr>
                  </m:sSubPr>
                  <m:e>
                    <m:r>
                      <w:rPr>
                        <w:rFonts w:ascii="Cambria Math" w:hAnsi="Cambria Math"/>
                      </w:rPr>
                      <m:t>x</m:t>
                    </m:r>
                  </m:e>
                  <m:sub>
                    <m:r>
                      <w:rPr>
                        <w:rFonts w:ascii="Cambria Math" w:hAnsi="Cambria Math"/>
                      </w:rPr>
                      <m:t>i</m:t>
                    </m:r>
                  </m:sub>
                </m:sSub>
              </m:sup>
            </m:sSup>
          </m:den>
        </m:f>
      </m:oMath>
      <w:r w:rsidR="00A25D05">
        <w:rPr>
          <w:iCs/>
        </w:rPr>
        <w:t>………………………………………………</w:t>
      </w:r>
      <w:r w:rsidR="00235B99">
        <w:rPr>
          <w:iCs/>
        </w:rPr>
        <w:t>…</w:t>
      </w:r>
      <w:r w:rsidR="002E7F72">
        <w:rPr>
          <w:iCs/>
        </w:rPr>
        <w:t>…</w:t>
      </w:r>
      <w:r w:rsidR="00655144">
        <w:rPr>
          <w:iCs/>
        </w:rPr>
        <w:t>… (</w:t>
      </w:r>
      <w:r w:rsidR="00070861">
        <w:rPr>
          <w:iCs/>
        </w:rPr>
        <w:t>2.8</w:t>
      </w:r>
      <w:r w:rsidR="00A25D05">
        <w:rPr>
          <w:iCs/>
        </w:rPr>
        <w:t>)</w:t>
      </w:r>
    </w:p>
    <w:p w14:paraId="4C7F7648" w14:textId="43B73176" w:rsidR="008762AB" w:rsidRDefault="00160CBF" w:rsidP="00EC2D55">
      <w:pPr>
        <w:pStyle w:val="para1"/>
        <w:spacing w:line="480" w:lineRule="auto"/>
        <w:ind w:firstLine="0"/>
        <w:jc w:val="left"/>
      </w:pPr>
      <w:r>
        <w:rPr>
          <w:iCs/>
        </w:rPr>
        <w:t xml:space="preserve">where </w:t>
      </w:r>
      <w:r w:rsidRPr="001F1EFF">
        <w:rPr>
          <w:b/>
          <w:bCs/>
          <w:iCs/>
        </w:rPr>
        <w:t>X</w:t>
      </w:r>
      <w:r w:rsidR="00C82BDF">
        <w:rPr>
          <w:iCs/>
        </w:rPr>
        <w:t xml:space="preserve"> is the set of </w:t>
      </w:r>
      <w:r w:rsidR="00601667">
        <w:rPr>
          <w:iCs/>
        </w:rPr>
        <w:t xml:space="preserve">j </w:t>
      </w:r>
      <w:r w:rsidR="007C4B7E">
        <w:rPr>
          <w:iCs/>
        </w:rPr>
        <w:t xml:space="preserve">discrete and/or continuous </w:t>
      </w:r>
      <w:r w:rsidR="00C82BDF">
        <w:rPr>
          <w:iCs/>
        </w:rPr>
        <w:t>covariates such as (</w:t>
      </w:r>
      <m:oMath>
        <m:sSub>
          <m:sSubPr>
            <m:ctrlPr>
              <w:rPr>
                <w:rFonts w:ascii="Cambria Math" w:hAnsi="Cambria Math"/>
              </w:rPr>
            </m:ctrlPr>
          </m:sSubPr>
          <m:e>
            <m:r>
              <m:rPr>
                <m:sty m:val="bi"/>
              </m:rPr>
              <w:rPr>
                <w:rFonts w:ascii="Cambria Math" w:hAnsi="Cambria Math"/>
              </w:rPr>
              <m:t>X</m:t>
            </m:r>
          </m:e>
          <m:sub>
            <m:r>
              <w:rPr>
                <w:rFonts w:ascii="Cambria Math" w:hAnsi="Cambria Math"/>
              </w:rPr>
              <m:t>1</m:t>
            </m:r>
          </m:sub>
        </m:sSub>
      </m:oMath>
      <w:r w:rsidR="00C82BDF">
        <w:rPr>
          <w:iCs/>
        </w:rPr>
        <w:t xml:space="preserve">, </w:t>
      </w:r>
      <m:oMath>
        <m:sSub>
          <m:sSubPr>
            <m:ctrlPr>
              <w:rPr>
                <w:rFonts w:ascii="Cambria Math" w:hAnsi="Cambria Math"/>
              </w:rPr>
            </m:ctrlPr>
          </m:sSubPr>
          <m:e>
            <m:r>
              <m:rPr>
                <m:sty m:val="bi"/>
              </m:rPr>
              <w:rPr>
                <w:rFonts w:ascii="Cambria Math" w:hAnsi="Cambria Math"/>
              </w:rPr>
              <m:t>X</m:t>
            </m:r>
          </m:e>
          <m:sub>
            <m:r>
              <w:rPr>
                <w:rFonts w:ascii="Cambria Math" w:hAnsi="Cambria Math"/>
              </w:rPr>
              <m:t>2</m:t>
            </m:r>
          </m:sub>
        </m:sSub>
        <m:sSub>
          <m:sSubPr>
            <m:ctrlPr>
              <w:rPr>
                <w:rFonts w:ascii="Cambria Math" w:hAnsi="Cambria Math"/>
              </w:rPr>
            </m:ctrlPr>
          </m:sSubPr>
          <m:e>
            <m:r>
              <w:rPr>
                <w:rFonts w:ascii="Cambria Math" w:hAnsi="Cambria Math"/>
              </w:rPr>
              <m:t>,</m:t>
            </m:r>
            <m:r>
              <m:rPr>
                <m:sty m:val="bi"/>
              </m:rPr>
              <w:rPr>
                <w:rFonts w:ascii="Cambria Math" w:hAnsi="Cambria Math"/>
              </w:rPr>
              <m:t>X</m:t>
            </m:r>
          </m:e>
          <m:sub>
            <m:r>
              <w:rPr>
                <w:rFonts w:ascii="Cambria Math" w:hAnsi="Cambria Math"/>
              </w:rPr>
              <m:t>3</m:t>
            </m:r>
          </m:sub>
        </m:sSub>
      </m:oMath>
      <w:r w:rsidR="00601667">
        <w:t>…</w:t>
      </w:r>
      <m:oMath>
        <m:sSub>
          <m:sSubPr>
            <m:ctrlPr>
              <w:rPr>
                <w:rFonts w:ascii="Cambria Math" w:hAnsi="Cambria Math"/>
              </w:rPr>
            </m:ctrlPr>
          </m:sSubPr>
          <m:e>
            <m:r>
              <w:rPr>
                <w:rFonts w:ascii="Cambria Math" w:hAnsi="Cambria Math"/>
              </w:rPr>
              <m:t>,</m:t>
            </m:r>
            <m:r>
              <m:rPr>
                <m:sty m:val="bi"/>
              </m:rPr>
              <w:rPr>
                <w:rFonts w:ascii="Cambria Math" w:hAnsi="Cambria Math"/>
              </w:rPr>
              <m:t>X</m:t>
            </m:r>
          </m:e>
          <m:sub>
            <m:r>
              <w:rPr>
                <w:rFonts w:ascii="Cambria Math" w:hAnsi="Cambria Math"/>
              </w:rPr>
              <m:t>j</m:t>
            </m:r>
          </m:sub>
        </m:sSub>
      </m:oMath>
      <w:r w:rsidR="00601667">
        <w:t>)</w:t>
      </w:r>
      <w:r w:rsidR="00A22405">
        <w:t xml:space="preserve">. Each </w:t>
      </w:r>
      <m:oMath>
        <m:sSub>
          <m:sSubPr>
            <m:ctrlPr>
              <w:rPr>
                <w:rFonts w:ascii="Cambria Math" w:hAnsi="Cambria Math"/>
              </w:rPr>
            </m:ctrlPr>
          </m:sSubPr>
          <m:e>
            <m:r>
              <m:rPr>
                <m:sty m:val="bi"/>
              </m:rPr>
              <w:rPr>
                <w:rFonts w:ascii="Cambria Math" w:hAnsi="Cambria Math"/>
              </w:rPr>
              <m:t>x</m:t>
            </m:r>
          </m:e>
          <m:sub>
            <m:r>
              <w:rPr>
                <w:rFonts w:ascii="Cambria Math" w:hAnsi="Cambria Math"/>
              </w:rPr>
              <m:t>i</m:t>
            </m:r>
          </m:sub>
        </m:sSub>
      </m:oMath>
      <w:r w:rsidR="00A22405">
        <w:t xml:space="preserve"> is the </w:t>
      </w:r>
      <w:r w:rsidR="003348AF">
        <w:t>observ</w:t>
      </w:r>
      <w:r w:rsidR="007E00E4">
        <w:t>ed value</w:t>
      </w:r>
      <w:r w:rsidR="003348AF">
        <w:t xml:space="preserve"> for each </w:t>
      </w:r>
      <w:r w:rsidR="007E00E4">
        <w:t xml:space="preserve">observation </w:t>
      </w:r>
      <m:oMath>
        <m:r>
          <w:rPr>
            <w:rFonts w:ascii="Cambria Math" w:hAnsi="Cambria Math"/>
          </w:rPr>
          <m:t>i</m:t>
        </m:r>
      </m:oMath>
      <w:r w:rsidR="007E00E4">
        <w:t xml:space="preserve"> </w:t>
      </w:r>
      <w:r w:rsidR="003348AF">
        <w:t xml:space="preserve">covariate in set </w:t>
      </w:r>
      <w:r w:rsidR="003348AF" w:rsidRPr="001F1EFF">
        <w:rPr>
          <w:b/>
          <w:bCs/>
        </w:rPr>
        <w:t>X</w:t>
      </w:r>
      <w:r w:rsidR="003348AF">
        <w:t>.</w:t>
      </w:r>
      <w:r w:rsidR="00F51FC4">
        <w:t xml:space="preserve"> </w:t>
      </w:r>
      <m:oMath>
        <m:sSub>
          <m:sSubPr>
            <m:ctrlPr>
              <w:rPr>
                <w:rFonts w:ascii="Cambria Math" w:hAnsi="Cambria Math"/>
                <w:i/>
                <w:iCs/>
              </w:rPr>
            </m:ctrlPr>
          </m:sSubPr>
          <m:e>
            <m:r>
              <w:rPr>
                <w:rFonts w:ascii="Cambria Math" w:hAnsi="Cambria Math"/>
              </w:rPr>
              <m:t>β</m:t>
            </m:r>
          </m:e>
          <m:sub>
            <m:r>
              <w:rPr>
                <w:rFonts w:ascii="Cambria Math" w:hAnsi="Cambria Math"/>
              </w:rPr>
              <m:t>0</m:t>
            </m:r>
          </m:sub>
        </m:sSub>
      </m:oMath>
      <w:r w:rsidR="00F51FC4">
        <w:rPr>
          <w:iCs/>
        </w:rPr>
        <w:t xml:space="preserve"> and </w:t>
      </w:r>
      <m:oMath>
        <m:sSub>
          <m:sSubPr>
            <m:ctrlPr>
              <w:rPr>
                <w:rFonts w:ascii="Cambria Math" w:hAnsi="Cambria Math"/>
                <w:i/>
                <w:iCs/>
              </w:rPr>
            </m:ctrlPr>
          </m:sSubPr>
          <m:e>
            <m:r>
              <w:rPr>
                <w:rFonts w:ascii="Cambria Math" w:hAnsi="Cambria Math"/>
              </w:rPr>
              <m:t>β</m:t>
            </m:r>
          </m:e>
          <m:sub>
            <m:r>
              <w:rPr>
                <w:rFonts w:ascii="Cambria Math" w:hAnsi="Cambria Math"/>
              </w:rPr>
              <m:t>1</m:t>
            </m:r>
          </m:sub>
        </m:sSub>
      </m:oMath>
      <w:r w:rsidR="00F51FC4">
        <w:rPr>
          <w:iCs/>
        </w:rPr>
        <w:t xml:space="preserve"> are model coefficients </w:t>
      </w:r>
      <w:r w:rsidR="00474B9E">
        <w:rPr>
          <w:iCs/>
        </w:rPr>
        <w:t xml:space="preserve">which are estimated using a </w:t>
      </w:r>
      <w:r w:rsidR="00E57DE9">
        <w:rPr>
          <w:iCs/>
        </w:rPr>
        <w:t>m</w:t>
      </w:r>
      <w:r w:rsidR="00474B9E">
        <w:rPr>
          <w:iCs/>
        </w:rPr>
        <w:t xml:space="preserve">aximum </w:t>
      </w:r>
      <w:r w:rsidR="00E57DE9">
        <w:rPr>
          <w:iCs/>
        </w:rPr>
        <w:t>l</w:t>
      </w:r>
      <w:r w:rsidR="00474B9E">
        <w:rPr>
          <w:iCs/>
        </w:rPr>
        <w:t>ikelihood estimat</w:t>
      </w:r>
      <w:r w:rsidR="00E57DE9">
        <w:rPr>
          <w:iCs/>
        </w:rPr>
        <w:t>or.</w:t>
      </w:r>
    </w:p>
    <w:p w14:paraId="1538C0BC" w14:textId="00CD755B" w:rsidR="00607C8B" w:rsidRDefault="00285947" w:rsidP="00160CBF">
      <w:pPr>
        <w:pStyle w:val="para1"/>
        <w:spacing w:line="480" w:lineRule="auto"/>
        <w:jc w:val="left"/>
      </w:pPr>
      <w:r w:rsidRPr="00285947">
        <w:rPr>
          <w:b/>
          <w:bCs/>
        </w:rPr>
        <w:t>Table 2.</w:t>
      </w:r>
      <w:r w:rsidR="00C81BE2">
        <w:rPr>
          <w:b/>
          <w:bCs/>
        </w:rPr>
        <w:t>2</w:t>
      </w:r>
      <w:r>
        <w:t xml:space="preserve"> shows the analysis of variance output for the logistic regression considering all the covariates.</w:t>
      </w:r>
      <w:r w:rsidR="00DD49AB">
        <w:t xml:space="preserve"> The last column shows the </w:t>
      </w:r>
      <w:r w:rsidR="00804C1A">
        <w:t xml:space="preserve">level of significance based on the </w:t>
      </w:r>
      <w:r w:rsidR="00DD49AB">
        <w:t>P-</w:t>
      </w:r>
      <w:r w:rsidR="00AE30F1">
        <w:t>value for</w:t>
      </w:r>
      <w:r w:rsidR="00804C1A">
        <w:t xml:space="preserve"> </w:t>
      </w:r>
      <w:r w:rsidR="006078A4">
        <w:t xml:space="preserve">each </w:t>
      </w:r>
      <w:r w:rsidR="00804C1A">
        <w:t>covariate.</w:t>
      </w:r>
      <w:r w:rsidR="006078A4">
        <w:t xml:space="preserve"> </w:t>
      </w:r>
      <w:r w:rsidR="00110DC0">
        <w:t>P-values of less than 0.05 are considered as statistically significant.</w:t>
      </w:r>
    </w:p>
    <w:p w14:paraId="651BC70C" w14:textId="77777777" w:rsidR="00B02909" w:rsidRDefault="00B02909" w:rsidP="00160CBF">
      <w:pPr>
        <w:pStyle w:val="para1"/>
        <w:spacing w:line="480" w:lineRule="auto"/>
        <w:jc w:val="left"/>
      </w:pPr>
    </w:p>
    <w:p w14:paraId="791DF3A5" w14:textId="0D18EAF8" w:rsidR="008E1697" w:rsidRDefault="008E1697" w:rsidP="00160CBF">
      <w:pPr>
        <w:pStyle w:val="para1"/>
        <w:spacing w:line="480" w:lineRule="auto"/>
        <w:jc w:val="left"/>
      </w:pPr>
    </w:p>
    <w:tbl>
      <w:tblPr>
        <w:tblW w:w="8173" w:type="dxa"/>
        <w:jc w:val="center"/>
        <w:tblLook w:val="04A0" w:firstRow="1" w:lastRow="0" w:firstColumn="1" w:lastColumn="0" w:noHBand="0" w:noVBand="1"/>
      </w:tblPr>
      <w:tblGrid>
        <w:gridCol w:w="2060"/>
        <w:gridCol w:w="1016"/>
        <w:gridCol w:w="1123"/>
        <w:gridCol w:w="1461"/>
        <w:gridCol w:w="1163"/>
        <w:gridCol w:w="1350"/>
      </w:tblGrid>
      <w:tr w:rsidR="00A651A7" w:rsidRPr="00A651A7" w14:paraId="2F71164B" w14:textId="77777777" w:rsidTr="00A135BE">
        <w:trPr>
          <w:trHeight w:val="312"/>
          <w:jc w:val="center"/>
        </w:trPr>
        <w:tc>
          <w:tcPr>
            <w:tcW w:w="206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C874900" w14:textId="77777777" w:rsidR="00A651A7" w:rsidRPr="00A651A7" w:rsidRDefault="00A651A7" w:rsidP="00A651A7">
            <w:pPr>
              <w:spacing w:after="0" w:line="240" w:lineRule="auto"/>
              <w:jc w:val="left"/>
              <w:rPr>
                <w:rFonts w:eastAsia="Times New Roman" w:cs="Times New Roman"/>
                <w:color w:val="000000"/>
                <w:szCs w:val="24"/>
              </w:rPr>
            </w:pPr>
            <w:r w:rsidRPr="00A651A7">
              <w:rPr>
                <w:rFonts w:eastAsia="Times New Roman" w:cs="Times New Roman"/>
                <w:color w:val="000000"/>
                <w:szCs w:val="24"/>
              </w:rPr>
              <w:lastRenderedPageBreak/>
              <w:t> </w:t>
            </w:r>
          </w:p>
        </w:tc>
        <w:tc>
          <w:tcPr>
            <w:tcW w:w="1016" w:type="dxa"/>
            <w:tcBorders>
              <w:top w:val="single" w:sz="8" w:space="0" w:color="auto"/>
              <w:left w:val="nil"/>
              <w:bottom w:val="single" w:sz="4" w:space="0" w:color="auto"/>
              <w:right w:val="single" w:sz="4" w:space="0" w:color="auto"/>
            </w:tcBorders>
            <w:shd w:val="clear" w:color="auto" w:fill="auto"/>
            <w:noWrap/>
            <w:vAlign w:val="bottom"/>
            <w:hideMark/>
          </w:tcPr>
          <w:p w14:paraId="1D088115" w14:textId="77777777" w:rsidR="00A651A7" w:rsidRPr="00A651A7" w:rsidRDefault="00A651A7" w:rsidP="00607C8B">
            <w:pPr>
              <w:spacing w:after="0" w:line="240" w:lineRule="auto"/>
              <w:jc w:val="center"/>
              <w:rPr>
                <w:rFonts w:eastAsia="Times New Roman" w:cs="Times New Roman"/>
                <w:color w:val="000000"/>
                <w:szCs w:val="24"/>
              </w:rPr>
            </w:pPr>
            <w:r w:rsidRPr="00A651A7">
              <w:rPr>
                <w:rFonts w:eastAsia="Times New Roman" w:cs="Times New Roman"/>
                <w:color w:val="000000"/>
                <w:szCs w:val="24"/>
              </w:rPr>
              <w:t>Degrees of freedom</w:t>
            </w:r>
          </w:p>
        </w:tc>
        <w:tc>
          <w:tcPr>
            <w:tcW w:w="1123" w:type="dxa"/>
            <w:tcBorders>
              <w:top w:val="single" w:sz="8" w:space="0" w:color="auto"/>
              <w:left w:val="nil"/>
              <w:bottom w:val="single" w:sz="4" w:space="0" w:color="auto"/>
              <w:right w:val="single" w:sz="4" w:space="0" w:color="auto"/>
            </w:tcBorders>
            <w:shd w:val="clear" w:color="auto" w:fill="auto"/>
            <w:noWrap/>
            <w:vAlign w:val="bottom"/>
            <w:hideMark/>
          </w:tcPr>
          <w:p w14:paraId="6A4CD4AC" w14:textId="77777777" w:rsidR="00A651A7" w:rsidRPr="00A651A7" w:rsidRDefault="00A651A7" w:rsidP="00607C8B">
            <w:pPr>
              <w:spacing w:after="0" w:line="240" w:lineRule="auto"/>
              <w:jc w:val="center"/>
              <w:rPr>
                <w:rFonts w:eastAsia="Times New Roman" w:cs="Times New Roman"/>
                <w:color w:val="000000"/>
                <w:szCs w:val="24"/>
              </w:rPr>
            </w:pPr>
            <w:r w:rsidRPr="00A651A7">
              <w:rPr>
                <w:rFonts w:eastAsia="Times New Roman" w:cs="Times New Roman"/>
                <w:color w:val="000000"/>
                <w:szCs w:val="24"/>
              </w:rPr>
              <w:t>Deviance</w:t>
            </w:r>
          </w:p>
        </w:tc>
        <w:tc>
          <w:tcPr>
            <w:tcW w:w="1461" w:type="dxa"/>
            <w:tcBorders>
              <w:top w:val="single" w:sz="8" w:space="0" w:color="auto"/>
              <w:left w:val="nil"/>
              <w:bottom w:val="single" w:sz="4" w:space="0" w:color="auto"/>
              <w:right w:val="single" w:sz="4" w:space="0" w:color="auto"/>
            </w:tcBorders>
            <w:shd w:val="clear" w:color="auto" w:fill="auto"/>
            <w:noWrap/>
            <w:vAlign w:val="bottom"/>
            <w:hideMark/>
          </w:tcPr>
          <w:p w14:paraId="2087C6B8" w14:textId="77777777" w:rsidR="00A651A7" w:rsidRPr="00A651A7" w:rsidRDefault="00A651A7" w:rsidP="00607C8B">
            <w:pPr>
              <w:spacing w:after="0" w:line="240" w:lineRule="auto"/>
              <w:jc w:val="center"/>
              <w:rPr>
                <w:rFonts w:eastAsia="Times New Roman" w:cs="Times New Roman"/>
                <w:color w:val="000000"/>
                <w:szCs w:val="24"/>
              </w:rPr>
            </w:pPr>
            <w:r w:rsidRPr="00A651A7">
              <w:rPr>
                <w:rFonts w:eastAsia="Times New Roman" w:cs="Times New Roman"/>
                <w:color w:val="000000"/>
                <w:szCs w:val="24"/>
              </w:rPr>
              <w:t>Residual Degrees of Freedom</w:t>
            </w:r>
          </w:p>
        </w:tc>
        <w:tc>
          <w:tcPr>
            <w:tcW w:w="1163" w:type="dxa"/>
            <w:tcBorders>
              <w:top w:val="single" w:sz="8" w:space="0" w:color="auto"/>
              <w:left w:val="nil"/>
              <w:bottom w:val="single" w:sz="4" w:space="0" w:color="auto"/>
              <w:right w:val="single" w:sz="4" w:space="0" w:color="auto"/>
            </w:tcBorders>
            <w:shd w:val="clear" w:color="auto" w:fill="auto"/>
            <w:noWrap/>
            <w:vAlign w:val="bottom"/>
            <w:hideMark/>
          </w:tcPr>
          <w:p w14:paraId="13DF3A77" w14:textId="77777777" w:rsidR="00A651A7" w:rsidRPr="00A651A7" w:rsidRDefault="00A651A7" w:rsidP="00607C8B">
            <w:pPr>
              <w:spacing w:after="0" w:line="240" w:lineRule="auto"/>
              <w:jc w:val="center"/>
              <w:rPr>
                <w:rFonts w:eastAsia="Times New Roman" w:cs="Times New Roman"/>
                <w:color w:val="000000"/>
                <w:szCs w:val="24"/>
              </w:rPr>
            </w:pPr>
            <w:r w:rsidRPr="00A651A7">
              <w:rPr>
                <w:rFonts w:eastAsia="Times New Roman" w:cs="Times New Roman"/>
                <w:color w:val="000000"/>
                <w:szCs w:val="24"/>
              </w:rPr>
              <w:t>Residual Deviation</w:t>
            </w:r>
          </w:p>
        </w:tc>
        <w:tc>
          <w:tcPr>
            <w:tcW w:w="1350" w:type="dxa"/>
            <w:tcBorders>
              <w:top w:val="single" w:sz="8" w:space="0" w:color="auto"/>
              <w:left w:val="nil"/>
              <w:bottom w:val="single" w:sz="4" w:space="0" w:color="auto"/>
              <w:right w:val="single" w:sz="8" w:space="0" w:color="auto"/>
            </w:tcBorders>
            <w:shd w:val="clear" w:color="auto" w:fill="auto"/>
            <w:noWrap/>
            <w:vAlign w:val="bottom"/>
            <w:hideMark/>
          </w:tcPr>
          <w:p w14:paraId="75D2B4DA" w14:textId="17106BCB" w:rsidR="00A651A7" w:rsidRPr="00A651A7" w:rsidRDefault="00A651A7" w:rsidP="00607C8B">
            <w:pPr>
              <w:spacing w:after="0" w:line="240" w:lineRule="auto"/>
              <w:jc w:val="center"/>
              <w:rPr>
                <w:rFonts w:eastAsia="Times New Roman" w:cs="Times New Roman"/>
                <w:color w:val="000000"/>
                <w:szCs w:val="24"/>
              </w:rPr>
            </w:pPr>
            <w:r w:rsidRPr="00A651A7">
              <w:rPr>
                <w:rFonts w:eastAsia="Times New Roman" w:cs="Times New Roman"/>
                <w:color w:val="000000"/>
                <w:szCs w:val="24"/>
              </w:rPr>
              <w:t>Pr(&gt;Chi)</w:t>
            </w:r>
          </w:p>
        </w:tc>
      </w:tr>
      <w:tr w:rsidR="00A651A7" w:rsidRPr="00A651A7" w14:paraId="1FB0AFBA"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207101E8"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NULL</w:t>
            </w:r>
          </w:p>
        </w:tc>
        <w:tc>
          <w:tcPr>
            <w:tcW w:w="1016" w:type="dxa"/>
            <w:tcBorders>
              <w:top w:val="nil"/>
              <w:left w:val="nil"/>
              <w:bottom w:val="single" w:sz="4" w:space="0" w:color="auto"/>
              <w:right w:val="single" w:sz="4" w:space="0" w:color="auto"/>
            </w:tcBorders>
            <w:shd w:val="clear" w:color="auto" w:fill="auto"/>
            <w:noWrap/>
            <w:vAlign w:val="bottom"/>
            <w:hideMark/>
          </w:tcPr>
          <w:p w14:paraId="2A62DFC6"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w:t>
            </w:r>
          </w:p>
        </w:tc>
        <w:tc>
          <w:tcPr>
            <w:tcW w:w="1123" w:type="dxa"/>
            <w:tcBorders>
              <w:top w:val="nil"/>
              <w:left w:val="nil"/>
              <w:bottom w:val="single" w:sz="4" w:space="0" w:color="auto"/>
              <w:right w:val="single" w:sz="4" w:space="0" w:color="auto"/>
            </w:tcBorders>
            <w:shd w:val="clear" w:color="auto" w:fill="auto"/>
            <w:noWrap/>
            <w:vAlign w:val="bottom"/>
            <w:hideMark/>
          </w:tcPr>
          <w:p w14:paraId="2E2F7524"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w:t>
            </w:r>
          </w:p>
        </w:tc>
        <w:tc>
          <w:tcPr>
            <w:tcW w:w="1461" w:type="dxa"/>
            <w:tcBorders>
              <w:top w:val="nil"/>
              <w:left w:val="nil"/>
              <w:bottom w:val="single" w:sz="4" w:space="0" w:color="auto"/>
              <w:right w:val="single" w:sz="4" w:space="0" w:color="auto"/>
            </w:tcBorders>
            <w:shd w:val="clear" w:color="auto" w:fill="auto"/>
            <w:noWrap/>
            <w:vAlign w:val="bottom"/>
            <w:hideMark/>
          </w:tcPr>
          <w:p w14:paraId="6DADA11F"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604</w:t>
            </w:r>
          </w:p>
        </w:tc>
        <w:tc>
          <w:tcPr>
            <w:tcW w:w="1163" w:type="dxa"/>
            <w:tcBorders>
              <w:top w:val="nil"/>
              <w:left w:val="nil"/>
              <w:bottom w:val="single" w:sz="4" w:space="0" w:color="auto"/>
              <w:right w:val="single" w:sz="4" w:space="0" w:color="auto"/>
            </w:tcBorders>
            <w:shd w:val="clear" w:color="auto" w:fill="auto"/>
            <w:noWrap/>
            <w:vAlign w:val="bottom"/>
            <w:hideMark/>
          </w:tcPr>
          <w:p w14:paraId="390B0132"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824.36</w:t>
            </w:r>
          </w:p>
        </w:tc>
        <w:tc>
          <w:tcPr>
            <w:tcW w:w="1350" w:type="dxa"/>
            <w:tcBorders>
              <w:top w:val="nil"/>
              <w:left w:val="nil"/>
              <w:bottom w:val="single" w:sz="4" w:space="0" w:color="auto"/>
              <w:right w:val="single" w:sz="8" w:space="0" w:color="auto"/>
            </w:tcBorders>
            <w:shd w:val="clear" w:color="auto" w:fill="auto"/>
            <w:noWrap/>
            <w:vAlign w:val="bottom"/>
            <w:hideMark/>
          </w:tcPr>
          <w:p w14:paraId="7639BA6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w:t>
            </w:r>
          </w:p>
        </w:tc>
      </w:tr>
      <w:tr w:rsidR="00A651A7" w:rsidRPr="00A651A7" w14:paraId="55B193CE"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58522FEF"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P1 </w:t>
            </w:r>
          </w:p>
        </w:tc>
        <w:tc>
          <w:tcPr>
            <w:tcW w:w="1016" w:type="dxa"/>
            <w:tcBorders>
              <w:top w:val="nil"/>
              <w:left w:val="nil"/>
              <w:bottom w:val="single" w:sz="4" w:space="0" w:color="auto"/>
              <w:right w:val="single" w:sz="4" w:space="0" w:color="auto"/>
            </w:tcBorders>
            <w:shd w:val="clear" w:color="auto" w:fill="auto"/>
            <w:noWrap/>
            <w:vAlign w:val="bottom"/>
            <w:hideMark/>
          </w:tcPr>
          <w:p w14:paraId="6405DAF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4FADE1DD"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7.4</w:t>
            </w:r>
          </w:p>
        </w:tc>
        <w:tc>
          <w:tcPr>
            <w:tcW w:w="1461" w:type="dxa"/>
            <w:tcBorders>
              <w:top w:val="nil"/>
              <w:left w:val="nil"/>
              <w:bottom w:val="single" w:sz="4" w:space="0" w:color="auto"/>
              <w:right w:val="single" w:sz="4" w:space="0" w:color="auto"/>
            </w:tcBorders>
            <w:shd w:val="clear" w:color="auto" w:fill="auto"/>
            <w:noWrap/>
            <w:vAlign w:val="bottom"/>
            <w:hideMark/>
          </w:tcPr>
          <w:p w14:paraId="5CBEB499"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603</w:t>
            </w:r>
          </w:p>
        </w:tc>
        <w:tc>
          <w:tcPr>
            <w:tcW w:w="1163" w:type="dxa"/>
            <w:tcBorders>
              <w:top w:val="nil"/>
              <w:left w:val="nil"/>
              <w:bottom w:val="single" w:sz="4" w:space="0" w:color="auto"/>
              <w:right w:val="single" w:sz="4" w:space="0" w:color="auto"/>
            </w:tcBorders>
            <w:shd w:val="clear" w:color="auto" w:fill="auto"/>
            <w:noWrap/>
            <w:vAlign w:val="bottom"/>
            <w:hideMark/>
          </w:tcPr>
          <w:p w14:paraId="1B233F34"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816.95</w:t>
            </w:r>
          </w:p>
        </w:tc>
        <w:tc>
          <w:tcPr>
            <w:tcW w:w="1350" w:type="dxa"/>
            <w:tcBorders>
              <w:top w:val="nil"/>
              <w:left w:val="nil"/>
              <w:bottom w:val="single" w:sz="4" w:space="0" w:color="auto"/>
              <w:right w:val="single" w:sz="8" w:space="0" w:color="auto"/>
            </w:tcBorders>
            <w:shd w:val="clear" w:color="auto" w:fill="auto"/>
            <w:noWrap/>
            <w:vAlign w:val="bottom"/>
            <w:hideMark/>
          </w:tcPr>
          <w:p w14:paraId="323C7DC4"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6.00E-03</w:t>
            </w:r>
          </w:p>
        </w:tc>
      </w:tr>
      <w:tr w:rsidR="00A651A7" w:rsidRPr="00A651A7" w14:paraId="456185EB"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18802A3E"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P2 </w:t>
            </w:r>
          </w:p>
        </w:tc>
        <w:tc>
          <w:tcPr>
            <w:tcW w:w="1016" w:type="dxa"/>
            <w:tcBorders>
              <w:top w:val="nil"/>
              <w:left w:val="nil"/>
              <w:bottom w:val="single" w:sz="4" w:space="0" w:color="auto"/>
              <w:right w:val="single" w:sz="4" w:space="0" w:color="auto"/>
            </w:tcBorders>
            <w:shd w:val="clear" w:color="auto" w:fill="auto"/>
            <w:noWrap/>
            <w:vAlign w:val="bottom"/>
            <w:hideMark/>
          </w:tcPr>
          <w:p w14:paraId="07E14F4A"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69AB774A"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59.6</w:t>
            </w:r>
          </w:p>
        </w:tc>
        <w:tc>
          <w:tcPr>
            <w:tcW w:w="1461" w:type="dxa"/>
            <w:tcBorders>
              <w:top w:val="nil"/>
              <w:left w:val="nil"/>
              <w:bottom w:val="single" w:sz="4" w:space="0" w:color="auto"/>
              <w:right w:val="single" w:sz="4" w:space="0" w:color="auto"/>
            </w:tcBorders>
            <w:shd w:val="clear" w:color="auto" w:fill="auto"/>
            <w:noWrap/>
            <w:vAlign w:val="bottom"/>
            <w:hideMark/>
          </w:tcPr>
          <w:p w14:paraId="720C2E91"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602</w:t>
            </w:r>
          </w:p>
        </w:tc>
        <w:tc>
          <w:tcPr>
            <w:tcW w:w="1163" w:type="dxa"/>
            <w:tcBorders>
              <w:top w:val="nil"/>
              <w:left w:val="nil"/>
              <w:bottom w:val="single" w:sz="4" w:space="0" w:color="auto"/>
              <w:right w:val="single" w:sz="4" w:space="0" w:color="auto"/>
            </w:tcBorders>
            <w:shd w:val="clear" w:color="auto" w:fill="auto"/>
            <w:noWrap/>
            <w:vAlign w:val="bottom"/>
            <w:hideMark/>
          </w:tcPr>
          <w:p w14:paraId="586364F7"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757.29</w:t>
            </w:r>
          </w:p>
        </w:tc>
        <w:tc>
          <w:tcPr>
            <w:tcW w:w="1350" w:type="dxa"/>
            <w:tcBorders>
              <w:top w:val="nil"/>
              <w:left w:val="nil"/>
              <w:bottom w:val="single" w:sz="4" w:space="0" w:color="auto"/>
              <w:right w:val="single" w:sz="8" w:space="0" w:color="auto"/>
            </w:tcBorders>
            <w:shd w:val="clear" w:color="auto" w:fill="auto"/>
            <w:noWrap/>
            <w:vAlign w:val="bottom"/>
            <w:hideMark/>
          </w:tcPr>
          <w:p w14:paraId="78252DF8"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1.12E-14</w:t>
            </w:r>
          </w:p>
        </w:tc>
      </w:tr>
      <w:tr w:rsidR="00A651A7" w:rsidRPr="00A651A7" w14:paraId="2DC28B42"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495B67E8"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P3 </w:t>
            </w:r>
          </w:p>
        </w:tc>
        <w:tc>
          <w:tcPr>
            <w:tcW w:w="1016" w:type="dxa"/>
            <w:tcBorders>
              <w:top w:val="nil"/>
              <w:left w:val="nil"/>
              <w:bottom w:val="single" w:sz="4" w:space="0" w:color="auto"/>
              <w:right w:val="single" w:sz="4" w:space="0" w:color="auto"/>
            </w:tcBorders>
            <w:shd w:val="clear" w:color="auto" w:fill="auto"/>
            <w:noWrap/>
            <w:vAlign w:val="bottom"/>
            <w:hideMark/>
          </w:tcPr>
          <w:p w14:paraId="52ADF976"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7747F6F6" w14:textId="5C138A3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1.14</w:t>
            </w:r>
          </w:p>
        </w:tc>
        <w:tc>
          <w:tcPr>
            <w:tcW w:w="1461" w:type="dxa"/>
            <w:tcBorders>
              <w:top w:val="nil"/>
              <w:left w:val="nil"/>
              <w:bottom w:val="single" w:sz="4" w:space="0" w:color="auto"/>
              <w:right w:val="single" w:sz="4" w:space="0" w:color="auto"/>
            </w:tcBorders>
            <w:shd w:val="clear" w:color="auto" w:fill="auto"/>
            <w:noWrap/>
            <w:vAlign w:val="bottom"/>
            <w:hideMark/>
          </w:tcPr>
          <w:p w14:paraId="1EDA2611"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601</w:t>
            </w:r>
          </w:p>
        </w:tc>
        <w:tc>
          <w:tcPr>
            <w:tcW w:w="1163" w:type="dxa"/>
            <w:tcBorders>
              <w:top w:val="nil"/>
              <w:left w:val="nil"/>
              <w:bottom w:val="single" w:sz="4" w:space="0" w:color="auto"/>
              <w:right w:val="single" w:sz="4" w:space="0" w:color="auto"/>
            </w:tcBorders>
            <w:shd w:val="clear" w:color="auto" w:fill="auto"/>
            <w:noWrap/>
            <w:vAlign w:val="bottom"/>
            <w:hideMark/>
          </w:tcPr>
          <w:p w14:paraId="31F326D4"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756.14</w:t>
            </w:r>
          </w:p>
        </w:tc>
        <w:tc>
          <w:tcPr>
            <w:tcW w:w="1350" w:type="dxa"/>
            <w:tcBorders>
              <w:top w:val="nil"/>
              <w:left w:val="nil"/>
              <w:bottom w:val="single" w:sz="4" w:space="0" w:color="auto"/>
              <w:right w:val="single" w:sz="8" w:space="0" w:color="auto"/>
            </w:tcBorders>
            <w:shd w:val="clear" w:color="auto" w:fill="auto"/>
            <w:noWrap/>
            <w:vAlign w:val="bottom"/>
            <w:hideMark/>
          </w:tcPr>
          <w:p w14:paraId="582565E3"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2.85E-01</w:t>
            </w:r>
          </w:p>
        </w:tc>
      </w:tr>
      <w:tr w:rsidR="00A651A7" w:rsidRPr="00A651A7" w14:paraId="74D086F4"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1B653BFE"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P4 </w:t>
            </w:r>
          </w:p>
        </w:tc>
        <w:tc>
          <w:tcPr>
            <w:tcW w:w="1016" w:type="dxa"/>
            <w:tcBorders>
              <w:top w:val="nil"/>
              <w:left w:val="nil"/>
              <w:bottom w:val="single" w:sz="4" w:space="0" w:color="auto"/>
              <w:right w:val="single" w:sz="4" w:space="0" w:color="auto"/>
            </w:tcBorders>
            <w:shd w:val="clear" w:color="auto" w:fill="auto"/>
            <w:noWrap/>
            <w:vAlign w:val="bottom"/>
            <w:hideMark/>
          </w:tcPr>
          <w:p w14:paraId="15BB5106"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4E200D2C"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w:t>
            </w:r>
          </w:p>
        </w:tc>
        <w:tc>
          <w:tcPr>
            <w:tcW w:w="1461" w:type="dxa"/>
            <w:tcBorders>
              <w:top w:val="nil"/>
              <w:left w:val="nil"/>
              <w:bottom w:val="single" w:sz="4" w:space="0" w:color="auto"/>
              <w:right w:val="single" w:sz="4" w:space="0" w:color="auto"/>
            </w:tcBorders>
            <w:shd w:val="clear" w:color="auto" w:fill="auto"/>
            <w:noWrap/>
            <w:vAlign w:val="bottom"/>
            <w:hideMark/>
          </w:tcPr>
          <w:p w14:paraId="3EA64174"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600</w:t>
            </w:r>
          </w:p>
        </w:tc>
        <w:tc>
          <w:tcPr>
            <w:tcW w:w="1163" w:type="dxa"/>
            <w:tcBorders>
              <w:top w:val="nil"/>
              <w:left w:val="nil"/>
              <w:bottom w:val="single" w:sz="4" w:space="0" w:color="auto"/>
              <w:right w:val="single" w:sz="4" w:space="0" w:color="auto"/>
            </w:tcBorders>
            <w:shd w:val="clear" w:color="auto" w:fill="auto"/>
            <w:noWrap/>
            <w:vAlign w:val="bottom"/>
            <w:hideMark/>
          </w:tcPr>
          <w:p w14:paraId="0B29CB4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750.14</w:t>
            </w:r>
          </w:p>
        </w:tc>
        <w:tc>
          <w:tcPr>
            <w:tcW w:w="1350" w:type="dxa"/>
            <w:tcBorders>
              <w:top w:val="nil"/>
              <w:left w:val="nil"/>
              <w:bottom w:val="single" w:sz="4" w:space="0" w:color="auto"/>
              <w:right w:val="single" w:sz="8" w:space="0" w:color="auto"/>
            </w:tcBorders>
            <w:shd w:val="clear" w:color="auto" w:fill="auto"/>
            <w:noWrap/>
            <w:vAlign w:val="bottom"/>
            <w:hideMark/>
          </w:tcPr>
          <w:p w14:paraId="5D67DE8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1.40E-02</w:t>
            </w:r>
          </w:p>
        </w:tc>
      </w:tr>
      <w:tr w:rsidR="00A651A7" w:rsidRPr="00A651A7" w14:paraId="1C9F8EB7"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7ED63B6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P5 </w:t>
            </w:r>
          </w:p>
        </w:tc>
        <w:tc>
          <w:tcPr>
            <w:tcW w:w="1016" w:type="dxa"/>
            <w:tcBorders>
              <w:top w:val="nil"/>
              <w:left w:val="nil"/>
              <w:bottom w:val="single" w:sz="4" w:space="0" w:color="auto"/>
              <w:right w:val="single" w:sz="4" w:space="0" w:color="auto"/>
            </w:tcBorders>
            <w:shd w:val="clear" w:color="auto" w:fill="auto"/>
            <w:noWrap/>
            <w:vAlign w:val="bottom"/>
            <w:hideMark/>
          </w:tcPr>
          <w:p w14:paraId="7BB17C29"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62F53571"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31.56</w:t>
            </w:r>
          </w:p>
        </w:tc>
        <w:tc>
          <w:tcPr>
            <w:tcW w:w="1461" w:type="dxa"/>
            <w:tcBorders>
              <w:top w:val="nil"/>
              <w:left w:val="nil"/>
              <w:bottom w:val="single" w:sz="4" w:space="0" w:color="auto"/>
              <w:right w:val="single" w:sz="4" w:space="0" w:color="auto"/>
            </w:tcBorders>
            <w:shd w:val="clear" w:color="auto" w:fill="auto"/>
            <w:noWrap/>
            <w:vAlign w:val="bottom"/>
            <w:hideMark/>
          </w:tcPr>
          <w:p w14:paraId="74101653"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599</w:t>
            </w:r>
          </w:p>
        </w:tc>
        <w:tc>
          <w:tcPr>
            <w:tcW w:w="1163" w:type="dxa"/>
            <w:tcBorders>
              <w:top w:val="nil"/>
              <w:left w:val="nil"/>
              <w:bottom w:val="single" w:sz="4" w:space="0" w:color="auto"/>
              <w:right w:val="single" w:sz="4" w:space="0" w:color="auto"/>
            </w:tcBorders>
            <w:shd w:val="clear" w:color="auto" w:fill="auto"/>
            <w:noWrap/>
            <w:vAlign w:val="bottom"/>
            <w:hideMark/>
          </w:tcPr>
          <w:p w14:paraId="28356C09"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718.58</w:t>
            </w:r>
          </w:p>
        </w:tc>
        <w:tc>
          <w:tcPr>
            <w:tcW w:w="1350" w:type="dxa"/>
            <w:tcBorders>
              <w:top w:val="nil"/>
              <w:left w:val="nil"/>
              <w:bottom w:val="single" w:sz="4" w:space="0" w:color="auto"/>
              <w:right w:val="single" w:sz="8" w:space="0" w:color="auto"/>
            </w:tcBorders>
            <w:shd w:val="clear" w:color="auto" w:fill="auto"/>
            <w:noWrap/>
            <w:vAlign w:val="bottom"/>
            <w:hideMark/>
          </w:tcPr>
          <w:p w14:paraId="247E4EBE"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1.93E-08</w:t>
            </w:r>
          </w:p>
        </w:tc>
      </w:tr>
      <w:tr w:rsidR="00A651A7" w:rsidRPr="00A651A7" w14:paraId="77495C3D"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3032C518" w14:textId="2BF15F3C"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 xml:space="preserve">Proppant </w:t>
            </w:r>
            <w:r w:rsidR="00997650">
              <w:rPr>
                <w:rFonts w:eastAsia="Times New Roman" w:cs="Times New Roman"/>
                <w:color w:val="000000"/>
                <w:szCs w:val="24"/>
              </w:rPr>
              <w:t xml:space="preserve">weight </w:t>
            </w:r>
            <w:r w:rsidRPr="00A651A7">
              <w:rPr>
                <w:rFonts w:eastAsia="Times New Roman" w:cs="Times New Roman"/>
                <w:color w:val="000000"/>
                <w:szCs w:val="24"/>
              </w:rPr>
              <w:t xml:space="preserve"> normalized to lateral length (</w:t>
            </w:r>
            <w:r w:rsidR="007D7803">
              <w:rPr>
                <w:rFonts w:eastAsia="Times New Roman" w:cs="Times New Roman"/>
                <w:color w:val="000000"/>
                <w:szCs w:val="24"/>
              </w:rPr>
              <w:t>lb/ft</w:t>
            </w:r>
            <w:r w:rsidRPr="00A651A7">
              <w:rPr>
                <w:rFonts w:eastAsia="Times New Roman" w:cs="Times New Roman"/>
                <w:color w:val="000000"/>
                <w:szCs w:val="24"/>
              </w:rPr>
              <w:t>)</w:t>
            </w:r>
          </w:p>
        </w:tc>
        <w:tc>
          <w:tcPr>
            <w:tcW w:w="1016" w:type="dxa"/>
            <w:tcBorders>
              <w:top w:val="nil"/>
              <w:left w:val="nil"/>
              <w:bottom w:val="single" w:sz="4" w:space="0" w:color="auto"/>
              <w:right w:val="single" w:sz="4" w:space="0" w:color="auto"/>
            </w:tcBorders>
            <w:shd w:val="clear" w:color="auto" w:fill="auto"/>
            <w:noWrap/>
            <w:vAlign w:val="bottom"/>
            <w:hideMark/>
          </w:tcPr>
          <w:p w14:paraId="26BFEF8E"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2C55D927"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34.9</w:t>
            </w:r>
          </w:p>
        </w:tc>
        <w:tc>
          <w:tcPr>
            <w:tcW w:w="1461" w:type="dxa"/>
            <w:tcBorders>
              <w:top w:val="nil"/>
              <w:left w:val="nil"/>
              <w:bottom w:val="single" w:sz="4" w:space="0" w:color="auto"/>
              <w:right w:val="single" w:sz="4" w:space="0" w:color="auto"/>
            </w:tcBorders>
            <w:shd w:val="clear" w:color="auto" w:fill="auto"/>
            <w:noWrap/>
            <w:vAlign w:val="bottom"/>
            <w:hideMark/>
          </w:tcPr>
          <w:p w14:paraId="74787A57"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598</w:t>
            </w:r>
          </w:p>
        </w:tc>
        <w:tc>
          <w:tcPr>
            <w:tcW w:w="1163" w:type="dxa"/>
            <w:tcBorders>
              <w:top w:val="nil"/>
              <w:left w:val="nil"/>
              <w:bottom w:val="single" w:sz="4" w:space="0" w:color="auto"/>
              <w:right w:val="single" w:sz="4" w:space="0" w:color="auto"/>
            </w:tcBorders>
            <w:shd w:val="clear" w:color="auto" w:fill="auto"/>
            <w:noWrap/>
            <w:vAlign w:val="bottom"/>
            <w:hideMark/>
          </w:tcPr>
          <w:p w14:paraId="4CFA5F41"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683.68</w:t>
            </w:r>
          </w:p>
        </w:tc>
        <w:tc>
          <w:tcPr>
            <w:tcW w:w="1350" w:type="dxa"/>
            <w:tcBorders>
              <w:top w:val="nil"/>
              <w:left w:val="nil"/>
              <w:bottom w:val="single" w:sz="4" w:space="0" w:color="auto"/>
              <w:right w:val="single" w:sz="8" w:space="0" w:color="auto"/>
            </w:tcBorders>
            <w:shd w:val="clear" w:color="auto" w:fill="auto"/>
            <w:noWrap/>
            <w:vAlign w:val="bottom"/>
            <w:hideMark/>
          </w:tcPr>
          <w:p w14:paraId="3C251FFF"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3.46E-09</w:t>
            </w:r>
          </w:p>
        </w:tc>
      </w:tr>
      <w:tr w:rsidR="00A651A7" w:rsidRPr="00A651A7" w14:paraId="0F8D6138" w14:textId="77777777" w:rsidTr="00A135BE">
        <w:trPr>
          <w:trHeight w:val="312"/>
          <w:jc w:val="center"/>
        </w:trPr>
        <w:tc>
          <w:tcPr>
            <w:tcW w:w="2060" w:type="dxa"/>
            <w:tcBorders>
              <w:top w:val="nil"/>
              <w:left w:val="single" w:sz="8" w:space="0" w:color="auto"/>
              <w:bottom w:val="single" w:sz="4" w:space="0" w:color="auto"/>
              <w:right w:val="single" w:sz="4" w:space="0" w:color="auto"/>
            </w:tcBorders>
            <w:shd w:val="clear" w:color="auto" w:fill="auto"/>
            <w:noWrap/>
            <w:vAlign w:val="bottom"/>
            <w:hideMark/>
          </w:tcPr>
          <w:p w14:paraId="546491DC"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Fracture fluid volume normalized to lateral length (bbl/ft)</w:t>
            </w:r>
          </w:p>
        </w:tc>
        <w:tc>
          <w:tcPr>
            <w:tcW w:w="1016" w:type="dxa"/>
            <w:tcBorders>
              <w:top w:val="nil"/>
              <w:left w:val="nil"/>
              <w:bottom w:val="single" w:sz="4" w:space="0" w:color="auto"/>
              <w:right w:val="single" w:sz="4" w:space="0" w:color="auto"/>
            </w:tcBorders>
            <w:shd w:val="clear" w:color="auto" w:fill="auto"/>
            <w:noWrap/>
            <w:vAlign w:val="bottom"/>
            <w:hideMark/>
          </w:tcPr>
          <w:p w14:paraId="313C8EF2"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4" w:space="0" w:color="auto"/>
              <w:right w:val="single" w:sz="4" w:space="0" w:color="auto"/>
            </w:tcBorders>
            <w:shd w:val="clear" w:color="auto" w:fill="auto"/>
            <w:noWrap/>
            <w:vAlign w:val="bottom"/>
            <w:hideMark/>
          </w:tcPr>
          <w:p w14:paraId="7B44B493"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6.28</w:t>
            </w:r>
          </w:p>
        </w:tc>
        <w:tc>
          <w:tcPr>
            <w:tcW w:w="1461" w:type="dxa"/>
            <w:tcBorders>
              <w:top w:val="nil"/>
              <w:left w:val="nil"/>
              <w:bottom w:val="single" w:sz="4" w:space="0" w:color="auto"/>
              <w:right w:val="single" w:sz="4" w:space="0" w:color="auto"/>
            </w:tcBorders>
            <w:shd w:val="clear" w:color="auto" w:fill="auto"/>
            <w:noWrap/>
            <w:vAlign w:val="bottom"/>
            <w:hideMark/>
          </w:tcPr>
          <w:p w14:paraId="15D0635E"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597</w:t>
            </w:r>
          </w:p>
        </w:tc>
        <w:tc>
          <w:tcPr>
            <w:tcW w:w="1163" w:type="dxa"/>
            <w:tcBorders>
              <w:top w:val="nil"/>
              <w:left w:val="nil"/>
              <w:bottom w:val="single" w:sz="4" w:space="0" w:color="auto"/>
              <w:right w:val="single" w:sz="4" w:space="0" w:color="auto"/>
            </w:tcBorders>
            <w:shd w:val="clear" w:color="auto" w:fill="auto"/>
            <w:noWrap/>
            <w:vAlign w:val="bottom"/>
            <w:hideMark/>
          </w:tcPr>
          <w:p w14:paraId="7680B947"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677.4</w:t>
            </w:r>
          </w:p>
        </w:tc>
        <w:tc>
          <w:tcPr>
            <w:tcW w:w="1350" w:type="dxa"/>
            <w:tcBorders>
              <w:top w:val="nil"/>
              <w:left w:val="nil"/>
              <w:bottom w:val="single" w:sz="4" w:space="0" w:color="auto"/>
              <w:right w:val="single" w:sz="8" w:space="0" w:color="auto"/>
            </w:tcBorders>
            <w:shd w:val="clear" w:color="auto" w:fill="auto"/>
            <w:noWrap/>
            <w:vAlign w:val="bottom"/>
            <w:hideMark/>
          </w:tcPr>
          <w:p w14:paraId="4350D879"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1.20E-02</w:t>
            </w:r>
          </w:p>
        </w:tc>
      </w:tr>
      <w:tr w:rsidR="00A651A7" w:rsidRPr="00A651A7" w14:paraId="105D861B" w14:textId="77777777" w:rsidTr="00A135BE">
        <w:trPr>
          <w:trHeight w:val="324"/>
          <w:jc w:val="center"/>
        </w:trPr>
        <w:tc>
          <w:tcPr>
            <w:tcW w:w="2060" w:type="dxa"/>
            <w:tcBorders>
              <w:top w:val="nil"/>
              <w:left w:val="single" w:sz="8" w:space="0" w:color="auto"/>
              <w:bottom w:val="single" w:sz="8" w:space="0" w:color="auto"/>
              <w:right w:val="single" w:sz="4" w:space="0" w:color="auto"/>
            </w:tcBorders>
            <w:shd w:val="clear" w:color="auto" w:fill="auto"/>
            <w:noWrap/>
            <w:vAlign w:val="bottom"/>
            <w:hideMark/>
          </w:tcPr>
          <w:p w14:paraId="3DD74ADB"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TVD (ft)</w:t>
            </w:r>
          </w:p>
        </w:tc>
        <w:tc>
          <w:tcPr>
            <w:tcW w:w="1016" w:type="dxa"/>
            <w:tcBorders>
              <w:top w:val="nil"/>
              <w:left w:val="nil"/>
              <w:bottom w:val="single" w:sz="8" w:space="0" w:color="auto"/>
              <w:right w:val="single" w:sz="4" w:space="0" w:color="auto"/>
            </w:tcBorders>
            <w:shd w:val="clear" w:color="auto" w:fill="auto"/>
            <w:noWrap/>
            <w:vAlign w:val="bottom"/>
            <w:hideMark/>
          </w:tcPr>
          <w:p w14:paraId="075F7F2A"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1</w:t>
            </w:r>
          </w:p>
        </w:tc>
        <w:tc>
          <w:tcPr>
            <w:tcW w:w="1123" w:type="dxa"/>
            <w:tcBorders>
              <w:top w:val="nil"/>
              <w:left w:val="nil"/>
              <w:bottom w:val="single" w:sz="8" w:space="0" w:color="auto"/>
              <w:right w:val="single" w:sz="4" w:space="0" w:color="auto"/>
            </w:tcBorders>
            <w:shd w:val="clear" w:color="auto" w:fill="auto"/>
            <w:noWrap/>
            <w:vAlign w:val="bottom"/>
            <w:hideMark/>
          </w:tcPr>
          <w:p w14:paraId="759E2C4C"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7.39</w:t>
            </w:r>
          </w:p>
        </w:tc>
        <w:tc>
          <w:tcPr>
            <w:tcW w:w="1461" w:type="dxa"/>
            <w:tcBorders>
              <w:top w:val="nil"/>
              <w:left w:val="nil"/>
              <w:bottom w:val="single" w:sz="8" w:space="0" w:color="auto"/>
              <w:right w:val="single" w:sz="4" w:space="0" w:color="auto"/>
            </w:tcBorders>
            <w:shd w:val="clear" w:color="auto" w:fill="auto"/>
            <w:noWrap/>
            <w:vAlign w:val="bottom"/>
            <w:hideMark/>
          </w:tcPr>
          <w:p w14:paraId="501648BC"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596</w:t>
            </w:r>
          </w:p>
        </w:tc>
        <w:tc>
          <w:tcPr>
            <w:tcW w:w="1163" w:type="dxa"/>
            <w:tcBorders>
              <w:top w:val="nil"/>
              <w:left w:val="nil"/>
              <w:bottom w:val="single" w:sz="8" w:space="0" w:color="auto"/>
              <w:right w:val="single" w:sz="4" w:space="0" w:color="auto"/>
            </w:tcBorders>
            <w:shd w:val="clear" w:color="auto" w:fill="auto"/>
            <w:noWrap/>
            <w:vAlign w:val="bottom"/>
            <w:hideMark/>
          </w:tcPr>
          <w:p w14:paraId="01F12825" w14:textId="77777777" w:rsidR="00A651A7" w:rsidRPr="00A651A7" w:rsidRDefault="00A651A7" w:rsidP="00A651A7">
            <w:pPr>
              <w:spacing w:after="0" w:line="240" w:lineRule="auto"/>
              <w:jc w:val="center"/>
              <w:rPr>
                <w:rFonts w:eastAsia="Times New Roman" w:cs="Times New Roman"/>
                <w:color w:val="000000"/>
                <w:szCs w:val="24"/>
              </w:rPr>
            </w:pPr>
            <w:r w:rsidRPr="00A651A7">
              <w:rPr>
                <w:rFonts w:eastAsia="Times New Roman" w:cs="Times New Roman"/>
                <w:color w:val="000000"/>
                <w:szCs w:val="24"/>
              </w:rPr>
              <w:t>670</w:t>
            </w:r>
          </w:p>
        </w:tc>
        <w:tc>
          <w:tcPr>
            <w:tcW w:w="1350" w:type="dxa"/>
            <w:tcBorders>
              <w:top w:val="nil"/>
              <w:left w:val="nil"/>
              <w:bottom w:val="single" w:sz="8" w:space="0" w:color="auto"/>
              <w:right w:val="single" w:sz="8" w:space="0" w:color="auto"/>
            </w:tcBorders>
            <w:shd w:val="clear" w:color="auto" w:fill="auto"/>
            <w:noWrap/>
            <w:vAlign w:val="bottom"/>
            <w:hideMark/>
          </w:tcPr>
          <w:p w14:paraId="1B9DD0BC" w14:textId="77777777" w:rsidR="00A651A7" w:rsidRPr="00A651A7" w:rsidRDefault="00A651A7" w:rsidP="008937D7">
            <w:pPr>
              <w:keepNext/>
              <w:spacing w:after="0" w:line="240" w:lineRule="auto"/>
              <w:jc w:val="center"/>
              <w:rPr>
                <w:rFonts w:eastAsia="Times New Roman" w:cs="Times New Roman"/>
                <w:color w:val="000000"/>
                <w:szCs w:val="24"/>
              </w:rPr>
            </w:pPr>
            <w:r w:rsidRPr="00A651A7">
              <w:rPr>
                <w:rFonts w:eastAsia="Times New Roman" w:cs="Times New Roman"/>
                <w:color w:val="000000"/>
                <w:szCs w:val="24"/>
              </w:rPr>
              <w:t>6.00E-03</w:t>
            </w:r>
          </w:p>
        </w:tc>
      </w:tr>
    </w:tbl>
    <w:p w14:paraId="7DBF7E1D" w14:textId="77777777" w:rsidR="00FF1EFD" w:rsidRDefault="00FF1EFD" w:rsidP="00BD6B56">
      <w:pPr>
        <w:pStyle w:val="Caption"/>
        <w:spacing w:after="0"/>
        <w:rPr>
          <w:rFonts w:ascii="Arial" w:hAnsi="Arial" w:cs="Arial"/>
          <w:i w:val="0"/>
          <w:iCs w:val="0"/>
          <w:sz w:val="16"/>
          <w:szCs w:val="16"/>
        </w:rPr>
      </w:pPr>
    </w:p>
    <w:p w14:paraId="4BF72575" w14:textId="6F5A41DD" w:rsidR="008937D7" w:rsidRDefault="008937D7" w:rsidP="00BD6B56">
      <w:pPr>
        <w:pStyle w:val="Caption"/>
        <w:spacing w:after="0"/>
        <w:rPr>
          <w:rFonts w:ascii="Arial" w:hAnsi="Arial" w:cs="Arial"/>
          <w:i w:val="0"/>
          <w:iCs w:val="0"/>
          <w:sz w:val="16"/>
          <w:szCs w:val="16"/>
        </w:rPr>
      </w:pPr>
      <w:bookmarkStart w:id="37" w:name="_Toc58667116"/>
      <w:r w:rsidRPr="00FF1EFD">
        <w:rPr>
          <w:rFonts w:ascii="Arial" w:hAnsi="Arial" w:cs="Arial"/>
          <w:i w:val="0"/>
          <w:iCs w:val="0"/>
          <w:sz w:val="16"/>
          <w:szCs w:val="16"/>
        </w:rPr>
        <w:t xml:space="preserve">Table 2. </w:t>
      </w:r>
      <w:r w:rsidRPr="00FF1EFD">
        <w:rPr>
          <w:rFonts w:ascii="Arial" w:hAnsi="Arial" w:cs="Arial"/>
          <w:i w:val="0"/>
          <w:iCs w:val="0"/>
          <w:sz w:val="16"/>
          <w:szCs w:val="16"/>
        </w:rPr>
        <w:fldChar w:fldCharType="begin"/>
      </w:r>
      <w:r w:rsidRPr="00FF1EFD">
        <w:rPr>
          <w:rFonts w:ascii="Arial" w:hAnsi="Arial" w:cs="Arial"/>
          <w:i w:val="0"/>
          <w:iCs w:val="0"/>
          <w:sz w:val="16"/>
          <w:szCs w:val="16"/>
        </w:rPr>
        <w:instrText xml:space="preserve"> SEQ Table_2. \* ARABIC </w:instrText>
      </w:r>
      <w:r w:rsidRPr="00FF1EFD">
        <w:rPr>
          <w:rFonts w:ascii="Arial" w:hAnsi="Arial" w:cs="Arial"/>
          <w:i w:val="0"/>
          <w:iCs w:val="0"/>
          <w:sz w:val="16"/>
          <w:szCs w:val="16"/>
        </w:rPr>
        <w:fldChar w:fldCharType="separate"/>
      </w:r>
      <w:r w:rsidR="00D006A5">
        <w:rPr>
          <w:rFonts w:ascii="Arial" w:hAnsi="Arial" w:cs="Arial"/>
          <w:i w:val="0"/>
          <w:iCs w:val="0"/>
          <w:noProof/>
          <w:sz w:val="16"/>
          <w:szCs w:val="16"/>
        </w:rPr>
        <w:t>2</w:t>
      </w:r>
      <w:r w:rsidRPr="00FF1EFD">
        <w:rPr>
          <w:rFonts w:ascii="Arial" w:hAnsi="Arial" w:cs="Arial"/>
          <w:i w:val="0"/>
          <w:iCs w:val="0"/>
          <w:sz w:val="16"/>
          <w:szCs w:val="16"/>
        </w:rPr>
        <w:fldChar w:fldCharType="end"/>
      </w:r>
      <w:r w:rsidRPr="00FF1EFD">
        <w:rPr>
          <w:rFonts w:ascii="Arial" w:hAnsi="Arial" w:cs="Arial"/>
          <w:i w:val="0"/>
          <w:iCs w:val="0"/>
          <w:sz w:val="16"/>
          <w:szCs w:val="16"/>
        </w:rPr>
        <w:t>—Analysis of Variance (ANOVA) for the logistic regression model with respect to all covariates.</w:t>
      </w:r>
      <w:bookmarkEnd w:id="37"/>
    </w:p>
    <w:p w14:paraId="29E1A2BB" w14:textId="27D70B59" w:rsidR="00312068" w:rsidRPr="00DB7156" w:rsidRDefault="00312068" w:rsidP="00B30958">
      <w:pPr>
        <w:pStyle w:val="para1"/>
        <w:spacing w:line="480" w:lineRule="auto"/>
      </w:pPr>
      <w:r>
        <w:t xml:space="preserve">As an example, if proppant </w:t>
      </w:r>
      <w:r w:rsidR="003E398F">
        <w:t>weight</w:t>
      </w:r>
      <w:r>
        <w:t xml:space="preserve"> normalized to lateral length is the only covariate, then we can determine the probability of a well belonging to a parent well or child well group for a given normalized proppant </w:t>
      </w:r>
      <w:r w:rsidR="003E398F">
        <w:t>weight</w:t>
      </w:r>
      <w:r>
        <w:t xml:space="preserve">. In </w:t>
      </w:r>
      <w:r w:rsidRPr="00372078">
        <w:rPr>
          <w:b/>
          <w:bCs/>
        </w:rPr>
        <w:t xml:space="preserve">Fig. </w:t>
      </w:r>
      <w:r w:rsidR="004213D7">
        <w:rPr>
          <w:b/>
          <w:bCs/>
        </w:rPr>
        <w:t>2.1</w:t>
      </w:r>
      <w:r w:rsidR="00BD32BD">
        <w:rPr>
          <w:b/>
          <w:bCs/>
        </w:rPr>
        <w:t>2</w:t>
      </w:r>
      <w:r>
        <w:t xml:space="preserve">, we can see the range of the propensity scores on the </w:t>
      </w:r>
      <w:r w:rsidR="006F7FA4">
        <w:t>y</w:t>
      </w:r>
      <w:r w:rsidR="00382D0F">
        <w:t>-</w:t>
      </w:r>
      <w:r>
        <w:t xml:space="preserve">axis for parent wells and child wells plotted versus their </w:t>
      </w:r>
      <w:r w:rsidR="00040120">
        <w:t xml:space="preserve">proppant </w:t>
      </w:r>
      <w:r w:rsidR="003E398F">
        <w:t>weight</w:t>
      </w:r>
      <w:r w:rsidR="00040120">
        <w:t xml:space="preserve"> normalized to </w:t>
      </w:r>
      <w:r>
        <w:t>lateral length</w:t>
      </w:r>
      <w:r w:rsidR="00DA106B">
        <w:t xml:space="preserve"> on the x-axis</w:t>
      </w:r>
      <w:r w:rsidR="00534A10">
        <w:t xml:space="preserve">. </w:t>
      </w:r>
      <w:r>
        <w:t xml:space="preserve">Fig. </w:t>
      </w:r>
      <w:r w:rsidR="004213D7">
        <w:t>2.1</w:t>
      </w:r>
      <w:r w:rsidR="00BD32BD">
        <w:t>2</w:t>
      </w:r>
      <w:r w:rsidR="00301DC2">
        <w:t>a</w:t>
      </w:r>
      <w:r>
        <w:t xml:space="preserve"> shows child well scores in blue and Fig. </w:t>
      </w:r>
      <w:r w:rsidR="004213D7">
        <w:t>2.1</w:t>
      </w:r>
      <w:r w:rsidR="00BD32BD">
        <w:t>2</w:t>
      </w:r>
      <w:r w:rsidR="00301DC2">
        <w:t>b</w:t>
      </w:r>
      <w:r>
        <w:t xml:space="preserve"> shows parent well scores in red</w:t>
      </w:r>
      <w:r w:rsidR="00534A10">
        <w:t>.</w:t>
      </w:r>
      <w:r>
        <w:t xml:space="preserve"> </w:t>
      </w:r>
    </w:p>
    <w:p w14:paraId="37C9E071" w14:textId="48CE5156" w:rsidR="001D16EE" w:rsidRDefault="0077358C" w:rsidP="00A33009">
      <w:pPr>
        <w:pStyle w:val="para1"/>
        <w:spacing w:line="480" w:lineRule="auto"/>
      </w:pPr>
      <w:r>
        <w:t xml:space="preserve">For the child </w:t>
      </w:r>
      <w:r w:rsidR="00287BC1">
        <w:t xml:space="preserve">and parent </w:t>
      </w:r>
      <w:r>
        <w:t xml:space="preserve">wells, </w:t>
      </w:r>
      <w:r w:rsidR="00EB11D0">
        <w:t xml:space="preserve">we can notice that </w:t>
      </w:r>
      <w:r w:rsidR="00965376">
        <w:t>the value of the propensity score</w:t>
      </w:r>
      <w:r w:rsidR="00287BC1">
        <w:t xml:space="preserve">s </w:t>
      </w:r>
      <w:r w:rsidR="00EB11D0">
        <w:t>is low</w:t>
      </w:r>
      <w:r w:rsidR="00A26A36">
        <w:t>er</w:t>
      </w:r>
      <w:r w:rsidR="00E76699">
        <w:t xml:space="preserve"> </w:t>
      </w:r>
      <w:r w:rsidR="00EB11D0">
        <w:t xml:space="preserve">for </w:t>
      </w:r>
      <w:r w:rsidR="00287BC1">
        <w:t xml:space="preserve">higher proppant </w:t>
      </w:r>
      <w:r w:rsidR="003E398F">
        <w:t>weight</w:t>
      </w:r>
      <w:r w:rsidR="00287BC1">
        <w:t xml:space="preserve"> (lb/ft).</w:t>
      </w:r>
      <w:r w:rsidR="00625495">
        <w:t xml:space="preserve"> Comparing both graphs together, we </w:t>
      </w:r>
      <w:r w:rsidR="004A6E8C">
        <w:t xml:space="preserve">also </w:t>
      </w:r>
      <w:r w:rsidR="00625495">
        <w:t xml:space="preserve">see that </w:t>
      </w:r>
      <w:r w:rsidR="00054FD2">
        <w:t>few</w:t>
      </w:r>
      <w:r w:rsidR="00625495">
        <w:t xml:space="preserve"> parent wells </w:t>
      </w:r>
      <w:r w:rsidR="00971215">
        <w:t>ha</w:t>
      </w:r>
      <w:r w:rsidR="00054FD2">
        <w:t>ve</w:t>
      </w:r>
      <w:r w:rsidR="00971215">
        <w:t xml:space="preserve"> proppant </w:t>
      </w:r>
      <w:r w:rsidR="003E398F">
        <w:t>weight</w:t>
      </w:r>
      <w:r w:rsidR="00971215">
        <w:t xml:space="preserve"> higher </w:t>
      </w:r>
      <w:r w:rsidR="00E26DA6">
        <w:t xml:space="preserve">than </w:t>
      </w:r>
      <w:r w:rsidR="00971215">
        <w:t>2</w:t>
      </w:r>
      <w:r w:rsidR="00054FD2">
        <w:t>7</w:t>
      </w:r>
      <w:r w:rsidR="00971215">
        <w:t>00 lb/ft</w:t>
      </w:r>
      <w:r w:rsidR="00C15910">
        <w:t xml:space="preserve"> whereas </w:t>
      </w:r>
      <w:r w:rsidR="00F231EC">
        <w:t>none of the</w:t>
      </w:r>
      <w:r w:rsidR="00C15910">
        <w:t xml:space="preserve"> child wells have </w:t>
      </w:r>
      <w:r w:rsidR="0041556E">
        <w:t xml:space="preserve">proppant </w:t>
      </w:r>
      <w:r w:rsidR="00BA5E7E">
        <w:t>weight</w:t>
      </w:r>
      <w:r w:rsidR="0041556E">
        <w:t xml:space="preserve"> over this value.</w:t>
      </w:r>
      <w:r w:rsidR="00BA68B2">
        <w:t xml:space="preserve"> This </w:t>
      </w:r>
      <w:r w:rsidR="00B5721B">
        <w:t>indicates</w:t>
      </w:r>
      <w:r w:rsidR="00BA68B2">
        <w:t xml:space="preserve"> the variability </w:t>
      </w:r>
      <w:r w:rsidR="009E14BA">
        <w:t xml:space="preserve">in the normalized proppant </w:t>
      </w:r>
      <w:r w:rsidR="00BA5E7E">
        <w:t>weight</w:t>
      </w:r>
      <w:r w:rsidR="00B5721B">
        <w:t xml:space="preserve"> </w:t>
      </w:r>
      <w:r w:rsidR="009E14BA">
        <w:t>in both child and parent groups.</w:t>
      </w:r>
    </w:p>
    <w:p w14:paraId="3BCD0AEF" w14:textId="763BF9CF" w:rsidR="00250E4C" w:rsidRDefault="004151D6" w:rsidP="00286DB6">
      <w:pPr>
        <w:pStyle w:val="para1"/>
        <w:spacing w:line="480" w:lineRule="auto"/>
        <w:ind w:firstLine="0"/>
        <w:jc w:val="center"/>
      </w:pPr>
      <w:r>
        <w:rPr>
          <w:noProof/>
        </w:rPr>
        <w:lastRenderedPageBreak/>
        <w:drawing>
          <wp:inline distT="0" distB="0" distL="0" distR="0" wp14:anchorId="0B354695" wp14:editId="382700E0">
            <wp:extent cx="4189149" cy="3261360"/>
            <wp:effectExtent l="0" t="0" r="190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04714" cy="3273478"/>
                    </a:xfrm>
                    <a:prstGeom prst="rect">
                      <a:avLst/>
                    </a:prstGeom>
                  </pic:spPr>
                </pic:pic>
              </a:graphicData>
            </a:graphic>
          </wp:inline>
        </w:drawing>
      </w:r>
    </w:p>
    <w:p w14:paraId="7C5CBAC2" w14:textId="379CDABE" w:rsidR="00250E4C" w:rsidRDefault="003A523E" w:rsidP="00DF211E">
      <w:pPr>
        <w:spacing w:after="0"/>
        <w:jc w:val="center"/>
        <w:rPr>
          <w:rFonts w:ascii="Arial" w:hAnsi="Arial" w:cs="Arial"/>
          <w:b/>
          <w:bCs/>
          <w:sz w:val="16"/>
          <w:szCs w:val="16"/>
        </w:rPr>
      </w:pPr>
      <w:r>
        <w:rPr>
          <w:rFonts w:ascii="Arial" w:hAnsi="Arial" w:cs="Arial"/>
          <w:b/>
          <w:bCs/>
          <w:sz w:val="16"/>
          <w:szCs w:val="16"/>
        </w:rPr>
        <w:t xml:space="preserve"> </w:t>
      </w:r>
      <w:r w:rsidR="00286DB6">
        <w:rPr>
          <w:rFonts w:ascii="Arial" w:hAnsi="Arial" w:cs="Arial"/>
          <w:b/>
          <w:bCs/>
          <w:sz w:val="16"/>
          <w:szCs w:val="16"/>
        </w:rPr>
        <w:t xml:space="preserve"> </w:t>
      </w:r>
      <w:r w:rsidR="00250E4C" w:rsidRPr="003A523E">
        <w:rPr>
          <w:rFonts w:ascii="Arial" w:hAnsi="Arial" w:cs="Arial"/>
          <w:b/>
          <w:bCs/>
          <w:sz w:val="16"/>
          <w:szCs w:val="16"/>
        </w:rPr>
        <w:t>(a)</w:t>
      </w:r>
    </w:p>
    <w:p w14:paraId="4B67C9EB" w14:textId="7CC4638B" w:rsidR="00DF211E" w:rsidRDefault="00286DB6" w:rsidP="00286DB6">
      <w:pPr>
        <w:spacing w:after="0"/>
        <w:jc w:val="center"/>
        <w:rPr>
          <w:rFonts w:ascii="Arial" w:hAnsi="Arial" w:cs="Arial"/>
          <w:b/>
          <w:bCs/>
          <w:sz w:val="16"/>
          <w:szCs w:val="16"/>
        </w:rPr>
      </w:pPr>
      <w:r>
        <w:rPr>
          <w:noProof/>
        </w:rPr>
        <w:drawing>
          <wp:inline distT="0" distB="0" distL="0" distR="0" wp14:anchorId="35AAEA8D" wp14:editId="1B3AAE33">
            <wp:extent cx="3977640" cy="3126017"/>
            <wp:effectExtent l="0" t="0" r="381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84137" cy="3131123"/>
                    </a:xfrm>
                    <a:prstGeom prst="rect">
                      <a:avLst/>
                    </a:prstGeom>
                  </pic:spPr>
                </pic:pic>
              </a:graphicData>
            </a:graphic>
          </wp:inline>
        </w:drawing>
      </w:r>
    </w:p>
    <w:p w14:paraId="46936BA9" w14:textId="5D9EC6C2" w:rsidR="00335361" w:rsidRDefault="00DF211E" w:rsidP="00DF211E">
      <w:pPr>
        <w:spacing w:after="0"/>
      </w:pPr>
      <w:r>
        <w:rPr>
          <w:rFonts w:ascii="Arial" w:hAnsi="Arial" w:cs="Arial"/>
          <w:b/>
          <w:bCs/>
          <w:sz w:val="16"/>
          <w:szCs w:val="16"/>
        </w:rPr>
        <w:t xml:space="preserve">                                                                                                    </w:t>
      </w:r>
      <w:r w:rsidR="00E338D6">
        <w:rPr>
          <w:rFonts w:ascii="Arial" w:hAnsi="Arial" w:cs="Arial"/>
          <w:b/>
          <w:bCs/>
          <w:sz w:val="16"/>
          <w:szCs w:val="16"/>
        </w:rPr>
        <w:t xml:space="preserve">     </w:t>
      </w:r>
      <w:r w:rsidR="00286DB6">
        <w:rPr>
          <w:rFonts w:ascii="Arial" w:hAnsi="Arial" w:cs="Arial"/>
          <w:b/>
          <w:bCs/>
          <w:sz w:val="16"/>
          <w:szCs w:val="16"/>
        </w:rPr>
        <w:t xml:space="preserve"> </w:t>
      </w:r>
      <w:r w:rsidR="00335361" w:rsidRPr="00F338EF">
        <w:rPr>
          <w:rFonts w:ascii="Arial" w:hAnsi="Arial" w:cs="Arial"/>
          <w:b/>
          <w:bCs/>
          <w:sz w:val="16"/>
          <w:szCs w:val="16"/>
        </w:rPr>
        <w:t>(b)</w:t>
      </w:r>
    </w:p>
    <w:p w14:paraId="21376C77" w14:textId="28DE0389" w:rsidR="00BD32BD" w:rsidRDefault="00335361" w:rsidP="00DF211E">
      <w:pPr>
        <w:pStyle w:val="para1"/>
        <w:spacing w:line="480" w:lineRule="auto"/>
        <w:ind w:firstLine="0"/>
        <w:jc w:val="center"/>
        <w:rPr>
          <w:rFonts w:ascii="Arial" w:eastAsiaTheme="minorHAnsi" w:hAnsi="Arial" w:cs="Arial"/>
          <w:b/>
          <w:bCs/>
          <w:sz w:val="16"/>
          <w:szCs w:val="16"/>
        </w:rPr>
      </w:pPr>
      <w:bookmarkStart w:id="38" w:name="_Toc58667145"/>
      <w:r w:rsidRPr="00A21E41">
        <w:rPr>
          <w:rFonts w:ascii="Arial" w:eastAsiaTheme="minorHAnsi" w:hAnsi="Arial"/>
          <w:b/>
          <w:color w:val="000000"/>
          <w:sz w:val="16"/>
          <w:szCs w:val="24"/>
        </w:rPr>
        <w:t xml:space="preserve">Fig. 2. </w:t>
      </w:r>
      <w:r w:rsidRPr="00A21E41">
        <w:rPr>
          <w:rFonts w:ascii="Arial" w:eastAsiaTheme="minorHAnsi" w:hAnsi="Arial"/>
          <w:b/>
          <w:color w:val="000000"/>
          <w:sz w:val="16"/>
          <w:szCs w:val="24"/>
        </w:rPr>
        <w:fldChar w:fldCharType="begin"/>
      </w:r>
      <w:r w:rsidRPr="00A21E41">
        <w:rPr>
          <w:rFonts w:ascii="Arial" w:eastAsiaTheme="minorHAnsi" w:hAnsi="Arial"/>
          <w:b/>
          <w:color w:val="000000"/>
          <w:sz w:val="16"/>
          <w:szCs w:val="24"/>
        </w:rPr>
        <w:instrText xml:space="preserve"> SEQ Fig._2. \* ARABIC </w:instrText>
      </w:r>
      <w:r w:rsidRPr="00A21E41">
        <w:rPr>
          <w:rFonts w:ascii="Arial" w:eastAsiaTheme="minorHAnsi" w:hAnsi="Arial"/>
          <w:b/>
          <w:color w:val="000000"/>
          <w:sz w:val="16"/>
          <w:szCs w:val="24"/>
        </w:rPr>
        <w:fldChar w:fldCharType="separate"/>
      </w:r>
      <w:r w:rsidR="00D006A5">
        <w:rPr>
          <w:rFonts w:ascii="Arial" w:eastAsiaTheme="minorHAnsi" w:hAnsi="Arial"/>
          <w:b/>
          <w:noProof/>
          <w:color w:val="000000"/>
          <w:sz w:val="16"/>
          <w:szCs w:val="24"/>
        </w:rPr>
        <w:t>12</w:t>
      </w:r>
      <w:r w:rsidRPr="00A21E41">
        <w:rPr>
          <w:rFonts w:ascii="Arial" w:eastAsiaTheme="minorHAnsi" w:hAnsi="Arial"/>
          <w:b/>
          <w:color w:val="000000"/>
          <w:sz w:val="16"/>
          <w:szCs w:val="24"/>
        </w:rPr>
        <w:fldChar w:fldCharType="end"/>
      </w:r>
      <w:r>
        <w:rPr>
          <w:rFonts w:ascii="Arial" w:eastAsiaTheme="minorHAnsi" w:hAnsi="Arial"/>
          <w:b/>
          <w:color w:val="000000"/>
          <w:sz w:val="16"/>
          <w:szCs w:val="24"/>
        </w:rPr>
        <w:t>—</w:t>
      </w:r>
      <w:r w:rsidRPr="00D32460">
        <w:rPr>
          <w:rFonts w:ascii="Arial" w:eastAsiaTheme="minorHAnsi" w:hAnsi="Arial"/>
          <w:b/>
          <w:color w:val="000000"/>
          <w:sz w:val="16"/>
          <w:szCs w:val="24"/>
        </w:rPr>
        <w:t xml:space="preserve">(a) Plot of propensity score versus proppant </w:t>
      </w:r>
      <w:r w:rsidR="00BA5E7E">
        <w:rPr>
          <w:rFonts w:ascii="Arial" w:eastAsiaTheme="minorHAnsi" w:hAnsi="Arial"/>
          <w:b/>
          <w:color w:val="000000"/>
          <w:sz w:val="16"/>
          <w:szCs w:val="24"/>
        </w:rPr>
        <w:t>weight</w:t>
      </w:r>
      <w:r>
        <w:rPr>
          <w:rFonts w:ascii="Arial" w:eastAsiaTheme="minorHAnsi" w:hAnsi="Arial"/>
          <w:b/>
          <w:color w:val="000000"/>
          <w:sz w:val="16"/>
          <w:szCs w:val="24"/>
        </w:rPr>
        <w:t xml:space="preserve"> normalized to lateral length</w:t>
      </w:r>
      <w:r w:rsidRPr="00D32460">
        <w:rPr>
          <w:rFonts w:ascii="Arial" w:eastAsiaTheme="minorHAnsi" w:hAnsi="Arial"/>
          <w:b/>
          <w:color w:val="000000"/>
          <w:sz w:val="16"/>
          <w:szCs w:val="24"/>
        </w:rPr>
        <w:t xml:space="preserve"> (lb/ft) for unmatched child wells (b) Plot of </w:t>
      </w:r>
      <w:r>
        <w:rPr>
          <w:rFonts w:ascii="Arial" w:eastAsiaTheme="minorHAnsi" w:hAnsi="Arial"/>
          <w:b/>
          <w:color w:val="000000"/>
          <w:sz w:val="16"/>
          <w:szCs w:val="24"/>
        </w:rPr>
        <w:t>p</w:t>
      </w:r>
      <w:r w:rsidRPr="00D32460">
        <w:rPr>
          <w:rFonts w:ascii="Arial" w:eastAsiaTheme="minorHAnsi" w:hAnsi="Arial"/>
          <w:b/>
          <w:color w:val="000000"/>
          <w:sz w:val="16"/>
          <w:szCs w:val="24"/>
        </w:rPr>
        <w:t xml:space="preserve">ropensity score versus proppant </w:t>
      </w:r>
      <w:r w:rsidR="008B0A98">
        <w:rPr>
          <w:rFonts w:ascii="Arial" w:eastAsiaTheme="minorHAnsi" w:hAnsi="Arial"/>
          <w:b/>
          <w:color w:val="000000"/>
          <w:sz w:val="16"/>
          <w:szCs w:val="24"/>
        </w:rPr>
        <w:t>weight</w:t>
      </w:r>
      <w:r>
        <w:rPr>
          <w:rFonts w:ascii="Arial" w:eastAsiaTheme="minorHAnsi" w:hAnsi="Arial"/>
          <w:b/>
          <w:color w:val="000000"/>
          <w:sz w:val="16"/>
          <w:szCs w:val="24"/>
        </w:rPr>
        <w:t xml:space="preserve"> normalized to lateral length</w:t>
      </w:r>
      <w:r w:rsidRPr="00D32460">
        <w:rPr>
          <w:rFonts w:ascii="Arial" w:eastAsiaTheme="minorHAnsi" w:hAnsi="Arial"/>
          <w:b/>
          <w:color w:val="000000"/>
          <w:sz w:val="16"/>
          <w:szCs w:val="24"/>
        </w:rPr>
        <w:t xml:space="preserve"> (lb/ft) for unmatched parent wells</w:t>
      </w:r>
      <w:r>
        <w:rPr>
          <w:rFonts w:ascii="Arial" w:eastAsiaTheme="minorHAnsi" w:hAnsi="Arial"/>
          <w:b/>
          <w:color w:val="000000"/>
          <w:sz w:val="16"/>
          <w:szCs w:val="24"/>
        </w:rPr>
        <w:t xml:space="preserve"> </w:t>
      </w:r>
      <w:r w:rsidRPr="009A3B09">
        <w:rPr>
          <w:rFonts w:ascii="Arial" w:eastAsiaTheme="minorHAnsi" w:hAnsi="Arial" w:cstheme="minorBidi"/>
          <w:b/>
          <w:color w:val="000000"/>
          <w:sz w:val="16"/>
          <w:szCs w:val="24"/>
        </w:rPr>
        <w:t>(Sakhardande and Devegowda 2021).</w:t>
      </w:r>
      <w:bookmarkEnd w:id="38"/>
      <w:r>
        <w:rPr>
          <w:rFonts w:ascii="Arial" w:eastAsiaTheme="minorHAnsi" w:hAnsi="Arial" w:cs="Arial"/>
          <w:b/>
          <w:bCs/>
          <w:sz w:val="16"/>
          <w:szCs w:val="16"/>
        </w:rPr>
        <w:t xml:space="preserve">  </w:t>
      </w:r>
    </w:p>
    <w:p w14:paraId="52376C10" w14:textId="77777777" w:rsidR="00E338D6" w:rsidRDefault="00E338D6" w:rsidP="00DF211E">
      <w:pPr>
        <w:pStyle w:val="para1"/>
        <w:spacing w:line="480" w:lineRule="auto"/>
        <w:ind w:firstLine="0"/>
        <w:jc w:val="center"/>
        <w:rPr>
          <w:rFonts w:ascii="Arial" w:eastAsiaTheme="minorHAnsi" w:hAnsi="Arial" w:cs="Arial"/>
          <w:b/>
          <w:bCs/>
          <w:sz w:val="16"/>
          <w:szCs w:val="16"/>
        </w:rPr>
      </w:pPr>
    </w:p>
    <w:p w14:paraId="2E2757F7" w14:textId="7791A27D" w:rsidR="00E611B1" w:rsidRDefault="00C04DEC" w:rsidP="00F77298">
      <w:pPr>
        <w:pStyle w:val="para1"/>
        <w:spacing w:line="480" w:lineRule="auto"/>
      </w:pPr>
      <w:r w:rsidRPr="00C04DEC">
        <w:lastRenderedPageBreak/>
        <w:t>Similarly,</w:t>
      </w:r>
      <w:r w:rsidR="00C249BA" w:rsidRPr="00C04DEC">
        <w:t xml:space="preserve"> if </w:t>
      </w:r>
      <w:r w:rsidR="008608C6" w:rsidRPr="00C04DEC">
        <w:t>we had only normalized fracture fluid volumes (</w:t>
      </w:r>
      <w:r w:rsidR="008A4E27">
        <w:t>bbl</w:t>
      </w:r>
      <w:r w:rsidR="008608C6" w:rsidRPr="00C04DEC">
        <w:t xml:space="preserve">/ft) as the only </w:t>
      </w:r>
      <w:r w:rsidRPr="00C04DEC">
        <w:t>covariate</w:t>
      </w:r>
      <w:r w:rsidR="008608C6" w:rsidRPr="00C04DEC">
        <w:t xml:space="preserve">, we can determine the </w:t>
      </w:r>
      <w:r w:rsidRPr="00C04DEC">
        <w:t>propensity scores for the child and parent well groups.</w:t>
      </w:r>
      <w:r w:rsidR="00660E19">
        <w:t xml:space="preserve"> This is shown in </w:t>
      </w:r>
      <w:r w:rsidR="00660E19" w:rsidRPr="00660E19">
        <w:rPr>
          <w:b/>
          <w:bCs/>
        </w:rPr>
        <w:t xml:space="preserve">Fig. </w:t>
      </w:r>
      <w:r w:rsidR="00170845">
        <w:rPr>
          <w:b/>
          <w:bCs/>
        </w:rPr>
        <w:t>2</w:t>
      </w:r>
      <w:r w:rsidR="00627F04">
        <w:rPr>
          <w:b/>
          <w:bCs/>
        </w:rPr>
        <w:t>.1</w:t>
      </w:r>
      <w:r w:rsidR="00BD32BD">
        <w:rPr>
          <w:b/>
          <w:bCs/>
        </w:rPr>
        <w:t>3</w:t>
      </w:r>
      <w:r w:rsidR="00BF7AF8">
        <w:t>.</w:t>
      </w:r>
      <w:r w:rsidR="00660E19">
        <w:t xml:space="preserve"> </w:t>
      </w:r>
      <w:r w:rsidR="00DC43E7">
        <w:t xml:space="preserve">Fewer parent wells </w:t>
      </w:r>
      <w:r w:rsidR="008C6796">
        <w:t>in</w:t>
      </w:r>
      <w:r w:rsidR="00B8775F">
        <w:t xml:space="preserve"> Fig. 2</w:t>
      </w:r>
      <w:r w:rsidR="00627F04">
        <w:t>.1</w:t>
      </w:r>
      <w:r w:rsidR="00BD32BD">
        <w:t>3</w:t>
      </w:r>
      <w:r w:rsidR="004666A0">
        <w:t xml:space="preserve">b. </w:t>
      </w:r>
      <w:r w:rsidR="00DC43E7">
        <w:t xml:space="preserve">have </w:t>
      </w:r>
      <w:r w:rsidR="00D42B26">
        <w:t>propensity score between 0.7 and 0.8</w:t>
      </w:r>
      <w:r w:rsidR="00B8775F">
        <w:t xml:space="preserve"> (shown in red)</w:t>
      </w:r>
      <w:r w:rsidR="00D42B26">
        <w:t xml:space="preserve"> </w:t>
      </w:r>
      <w:r w:rsidR="00BC7351">
        <w:t xml:space="preserve">whereas </w:t>
      </w:r>
      <w:r w:rsidR="00FF41B1">
        <w:t xml:space="preserve">for the </w:t>
      </w:r>
      <w:r w:rsidR="00BC7351">
        <w:t>child wells</w:t>
      </w:r>
      <w:r w:rsidR="00A67F0F">
        <w:t xml:space="preserve"> </w:t>
      </w:r>
      <w:r w:rsidR="00B8775F">
        <w:t xml:space="preserve">in Fig. </w:t>
      </w:r>
      <w:r w:rsidR="00627F04">
        <w:t>2.1</w:t>
      </w:r>
      <w:r w:rsidR="00BD32BD">
        <w:t>3</w:t>
      </w:r>
      <w:r w:rsidR="004666A0">
        <w:t>a.</w:t>
      </w:r>
      <w:r w:rsidR="00B8775F">
        <w:t xml:space="preserve"> </w:t>
      </w:r>
      <w:r w:rsidR="00A67F0F">
        <w:t>propensity score density</w:t>
      </w:r>
      <w:r w:rsidR="00FF41B1">
        <w:t xml:space="preserve"> (shown in blue)</w:t>
      </w:r>
      <w:r w:rsidR="00A67F0F">
        <w:t xml:space="preserve"> is higher in that specific range.</w:t>
      </w:r>
      <w:r w:rsidR="008358BE">
        <w:t xml:space="preserve"> This </w:t>
      </w:r>
      <w:r w:rsidR="00207711">
        <w:t xml:space="preserve">again </w:t>
      </w:r>
      <w:r w:rsidR="008358BE">
        <w:t xml:space="preserve">indicates the variability in the range of the propensity scores </w:t>
      </w:r>
      <w:r w:rsidR="00087EBB">
        <w:t>between the</w:t>
      </w:r>
      <w:r w:rsidR="008358BE">
        <w:t xml:space="preserve"> parent and child wells with respect to the covariate</w:t>
      </w:r>
      <w:r w:rsidR="004C155D">
        <w:t xml:space="preserve">, </w:t>
      </w:r>
      <w:r w:rsidR="00D60C96">
        <w:t>f</w:t>
      </w:r>
      <w:r w:rsidR="008358BE">
        <w:t xml:space="preserve">racture </w:t>
      </w:r>
      <w:r w:rsidR="00D60C96">
        <w:t>f</w:t>
      </w:r>
      <w:r w:rsidR="008358BE">
        <w:t xml:space="preserve">luid </w:t>
      </w:r>
      <w:r w:rsidR="00287EEA">
        <w:t>v</w:t>
      </w:r>
      <w:r w:rsidR="008358BE">
        <w:t>olume</w:t>
      </w:r>
      <w:r w:rsidR="004C155D">
        <w:t xml:space="preserve"> normalized to lateral length</w:t>
      </w:r>
      <w:r w:rsidR="008358BE">
        <w:t xml:space="preserve"> (</w:t>
      </w:r>
      <w:r w:rsidR="008A4E27">
        <w:t>bbl</w:t>
      </w:r>
      <w:r w:rsidR="008358BE">
        <w:t xml:space="preserve">/ft). </w:t>
      </w:r>
      <w:r w:rsidR="00A67F0F">
        <w:t xml:space="preserve"> </w:t>
      </w:r>
    </w:p>
    <w:p w14:paraId="597E832A" w14:textId="3F7FA34D" w:rsidR="00991262" w:rsidRDefault="001A5760" w:rsidP="00F77298">
      <w:pPr>
        <w:pStyle w:val="para1"/>
        <w:spacing w:line="480" w:lineRule="auto"/>
      </w:pPr>
      <w:r>
        <w:t xml:space="preserve">If we consider TVD as the only </w:t>
      </w:r>
      <w:r w:rsidR="00B630E5">
        <w:t>covariate</w:t>
      </w:r>
      <w:r w:rsidR="00C048BD">
        <w:t xml:space="preserve"> in </w:t>
      </w:r>
      <w:r w:rsidR="00C048BD" w:rsidRPr="00C048BD">
        <w:rPr>
          <w:b/>
          <w:bCs/>
        </w:rPr>
        <w:t xml:space="preserve">Fig. </w:t>
      </w:r>
      <w:r w:rsidR="00207711">
        <w:rPr>
          <w:b/>
          <w:bCs/>
        </w:rPr>
        <w:t>2.1</w:t>
      </w:r>
      <w:r w:rsidR="00247C98">
        <w:rPr>
          <w:b/>
          <w:bCs/>
        </w:rPr>
        <w:t>4</w:t>
      </w:r>
      <w:r>
        <w:t>, we see a similar trend</w:t>
      </w:r>
      <w:r w:rsidR="00B630E5">
        <w:t xml:space="preserve"> of lower propensity scores for wells </w:t>
      </w:r>
      <w:r w:rsidR="00C07C72">
        <w:t xml:space="preserve">with deeper landing zones. </w:t>
      </w:r>
      <w:r w:rsidR="00533F61">
        <w:t xml:space="preserve">In general, </w:t>
      </w:r>
      <w:r w:rsidR="00E463FA">
        <w:t xml:space="preserve">by </w:t>
      </w:r>
      <w:r w:rsidR="00EF046F">
        <w:t>looking at</w:t>
      </w:r>
      <w:r w:rsidR="00C966E1">
        <w:t xml:space="preserve"> the density of the propensity scores</w:t>
      </w:r>
      <w:r w:rsidR="00AE4C03">
        <w:t xml:space="preserve"> in Fig. 2</w:t>
      </w:r>
      <w:r w:rsidR="00207711">
        <w:t>.1</w:t>
      </w:r>
      <w:r w:rsidR="00247C98">
        <w:t>4</w:t>
      </w:r>
      <w:r w:rsidR="00D60C96">
        <w:t>b</w:t>
      </w:r>
      <w:r w:rsidR="00035DBE">
        <w:t xml:space="preserve">, </w:t>
      </w:r>
      <w:r w:rsidR="00762A29">
        <w:t>we notice</w:t>
      </w:r>
      <w:r w:rsidR="00C966E1">
        <w:t xml:space="preserve"> </w:t>
      </w:r>
      <w:r w:rsidR="00533F61">
        <w:t xml:space="preserve">that </w:t>
      </w:r>
      <w:r w:rsidR="001E15AF">
        <w:t>a greater number of</w:t>
      </w:r>
      <w:r w:rsidR="0075761C">
        <w:t xml:space="preserve"> </w:t>
      </w:r>
      <w:r w:rsidR="00533F61">
        <w:t xml:space="preserve">parent wells </w:t>
      </w:r>
      <w:r w:rsidR="001B0953">
        <w:t xml:space="preserve">have TVD </w:t>
      </w:r>
      <w:r w:rsidR="00E463FA">
        <w:t xml:space="preserve">values </w:t>
      </w:r>
      <w:r w:rsidR="001D269F">
        <w:t>exceeding 9750</w:t>
      </w:r>
      <w:r w:rsidR="001B0953">
        <w:t xml:space="preserve"> ft compared </w:t>
      </w:r>
      <w:r w:rsidR="00115551">
        <w:t>to</w:t>
      </w:r>
      <w:r w:rsidR="001B0953">
        <w:t xml:space="preserve"> the</w:t>
      </w:r>
      <w:r w:rsidR="0075761C">
        <w:t xml:space="preserve"> </w:t>
      </w:r>
      <w:r w:rsidR="001B0953">
        <w:t>child wells</w:t>
      </w:r>
      <w:r w:rsidR="009246B0">
        <w:t xml:space="preserve"> in Fig.</w:t>
      </w:r>
      <w:r w:rsidR="00774692">
        <w:t xml:space="preserve"> </w:t>
      </w:r>
      <w:r w:rsidR="009246B0">
        <w:t>2</w:t>
      </w:r>
      <w:r w:rsidR="00207711">
        <w:t>.</w:t>
      </w:r>
      <w:r w:rsidR="009246B0">
        <w:t>1</w:t>
      </w:r>
      <w:r w:rsidR="00247C98">
        <w:t>4</w:t>
      </w:r>
      <w:r w:rsidR="00D60C96">
        <w:t>a</w:t>
      </w:r>
      <w:r w:rsidR="00E463FA">
        <w:t>.</w:t>
      </w:r>
      <w:r w:rsidR="001D269F" w:rsidRPr="001D269F">
        <w:t xml:space="preserve"> </w:t>
      </w:r>
    </w:p>
    <w:p w14:paraId="3153BAAB" w14:textId="5F953E48" w:rsidR="001D16EE" w:rsidRDefault="00827292" w:rsidP="00F77298">
      <w:pPr>
        <w:pStyle w:val="para1"/>
        <w:spacing w:line="480" w:lineRule="auto"/>
      </w:pPr>
      <w:r>
        <w:t xml:space="preserve">The main takeaway from Fig. </w:t>
      </w:r>
      <w:r w:rsidR="005E6AF5">
        <w:t>2.1</w:t>
      </w:r>
      <w:r w:rsidR="00CE296E">
        <w:t>2</w:t>
      </w:r>
      <w:r>
        <w:t xml:space="preserve">, </w:t>
      </w:r>
      <w:r w:rsidR="005E6AF5">
        <w:t>2.1</w:t>
      </w:r>
      <w:r w:rsidR="00CE296E">
        <w:t>3</w:t>
      </w:r>
      <w:r w:rsidR="005E6AF5">
        <w:t xml:space="preserve"> </w:t>
      </w:r>
      <w:r>
        <w:t>and 2</w:t>
      </w:r>
      <w:r w:rsidR="005E6AF5">
        <w:t>.</w:t>
      </w:r>
      <w:r>
        <w:t>1</w:t>
      </w:r>
      <w:r w:rsidR="00CE296E">
        <w:t>4</w:t>
      </w:r>
      <w:r>
        <w:t xml:space="preserve"> is that we still need to find wells with similar propensity scores density considering both parent and child wells groups which is not the case currently. This dissimilarity can be also verified when all the covariates are considered together by looking at the balance between the parent-child groups. This leads us into the second step of workflow which is the balance computation.</w:t>
      </w:r>
    </w:p>
    <w:p w14:paraId="062954FD" w14:textId="1B9D5DBE" w:rsidR="00794B57" w:rsidRDefault="0040194F" w:rsidP="00424A29">
      <w:pPr>
        <w:pStyle w:val="para1"/>
        <w:spacing w:line="480" w:lineRule="auto"/>
        <w:ind w:firstLine="0"/>
        <w:jc w:val="center"/>
      </w:pPr>
      <w:r>
        <w:rPr>
          <w:noProof/>
        </w:rPr>
        <w:lastRenderedPageBreak/>
        <w:drawing>
          <wp:inline distT="0" distB="0" distL="0" distR="0" wp14:anchorId="78F469F2" wp14:editId="13D2A378">
            <wp:extent cx="3954252" cy="3081867"/>
            <wp:effectExtent l="0" t="0" r="825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69835" cy="3094012"/>
                    </a:xfrm>
                    <a:prstGeom prst="rect">
                      <a:avLst/>
                    </a:prstGeom>
                  </pic:spPr>
                </pic:pic>
              </a:graphicData>
            </a:graphic>
          </wp:inline>
        </w:drawing>
      </w:r>
    </w:p>
    <w:p w14:paraId="0277E4D8" w14:textId="3F7BE88A" w:rsidR="00794B57" w:rsidRDefault="00210EB0" w:rsidP="00424A29">
      <w:pPr>
        <w:pStyle w:val="para1"/>
        <w:spacing w:line="480" w:lineRule="auto"/>
        <w:ind w:firstLine="0"/>
        <w:jc w:val="center"/>
        <w:rPr>
          <w:rFonts w:ascii="Arial" w:eastAsiaTheme="minorHAnsi" w:hAnsi="Arial" w:cs="Arial"/>
          <w:b/>
          <w:bCs/>
          <w:sz w:val="16"/>
          <w:szCs w:val="16"/>
        </w:rPr>
      </w:pPr>
      <w:r>
        <w:rPr>
          <w:rFonts w:ascii="Arial" w:eastAsiaTheme="minorHAnsi" w:hAnsi="Arial" w:cs="Arial"/>
          <w:b/>
          <w:bCs/>
          <w:sz w:val="16"/>
          <w:szCs w:val="16"/>
        </w:rPr>
        <w:t xml:space="preserve">     </w:t>
      </w:r>
      <w:r w:rsidR="00146BD7" w:rsidRPr="00CC4BCA">
        <w:rPr>
          <w:rFonts w:ascii="Arial" w:eastAsiaTheme="minorHAnsi" w:hAnsi="Arial" w:cs="Arial"/>
          <w:b/>
          <w:bCs/>
          <w:sz w:val="16"/>
          <w:szCs w:val="16"/>
        </w:rPr>
        <w:t>(a)</w:t>
      </w:r>
    </w:p>
    <w:p w14:paraId="4A12560E" w14:textId="77777777" w:rsidR="00424A29" w:rsidRDefault="00424A29" w:rsidP="00424A29">
      <w:pPr>
        <w:pStyle w:val="para1"/>
        <w:spacing w:line="480" w:lineRule="auto"/>
        <w:ind w:firstLine="900"/>
        <w:jc w:val="center"/>
        <w:rPr>
          <w:rFonts w:ascii="Arial" w:eastAsiaTheme="minorHAnsi" w:hAnsi="Arial" w:cs="Arial"/>
          <w:b/>
          <w:bCs/>
          <w:sz w:val="16"/>
          <w:szCs w:val="16"/>
        </w:rPr>
      </w:pPr>
      <w:r>
        <w:rPr>
          <w:noProof/>
        </w:rPr>
        <w:drawing>
          <wp:inline distT="0" distB="0" distL="0" distR="0" wp14:anchorId="77296FF7" wp14:editId="3975A15A">
            <wp:extent cx="4541082" cy="313266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92069" cy="3167840"/>
                    </a:xfrm>
                    <a:prstGeom prst="rect">
                      <a:avLst/>
                    </a:prstGeom>
                  </pic:spPr>
                </pic:pic>
              </a:graphicData>
            </a:graphic>
          </wp:inline>
        </w:drawing>
      </w:r>
    </w:p>
    <w:p w14:paraId="3CE2F14D" w14:textId="0636CC3D" w:rsidR="00335361" w:rsidRPr="00424A29" w:rsidRDefault="00424A29" w:rsidP="00424A29">
      <w:pPr>
        <w:pStyle w:val="para1"/>
        <w:spacing w:line="480" w:lineRule="auto"/>
        <w:ind w:firstLine="0"/>
        <w:rPr>
          <w:rFonts w:ascii="Arial" w:eastAsiaTheme="minorHAnsi" w:hAnsi="Arial" w:cs="Arial"/>
          <w:b/>
          <w:bCs/>
          <w:sz w:val="16"/>
          <w:szCs w:val="16"/>
        </w:rPr>
      </w:pPr>
      <w:r>
        <w:rPr>
          <w:rFonts w:ascii="Arial" w:eastAsiaTheme="minorHAnsi" w:hAnsi="Arial" w:cs="Arial"/>
          <w:b/>
          <w:bCs/>
          <w:sz w:val="16"/>
          <w:szCs w:val="16"/>
        </w:rPr>
        <w:t xml:space="preserve">                                                                                                            </w:t>
      </w:r>
      <w:r w:rsidR="00335361" w:rsidRPr="00C747E1">
        <w:rPr>
          <w:rFonts w:ascii="Arial" w:eastAsiaTheme="minorHAnsi" w:hAnsi="Arial" w:cs="Arial"/>
          <w:b/>
          <w:bCs/>
          <w:sz w:val="16"/>
          <w:szCs w:val="16"/>
        </w:rPr>
        <w:t>(b)</w:t>
      </w:r>
    </w:p>
    <w:p w14:paraId="37B6A8D2" w14:textId="40AC7818" w:rsidR="00335361" w:rsidRPr="001140C0" w:rsidRDefault="00335361" w:rsidP="00335361">
      <w:pPr>
        <w:pStyle w:val="Caption"/>
        <w:rPr>
          <w:i w:val="0"/>
          <w:iCs w:val="0"/>
        </w:rPr>
      </w:pPr>
      <w:bookmarkStart w:id="39" w:name="_Toc58667146"/>
      <w:r w:rsidRPr="00424A29">
        <w:rPr>
          <w:rFonts w:ascii="Arial" w:hAnsi="Arial"/>
          <w:i w:val="0"/>
          <w:iCs w:val="0"/>
          <w:color w:val="000000"/>
          <w:sz w:val="16"/>
          <w:szCs w:val="24"/>
        </w:rPr>
        <w:t xml:space="preserve">Fig. 2. </w:t>
      </w:r>
      <w:r w:rsidRPr="00424A29">
        <w:rPr>
          <w:rFonts w:ascii="Arial" w:hAnsi="Arial"/>
          <w:i w:val="0"/>
          <w:iCs w:val="0"/>
          <w:color w:val="000000"/>
          <w:sz w:val="16"/>
          <w:szCs w:val="24"/>
        </w:rPr>
        <w:fldChar w:fldCharType="begin"/>
      </w:r>
      <w:r w:rsidRPr="00424A29">
        <w:rPr>
          <w:rFonts w:ascii="Arial" w:hAnsi="Arial"/>
          <w:i w:val="0"/>
          <w:iCs w:val="0"/>
          <w:color w:val="000000"/>
          <w:sz w:val="16"/>
          <w:szCs w:val="24"/>
        </w:rPr>
        <w:instrText xml:space="preserve"> SEQ Fig._2. \* ARABIC </w:instrText>
      </w:r>
      <w:r w:rsidRPr="00424A29">
        <w:rPr>
          <w:rFonts w:ascii="Arial" w:hAnsi="Arial"/>
          <w:i w:val="0"/>
          <w:iCs w:val="0"/>
          <w:color w:val="000000"/>
          <w:sz w:val="16"/>
          <w:szCs w:val="24"/>
        </w:rPr>
        <w:fldChar w:fldCharType="separate"/>
      </w:r>
      <w:r w:rsidR="00D006A5">
        <w:rPr>
          <w:rFonts w:ascii="Arial" w:hAnsi="Arial"/>
          <w:i w:val="0"/>
          <w:iCs w:val="0"/>
          <w:noProof/>
          <w:color w:val="000000"/>
          <w:sz w:val="16"/>
          <w:szCs w:val="24"/>
        </w:rPr>
        <w:t>13</w:t>
      </w:r>
      <w:r w:rsidRPr="00424A29">
        <w:rPr>
          <w:rFonts w:ascii="Arial" w:hAnsi="Arial"/>
          <w:i w:val="0"/>
          <w:iCs w:val="0"/>
          <w:color w:val="000000"/>
          <w:sz w:val="16"/>
          <w:szCs w:val="24"/>
        </w:rPr>
        <w:fldChar w:fldCharType="end"/>
      </w:r>
      <w:r w:rsidRPr="001140C0">
        <w:rPr>
          <w:rFonts w:ascii="Arial" w:hAnsi="Arial"/>
          <w:i w:val="0"/>
          <w:iCs w:val="0"/>
          <w:color w:val="000000"/>
          <w:sz w:val="16"/>
          <w:szCs w:val="24"/>
        </w:rPr>
        <w:t>—(a) Plot of propensity score versus fracture fluid volume normalized to lateral length (</w:t>
      </w:r>
      <w:r w:rsidR="00515BC9">
        <w:rPr>
          <w:rFonts w:ascii="Arial" w:hAnsi="Arial"/>
          <w:i w:val="0"/>
          <w:iCs w:val="0"/>
          <w:color w:val="000000"/>
          <w:sz w:val="16"/>
          <w:szCs w:val="24"/>
        </w:rPr>
        <w:t>bbl</w:t>
      </w:r>
      <w:r w:rsidRPr="001140C0">
        <w:rPr>
          <w:rFonts w:ascii="Arial" w:hAnsi="Arial"/>
          <w:i w:val="0"/>
          <w:iCs w:val="0"/>
          <w:color w:val="000000"/>
          <w:sz w:val="16"/>
          <w:szCs w:val="24"/>
        </w:rPr>
        <w:t>/ft) for unmatched child wells (b) Plot of propensity score versus fracture fluid volume normalized to lateral length (</w:t>
      </w:r>
      <w:r w:rsidR="00515BC9">
        <w:rPr>
          <w:rFonts w:ascii="Arial" w:hAnsi="Arial"/>
          <w:i w:val="0"/>
          <w:iCs w:val="0"/>
          <w:color w:val="000000"/>
          <w:sz w:val="16"/>
          <w:szCs w:val="24"/>
        </w:rPr>
        <w:t>bbl</w:t>
      </w:r>
      <w:r w:rsidRPr="001140C0">
        <w:rPr>
          <w:rFonts w:ascii="Arial" w:hAnsi="Arial"/>
          <w:i w:val="0"/>
          <w:iCs w:val="0"/>
          <w:color w:val="000000"/>
          <w:sz w:val="16"/>
          <w:szCs w:val="24"/>
        </w:rPr>
        <w:t>/ft) for unmatched parent wells.</w:t>
      </w:r>
      <w:bookmarkEnd w:id="39"/>
    </w:p>
    <w:p w14:paraId="586F90B8" w14:textId="75775794" w:rsidR="00697AB5" w:rsidRDefault="00697AB5" w:rsidP="00335361">
      <w:pPr>
        <w:pStyle w:val="Caption"/>
      </w:pPr>
    </w:p>
    <w:p w14:paraId="4DF88F0E" w14:textId="4B0C6DB2" w:rsidR="00794B57" w:rsidRDefault="00F36FD2" w:rsidP="00F36FD2">
      <w:pPr>
        <w:pStyle w:val="para1"/>
        <w:spacing w:line="480" w:lineRule="auto"/>
        <w:jc w:val="center"/>
      </w:pPr>
      <w:r>
        <w:rPr>
          <w:noProof/>
        </w:rPr>
        <w:lastRenderedPageBreak/>
        <w:drawing>
          <wp:inline distT="0" distB="0" distL="0" distR="0" wp14:anchorId="36D91816" wp14:editId="240C7511">
            <wp:extent cx="3678594" cy="2853267"/>
            <wp:effectExtent l="0" t="0" r="0" b="444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93645" cy="2864941"/>
                    </a:xfrm>
                    <a:prstGeom prst="rect">
                      <a:avLst/>
                    </a:prstGeom>
                  </pic:spPr>
                </pic:pic>
              </a:graphicData>
            </a:graphic>
          </wp:inline>
        </w:drawing>
      </w:r>
    </w:p>
    <w:p w14:paraId="14C969CE" w14:textId="3F4BCE12" w:rsidR="00794B57" w:rsidRPr="00F36FD2" w:rsidRDefault="00210EB0" w:rsidP="00E04093">
      <w:pPr>
        <w:pStyle w:val="para1"/>
        <w:spacing w:line="480" w:lineRule="auto"/>
        <w:jc w:val="center"/>
        <w:rPr>
          <w:rFonts w:ascii="Arial" w:eastAsiaTheme="minorHAnsi" w:hAnsi="Arial" w:cs="Arial"/>
          <w:b/>
          <w:bCs/>
          <w:sz w:val="16"/>
          <w:szCs w:val="16"/>
        </w:rPr>
      </w:pPr>
      <w:r>
        <w:rPr>
          <w:rFonts w:ascii="Arial" w:eastAsiaTheme="minorHAnsi" w:hAnsi="Arial" w:cs="Arial"/>
          <w:b/>
          <w:bCs/>
          <w:sz w:val="16"/>
          <w:szCs w:val="16"/>
        </w:rPr>
        <w:t xml:space="preserve">       </w:t>
      </w:r>
      <w:r w:rsidR="00F36FD2" w:rsidRPr="00F36FD2">
        <w:rPr>
          <w:rFonts w:ascii="Arial" w:eastAsiaTheme="minorHAnsi" w:hAnsi="Arial" w:cs="Arial"/>
          <w:b/>
          <w:bCs/>
          <w:sz w:val="16"/>
          <w:szCs w:val="16"/>
        </w:rPr>
        <w:t>(a)</w:t>
      </w:r>
    </w:p>
    <w:p w14:paraId="32A7E6A7" w14:textId="63A0B521" w:rsidR="00335361" w:rsidRDefault="00D74C12" w:rsidP="00335361">
      <w:pPr>
        <w:pStyle w:val="para1"/>
        <w:keepNext/>
        <w:spacing w:line="480" w:lineRule="auto"/>
        <w:jc w:val="center"/>
      </w:pPr>
      <w:r>
        <w:rPr>
          <w:noProof/>
        </w:rPr>
        <w:drawing>
          <wp:inline distT="0" distB="0" distL="0" distR="0" wp14:anchorId="10809927" wp14:editId="26CF30D9">
            <wp:extent cx="3742267" cy="2903056"/>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774120" cy="2927766"/>
                    </a:xfrm>
                    <a:prstGeom prst="rect">
                      <a:avLst/>
                    </a:prstGeom>
                  </pic:spPr>
                </pic:pic>
              </a:graphicData>
            </a:graphic>
          </wp:inline>
        </w:drawing>
      </w:r>
    </w:p>
    <w:p w14:paraId="2751A7CE" w14:textId="17DCE410" w:rsidR="00335361" w:rsidRDefault="00335361" w:rsidP="00335361">
      <w:pPr>
        <w:pStyle w:val="para1"/>
        <w:spacing w:line="480" w:lineRule="auto"/>
        <w:jc w:val="center"/>
      </w:pPr>
      <w:r>
        <w:rPr>
          <w:rFonts w:ascii="Arial" w:eastAsiaTheme="minorHAnsi" w:hAnsi="Arial" w:cs="Arial"/>
          <w:b/>
          <w:bCs/>
          <w:sz w:val="16"/>
          <w:szCs w:val="16"/>
        </w:rPr>
        <w:t xml:space="preserve">      </w:t>
      </w:r>
      <w:r w:rsidRPr="00C97819">
        <w:rPr>
          <w:rFonts w:ascii="Arial" w:eastAsiaTheme="minorHAnsi" w:hAnsi="Arial" w:cs="Arial"/>
          <w:b/>
          <w:bCs/>
          <w:sz w:val="16"/>
          <w:szCs w:val="16"/>
        </w:rPr>
        <w:t>(b)</w:t>
      </w:r>
    </w:p>
    <w:p w14:paraId="2C8939DF" w14:textId="1C95719B" w:rsidR="00697AB5" w:rsidRDefault="00335361" w:rsidP="00335361">
      <w:pPr>
        <w:pStyle w:val="Caption"/>
        <w:rPr>
          <w:rFonts w:ascii="Arial" w:hAnsi="Arial" w:cs="Arial"/>
          <w:b w:val="0"/>
          <w:bCs/>
          <w:sz w:val="16"/>
          <w:szCs w:val="16"/>
        </w:rPr>
      </w:pPr>
      <w:bookmarkStart w:id="40" w:name="_Toc58667147"/>
      <w:r w:rsidRPr="00335361">
        <w:rPr>
          <w:rFonts w:ascii="Arial" w:hAnsi="Arial"/>
          <w:i w:val="0"/>
          <w:iCs w:val="0"/>
          <w:color w:val="000000"/>
          <w:sz w:val="16"/>
          <w:szCs w:val="24"/>
        </w:rPr>
        <w:t xml:space="preserve">Fig. 2. </w:t>
      </w:r>
      <w:r w:rsidRPr="00335361">
        <w:rPr>
          <w:rFonts w:ascii="Arial" w:hAnsi="Arial"/>
          <w:i w:val="0"/>
          <w:iCs w:val="0"/>
          <w:color w:val="000000"/>
          <w:sz w:val="16"/>
          <w:szCs w:val="24"/>
        </w:rPr>
        <w:fldChar w:fldCharType="begin"/>
      </w:r>
      <w:r w:rsidRPr="00335361">
        <w:rPr>
          <w:rFonts w:ascii="Arial" w:hAnsi="Arial"/>
          <w:i w:val="0"/>
          <w:iCs w:val="0"/>
          <w:color w:val="000000"/>
          <w:sz w:val="16"/>
          <w:szCs w:val="24"/>
        </w:rPr>
        <w:instrText xml:space="preserve"> SEQ Fig._2. \* ARABIC </w:instrText>
      </w:r>
      <w:r w:rsidRPr="00335361">
        <w:rPr>
          <w:rFonts w:ascii="Arial" w:hAnsi="Arial"/>
          <w:i w:val="0"/>
          <w:iCs w:val="0"/>
          <w:color w:val="000000"/>
          <w:sz w:val="16"/>
          <w:szCs w:val="24"/>
        </w:rPr>
        <w:fldChar w:fldCharType="separate"/>
      </w:r>
      <w:r w:rsidR="00D006A5">
        <w:rPr>
          <w:rFonts w:ascii="Arial" w:hAnsi="Arial"/>
          <w:i w:val="0"/>
          <w:iCs w:val="0"/>
          <w:noProof/>
          <w:color w:val="000000"/>
          <w:sz w:val="16"/>
          <w:szCs w:val="24"/>
        </w:rPr>
        <w:t>14</w:t>
      </w:r>
      <w:r w:rsidRPr="00335361">
        <w:rPr>
          <w:rFonts w:ascii="Arial" w:hAnsi="Arial"/>
          <w:i w:val="0"/>
          <w:iCs w:val="0"/>
          <w:color w:val="000000"/>
          <w:sz w:val="16"/>
          <w:szCs w:val="24"/>
        </w:rPr>
        <w:fldChar w:fldCharType="end"/>
      </w:r>
      <w:r w:rsidRPr="001115C7">
        <w:rPr>
          <w:rFonts w:ascii="Arial" w:hAnsi="Arial"/>
          <w:i w:val="0"/>
          <w:iCs w:val="0"/>
          <w:color w:val="000000"/>
          <w:sz w:val="16"/>
          <w:szCs w:val="24"/>
        </w:rPr>
        <w:t>—(a) Plot of propensity score versus true vertical depth (ft) for unmatched child wells (b) Plot of propensity score versus true vertical depth (ft) for unmatched parent wells</w:t>
      </w:r>
      <w:r>
        <w:rPr>
          <w:rFonts w:ascii="Arial" w:hAnsi="Arial"/>
          <w:i w:val="0"/>
          <w:iCs w:val="0"/>
          <w:color w:val="000000"/>
          <w:sz w:val="16"/>
          <w:szCs w:val="24"/>
        </w:rPr>
        <w:t>.</w:t>
      </w:r>
      <w:bookmarkEnd w:id="40"/>
      <w:r w:rsidR="00697AB5">
        <w:rPr>
          <w:rFonts w:ascii="Arial" w:hAnsi="Arial" w:cs="Arial"/>
          <w:b w:val="0"/>
          <w:bCs/>
          <w:sz w:val="16"/>
          <w:szCs w:val="16"/>
        </w:rPr>
        <w:t xml:space="preserve">    </w:t>
      </w:r>
    </w:p>
    <w:p w14:paraId="4DBBA2DC" w14:textId="3263A70B" w:rsidR="0089300B" w:rsidRDefault="0089300B" w:rsidP="0089300B"/>
    <w:p w14:paraId="340C28AA" w14:textId="77777777" w:rsidR="0089300B" w:rsidRPr="0089300B" w:rsidRDefault="0089300B" w:rsidP="0089300B"/>
    <w:p w14:paraId="003D36CB" w14:textId="77777777" w:rsidR="00335361" w:rsidRDefault="00335361" w:rsidP="00697AB5">
      <w:pPr>
        <w:pStyle w:val="para1"/>
        <w:spacing w:line="480" w:lineRule="auto"/>
        <w:jc w:val="center"/>
        <w:rPr>
          <w:rFonts w:ascii="Arial" w:eastAsiaTheme="minorHAnsi" w:hAnsi="Arial" w:cs="Arial"/>
          <w:b/>
          <w:bCs/>
          <w:sz w:val="16"/>
          <w:szCs w:val="16"/>
        </w:rPr>
      </w:pPr>
    </w:p>
    <w:p w14:paraId="17946613" w14:textId="1A927B9D" w:rsidR="009B2E99" w:rsidRDefault="005D2631" w:rsidP="00CB68E7">
      <w:pPr>
        <w:pStyle w:val="para1"/>
        <w:numPr>
          <w:ilvl w:val="0"/>
          <w:numId w:val="1"/>
        </w:numPr>
        <w:spacing w:line="480" w:lineRule="auto"/>
        <w:ind w:left="180" w:hanging="180"/>
        <w:jc w:val="left"/>
      </w:pPr>
      <w:r w:rsidRPr="00E059D4">
        <w:rPr>
          <w:rFonts w:eastAsiaTheme="minorHAnsi"/>
          <w:i/>
          <w:iCs/>
          <w:color w:val="000000"/>
          <w:szCs w:val="24"/>
        </w:rPr>
        <w:lastRenderedPageBreak/>
        <w:t>B</w:t>
      </w:r>
      <w:r w:rsidR="005145D5" w:rsidRPr="00E059D4">
        <w:rPr>
          <w:rFonts w:eastAsiaTheme="minorHAnsi"/>
          <w:i/>
          <w:iCs/>
          <w:color w:val="000000"/>
          <w:szCs w:val="24"/>
        </w:rPr>
        <w:t>alance</w:t>
      </w:r>
      <w:r w:rsidRPr="00E059D4">
        <w:rPr>
          <w:rFonts w:eastAsiaTheme="minorHAnsi"/>
          <w:i/>
          <w:iCs/>
          <w:color w:val="000000"/>
          <w:szCs w:val="24"/>
        </w:rPr>
        <w:t xml:space="preserve"> computation</w:t>
      </w:r>
    </w:p>
    <w:p w14:paraId="7E258058" w14:textId="463493D6" w:rsidR="00A561C6" w:rsidRDefault="009B2E99" w:rsidP="00E059D4">
      <w:pPr>
        <w:pStyle w:val="para1"/>
        <w:spacing w:line="480" w:lineRule="auto"/>
        <w:ind w:firstLine="0"/>
      </w:pPr>
      <w:r>
        <w:t xml:space="preserve">The second step in this workflow is </w:t>
      </w:r>
      <w:r w:rsidR="00BF6E60">
        <w:t xml:space="preserve">computing the statistical balance </w:t>
      </w:r>
      <w:r w:rsidR="00E10577">
        <w:t xml:space="preserve">between child or treatment and parent or control well groups. This </w:t>
      </w:r>
      <w:r w:rsidR="005742C4">
        <w:t xml:space="preserve">is to be done at every </w:t>
      </w:r>
      <w:r w:rsidR="00E10577">
        <w:t>spacing option</w:t>
      </w:r>
      <w:r w:rsidR="005742C4">
        <w:t xml:space="preserve"> (500 ft, 600</w:t>
      </w:r>
      <w:r w:rsidR="00515BC9">
        <w:t xml:space="preserve"> </w:t>
      </w:r>
      <w:r w:rsidR="005742C4">
        <w:t>ft, 700 ft and 800 ft)</w:t>
      </w:r>
      <w:r w:rsidR="00E10577">
        <w:t xml:space="preserve"> and outcome </w:t>
      </w:r>
      <w:r w:rsidR="005742C4">
        <w:t>(</w:t>
      </w:r>
      <w:r w:rsidR="00E46962">
        <w:t>180</w:t>
      </w:r>
      <w:r w:rsidR="00433835">
        <w:t xml:space="preserve">-day or </w:t>
      </w:r>
      <w:r w:rsidR="00E46962">
        <w:t xml:space="preserve">360-day </w:t>
      </w:r>
      <w:r w:rsidR="005742C4">
        <w:t>cumulative production</w:t>
      </w:r>
      <w:r w:rsidR="005B70B3">
        <w:t xml:space="preserve"> normalized to lateral length</w:t>
      </w:r>
      <w:r w:rsidR="00E46962">
        <w:t xml:space="preserve">) </w:t>
      </w:r>
      <w:r w:rsidR="00E10577">
        <w:t>considered.</w:t>
      </w:r>
      <w:r w:rsidR="0067302D">
        <w:t xml:space="preserve"> To find if there is a statistical balance between the parent and child well groups, </w:t>
      </w:r>
      <w:r w:rsidR="0024189A">
        <w:t>we use the distribution of propensity score as a measure</w:t>
      </w:r>
      <w:r w:rsidR="00C56B76">
        <w:t xml:space="preserve">. </w:t>
      </w:r>
      <w:r w:rsidR="004379A1">
        <w:t>E</w:t>
      </w:r>
      <w:r w:rsidR="00E24DE4">
        <w:t xml:space="preserve">q. </w:t>
      </w:r>
      <w:r w:rsidR="004D0982">
        <w:t>2.9</w:t>
      </w:r>
      <w:r w:rsidR="004379A1">
        <w:t xml:space="preserve">  </w:t>
      </w:r>
      <w:r w:rsidR="00BB6CF2">
        <w:t xml:space="preserve">states that probability distribution of being in the </w:t>
      </w:r>
      <w:r w:rsidR="00E14310">
        <w:t>child</w:t>
      </w:r>
      <w:r w:rsidR="001A33FF">
        <w:t xml:space="preserve"> or treatment</w:t>
      </w:r>
      <w:r w:rsidR="00E14310">
        <w:t xml:space="preserve"> wells group should be </w:t>
      </w:r>
      <w:r w:rsidR="00907416">
        <w:t xml:space="preserve">the </w:t>
      </w:r>
      <w:r w:rsidR="00E14310">
        <w:t>same as probability distribution of being in the parent</w:t>
      </w:r>
      <w:r w:rsidR="001A33FF">
        <w:t xml:space="preserve"> or control</w:t>
      </w:r>
      <w:r w:rsidR="00E14310">
        <w:t xml:space="preserve"> wells group if we condition on a </w:t>
      </w:r>
      <w:r w:rsidR="001A33FF">
        <w:t>similar set of covariates X</w:t>
      </w:r>
      <w:r w:rsidR="00907416">
        <w:t xml:space="preserve"> for each group</w:t>
      </w:r>
      <w:r w:rsidR="00D761FE">
        <w:t xml:space="preserve"> </w:t>
      </w:r>
      <w:r w:rsidR="001A33FF" w:rsidRPr="001A33FF">
        <w:t xml:space="preserve"> </w:t>
      </w:r>
      <w:r w:rsidR="00D761FE">
        <w:t>(</w:t>
      </w:r>
      <w:r w:rsidR="001A33FF" w:rsidRPr="005F6CFC">
        <w:rPr>
          <w:rFonts w:eastAsiaTheme="minorHAnsi"/>
          <w:color w:val="002060"/>
          <w:szCs w:val="24"/>
        </w:rPr>
        <w:t>Hirano et al.</w:t>
      </w:r>
      <w:r w:rsidR="00D761FE">
        <w:rPr>
          <w:rFonts w:eastAsiaTheme="minorHAnsi"/>
          <w:color w:val="002060"/>
          <w:szCs w:val="24"/>
        </w:rPr>
        <w:t xml:space="preserve"> </w:t>
      </w:r>
      <w:r w:rsidR="001A33FF" w:rsidRPr="005F6CFC">
        <w:rPr>
          <w:rFonts w:eastAsiaTheme="minorHAnsi"/>
          <w:color w:val="002060"/>
          <w:szCs w:val="24"/>
        </w:rPr>
        <w:t xml:space="preserve">2003; </w:t>
      </w:r>
      <w:r w:rsidR="0081277E">
        <w:rPr>
          <w:rFonts w:eastAsiaTheme="minorHAnsi"/>
          <w:color w:val="002060"/>
          <w:szCs w:val="24"/>
        </w:rPr>
        <w:t>Imbens</w:t>
      </w:r>
      <w:r w:rsidR="001A33FF" w:rsidRPr="005F6CFC">
        <w:rPr>
          <w:rFonts w:eastAsiaTheme="minorHAnsi"/>
          <w:color w:val="002060"/>
          <w:szCs w:val="24"/>
        </w:rPr>
        <w:t xml:space="preserve"> and Rubin</w:t>
      </w:r>
      <w:r w:rsidR="00D761FE">
        <w:rPr>
          <w:rFonts w:eastAsiaTheme="minorHAnsi"/>
          <w:color w:val="002060"/>
          <w:szCs w:val="24"/>
        </w:rPr>
        <w:t xml:space="preserve"> </w:t>
      </w:r>
      <w:r w:rsidR="001A33FF" w:rsidRPr="005F6CFC">
        <w:rPr>
          <w:rFonts w:eastAsiaTheme="minorHAnsi"/>
          <w:color w:val="002060"/>
          <w:szCs w:val="24"/>
        </w:rPr>
        <w:t>2015</w:t>
      </w:r>
      <w:r w:rsidR="00D761FE">
        <w:rPr>
          <w:rFonts w:eastAsiaTheme="minorHAnsi"/>
          <w:color w:val="002060"/>
          <w:szCs w:val="24"/>
        </w:rPr>
        <w:t>)</w:t>
      </w:r>
    </w:p>
    <w:p w14:paraId="12F8AA87" w14:textId="632A915B" w:rsidR="00A561C6" w:rsidRPr="00AE7E51" w:rsidRDefault="005145D5" w:rsidP="00B40860">
      <w:pPr>
        <w:pStyle w:val="para1"/>
        <w:spacing w:line="480" w:lineRule="auto"/>
        <w:ind w:firstLine="180"/>
        <w:jc w:val="left"/>
      </w:pPr>
      <m:oMath>
        <m:r>
          <w:rPr>
            <w:rFonts w:ascii="Cambria Math" w:hAnsi="Cambria Math"/>
          </w:rPr>
          <m:t>P</m:t>
        </m:r>
        <m:r>
          <m:rPr>
            <m:sty m:val="p"/>
          </m:rPr>
          <w:rPr>
            <w:rFonts w:ascii="Cambria Math" w:hAnsi="Cambria Math"/>
          </w:rPr>
          <m:t>(</m:t>
        </m:r>
        <m:r>
          <m:rPr>
            <m:sty m:val="bi"/>
          </m:rPr>
          <w:rPr>
            <w:rFonts w:ascii="Cambria Math" w:hAnsi="Cambria Math"/>
          </w:rPr>
          <m:t>X</m:t>
        </m:r>
        <m:r>
          <m:rPr>
            <m:sty m:val="p"/>
          </m:rPr>
          <w:rPr>
            <w:rFonts w:ascii="Cambria Math" w:hAnsi="Cambria Math"/>
          </w:rPr>
          <m:t>=</m:t>
        </m:r>
        <m:r>
          <m:rPr>
            <m:sty m:val="bi"/>
          </m:rPr>
          <w:rPr>
            <w:rFonts w:ascii="Cambria Math" w:hAnsi="Cambria Math"/>
          </w:rPr>
          <m:t>x</m:t>
        </m:r>
        <m:r>
          <m:rPr>
            <m:sty m:val="p"/>
          </m:rPr>
          <w:rPr>
            <w:rFonts w:ascii="Cambria Math" w:hAnsi="Cambria Math"/>
          </w:rPr>
          <m:t>|</m:t>
        </m:r>
        <m:r>
          <w:rPr>
            <w:rFonts w:ascii="Cambria Math" w:hAnsi="Cambria Math"/>
          </w:rPr>
          <m:t>π</m:t>
        </m:r>
        <m:d>
          <m:dPr>
            <m:ctrlPr>
              <w:rPr>
                <w:rFonts w:ascii="Cambria Math" w:hAnsi="Cambria Math"/>
              </w:rPr>
            </m:ctrlPr>
          </m:dPr>
          <m:e>
            <m:r>
              <m:rPr>
                <m:sty m:val="bi"/>
              </m:rPr>
              <w:rPr>
                <w:rFonts w:ascii="Cambria Math" w:hAnsi="Cambria Math"/>
              </w:rPr>
              <m:t>X</m:t>
            </m:r>
          </m:e>
        </m:d>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T</m:t>
        </m:r>
        <m:r>
          <m:rPr>
            <m:sty m:val="p"/>
          </m:rPr>
          <w:rPr>
            <w:rFonts w:ascii="Cambria Math" w:hAnsi="Cambria Math"/>
          </w:rPr>
          <m:t>=1</m:t>
        </m:r>
      </m:oMath>
      <w:r w:rsidR="00E24DE4" w:rsidRPr="004623DE">
        <w:t>) =</w:t>
      </w:r>
      <m:oMath>
        <m:r>
          <w:rPr>
            <w:rFonts w:ascii="Cambria Math" w:hAnsi="Cambria Math"/>
          </w:rPr>
          <m:t>P</m:t>
        </m:r>
        <m:r>
          <m:rPr>
            <m:sty m:val="p"/>
          </m:rPr>
          <w:rPr>
            <w:rFonts w:ascii="Cambria Math" w:hAnsi="Cambria Math"/>
          </w:rPr>
          <m:t>(</m:t>
        </m:r>
        <m:r>
          <m:rPr>
            <m:sty m:val="bi"/>
          </m:rPr>
          <w:rPr>
            <w:rFonts w:ascii="Cambria Math" w:hAnsi="Cambria Math"/>
          </w:rPr>
          <m:t>X</m:t>
        </m:r>
        <m:r>
          <m:rPr>
            <m:sty m:val="p"/>
          </m:rPr>
          <w:rPr>
            <w:rFonts w:ascii="Cambria Math" w:hAnsi="Cambria Math"/>
          </w:rPr>
          <m:t>=</m:t>
        </m:r>
        <m:r>
          <m:rPr>
            <m:sty m:val="bi"/>
          </m:rPr>
          <w:rPr>
            <w:rFonts w:ascii="Cambria Math" w:hAnsi="Cambria Math"/>
          </w:rPr>
          <m:t>x</m:t>
        </m:r>
        <m:r>
          <m:rPr>
            <m:sty m:val="p"/>
          </m:rPr>
          <w:rPr>
            <w:rFonts w:ascii="Cambria Math" w:hAnsi="Cambria Math"/>
          </w:rPr>
          <m:t>|</m:t>
        </m:r>
        <m:r>
          <w:rPr>
            <w:rFonts w:ascii="Cambria Math" w:hAnsi="Cambria Math"/>
          </w:rPr>
          <m:t>π</m:t>
        </m:r>
        <m:d>
          <m:dPr>
            <m:ctrlPr>
              <w:rPr>
                <w:rFonts w:ascii="Cambria Math" w:hAnsi="Cambria Math"/>
              </w:rPr>
            </m:ctrlPr>
          </m:dPr>
          <m:e>
            <m:r>
              <m:rPr>
                <m:sty m:val="bi"/>
              </m:rPr>
              <w:rPr>
                <w:rFonts w:ascii="Cambria Math" w:hAnsi="Cambria Math"/>
              </w:rPr>
              <m:t>X</m:t>
            </m:r>
          </m:e>
        </m:d>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T</m:t>
        </m:r>
        <m:r>
          <m:rPr>
            <m:sty m:val="p"/>
          </m:rPr>
          <w:rPr>
            <w:rFonts w:ascii="Cambria Math" w:hAnsi="Cambria Math"/>
          </w:rPr>
          <m:t>=0</m:t>
        </m:r>
      </m:oMath>
      <w:r w:rsidRPr="004623DE">
        <w:t>)</w:t>
      </w:r>
      <w:r w:rsidR="005B70B3">
        <w:t>………………………………</w:t>
      </w:r>
      <w:r w:rsidR="008F4154">
        <w:t>... (2.</w:t>
      </w:r>
      <w:r w:rsidR="004D0982">
        <w:t>9</w:t>
      </w:r>
      <w:r w:rsidR="00E24DE4">
        <w:t>)</w:t>
      </w:r>
    </w:p>
    <w:p w14:paraId="0617E1E3" w14:textId="294AE8E3" w:rsidR="00DB7033" w:rsidRDefault="00907416" w:rsidP="00DB27E8">
      <w:pPr>
        <w:pStyle w:val="NoSpacing"/>
        <w:spacing w:line="480" w:lineRule="auto"/>
        <w:ind w:firstLine="288"/>
      </w:pPr>
      <w:r>
        <w:t>Th</w:t>
      </w:r>
      <w:r w:rsidR="00077915">
        <w:t>e</w:t>
      </w:r>
      <w:r w:rsidR="00FE7AA8">
        <w:t xml:space="preserve"> </w:t>
      </w:r>
      <w:r w:rsidR="00077915">
        <w:t xml:space="preserve">expression </w:t>
      </w:r>
      <w:r w:rsidR="00FE7AA8">
        <w:t xml:space="preserve">in Eq. 2.9 </w:t>
      </w:r>
      <w:r w:rsidR="00077915">
        <w:t>holds true only if we take the propensity score as a balance measure</w:t>
      </w:r>
      <w:r w:rsidR="00272C43">
        <w:t xml:space="preserve">. By using this score, we can restrict the analysis to </w:t>
      </w:r>
      <w:r w:rsidR="00F26E98">
        <w:t>a smaller subset of the wells in both groups</w:t>
      </w:r>
      <w:r w:rsidR="00D0545E">
        <w:t xml:space="preserve">. </w:t>
      </w:r>
      <w:r w:rsidR="00D12E3B">
        <w:t>Our goal</w:t>
      </w:r>
      <w:r w:rsidR="00D0545E">
        <w:t xml:space="preserve"> is</w:t>
      </w:r>
      <w:r w:rsidR="00F26E98">
        <w:t xml:space="preserve"> to search for the parent and wells </w:t>
      </w:r>
      <w:r w:rsidR="00FF4ABE">
        <w:t xml:space="preserve">where </w:t>
      </w:r>
      <w:r w:rsidR="001102CF">
        <w:t xml:space="preserve">the difference in their </w:t>
      </w:r>
      <w:r w:rsidR="00FF4ABE">
        <w:t>propensity score</w:t>
      </w:r>
      <w:r w:rsidR="001102CF">
        <w:t>s is very small</w:t>
      </w:r>
      <w:r w:rsidR="00D0545E">
        <w:t xml:space="preserve"> or it is </w:t>
      </w:r>
      <w:r w:rsidR="00D12E3B">
        <w:t xml:space="preserve">almost </w:t>
      </w:r>
      <w:r w:rsidR="00D0545E">
        <w:t>close to zero</w:t>
      </w:r>
      <w:r w:rsidR="00D12E3B">
        <w:t xml:space="preserve"> </w:t>
      </w:r>
      <w:r w:rsidR="006F4A44">
        <w:t>(</w:t>
      </w:r>
      <w:r w:rsidR="00D12E3B" w:rsidRPr="0015439D">
        <w:rPr>
          <w:rFonts w:cs="Times New Roman"/>
          <w:color w:val="002060"/>
          <w:szCs w:val="24"/>
        </w:rPr>
        <w:t>Rosenbaum and Rubin</w:t>
      </w:r>
      <w:r w:rsidR="006F4A44">
        <w:rPr>
          <w:rFonts w:cs="Times New Roman"/>
          <w:color w:val="002060"/>
          <w:szCs w:val="24"/>
        </w:rPr>
        <w:t xml:space="preserve"> </w:t>
      </w:r>
      <w:r w:rsidR="00D12E3B" w:rsidRPr="0015439D">
        <w:rPr>
          <w:rFonts w:cs="Times New Roman"/>
          <w:color w:val="002060"/>
          <w:szCs w:val="24"/>
        </w:rPr>
        <w:t>2006; Roy</w:t>
      </w:r>
      <w:r w:rsidR="006F4A44">
        <w:rPr>
          <w:rFonts w:cs="Times New Roman"/>
          <w:color w:val="002060"/>
          <w:szCs w:val="24"/>
        </w:rPr>
        <w:t xml:space="preserve"> </w:t>
      </w:r>
      <w:r w:rsidR="00D12E3B" w:rsidRPr="0015439D">
        <w:rPr>
          <w:rFonts w:cs="Times New Roman"/>
          <w:color w:val="002060"/>
          <w:szCs w:val="24"/>
        </w:rPr>
        <w:t>2019</w:t>
      </w:r>
      <w:r w:rsidR="009A0FE7">
        <w:rPr>
          <w:rFonts w:cs="Times New Roman"/>
          <w:color w:val="002060"/>
          <w:szCs w:val="24"/>
        </w:rPr>
        <w:t>)</w:t>
      </w:r>
      <w:r w:rsidR="00D12E3B">
        <w:t xml:space="preserve">. </w:t>
      </w:r>
      <w:r w:rsidR="005C6AF1">
        <w:t xml:space="preserve">At the </w:t>
      </w:r>
      <w:r w:rsidR="002E5057">
        <w:t>6</w:t>
      </w:r>
      <w:r w:rsidR="005C6AF1">
        <w:t>00 ft well spacing option and the outcomes set to normalized Cumulative 360-day production,</w:t>
      </w:r>
      <w:r w:rsidR="005C6AF1" w:rsidRPr="00F427EE">
        <w:t xml:space="preserve"> </w:t>
      </w:r>
      <w:r w:rsidR="005C6AF1" w:rsidRPr="008978AD">
        <w:rPr>
          <w:b/>
          <w:bCs/>
        </w:rPr>
        <w:t xml:space="preserve">Fig. </w:t>
      </w:r>
      <w:r w:rsidR="005C6AF1">
        <w:rPr>
          <w:b/>
          <w:bCs/>
        </w:rPr>
        <w:t>2</w:t>
      </w:r>
      <w:r w:rsidR="00C20D44">
        <w:rPr>
          <w:b/>
          <w:bCs/>
        </w:rPr>
        <w:t>.1</w:t>
      </w:r>
      <w:r w:rsidR="00CE296E">
        <w:rPr>
          <w:b/>
          <w:bCs/>
        </w:rPr>
        <w:t>5</w:t>
      </w:r>
      <w:r w:rsidR="005C6AF1">
        <w:t xml:space="preserve"> shows the propensity score distribution for both </w:t>
      </w:r>
      <w:r w:rsidR="00751137">
        <w:t>child</w:t>
      </w:r>
      <w:r w:rsidR="005C6AF1">
        <w:t xml:space="preserve"> Fig </w:t>
      </w:r>
      <w:r w:rsidR="00D35704">
        <w:t>2.1</w:t>
      </w:r>
      <w:r w:rsidR="00CE296E">
        <w:t>5</w:t>
      </w:r>
      <w:r w:rsidR="00751137">
        <w:t>a</w:t>
      </w:r>
      <w:r w:rsidR="005C6AF1">
        <w:t xml:space="preserve"> and </w:t>
      </w:r>
      <w:r w:rsidR="00751137">
        <w:t>parent</w:t>
      </w:r>
      <w:r w:rsidR="005C6AF1">
        <w:t xml:space="preserve"> well groups Fig</w:t>
      </w:r>
      <w:r w:rsidR="00D35704">
        <w:t>.</w:t>
      </w:r>
      <w:r w:rsidR="005C6AF1">
        <w:t xml:space="preserve"> 2</w:t>
      </w:r>
      <w:r w:rsidR="00D35704">
        <w:t>.1</w:t>
      </w:r>
      <w:r w:rsidR="00CE296E">
        <w:t>5</w:t>
      </w:r>
      <w:r w:rsidR="00751137">
        <w:t>b</w:t>
      </w:r>
      <w:r w:rsidR="005C6AF1">
        <w:t>.</w:t>
      </w:r>
      <w:r w:rsidR="00A01FF9">
        <w:t xml:space="preserve"> I</w:t>
      </w:r>
      <w:r w:rsidR="005C6AF1">
        <w:t xml:space="preserve"> observe that the of the propensity scores are different and therefore for a given set of covariates (5 principal components, </w:t>
      </w:r>
      <w:r w:rsidR="00E17D3B">
        <w:t xml:space="preserve">proppant </w:t>
      </w:r>
      <w:r w:rsidR="008B0A98">
        <w:t>weight</w:t>
      </w:r>
      <w:r w:rsidR="00E17D3B">
        <w:t xml:space="preserve"> normalized </w:t>
      </w:r>
      <w:r w:rsidR="00812998">
        <w:t>to lateral length, fracture fluid volume normalized to lateral length</w:t>
      </w:r>
      <w:r w:rsidR="005C6AF1">
        <w:t xml:space="preserve"> and </w:t>
      </w:r>
      <w:r w:rsidR="002225C6">
        <w:t>TVD),</w:t>
      </w:r>
      <w:r w:rsidR="005C6AF1">
        <w:t xml:space="preserve"> the probability of being in the parent or child group is unequal.</w:t>
      </w:r>
      <w:r w:rsidR="002225C6">
        <w:t xml:space="preserve"> </w:t>
      </w:r>
      <w:r w:rsidR="005C6AF1">
        <w:t xml:space="preserve">As a result, wells in parent and child groups currently have </w:t>
      </w:r>
      <w:r w:rsidR="005C6AF1" w:rsidRPr="00683126">
        <w:t>statistically dissimilar completion</w:t>
      </w:r>
      <w:r w:rsidR="005C6AF1">
        <w:t xml:space="preserve"> designs</w:t>
      </w:r>
      <w:r w:rsidR="005C6AF1" w:rsidRPr="00683126">
        <w:t xml:space="preserve">, reservoir and </w:t>
      </w:r>
      <w:r w:rsidR="005C6AF1">
        <w:t>landing zone</w:t>
      </w:r>
      <w:r w:rsidR="005C6AF1" w:rsidRPr="00683126">
        <w:t xml:space="preserve"> properties</w:t>
      </w:r>
      <w:r w:rsidR="002225C6">
        <w:t>.</w:t>
      </w:r>
      <w:r w:rsidR="005C6AF1">
        <w:t xml:space="preserve"> </w:t>
      </w:r>
    </w:p>
    <w:p w14:paraId="0F282205" w14:textId="77777777" w:rsidR="008F4154" w:rsidRDefault="008F4154" w:rsidP="00DB27E8">
      <w:pPr>
        <w:pStyle w:val="NoSpacing"/>
        <w:spacing w:line="480" w:lineRule="auto"/>
        <w:ind w:firstLine="288"/>
      </w:pPr>
    </w:p>
    <w:p w14:paraId="10CDB9FF" w14:textId="4E62698F" w:rsidR="00335361" w:rsidRDefault="0086319B" w:rsidP="00335361">
      <w:pPr>
        <w:pStyle w:val="NoSpacing"/>
        <w:keepNext/>
        <w:spacing w:line="480" w:lineRule="auto"/>
        <w:ind w:firstLine="288"/>
      </w:pPr>
      <w:r>
        <w:rPr>
          <w:noProof/>
        </w:rPr>
        <w:lastRenderedPageBreak/>
        <w:drawing>
          <wp:inline distT="0" distB="0" distL="0" distR="0" wp14:anchorId="6A33BD98" wp14:editId="27EF5125">
            <wp:extent cx="5943600" cy="2209165"/>
            <wp:effectExtent l="0" t="0" r="0" b="63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2209165"/>
                    </a:xfrm>
                    <a:prstGeom prst="rect">
                      <a:avLst/>
                    </a:prstGeom>
                  </pic:spPr>
                </pic:pic>
              </a:graphicData>
            </a:graphic>
          </wp:inline>
        </w:drawing>
      </w:r>
    </w:p>
    <w:p w14:paraId="5CD604E3" w14:textId="3B33F384" w:rsidR="00335361" w:rsidRDefault="00335361" w:rsidP="00335361">
      <w:pPr>
        <w:pStyle w:val="NoSpacing"/>
        <w:keepNext/>
        <w:spacing w:line="480" w:lineRule="auto"/>
        <w:ind w:firstLine="288"/>
      </w:pPr>
      <w:r>
        <w:t xml:space="preserve">                                             </w:t>
      </w:r>
      <w:r w:rsidRPr="00697AB5">
        <w:rPr>
          <w:rFonts w:ascii="Arial" w:hAnsi="Arial"/>
          <w:b/>
          <w:color w:val="000000"/>
          <w:sz w:val="16"/>
          <w:szCs w:val="24"/>
        </w:rPr>
        <w:t xml:space="preserve">(a)                                                                                                     </w:t>
      </w:r>
      <w:r>
        <w:rPr>
          <w:rFonts w:ascii="Arial" w:hAnsi="Arial"/>
          <w:b/>
          <w:color w:val="000000"/>
          <w:sz w:val="16"/>
          <w:szCs w:val="24"/>
        </w:rPr>
        <w:t xml:space="preserve"> </w:t>
      </w:r>
      <w:r w:rsidRPr="00697AB5">
        <w:rPr>
          <w:rFonts w:ascii="Arial" w:hAnsi="Arial"/>
          <w:b/>
          <w:color w:val="000000"/>
          <w:sz w:val="16"/>
          <w:szCs w:val="24"/>
        </w:rPr>
        <w:t>(b)</w:t>
      </w:r>
      <w:r w:rsidRPr="008261DF">
        <w:rPr>
          <w:rFonts w:ascii="Arial" w:hAnsi="Arial" w:cs="Times New Roman"/>
          <w:color w:val="000000"/>
          <w:sz w:val="16"/>
          <w:szCs w:val="24"/>
        </w:rPr>
        <w:t xml:space="preserve">     </w:t>
      </w:r>
      <w:r>
        <w:rPr>
          <w:rFonts w:ascii="Arial" w:hAnsi="Arial" w:cs="Times New Roman"/>
          <w:color w:val="000000"/>
          <w:sz w:val="16"/>
          <w:szCs w:val="24"/>
        </w:rPr>
        <w:t xml:space="preserve">                 </w:t>
      </w:r>
    </w:p>
    <w:p w14:paraId="20C4CF0B" w14:textId="620B148B" w:rsidR="00CE296E" w:rsidRDefault="00335361" w:rsidP="00335361">
      <w:pPr>
        <w:pStyle w:val="NoSpacing"/>
        <w:spacing w:line="480" w:lineRule="auto"/>
        <w:jc w:val="center"/>
        <w:rPr>
          <w:rFonts w:ascii="Arial" w:hAnsi="Arial"/>
          <w:b/>
          <w:color w:val="000000"/>
          <w:sz w:val="16"/>
          <w:szCs w:val="24"/>
        </w:rPr>
      </w:pPr>
      <w:bookmarkStart w:id="41" w:name="_Toc58667148"/>
      <w:r w:rsidRPr="00335361">
        <w:rPr>
          <w:rFonts w:ascii="Arial" w:hAnsi="Arial"/>
          <w:b/>
          <w:color w:val="000000"/>
          <w:sz w:val="16"/>
          <w:szCs w:val="24"/>
        </w:rPr>
        <w:t xml:space="preserve">Fig. 2. </w:t>
      </w:r>
      <w:r w:rsidRPr="00335361">
        <w:rPr>
          <w:rFonts w:ascii="Arial" w:hAnsi="Arial"/>
          <w:b/>
          <w:color w:val="000000"/>
          <w:sz w:val="16"/>
          <w:szCs w:val="24"/>
        </w:rPr>
        <w:fldChar w:fldCharType="begin"/>
      </w:r>
      <w:r w:rsidRPr="00335361">
        <w:rPr>
          <w:rFonts w:ascii="Arial" w:hAnsi="Arial"/>
          <w:b/>
          <w:color w:val="000000"/>
          <w:sz w:val="16"/>
          <w:szCs w:val="24"/>
        </w:rPr>
        <w:instrText xml:space="preserve"> SEQ Fig._2. \* ARABIC </w:instrText>
      </w:r>
      <w:r w:rsidRPr="00335361">
        <w:rPr>
          <w:rFonts w:ascii="Arial" w:hAnsi="Arial"/>
          <w:b/>
          <w:color w:val="000000"/>
          <w:sz w:val="16"/>
          <w:szCs w:val="24"/>
        </w:rPr>
        <w:fldChar w:fldCharType="separate"/>
      </w:r>
      <w:r w:rsidR="00D006A5">
        <w:rPr>
          <w:rFonts w:ascii="Arial" w:hAnsi="Arial"/>
          <w:b/>
          <w:noProof/>
          <w:color w:val="000000"/>
          <w:sz w:val="16"/>
          <w:szCs w:val="24"/>
        </w:rPr>
        <w:t>15</w:t>
      </w:r>
      <w:r w:rsidRPr="00335361">
        <w:rPr>
          <w:rFonts w:ascii="Arial" w:hAnsi="Arial"/>
          <w:b/>
          <w:color w:val="000000"/>
          <w:sz w:val="16"/>
          <w:szCs w:val="24"/>
        </w:rPr>
        <w:fldChar w:fldCharType="end"/>
      </w:r>
      <w:r>
        <w:rPr>
          <w:rFonts w:ascii="Arial" w:hAnsi="Arial"/>
          <w:b/>
          <w:color w:val="000000"/>
          <w:sz w:val="16"/>
          <w:szCs w:val="24"/>
        </w:rPr>
        <w:t>—</w:t>
      </w:r>
      <w:r w:rsidRPr="009D158B">
        <w:rPr>
          <w:rFonts w:ascii="Arial" w:hAnsi="Arial"/>
          <w:b/>
          <w:color w:val="000000"/>
          <w:sz w:val="16"/>
          <w:szCs w:val="24"/>
        </w:rPr>
        <w:t>(a) Distribution of propensity score for unmatched child wells (b) Distribution of propensity score for unmatched parent wells</w:t>
      </w:r>
      <w:r>
        <w:rPr>
          <w:rFonts w:ascii="Arial" w:hAnsi="Arial"/>
          <w:b/>
          <w:color w:val="000000"/>
          <w:sz w:val="16"/>
          <w:szCs w:val="24"/>
        </w:rPr>
        <w:t xml:space="preserve"> </w:t>
      </w:r>
      <w:r w:rsidRPr="009A3B09">
        <w:rPr>
          <w:rFonts w:ascii="Arial" w:hAnsi="Arial"/>
          <w:b/>
          <w:color w:val="000000"/>
          <w:sz w:val="16"/>
          <w:szCs w:val="24"/>
        </w:rPr>
        <w:t>(Sakhardande and Devegowda 2021)</w:t>
      </w:r>
      <w:r>
        <w:rPr>
          <w:rFonts w:ascii="Arial" w:hAnsi="Arial"/>
          <w:b/>
          <w:color w:val="000000"/>
          <w:sz w:val="16"/>
          <w:szCs w:val="24"/>
        </w:rPr>
        <w:t>.</w:t>
      </w:r>
      <w:bookmarkEnd w:id="41"/>
    </w:p>
    <w:p w14:paraId="5130420B" w14:textId="77777777" w:rsidR="00335361" w:rsidRDefault="00335361" w:rsidP="00335361">
      <w:pPr>
        <w:pStyle w:val="NoSpacing"/>
        <w:spacing w:line="480" w:lineRule="auto"/>
        <w:ind w:firstLine="288"/>
        <w:jc w:val="center"/>
        <w:rPr>
          <w:rFonts w:ascii="Arial" w:hAnsi="Arial"/>
          <w:b/>
          <w:color w:val="000000"/>
          <w:sz w:val="16"/>
          <w:szCs w:val="24"/>
        </w:rPr>
      </w:pPr>
    </w:p>
    <w:p w14:paraId="780C8CB4" w14:textId="32550854" w:rsidR="000A3B44" w:rsidRDefault="00871647" w:rsidP="00CA07A5">
      <w:pPr>
        <w:pStyle w:val="NoSpacing"/>
        <w:spacing w:line="480" w:lineRule="auto"/>
        <w:ind w:firstLine="288"/>
        <w:rPr>
          <w:noProof/>
        </w:rPr>
      </w:pPr>
      <w:r w:rsidRPr="003877C3">
        <w:rPr>
          <w:b/>
          <w:bCs/>
        </w:rPr>
        <w:t>Fig. 2.1</w:t>
      </w:r>
      <w:r w:rsidR="00CE296E">
        <w:rPr>
          <w:b/>
          <w:bCs/>
        </w:rPr>
        <w:t>6</w:t>
      </w:r>
      <w:r w:rsidRPr="003877C3">
        <w:rPr>
          <w:b/>
          <w:bCs/>
        </w:rPr>
        <w:t>, 2.1</w:t>
      </w:r>
      <w:r w:rsidR="00CE296E">
        <w:rPr>
          <w:b/>
          <w:bCs/>
        </w:rPr>
        <w:t>7</w:t>
      </w:r>
      <w:r w:rsidRPr="003877C3">
        <w:rPr>
          <w:b/>
          <w:bCs/>
        </w:rPr>
        <w:t xml:space="preserve"> and 2.1</w:t>
      </w:r>
      <w:r w:rsidR="00CE296E">
        <w:rPr>
          <w:b/>
          <w:bCs/>
        </w:rPr>
        <w:t>8</w:t>
      </w:r>
      <w:r>
        <w:t xml:space="preserve"> show box plots for TVD, proppant </w:t>
      </w:r>
      <w:r w:rsidR="0002242A">
        <w:t>weight</w:t>
      </w:r>
      <w:r>
        <w:t xml:space="preserve"> normalized to lateral length (</w:t>
      </w:r>
      <w:r w:rsidR="007D7803">
        <w:t>lb/ft</w:t>
      </w:r>
      <w:r>
        <w:t xml:space="preserve">) and fracture fluid volume normalized to lateral length (bbl/ft) respectively. From the box plots, one can easily spot that there is variation in the range of the landing zones and completion size properties between parent and child well groups. </w:t>
      </w:r>
      <w:r w:rsidR="005E5CEB" w:rsidRPr="005E5CEB">
        <w:rPr>
          <w:noProof/>
        </w:rPr>
        <w:t xml:space="preserve"> </w:t>
      </w:r>
    </w:p>
    <w:p w14:paraId="032D53A3" w14:textId="77777777" w:rsidR="00771EF2" w:rsidRDefault="00771EF2" w:rsidP="00CA07A5">
      <w:pPr>
        <w:pStyle w:val="NoSpacing"/>
        <w:spacing w:line="480" w:lineRule="auto"/>
        <w:ind w:firstLine="288"/>
        <w:rPr>
          <w:noProof/>
        </w:rPr>
      </w:pPr>
    </w:p>
    <w:p w14:paraId="17B4DDE2" w14:textId="4ABB3213" w:rsidR="00D92553" w:rsidRDefault="00771EF2" w:rsidP="00771EF2">
      <w:pPr>
        <w:pStyle w:val="NoSpacing"/>
        <w:spacing w:line="480" w:lineRule="auto"/>
        <w:jc w:val="center"/>
        <w:rPr>
          <w:noProof/>
        </w:rPr>
      </w:pPr>
      <w:r>
        <w:rPr>
          <w:noProof/>
        </w:rPr>
        <w:lastRenderedPageBreak/>
        <w:drawing>
          <wp:inline distT="0" distB="0" distL="0" distR="0" wp14:anchorId="0A7CCE5C" wp14:editId="324BE18C">
            <wp:extent cx="5242294" cy="3522866"/>
            <wp:effectExtent l="0" t="0" r="0" b="190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59887" cy="3534689"/>
                    </a:xfrm>
                    <a:prstGeom prst="rect">
                      <a:avLst/>
                    </a:prstGeom>
                  </pic:spPr>
                </pic:pic>
              </a:graphicData>
            </a:graphic>
          </wp:inline>
        </w:drawing>
      </w:r>
    </w:p>
    <w:p w14:paraId="603BEFBC" w14:textId="4CBBD12E" w:rsidR="00335361" w:rsidRDefault="00335361" w:rsidP="00697AB5">
      <w:pPr>
        <w:pStyle w:val="Caption"/>
        <w:rPr>
          <w:rFonts w:ascii="Arial" w:hAnsi="Arial"/>
          <w:i w:val="0"/>
          <w:iCs w:val="0"/>
          <w:color w:val="000000"/>
          <w:sz w:val="16"/>
          <w:szCs w:val="24"/>
        </w:rPr>
      </w:pPr>
      <w:bookmarkStart w:id="42" w:name="_Toc58667149"/>
      <w:r w:rsidRPr="00335361">
        <w:rPr>
          <w:rFonts w:ascii="Arial" w:hAnsi="Arial"/>
          <w:i w:val="0"/>
          <w:iCs w:val="0"/>
          <w:color w:val="000000"/>
          <w:sz w:val="16"/>
          <w:szCs w:val="24"/>
        </w:rPr>
        <w:t xml:space="preserve">Fig. 2. </w:t>
      </w:r>
      <w:r w:rsidRPr="00335361">
        <w:rPr>
          <w:rFonts w:ascii="Arial" w:hAnsi="Arial"/>
          <w:i w:val="0"/>
          <w:iCs w:val="0"/>
          <w:color w:val="000000"/>
          <w:sz w:val="16"/>
          <w:szCs w:val="24"/>
        </w:rPr>
        <w:fldChar w:fldCharType="begin"/>
      </w:r>
      <w:r w:rsidRPr="00335361">
        <w:rPr>
          <w:rFonts w:ascii="Arial" w:hAnsi="Arial"/>
          <w:i w:val="0"/>
          <w:iCs w:val="0"/>
          <w:color w:val="000000"/>
          <w:sz w:val="16"/>
          <w:szCs w:val="24"/>
        </w:rPr>
        <w:instrText xml:space="preserve"> SEQ Fig._2. \* ARABIC </w:instrText>
      </w:r>
      <w:r w:rsidRPr="00335361">
        <w:rPr>
          <w:rFonts w:ascii="Arial" w:hAnsi="Arial"/>
          <w:i w:val="0"/>
          <w:iCs w:val="0"/>
          <w:color w:val="000000"/>
          <w:sz w:val="16"/>
          <w:szCs w:val="24"/>
        </w:rPr>
        <w:fldChar w:fldCharType="separate"/>
      </w:r>
      <w:r w:rsidR="00D006A5">
        <w:rPr>
          <w:rFonts w:ascii="Arial" w:hAnsi="Arial"/>
          <w:i w:val="0"/>
          <w:iCs w:val="0"/>
          <w:noProof/>
          <w:color w:val="000000"/>
          <w:sz w:val="16"/>
          <w:szCs w:val="24"/>
        </w:rPr>
        <w:t>16</w:t>
      </w:r>
      <w:r w:rsidRPr="00335361">
        <w:rPr>
          <w:rFonts w:ascii="Arial" w:hAnsi="Arial"/>
          <w:i w:val="0"/>
          <w:iCs w:val="0"/>
          <w:color w:val="000000"/>
          <w:sz w:val="16"/>
          <w:szCs w:val="24"/>
        </w:rPr>
        <w:fldChar w:fldCharType="end"/>
      </w:r>
      <w:r w:rsidRPr="00D93DDA">
        <w:rPr>
          <w:rFonts w:ascii="Arial" w:hAnsi="Arial"/>
          <w:i w:val="0"/>
          <w:iCs w:val="0"/>
          <w:color w:val="000000"/>
          <w:sz w:val="16"/>
          <w:szCs w:val="24"/>
        </w:rPr>
        <w:t>—True vertical depth (ft) box plots for parent (0) and child (1) well group.</w:t>
      </w:r>
      <w:bookmarkEnd w:id="42"/>
    </w:p>
    <w:p w14:paraId="7EB18590" w14:textId="6AE35F11" w:rsidR="00CB0BBB" w:rsidRPr="00CB0BBB" w:rsidRDefault="00CB0BBB" w:rsidP="00554F99">
      <w:pPr>
        <w:jc w:val="center"/>
      </w:pPr>
      <w:r>
        <w:rPr>
          <w:noProof/>
        </w:rPr>
        <w:drawing>
          <wp:inline distT="0" distB="0" distL="0" distR="0" wp14:anchorId="2FC2F800" wp14:editId="0D9237C8">
            <wp:extent cx="5115317" cy="34353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131120" cy="3445963"/>
                    </a:xfrm>
                    <a:prstGeom prst="rect">
                      <a:avLst/>
                    </a:prstGeom>
                  </pic:spPr>
                </pic:pic>
              </a:graphicData>
            </a:graphic>
          </wp:inline>
        </w:drawing>
      </w:r>
    </w:p>
    <w:p w14:paraId="6A029968" w14:textId="3A70FE9E" w:rsidR="00697AB5" w:rsidRDefault="00335361" w:rsidP="00335361">
      <w:pPr>
        <w:pStyle w:val="Caption"/>
        <w:rPr>
          <w:rFonts w:ascii="Arial" w:hAnsi="Arial"/>
          <w:i w:val="0"/>
          <w:iCs w:val="0"/>
          <w:color w:val="000000"/>
          <w:sz w:val="16"/>
          <w:szCs w:val="24"/>
        </w:rPr>
      </w:pPr>
      <w:bookmarkStart w:id="43" w:name="_Toc58667150"/>
      <w:r w:rsidRPr="00946D78">
        <w:rPr>
          <w:rFonts w:ascii="Arial" w:hAnsi="Arial"/>
          <w:i w:val="0"/>
          <w:iCs w:val="0"/>
          <w:color w:val="000000"/>
          <w:sz w:val="16"/>
          <w:szCs w:val="24"/>
        </w:rPr>
        <w:t xml:space="preserve">Fig. 2. </w:t>
      </w:r>
      <w:r w:rsidRPr="00946D78">
        <w:rPr>
          <w:rFonts w:ascii="Arial" w:hAnsi="Arial"/>
          <w:i w:val="0"/>
          <w:iCs w:val="0"/>
          <w:color w:val="000000"/>
          <w:sz w:val="16"/>
          <w:szCs w:val="24"/>
        </w:rPr>
        <w:fldChar w:fldCharType="begin"/>
      </w:r>
      <w:r w:rsidRPr="00946D78">
        <w:rPr>
          <w:rFonts w:ascii="Arial" w:hAnsi="Arial"/>
          <w:i w:val="0"/>
          <w:iCs w:val="0"/>
          <w:color w:val="000000"/>
          <w:sz w:val="16"/>
          <w:szCs w:val="24"/>
        </w:rPr>
        <w:instrText xml:space="preserve"> SEQ Fig._2. \* ARABIC </w:instrText>
      </w:r>
      <w:r w:rsidRPr="00946D78">
        <w:rPr>
          <w:rFonts w:ascii="Arial" w:hAnsi="Arial"/>
          <w:i w:val="0"/>
          <w:iCs w:val="0"/>
          <w:color w:val="000000"/>
          <w:sz w:val="16"/>
          <w:szCs w:val="24"/>
        </w:rPr>
        <w:fldChar w:fldCharType="separate"/>
      </w:r>
      <w:r w:rsidR="00D006A5">
        <w:rPr>
          <w:rFonts w:ascii="Arial" w:hAnsi="Arial"/>
          <w:i w:val="0"/>
          <w:iCs w:val="0"/>
          <w:noProof/>
          <w:color w:val="000000"/>
          <w:sz w:val="16"/>
          <w:szCs w:val="24"/>
        </w:rPr>
        <w:t>17</w:t>
      </w:r>
      <w:r w:rsidRPr="00946D78">
        <w:rPr>
          <w:rFonts w:ascii="Arial" w:hAnsi="Arial"/>
          <w:i w:val="0"/>
          <w:iCs w:val="0"/>
          <w:color w:val="000000"/>
          <w:sz w:val="16"/>
          <w:szCs w:val="24"/>
        </w:rPr>
        <w:fldChar w:fldCharType="end"/>
      </w:r>
      <w:r w:rsidRPr="00D34C52">
        <w:rPr>
          <w:rFonts w:ascii="Arial" w:hAnsi="Arial"/>
          <w:i w:val="0"/>
          <w:iCs w:val="0"/>
          <w:color w:val="000000"/>
          <w:sz w:val="16"/>
          <w:szCs w:val="24"/>
        </w:rPr>
        <w:t xml:space="preserve">—Proppant </w:t>
      </w:r>
      <w:r w:rsidR="0002242A">
        <w:rPr>
          <w:rFonts w:ascii="Arial" w:hAnsi="Arial"/>
          <w:i w:val="0"/>
          <w:iCs w:val="0"/>
          <w:color w:val="000000"/>
          <w:sz w:val="16"/>
          <w:szCs w:val="24"/>
        </w:rPr>
        <w:t>weight</w:t>
      </w:r>
      <w:r w:rsidRPr="00D34C52">
        <w:rPr>
          <w:rFonts w:ascii="Arial" w:hAnsi="Arial"/>
          <w:i w:val="0"/>
          <w:iCs w:val="0"/>
          <w:color w:val="000000"/>
          <w:sz w:val="16"/>
          <w:szCs w:val="24"/>
        </w:rPr>
        <w:t xml:space="preserve"> normalized to lateral length (l</w:t>
      </w:r>
      <w:r w:rsidR="00D643E6">
        <w:rPr>
          <w:rFonts w:ascii="Arial" w:hAnsi="Arial"/>
          <w:i w:val="0"/>
          <w:iCs w:val="0"/>
          <w:color w:val="000000"/>
          <w:sz w:val="16"/>
          <w:szCs w:val="24"/>
        </w:rPr>
        <w:t>b</w:t>
      </w:r>
      <w:r w:rsidRPr="00D34C52">
        <w:rPr>
          <w:rFonts w:ascii="Arial" w:hAnsi="Arial"/>
          <w:i w:val="0"/>
          <w:iCs w:val="0"/>
          <w:color w:val="000000"/>
          <w:sz w:val="16"/>
          <w:szCs w:val="24"/>
        </w:rPr>
        <w:t>/ft) box plots for parent (0) and child (1) well group.</w:t>
      </w:r>
      <w:bookmarkEnd w:id="43"/>
    </w:p>
    <w:p w14:paraId="04AF8F0E" w14:textId="5E0FB90B" w:rsidR="00663988" w:rsidRDefault="00663988" w:rsidP="00663988"/>
    <w:p w14:paraId="1C3AB43D" w14:textId="3D09E0A1" w:rsidR="00663988" w:rsidRPr="00663988" w:rsidRDefault="00663988" w:rsidP="00663988">
      <w:pPr>
        <w:jc w:val="center"/>
      </w:pPr>
      <w:r>
        <w:rPr>
          <w:noProof/>
        </w:rPr>
        <w:drawing>
          <wp:inline distT="0" distB="0" distL="0" distR="0" wp14:anchorId="3EFB4D5D" wp14:editId="140582F0">
            <wp:extent cx="5036820" cy="35699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052657" cy="3581125"/>
                    </a:xfrm>
                    <a:prstGeom prst="rect">
                      <a:avLst/>
                    </a:prstGeom>
                  </pic:spPr>
                </pic:pic>
              </a:graphicData>
            </a:graphic>
          </wp:inline>
        </w:drawing>
      </w:r>
    </w:p>
    <w:p w14:paraId="7827611B" w14:textId="582FCC78" w:rsidR="00697AB5" w:rsidRDefault="00335361" w:rsidP="00335361">
      <w:pPr>
        <w:pStyle w:val="Caption"/>
      </w:pPr>
      <w:bookmarkStart w:id="44" w:name="_Toc58667151"/>
      <w:r w:rsidRPr="00335361">
        <w:rPr>
          <w:rFonts w:ascii="Arial" w:hAnsi="Arial"/>
          <w:i w:val="0"/>
          <w:iCs w:val="0"/>
          <w:color w:val="000000"/>
          <w:sz w:val="16"/>
          <w:szCs w:val="24"/>
        </w:rPr>
        <w:t xml:space="preserve">Fig. 2. </w:t>
      </w:r>
      <w:r w:rsidRPr="00335361">
        <w:rPr>
          <w:rFonts w:ascii="Arial" w:hAnsi="Arial"/>
          <w:i w:val="0"/>
          <w:iCs w:val="0"/>
          <w:color w:val="000000"/>
          <w:sz w:val="16"/>
          <w:szCs w:val="24"/>
        </w:rPr>
        <w:fldChar w:fldCharType="begin"/>
      </w:r>
      <w:r w:rsidRPr="00335361">
        <w:rPr>
          <w:rFonts w:ascii="Arial" w:hAnsi="Arial"/>
          <w:i w:val="0"/>
          <w:iCs w:val="0"/>
          <w:color w:val="000000"/>
          <w:sz w:val="16"/>
          <w:szCs w:val="24"/>
        </w:rPr>
        <w:instrText xml:space="preserve"> SEQ Fig._2. \* ARABIC </w:instrText>
      </w:r>
      <w:r w:rsidRPr="00335361">
        <w:rPr>
          <w:rFonts w:ascii="Arial" w:hAnsi="Arial"/>
          <w:i w:val="0"/>
          <w:iCs w:val="0"/>
          <w:color w:val="000000"/>
          <w:sz w:val="16"/>
          <w:szCs w:val="24"/>
        </w:rPr>
        <w:fldChar w:fldCharType="separate"/>
      </w:r>
      <w:r w:rsidR="00D006A5">
        <w:rPr>
          <w:rFonts w:ascii="Arial" w:hAnsi="Arial"/>
          <w:i w:val="0"/>
          <w:iCs w:val="0"/>
          <w:noProof/>
          <w:color w:val="000000"/>
          <w:sz w:val="16"/>
          <w:szCs w:val="24"/>
        </w:rPr>
        <w:t>18</w:t>
      </w:r>
      <w:r w:rsidRPr="00335361">
        <w:rPr>
          <w:rFonts w:ascii="Arial" w:hAnsi="Arial"/>
          <w:i w:val="0"/>
          <w:iCs w:val="0"/>
          <w:color w:val="000000"/>
          <w:sz w:val="16"/>
          <w:szCs w:val="24"/>
        </w:rPr>
        <w:fldChar w:fldCharType="end"/>
      </w:r>
      <w:r w:rsidRPr="00697AB5">
        <w:rPr>
          <w:rFonts w:ascii="Arial" w:hAnsi="Arial"/>
          <w:i w:val="0"/>
          <w:iCs w:val="0"/>
          <w:color w:val="000000"/>
          <w:sz w:val="16"/>
          <w:szCs w:val="24"/>
        </w:rPr>
        <w:t>—Fracture fluid volume normalized to lateral length (bbl/ft) box plots for parent (0) and child (1) well group.</w:t>
      </w:r>
      <w:bookmarkEnd w:id="44"/>
    </w:p>
    <w:p w14:paraId="6996FB99" w14:textId="06B70F96" w:rsidR="00416599" w:rsidRDefault="00716DA8" w:rsidP="00416599">
      <w:pPr>
        <w:pStyle w:val="para1"/>
        <w:spacing w:line="480" w:lineRule="auto"/>
        <w:rPr>
          <w:rFonts w:eastAsiaTheme="minorHAnsi"/>
          <w:bCs/>
          <w:color w:val="000000"/>
          <w:szCs w:val="24"/>
        </w:rPr>
      </w:pPr>
      <w:r w:rsidRPr="00716DA8">
        <w:rPr>
          <w:rFonts w:eastAsiaTheme="minorHAnsi"/>
          <w:bCs/>
          <w:color w:val="000000"/>
          <w:szCs w:val="24"/>
        </w:rPr>
        <w:t xml:space="preserve">Another way one can check for the balance is by computing the </w:t>
      </w:r>
      <w:r w:rsidR="00614082">
        <w:rPr>
          <w:rFonts w:eastAsiaTheme="minorHAnsi"/>
          <w:bCs/>
          <w:color w:val="000000"/>
          <w:szCs w:val="24"/>
        </w:rPr>
        <w:t>s</w:t>
      </w:r>
      <w:r w:rsidRPr="00716DA8">
        <w:rPr>
          <w:rFonts w:eastAsiaTheme="minorHAnsi"/>
          <w:bCs/>
          <w:color w:val="000000"/>
          <w:szCs w:val="24"/>
        </w:rPr>
        <w:t>tandardized mean differences</w:t>
      </w:r>
      <w:r w:rsidR="00614082">
        <w:rPr>
          <w:rFonts w:eastAsiaTheme="minorHAnsi"/>
          <w:bCs/>
          <w:color w:val="000000"/>
          <w:szCs w:val="24"/>
        </w:rPr>
        <w:t xml:space="preserve"> (SMD)</w:t>
      </w:r>
      <w:r>
        <w:rPr>
          <w:rFonts w:eastAsiaTheme="minorHAnsi"/>
          <w:bCs/>
          <w:color w:val="000000"/>
          <w:szCs w:val="24"/>
        </w:rPr>
        <w:t xml:space="preserve"> for all the individual covariates.</w:t>
      </w:r>
      <w:r w:rsidRPr="00716DA8">
        <w:rPr>
          <w:rFonts w:eastAsiaTheme="minorHAnsi"/>
          <w:bCs/>
          <w:color w:val="000000"/>
          <w:szCs w:val="24"/>
        </w:rPr>
        <w:t xml:space="preserve"> </w:t>
      </w:r>
      <w:r w:rsidR="00614082">
        <w:rPr>
          <w:rFonts w:eastAsiaTheme="minorHAnsi"/>
          <w:bCs/>
          <w:color w:val="000000"/>
          <w:szCs w:val="24"/>
        </w:rPr>
        <w:t>Standardized mean differences are given by the expression</w:t>
      </w:r>
      <w:r w:rsidR="008C07DE">
        <w:rPr>
          <w:rFonts w:eastAsiaTheme="minorHAnsi"/>
          <w:bCs/>
          <w:color w:val="000000"/>
          <w:szCs w:val="24"/>
        </w:rPr>
        <w:t xml:space="preserve"> in Eq. 2.10</w:t>
      </w:r>
      <w:r w:rsidR="000E3A52">
        <w:rPr>
          <w:rFonts w:eastAsiaTheme="minorHAnsi"/>
          <w:bCs/>
          <w:color w:val="000000"/>
          <w:szCs w:val="24"/>
        </w:rPr>
        <w:t>:</w:t>
      </w:r>
    </w:p>
    <w:p w14:paraId="40AD7DD9" w14:textId="24DE5A33" w:rsidR="00614082" w:rsidRPr="00416599" w:rsidRDefault="00614082" w:rsidP="00416599">
      <w:pPr>
        <w:pStyle w:val="para1"/>
        <w:spacing w:line="480" w:lineRule="auto"/>
        <w:rPr>
          <w:rFonts w:eastAsiaTheme="minorHAnsi"/>
          <w:bCs/>
          <w:color w:val="000000"/>
          <w:szCs w:val="24"/>
        </w:rPr>
      </w:pPr>
      <m:oMath>
        <m:r>
          <w:rPr>
            <w:rFonts w:ascii="Cambria Math" w:eastAsiaTheme="minorHAnsi" w:hAnsi="Cambria Math"/>
            <w:color w:val="000000"/>
            <w:szCs w:val="24"/>
          </w:rPr>
          <m:t>SMD=</m:t>
        </m:r>
        <m:f>
          <m:fPr>
            <m:ctrlPr>
              <w:rPr>
                <w:rFonts w:ascii="Cambria Math" w:eastAsiaTheme="minorHAnsi" w:hAnsi="Cambria Math"/>
                <w:bCs/>
                <w:i/>
                <w:iCs/>
                <w:color w:val="000000"/>
                <w:szCs w:val="24"/>
              </w:rPr>
            </m:ctrlPr>
          </m:fPr>
          <m:num>
            <m:sSub>
              <m:sSubPr>
                <m:ctrlPr>
                  <w:rPr>
                    <w:rFonts w:ascii="Cambria Math" w:eastAsiaTheme="minorHAnsi" w:hAnsi="Cambria Math"/>
                    <w:bCs/>
                    <w:i/>
                    <w:iCs/>
                    <w:color w:val="000000"/>
                    <w:szCs w:val="24"/>
                  </w:rPr>
                </m:ctrlPr>
              </m:sSubPr>
              <m:e>
                <m:acc>
                  <m:accPr>
                    <m:chr m:val="̅"/>
                    <m:ctrlPr>
                      <w:rPr>
                        <w:rFonts w:ascii="Cambria Math" w:eastAsiaTheme="minorHAnsi" w:hAnsi="Cambria Math"/>
                        <w:bCs/>
                        <w:i/>
                        <w:iCs/>
                        <w:color w:val="000000"/>
                        <w:szCs w:val="24"/>
                      </w:rPr>
                    </m:ctrlPr>
                  </m:accPr>
                  <m:e>
                    <m:r>
                      <m:rPr>
                        <m:sty m:val="bi"/>
                      </m:rPr>
                      <w:rPr>
                        <w:rFonts w:ascii="Cambria Math" w:eastAsiaTheme="minorHAnsi" w:hAnsi="Cambria Math"/>
                        <w:color w:val="000000"/>
                        <w:szCs w:val="24"/>
                      </w:rPr>
                      <m:t>X</m:t>
                    </m:r>
                  </m:e>
                </m:acc>
              </m:e>
              <m:sub>
                <m:r>
                  <w:rPr>
                    <w:rFonts w:ascii="Cambria Math" w:eastAsiaTheme="minorHAnsi" w:hAnsi="Cambria Math"/>
                    <w:color w:val="000000"/>
                    <w:szCs w:val="24"/>
                  </w:rPr>
                  <m:t>treatment </m:t>
                </m:r>
              </m:sub>
            </m:sSub>
            <m:r>
              <w:rPr>
                <w:rFonts w:ascii="Cambria Math" w:eastAsiaTheme="minorHAnsi" w:hAnsi="Cambria Math"/>
                <w:color w:val="000000"/>
                <w:szCs w:val="24"/>
              </w:rPr>
              <m:t> -</m:t>
            </m:r>
            <m:sSub>
              <m:sSubPr>
                <m:ctrlPr>
                  <w:rPr>
                    <w:rFonts w:ascii="Cambria Math" w:eastAsiaTheme="minorHAnsi" w:hAnsi="Cambria Math"/>
                    <w:bCs/>
                    <w:i/>
                    <w:iCs/>
                    <w:color w:val="000000"/>
                    <w:szCs w:val="24"/>
                  </w:rPr>
                </m:ctrlPr>
              </m:sSubPr>
              <m:e>
                <m:acc>
                  <m:accPr>
                    <m:chr m:val="̅"/>
                    <m:ctrlPr>
                      <w:rPr>
                        <w:rFonts w:ascii="Cambria Math" w:eastAsiaTheme="minorHAnsi" w:hAnsi="Cambria Math"/>
                        <w:bCs/>
                        <w:i/>
                        <w:iCs/>
                        <w:color w:val="000000"/>
                        <w:szCs w:val="24"/>
                      </w:rPr>
                    </m:ctrlPr>
                  </m:accPr>
                  <m:e>
                    <m:r>
                      <m:rPr>
                        <m:sty m:val="bi"/>
                      </m:rPr>
                      <w:rPr>
                        <w:rFonts w:ascii="Cambria Math" w:eastAsiaTheme="minorHAnsi" w:hAnsi="Cambria Math"/>
                        <w:color w:val="000000"/>
                        <w:szCs w:val="24"/>
                      </w:rPr>
                      <m:t>X</m:t>
                    </m:r>
                  </m:e>
                </m:acc>
              </m:e>
              <m:sub>
                <m:r>
                  <w:rPr>
                    <w:rFonts w:ascii="Cambria Math" w:eastAsiaTheme="minorHAnsi" w:hAnsi="Cambria Math"/>
                    <w:color w:val="000000"/>
                    <w:szCs w:val="24"/>
                  </w:rPr>
                  <m:t>control</m:t>
                </m:r>
              </m:sub>
            </m:sSub>
          </m:num>
          <m:den>
            <m:rad>
              <m:radPr>
                <m:degHide m:val="1"/>
                <m:ctrlPr>
                  <w:rPr>
                    <w:rFonts w:ascii="Cambria Math" w:eastAsiaTheme="minorHAnsi" w:hAnsi="Cambria Math"/>
                    <w:bCs/>
                    <w:i/>
                    <w:iCs/>
                    <w:color w:val="000000"/>
                    <w:szCs w:val="24"/>
                  </w:rPr>
                </m:ctrlPr>
              </m:radPr>
              <m:deg/>
              <m:e>
                <m:sSubSup>
                  <m:sSubSupPr>
                    <m:ctrlPr>
                      <w:rPr>
                        <w:rFonts w:ascii="Cambria Math" w:eastAsiaTheme="minorHAnsi" w:hAnsi="Cambria Math"/>
                        <w:bCs/>
                        <w:i/>
                        <w:iCs/>
                        <w:color w:val="000000"/>
                        <w:szCs w:val="24"/>
                      </w:rPr>
                    </m:ctrlPr>
                  </m:sSubSupPr>
                  <m:e>
                    <m:r>
                      <w:rPr>
                        <w:rFonts w:ascii="Cambria Math" w:eastAsiaTheme="minorHAnsi" w:hAnsi="Cambria Math"/>
                        <w:color w:val="000000"/>
                        <w:szCs w:val="24"/>
                      </w:rPr>
                      <m:t>(s</m:t>
                    </m:r>
                  </m:e>
                  <m:sub>
                    <m:r>
                      <w:rPr>
                        <w:rFonts w:ascii="Cambria Math" w:eastAsiaTheme="minorHAnsi" w:hAnsi="Cambria Math"/>
                        <w:color w:val="000000"/>
                        <w:szCs w:val="24"/>
                      </w:rPr>
                      <m:t>treatment</m:t>
                    </m:r>
                  </m:sub>
                  <m:sup>
                    <m:r>
                      <w:rPr>
                        <w:rFonts w:ascii="Cambria Math" w:eastAsiaTheme="minorHAnsi" w:hAnsi="Cambria Math"/>
                        <w:color w:val="000000"/>
                        <w:szCs w:val="24"/>
                      </w:rPr>
                      <m:t>2</m:t>
                    </m:r>
                  </m:sup>
                </m:sSubSup>
                <m:r>
                  <w:rPr>
                    <w:rFonts w:ascii="Cambria Math" w:eastAsiaTheme="minorHAnsi" w:hAnsi="Cambria Math"/>
                    <w:color w:val="000000"/>
                    <w:szCs w:val="24"/>
                  </w:rPr>
                  <m:t>-</m:t>
                </m:r>
                <m:sSubSup>
                  <m:sSubSupPr>
                    <m:ctrlPr>
                      <w:rPr>
                        <w:rFonts w:ascii="Cambria Math" w:eastAsiaTheme="minorHAnsi" w:hAnsi="Cambria Math"/>
                        <w:bCs/>
                        <w:i/>
                        <w:iCs/>
                        <w:color w:val="000000"/>
                        <w:szCs w:val="24"/>
                      </w:rPr>
                    </m:ctrlPr>
                  </m:sSubSupPr>
                  <m:e>
                    <m:r>
                      <w:rPr>
                        <w:rFonts w:ascii="Cambria Math" w:eastAsiaTheme="minorHAnsi" w:hAnsi="Cambria Math"/>
                        <w:color w:val="000000"/>
                        <w:szCs w:val="24"/>
                      </w:rPr>
                      <m:t>s</m:t>
                    </m:r>
                  </m:e>
                  <m:sub>
                    <m:r>
                      <w:rPr>
                        <w:rFonts w:ascii="Cambria Math" w:eastAsiaTheme="minorHAnsi" w:hAnsi="Cambria Math"/>
                        <w:color w:val="000000"/>
                        <w:szCs w:val="24"/>
                      </w:rPr>
                      <m:t>control</m:t>
                    </m:r>
                  </m:sub>
                  <m:sup>
                    <m:r>
                      <w:rPr>
                        <w:rFonts w:ascii="Cambria Math" w:eastAsiaTheme="minorHAnsi" w:hAnsi="Cambria Math"/>
                        <w:color w:val="000000"/>
                        <w:szCs w:val="24"/>
                      </w:rPr>
                      <m:t>2</m:t>
                    </m:r>
                  </m:sup>
                </m:sSubSup>
                <m:r>
                  <w:rPr>
                    <w:rFonts w:ascii="Cambria Math" w:eastAsiaTheme="minorHAnsi" w:hAnsi="Cambria Math"/>
                    <w:color w:val="000000"/>
                    <w:szCs w:val="24"/>
                  </w:rPr>
                  <m:t>)</m:t>
                </m:r>
              </m:e>
            </m:rad>
          </m:den>
        </m:f>
      </m:oMath>
      <w:r w:rsidR="00416599">
        <w:rPr>
          <w:rFonts w:eastAsiaTheme="minorEastAsia"/>
          <w:bCs/>
          <w:iCs/>
          <w:color w:val="000000"/>
          <w:szCs w:val="24"/>
        </w:rPr>
        <w:t>……………………………………………………………</w:t>
      </w:r>
      <w:r w:rsidR="00EB2417">
        <w:rPr>
          <w:rFonts w:eastAsiaTheme="minorEastAsia"/>
          <w:bCs/>
          <w:iCs/>
          <w:color w:val="000000"/>
          <w:szCs w:val="24"/>
        </w:rPr>
        <w:t xml:space="preserve"> (</w:t>
      </w:r>
      <w:r w:rsidR="008C07DE">
        <w:rPr>
          <w:rFonts w:eastAsiaTheme="minorEastAsia"/>
          <w:bCs/>
          <w:iCs/>
          <w:color w:val="000000"/>
          <w:szCs w:val="24"/>
        </w:rPr>
        <w:t>2.10)</w:t>
      </w:r>
    </w:p>
    <w:p w14:paraId="0CCE5EE9" w14:textId="512D5AFE" w:rsidR="00F10673" w:rsidRDefault="000E3A52" w:rsidP="00842F1D">
      <w:pPr>
        <w:pStyle w:val="para1"/>
        <w:spacing w:line="480" w:lineRule="auto"/>
        <w:rPr>
          <w:rFonts w:eastAsiaTheme="minorHAnsi"/>
          <w:bCs/>
          <w:color w:val="000000"/>
          <w:szCs w:val="24"/>
        </w:rPr>
      </w:pPr>
      <w:r w:rsidRPr="009C0FBE">
        <w:rPr>
          <w:rFonts w:eastAsiaTheme="minorHAnsi"/>
          <w:bCs/>
          <w:color w:val="000000"/>
          <w:szCs w:val="24"/>
        </w:rPr>
        <w:t xml:space="preserve">Here we are simply taking the </w:t>
      </w:r>
      <w:r w:rsidRPr="000E3A52">
        <w:rPr>
          <w:rFonts w:eastAsiaTheme="minorHAnsi"/>
          <w:bCs/>
          <w:color w:val="000000"/>
          <w:szCs w:val="24"/>
        </w:rPr>
        <w:t>difference in the covariate means</w:t>
      </w:r>
      <w:r w:rsidR="00DC733D">
        <w:rPr>
          <w:rFonts w:eastAsiaTheme="minorHAnsi"/>
          <w:bCs/>
          <w:color w:val="000000"/>
          <w:szCs w:val="24"/>
        </w:rPr>
        <w:t xml:space="preserve"> (</w:t>
      </w:r>
      <m:oMath>
        <m:sSub>
          <m:sSubPr>
            <m:ctrlPr>
              <w:rPr>
                <w:rFonts w:ascii="Cambria Math" w:eastAsiaTheme="minorHAnsi" w:hAnsi="Cambria Math"/>
                <w:bCs/>
                <w:i/>
                <w:iCs/>
                <w:color w:val="000000"/>
                <w:szCs w:val="24"/>
              </w:rPr>
            </m:ctrlPr>
          </m:sSubPr>
          <m:e>
            <m:acc>
              <m:accPr>
                <m:chr m:val="̅"/>
                <m:ctrlPr>
                  <w:rPr>
                    <w:rFonts w:ascii="Cambria Math" w:eastAsiaTheme="minorHAnsi" w:hAnsi="Cambria Math"/>
                    <w:bCs/>
                    <w:i/>
                    <w:iCs/>
                    <w:color w:val="000000"/>
                    <w:szCs w:val="24"/>
                  </w:rPr>
                </m:ctrlPr>
              </m:accPr>
              <m:e>
                <m:r>
                  <m:rPr>
                    <m:sty m:val="bi"/>
                  </m:rPr>
                  <w:rPr>
                    <w:rFonts w:ascii="Cambria Math" w:eastAsiaTheme="minorHAnsi" w:hAnsi="Cambria Math"/>
                    <w:color w:val="000000"/>
                    <w:szCs w:val="24"/>
                  </w:rPr>
                  <m:t>X</m:t>
                </m:r>
              </m:e>
            </m:acc>
          </m:e>
          <m:sub>
            <m:r>
              <w:rPr>
                <w:rFonts w:ascii="Cambria Math" w:eastAsiaTheme="minorHAnsi" w:hAnsi="Cambria Math"/>
                <w:color w:val="000000"/>
                <w:szCs w:val="24"/>
              </w:rPr>
              <m:t>treatment </m:t>
            </m:r>
          </m:sub>
        </m:sSub>
        <m:r>
          <w:rPr>
            <w:rFonts w:ascii="Cambria Math" w:eastAsiaTheme="minorHAnsi" w:hAnsi="Cambria Math"/>
            <w:color w:val="000000"/>
            <w:szCs w:val="24"/>
          </w:rPr>
          <m:t>,</m:t>
        </m:r>
        <m:sSub>
          <m:sSubPr>
            <m:ctrlPr>
              <w:rPr>
                <w:rFonts w:ascii="Cambria Math" w:eastAsiaTheme="minorHAnsi" w:hAnsi="Cambria Math"/>
                <w:bCs/>
                <w:i/>
                <w:iCs/>
                <w:color w:val="000000"/>
                <w:szCs w:val="24"/>
              </w:rPr>
            </m:ctrlPr>
          </m:sSubPr>
          <m:e>
            <m:acc>
              <m:accPr>
                <m:chr m:val="̅"/>
                <m:ctrlPr>
                  <w:rPr>
                    <w:rFonts w:ascii="Cambria Math" w:eastAsiaTheme="minorHAnsi" w:hAnsi="Cambria Math"/>
                    <w:bCs/>
                    <w:i/>
                    <w:iCs/>
                    <w:color w:val="000000"/>
                    <w:szCs w:val="24"/>
                  </w:rPr>
                </m:ctrlPr>
              </m:accPr>
              <m:e>
                <m:r>
                  <m:rPr>
                    <m:sty m:val="bi"/>
                  </m:rPr>
                  <w:rPr>
                    <w:rFonts w:ascii="Cambria Math" w:eastAsiaTheme="minorHAnsi" w:hAnsi="Cambria Math"/>
                    <w:color w:val="000000"/>
                    <w:szCs w:val="24"/>
                  </w:rPr>
                  <m:t>X</m:t>
                </m:r>
              </m:e>
            </m:acc>
          </m:e>
          <m:sub>
            <m:r>
              <w:rPr>
                <w:rFonts w:ascii="Cambria Math" w:eastAsiaTheme="minorHAnsi" w:hAnsi="Cambria Math"/>
                <w:color w:val="000000"/>
                <w:szCs w:val="24"/>
              </w:rPr>
              <m:t>control </m:t>
            </m:r>
          </m:sub>
        </m:sSub>
      </m:oMath>
      <w:r w:rsidR="00004C6F">
        <w:rPr>
          <w:rFonts w:eastAsiaTheme="minorEastAsia"/>
          <w:bCs/>
          <w:iCs/>
          <w:color w:val="000000"/>
          <w:szCs w:val="24"/>
        </w:rPr>
        <w:t xml:space="preserve">) </w:t>
      </w:r>
      <w:r w:rsidRPr="000E3A52">
        <w:rPr>
          <w:rFonts w:eastAsiaTheme="minorHAnsi"/>
          <w:bCs/>
          <w:color w:val="000000"/>
          <w:szCs w:val="24"/>
        </w:rPr>
        <w:t xml:space="preserve">between </w:t>
      </w:r>
      <w:r w:rsidR="005F061F">
        <w:rPr>
          <w:rFonts w:eastAsiaTheme="minorHAnsi"/>
          <w:bCs/>
          <w:color w:val="000000"/>
          <w:szCs w:val="24"/>
        </w:rPr>
        <w:t>child/</w:t>
      </w:r>
      <w:r w:rsidRPr="000E3A52">
        <w:rPr>
          <w:rFonts w:eastAsiaTheme="minorHAnsi"/>
          <w:bCs/>
          <w:color w:val="000000"/>
          <w:szCs w:val="24"/>
        </w:rPr>
        <w:t xml:space="preserve">treatment and </w:t>
      </w:r>
      <w:r w:rsidR="005F061F">
        <w:rPr>
          <w:rFonts w:eastAsiaTheme="minorHAnsi"/>
          <w:bCs/>
          <w:color w:val="000000"/>
          <w:szCs w:val="24"/>
        </w:rPr>
        <w:t>parent/</w:t>
      </w:r>
      <w:r w:rsidRPr="000E3A52">
        <w:rPr>
          <w:rFonts w:eastAsiaTheme="minorHAnsi"/>
          <w:bCs/>
          <w:color w:val="000000"/>
          <w:szCs w:val="24"/>
        </w:rPr>
        <w:t xml:space="preserve">control groups </w:t>
      </w:r>
      <w:r w:rsidRPr="009C0FBE">
        <w:rPr>
          <w:rFonts w:eastAsiaTheme="minorHAnsi"/>
          <w:bCs/>
          <w:color w:val="000000"/>
          <w:szCs w:val="24"/>
        </w:rPr>
        <w:t xml:space="preserve">and </w:t>
      </w:r>
      <w:r w:rsidRPr="000E3A52">
        <w:rPr>
          <w:rFonts w:eastAsiaTheme="minorHAnsi"/>
          <w:bCs/>
          <w:color w:val="000000"/>
          <w:szCs w:val="24"/>
        </w:rPr>
        <w:t>divid</w:t>
      </w:r>
      <w:r w:rsidRPr="009C0FBE">
        <w:rPr>
          <w:rFonts w:eastAsiaTheme="minorHAnsi"/>
          <w:bCs/>
          <w:color w:val="000000"/>
          <w:szCs w:val="24"/>
        </w:rPr>
        <w:t xml:space="preserve">ing them </w:t>
      </w:r>
      <w:r w:rsidRPr="000E3A52">
        <w:rPr>
          <w:rFonts w:eastAsiaTheme="minorHAnsi"/>
          <w:bCs/>
          <w:color w:val="000000"/>
          <w:szCs w:val="24"/>
        </w:rPr>
        <w:t xml:space="preserve">by the </w:t>
      </w:r>
      <w:r w:rsidR="00943741">
        <w:rPr>
          <w:rFonts w:eastAsiaTheme="minorHAnsi"/>
          <w:bCs/>
          <w:color w:val="000000"/>
          <w:szCs w:val="24"/>
        </w:rPr>
        <w:t xml:space="preserve">square root of </w:t>
      </w:r>
      <w:r w:rsidR="003D7A99">
        <w:rPr>
          <w:rFonts w:eastAsiaTheme="minorHAnsi"/>
          <w:bCs/>
          <w:color w:val="000000"/>
          <w:szCs w:val="24"/>
        </w:rPr>
        <w:t>difference in the</w:t>
      </w:r>
      <w:r w:rsidRPr="000E3A52">
        <w:rPr>
          <w:rFonts w:eastAsiaTheme="minorHAnsi"/>
          <w:bCs/>
          <w:color w:val="000000"/>
          <w:szCs w:val="24"/>
        </w:rPr>
        <w:t xml:space="preserve"> </w:t>
      </w:r>
      <w:r w:rsidR="007F4D00">
        <w:rPr>
          <w:rFonts w:eastAsiaTheme="minorHAnsi"/>
          <w:bCs/>
          <w:color w:val="000000"/>
          <w:szCs w:val="24"/>
        </w:rPr>
        <w:t xml:space="preserve">squared </w:t>
      </w:r>
      <w:r w:rsidRPr="000E3A52">
        <w:rPr>
          <w:rFonts w:eastAsiaTheme="minorHAnsi"/>
          <w:bCs/>
          <w:color w:val="000000"/>
          <w:szCs w:val="24"/>
        </w:rPr>
        <w:t>standard deviation</w:t>
      </w:r>
      <w:r w:rsidR="00AE10B8">
        <w:rPr>
          <w:rFonts w:eastAsiaTheme="minorHAnsi"/>
          <w:bCs/>
          <w:color w:val="000000"/>
          <w:szCs w:val="24"/>
        </w:rPr>
        <w:t>s</w:t>
      </w:r>
      <w:r w:rsidRPr="000E3A52">
        <w:rPr>
          <w:rFonts w:eastAsiaTheme="minorHAnsi"/>
          <w:bCs/>
          <w:color w:val="000000"/>
          <w:szCs w:val="24"/>
        </w:rPr>
        <w:t xml:space="preserve"> of the covariates </w:t>
      </w:r>
      <w:r w:rsidR="004F6E62">
        <w:rPr>
          <w:rFonts w:eastAsiaTheme="minorHAnsi"/>
          <w:bCs/>
          <w:color w:val="000000"/>
          <w:szCs w:val="24"/>
        </w:rPr>
        <w:t>(</w:t>
      </w:r>
      <m:oMath>
        <m:sSubSup>
          <m:sSubSupPr>
            <m:ctrlPr>
              <w:rPr>
                <w:rFonts w:ascii="Cambria Math" w:eastAsiaTheme="minorHAnsi" w:hAnsi="Cambria Math"/>
                <w:bCs/>
                <w:i/>
                <w:iCs/>
                <w:color w:val="000000"/>
                <w:szCs w:val="24"/>
              </w:rPr>
            </m:ctrlPr>
          </m:sSubSupPr>
          <m:e>
            <m:r>
              <w:rPr>
                <w:rFonts w:ascii="Cambria Math" w:eastAsiaTheme="minorHAnsi" w:hAnsi="Cambria Math"/>
                <w:color w:val="000000"/>
                <w:szCs w:val="24"/>
              </w:rPr>
              <m:t>s</m:t>
            </m:r>
          </m:e>
          <m:sub>
            <m:r>
              <w:rPr>
                <w:rFonts w:ascii="Cambria Math" w:eastAsiaTheme="minorHAnsi" w:hAnsi="Cambria Math"/>
                <w:color w:val="000000"/>
                <w:szCs w:val="24"/>
              </w:rPr>
              <m:t>treatment</m:t>
            </m:r>
          </m:sub>
          <m:sup>
            <m:r>
              <w:rPr>
                <w:rFonts w:ascii="Cambria Math" w:eastAsiaTheme="minorHAnsi" w:hAnsi="Cambria Math"/>
                <w:color w:val="000000"/>
                <w:szCs w:val="24"/>
              </w:rPr>
              <m:t>2</m:t>
            </m:r>
          </m:sup>
        </m:sSubSup>
        <m:r>
          <w:rPr>
            <w:rFonts w:ascii="Cambria Math" w:eastAsiaTheme="minorHAnsi" w:hAnsi="Cambria Math"/>
            <w:color w:val="000000"/>
            <w:szCs w:val="24"/>
          </w:rPr>
          <m:t>,</m:t>
        </m:r>
        <m:sSubSup>
          <m:sSubSupPr>
            <m:ctrlPr>
              <w:rPr>
                <w:rFonts w:ascii="Cambria Math" w:eastAsiaTheme="minorHAnsi" w:hAnsi="Cambria Math"/>
                <w:bCs/>
                <w:i/>
                <w:iCs/>
                <w:color w:val="000000"/>
                <w:szCs w:val="24"/>
              </w:rPr>
            </m:ctrlPr>
          </m:sSubSupPr>
          <m:e>
            <m:r>
              <w:rPr>
                <w:rFonts w:ascii="Cambria Math" w:eastAsiaTheme="minorHAnsi" w:hAnsi="Cambria Math"/>
                <w:color w:val="000000"/>
                <w:szCs w:val="24"/>
              </w:rPr>
              <m:t>s</m:t>
            </m:r>
          </m:e>
          <m:sub>
            <m:r>
              <w:rPr>
                <w:rFonts w:ascii="Cambria Math" w:eastAsiaTheme="minorHAnsi" w:hAnsi="Cambria Math"/>
                <w:color w:val="000000"/>
                <w:szCs w:val="24"/>
              </w:rPr>
              <m:t>control</m:t>
            </m:r>
          </m:sub>
          <m:sup>
            <m:r>
              <w:rPr>
                <w:rFonts w:ascii="Cambria Math" w:eastAsiaTheme="minorHAnsi" w:hAnsi="Cambria Math"/>
                <w:color w:val="000000"/>
                <w:szCs w:val="24"/>
              </w:rPr>
              <m:t>2</m:t>
            </m:r>
          </m:sup>
        </m:sSubSup>
        <m:r>
          <w:rPr>
            <w:rFonts w:ascii="Cambria Math" w:eastAsiaTheme="minorHAnsi" w:hAnsi="Cambria Math"/>
            <w:color w:val="000000"/>
            <w:szCs w:val="24"/>
          </w:rPr>
          <m:t xml:space="preserve">) </m:t>
        </m:r>
      </m:oMath>
      <w:r w:rsidRPr="000E3A52">
        <w:rPr>
          <w:rFonts w:eastAsiaTheme="minorHAnsi"/>
          <w:bCs/>
          <w:color w:val="000000"/>
          <w:szCs w:val="24"/>
        </w:rPr>
        <w:t>between the treatment and control groups.</w:t>
      </w:r>
      <w:r w:rsidR="006562D1">
        <w:rPr>
          <w:rFonts w:eastAsiaTheme="minorHAnsi"/>
          <w:bCs/>
          <w:color w:val="000000"/>
          <w:szCs w:val="24"/>
        </w:rPr>
        <w:t xml:space="preserve"> </w:t>
      </w:r>
    </w:p>
    <w:p w14:paraId="409F28CE" w14:textId="7E25EAF3" w:rsidR="00F10673" w:rsidRDefault="006562D1" w:rsidP="00CD4252">
      <w:pPr>
        <w:pStyle w:val="para1"/>
        <w:spacing w:line="480" w:lineRule="auto"/>
        <w:rPr>
          <w:rFonts w:eastAsiaTheme="minorEastAsia"/>
          <w:bCs/>
          <w:color w:val="000000"/>
          <w:szCs w:val="24"/>
        </w:rPr>
      </w:pPr>
      <w:r>
        <w:rPr>
          <w:rFonts w:eastAsiaTheme="minorHAnsi"/>
          <w:bCs/>
          <w:color w:val="000000"/>
          <w:szCs w:val="24"/>
        </w:rPr>
        <w:lastRenderedPageBreak/>
        <w:t xml:space="preserve">In the </w:t>
      </w:r>
      <w:r w:rsidR="0050273A">
        <w:rPr>
          <w:rFonts w:eastAsiaTheme="minorHAnsi"/>
          <w:b/>
          <w:color w:val="000000"/>
          <w:szCs w:val="24"/>
        </w:rPr>
        <w:t>Table</w:t>
      </w:r>
      <w:r w:rsidRPr="00F41A86">
        <w:rPr>
          <w:rFonts w:eastAsiaTheme="minorHAnsi"/>
          <w:b/>
          <w:color w:val="000000"/>
          <w:szCs w:val="24"/>
        </w:rPr>
        <w:t xml:space="preserve">. </w:t>
      </w:r>
      <w:r w:rsidR="006D09D7">
        <w:rPr>
          <w:rFonts w:eastAsiaTheme="minorHAnsi"/>
          <w:b/>
          <w:color w:val="000000"/>
          <w:szCs w:val="24"/>
        </w:rPr>
        <w:t>2</w:t>
      </w:r>
      <w:r w:rsidR="006D53C9">
        <w:rPr>
          <w:rFonts w:eastAsiaTheme="minorHAnsi"/>
          <w:b/>
          <w:color w:val="000000"/>
          <w:szCs w:val="24"/>
        </w:rPr>
        <w:t>.</w:t>
      </w:r>
      <w:r w:rsidR="004A7B88">
        <w:rPr>
          <w:rFonts w:eastAsiaTheme="minorHAnsi"/>
          <w:b/>
          <w:color w:val="000000"/>
          <w:szCs w:val="24"/>
        </w:rPr>
        <w:t>3</w:t>
      </w:r>
      <w:r>
        <w:rPr>
          <w:rFonts w:eastAsiaTheme="minorHAnsi"/>
          <w:bCs/>
          <w:color w:val="000000"/>
          <w:szCs w:val="24"/>
        </w:rPr>
        <w:t>, the s</w:t>
      </w:r>
      <w:r w:rsidR="005B1B2A">
        <w:rPr>
          <w:rFonts w:eastAsiaTheme="minorHAnsi"/>
          <w:bCs/>
          <w:color w:val="000000"/>
          <w:szCs w:val="24"/>
        </w:rPr>
        <w:t xml:space="preserve">tandardized mean differences </w:t>
      </w:r>
      <w:r w:rsidR="005F061F">
        <w:rPr>
          <w:rFonts w:eastAsiaTheme="minorHAnsi"/>
          <w:bCs/>
          <w:color w:val="000000"/>
          <w:szCs w:val="24"/>
        </w:rPr>
        <w:t xml:space="preserve">between the two groups </w:t>
      </w:r>
      <w:r w:rsidR="00D702A3">
        <w:rPr>
          <w:rFonts w:eastAsiaTheme="minorHAnsi"/>
          <w:bCs/>
          <w:color w:val="000000"/>
          <w:szCs w:val="24"/>
        </w:rPr>
        <w:t>(</w:t>
      </w:r>
      <w:r w:rsidR="00422559">
        <w:rPr>
          <w:rFonts w:eastAsiaTheme="minorHAnsi"/>
          <w:bCs/>
          <w:color w:val="000000"/>
          <w:szCs w:val="24"/>
        </w:rPr>
        <w:t>c</w:t>
      </w:r>
      <w:r w:rsidR="00D702A3">
        <w:rPr>
          <w:rFonts w:eastAsiaTheme="minorHAnsi"/>
          <w:bCs/>
          <w:color w:val="000000"/>
          <w:szCs w:val="24"/>
        </w:rPr>
        <w:t xml:space="preserve">hild wells denoted by </w:t>
      </w:r>
      <w:r w:rsidR="0045609B">
        <w:rPr>
          <w:rFonts w:eastAsiaTheme="minorHAnsi"/>
          <w:bCs/>
          <w:color w:val="000000"/>
          <w:szCs w:val="24"/>
        </w:rPr>
        <w:t xml:space="preserve">“1” and </w:t>
      </w:r>
      <w:r w:rsidR="00422559">
        <w:rPr>
          <w:rFonts w:eastAsiaTheme="minorHAnsi"/>
          <w:bCs/>
          <w:color w:val="000000"/>
          <w:szCs w:val="24"/>
        </w:rPr>
        <w:t>p</w:t>
      </w:r>
      <w:r w:rsidR="0045609B">
        <w:rPr>
          <w:rFonts w:eastAsiaTheme="minorHAnsi"/>
          <w:bCs/>
          <w:color w:val="000000"/>
          <w:szCs w:val="24"/>
        </w:rPr>
        <w:t xml:space="preserve">arent wells denoted by “0”) </w:t>
      </w:r>
      <w:r w:rsidR="005B1B2A">
        <w:rPr>
          <w:rFonts w:eastAsiaTheme="minorHAnsi"/>
          <w:bCs/>
          <w:color w:val="000000"/>
          <w:szCs w:val="24"/>
        </w:rPr>
        <w:t xml:space="preserve">are shown </w:t>
      </w:r>
      <w:r w:rsidR="00E658CD">
        <w:rPr>
          <w:rFonts w:eastAsiaTheme="minorHAnsi"/>
          <w:bCs/>
          <w:color w:val="000000"/>
          <w:szCs w:val="24"/>
        </w:rPr>
        <w:t xml:space="preserve">in the last column </w:t>
      </w:r>
      <w:r w:rsidR="00F41A86">
        <w:rPr>
          <w:rFonts w:eastAsiaTheme="minorHAnsi"/>
          <w:bCs/>
          <w:color w:val="000000"/>
          <w:szCs w:val="24"/>
        </w:rPr>
        <w:t xml:space="preserve">for all the </w:t>
      </w:r>
      <w:r w:rsidR="005F061F">
        <w:rPr>
          <w:rFonts w:eastAsiaTheme="minorHAnsi"/>
          <w:bCs/>
          <w:color w:val="000000"/>
          <w:szCs w:val="24"/>
        </w:rPr>
        <w:t>covariates used in this stud</w:t>
      </w:r>
      <w:r w:rsidR="0050273A">
        <w:rPr>
          <w:rFonts w:eastAsiaTheme="minorHAnsi"/>
          <w:bCs/>
          <w:color w:val="000000"/>
          <w:szCs w:val="24"/>
        </w:rPr>
        <w:t>y at well spacing of 700 ft.</w:t>
      </w:r>
      <w:r w:rsidR="00D26631" w:rsidRPr="00D26631">
        <w:rPr>
          <w:rFonts w:ascii="Arial" w:eastAsiaTheme="minorHAnsi" w:hAnsi="Arial"/>
          <w:b/>
          <w:color w:val="000000"/>
          <w:sz w:val="16"/>
          <w:szCs w:val="24"/>
        </w:rPr>
        <w:t xml:space="preserve"> </w:t>
      </w:r>
      <w:r w:rsidR="00AC2451">
        <w:rPr>
          <w:rFonts w:ascii="Arial" w:eastAsiaTheme="minorHAnsi" w:hAnsi="Arial"/>
          <w:b/>
          <w:color w:val="000000"/>
          <w:sz w:val="16"/>
          <w:szCs w:val="24"/>
        </w:rPr>
        <w:t xml:space="preserve"> </w:t>
      </w:r>
      <w:r w:rsidR="00CF24FE">
        <w:rPr>
          <w:rFonts w:eastAsiaTheme="minorHAnsi"/>
          <w:bCs/>
          <w:color w:val="000000"/>
        </w:rPr>
        <w:t>SMD</w:t>
      </w:r>
      <w:r w:rsidR="00CF24FE" w:rsidRPr="00CF24FE">
        <w:rPr>
          <w:rFonts w:eastAsiaTheme="minorHAnsi"/>
          <w:bCs/>
          <w:color w:val="000000"/>
        </w:rPr>
        <w:t xml:space="preserve"> is measure of how different the covariates are between both groups.</w:t>
      </w:r>
      <w:r w:rsidR="00CF24FE">
        <w:rPr>
          <w:rFonts w:eastAsiaTheme="minorHAnsi"/>
          <w:bCs/>
          <w:color w:val="000000"/>
        </w:rPr>
        <w:t xml:space="preserve"> As r</w:t>
      </w:r>
      <w:r w:rsidR="00CF24FE" w:rsidRPr="00CF24FE">
        <w:rPr>
          <w:rFonts w:eastAsiaTheme="minorEastAsia"/>
          <w:bCs/>
          <w:color w:val="000000"/>
          <w:szCs w:val="24"/>
        </w:rPr>
        <w:t xml:space="preserve">ule of thumb from the </w:t>
      </w:r>
      <w:r w:rsidR="00185A8C" w:rsidRPr="00CF24FE">
        <w:rPr>
          <w:rFonts w:eastAsiaTheme="minorEastAsia"/>
          <w:bCs/>
          <w:color w:val="000000"/>
          <w:szCs w:val="24"/>
        </w:rPr>
        <w:t>literature</w:t>
      </w:r>
      <w:r w:rsidR="00185A8C">
        <w:rPr>
          <w:rFonts w:eastAsiaTheme="minorEastAsia"/>
          <w:bCs/>
          <w:color w:val="000000"/>
          <w:szCs w:val="24"/>
        </w:rPr>
        <w:t xml:space="preserve"> (</w:t>
      </w:r>
      <w:r w:rsidR="00A22A65" w:rsidRPr="0098482F">
        <w:rPr>
          <w:rFonts w:eastAsiaTheme="minorHAnsi"/>
          <w:color w:val="002060"/>
          <w:szCs w:val="24"/>
        </w:rPr>
        <w:t>Lanza</w:t>
      </w:r>
      <w:r w:rsidR="00185A8C" w:rsidRPr="0098482F">
        <w:rPr>
          <w:rFonts w:eastAsiaTheme="minorHAnsi"/>
          <w:color w:val="002060"/>
          <w:szCs w:val="24"/>
        </w:rPr>
        <w:t xml:space="preserve"> et al. 201</w:t>
      </w:r>
      <w:r w:rsidR="00A22A65" w:rsidRPr="0098482F">
        <w:rPr>
          <w:rFonts w:eastAsiaTheme="minorHAnsi"/>
          <w:color w:val="002060"/>
          <w:szCs w:val="24"/>
        </w:rPr>
        <w:t>3</w:t>
      </w:r>
      <w:r w:rsidR="00185A8C" w:rsidRPr="0098482F">
        <w:rPr>
          <w:rFonts w:eastAsiaTheme="minorHAnsi"/>
          <w:color w:val="002060"/>
          <w:szCs w:val="24"/>
        </w:rPr>
        <w:t xml:space="preserve">; </w:t>
      </w:r>
      <w:r w:rsidR="00A22A65" w:rsidRPr="0098482F">
        <w:rPr>
          <w:rFonts w:eastAsiaTheme="minorHAnsi"/>
          <w:color w:val="002060"/>
          <w:szCs w:val="24"/>
        </w:rPr>
        <w:t>Stuart</w:t>
      </w:r>
      <w:r w:rsidR="00BF39DC" w:rsidRPr="0098482F">
        <w:rPr>
          <w:rFonts w:eastAsiaTheme="minorHAnsi"/>
          <w:color w:val="002060"/>
          <w:szCs w:val="24"/>
        </w:rPr>
        <w:t xml:space="preserve"> </w:t>
      </w:r>
      <w:r w:rsidR="00FF1BA6">
        <w:rPr>
          <w:rFonts w:eastAsiaTheme="minorHAnsi"/>
          <w:color w:val="002060"/>
          <w:szCs w:val="24"/>
        </w:rPr>
        <w:t xml:space="preserve">et al. </w:t>
      </w:r>
      <w:r w:rsidR="00BF39DC" w:rsidRPr="0098482F">
        <w:rPr>
          <w:rFonts w:eastAsiaTheme="minorHAnsi"/>
          <w:color w:val="002060"/>
          <w:szCs w:val="24"/>
        </w:rPr>
        <w:t>201</w:t>
      </w:r>
      <w:r w:rsidR="00E53E7A">
        <w:rPr>
          <w:rFonts w:eastAsiaTheme="minorHAnsi"/>
          <w:color w:val="002060"/>
          <w:szCs w:val="24"/>
        </w:rPr>
        <w:t>3</w:t>
      </w:r>
      <w:r w:rsidR="00BF39DC">
        <w:rPr>
          <w:rFonts w:eastAsiaTheme="minorEastAsia"/>
          <w:bCs/>
          <w:color w:val="000000"/>
          <w:szCs w:val="24"/>
        </w:rPr>
        <w:t>)</w:t>
      </w:r>
      <w:r w:rsidR="00185A8C">
        <w:rPr>
          <w:rFonts w:eastAsiaTheme="minorEastAsia"/>
          <w:bCs/>
          <w:color w:val="000000"/>
          <w:szCs w:val="24"/>
        </w:rPr>
        <w:t>,</w:t>
      </w:r>
      <w:r w:rsidR="00CF24FE">
        <w:rPr>
          <w:rFonts w:eastAsiaTheme="minorEastAsia"/>
          <w:bCs/>
          <w:color w:val="000000"/>
          <w:szCs w:val="24"/>
        </w:rPr>
        <w:t xml:space="preserve"> </w:t>
      </w:r>
      <w:r w:rsidR="00157382">
        <w:rPr>
          <w:rFonts w:eastAsiaTheme="minorEastAsia"/>
          <w:bCs/>
          <w:color w:val="000000"/>
          <w:szCs w:val="24"/>
        </w:rPr>
        <w:t xml:space="preserve">SMD </w:t>
      </w:r>
      <w:r w:rsidR="00CF24FE" w:rsidRPr="00CF24FE">
        <w:rPr>
          <w:rFonts w:eastAsiaTheme="minorEastAsia"/>
          <w:bCs/>
          <w:color w:val="000000"/>
          <w:szCs w:val="24"/>
        </w:rPr>
        <w:t xml:space="preserve">values over 0.2 are </w:t>
      </w:r>
      <w:r w:rsidR="00CF24FE">
        <w:rPr>
          <w:rFonts w:eastAsiaTheme="minorEastAsia"/>
          <w:bCs/>
          <w:color w:val="000000"/>
          <w:szCs w:val="24"/>
        </w:rPr>
        <w:t xml:space="preserve">considered </w:t>
      </w:r>
      <w:r w:rsidR="00CF24FE" w:rsidRPr="00CF24FE">
        <w:rPr>
          <w:rFonts w:eastAsiaTheme="minorEastAsia"/>
          <w:bCs/>
          <w:color w:val="000000"/>
          <w:szCs w:val="24"/>
        </w:rPr>
        <w:t>bad, between 0.1 and 0.2 are good</w:t>
      </w:r>
      <w:r w:rsidR="00F60AAE">
        <w:rPr>
          <w:rFonts w:eastAsiaTheme="minorEastAsia"/>
          <w:bCs/>
          <w:color w:val="000000"/>
          <w:szCs w:val="24"/>
        </w:rPr>
        <w:t xml:space="preserve"> and anything</w:t>
      </w:r>
      <w:r w:rsidR="00CF24FE" w:rsidRPr="00CF24FE">
        <w:rPr>
          <w:rFonts w:eastAsiaTheme="minorEastAsia"/>
          <w:bCs/>
          <w:color w:val="000000"/>
          <w:szCs w:val="24"/>
        </w:rPr>
        <w:t xml:space="preserve"> less than 0.1 is great.</w:t>
      </w:r>
      <w:r w:rsidR="007442D4">
        <w:rPr>
          <w:rFonts w:eastAsiaTheme="minorEastAsia"/>
          <w:bCs/>
          <w:color w:val="000000"/>
          <w:szCs w:val="24"/>
        </w:rPr>
        <w:t xml:space="preserve"> I</w:t>
      </w:r>
      <w:r w:rsidR="00E658CD">
        <w:rPr>
          <w:rFonts w:eastAsiaTheme="minorEastAsia"/>
          <w:bCs/>
          <w:color w:val="000000"/>
          <w:szCs w:val="24"/>
        </w:rPr>
        <w:t xml:space="preserve">n the first column of the Table </w:t>
      </w:r>
      <w:r w:rsidR="006D09D7">
        <w:rPr>
          <w:rFonts w:eastAsiaTheme="minorEastAsia"/>
          <w:bCs/>
          <w:color w:val="000000"/>
          <w:szCs w:val="24"/>
        </w:rPr>
        <w:t>2</w:t>
      </w:r>
      <w:r w:rsidR="009D4337">
        <w:rPr>
          <w:rFonts w:eastAsiaTheme="minorEastAsia"/>
          <w:bCs/>
          <w:color w:val="000000"/>
          <w:szCs w:val="24"/>
        </w:rPr>
        <w:t>.3</w:t>
      </w:r>
      <w:r w:rsidR="00E658CD">
        <w:rPr>
          <w:rFonts w:eastAsiaTheme="minorEastAsia"/>
          <w:bCs/>
          <w:color w:val="000000"/>
          <w:szCs w:val="24"/>
        </w:rPr>
        <w:t xml:space="preserve">, </w:t>
      </w:r>
      <w:r w:rsidR="00D1451E">
        <w:rPr>
          <w:rFonts w:eastAsiaTheme="minorEastAsia"/>
          <w:bCs/>
          <w:color w:val="000000"/>
          <w:szCs w:val="24"/>
        </w:rPr>
        <w:t xml:space="preserve">the five principal components are denoted </w:t>
      </w:r>
      <w:r w:rsidR="009A681A">
        <w:rPr>
          <w:rFonts w:eastAsiaTheme="minorEastAsia"/>
          <w:bCs/>
          <w:color w:val="000000"/>
          <w:szCs w:val="24"/>
        </w:rPr>
        <w:t>from</w:t>
      </w:r>
      <w:r w:rsidR="00D1451E">
        <w:rPr>
          <w:rFonts w:eastAsiaTheme="minorEastAsia"/>
          <w:bCs/>
          <w:color w:val="000000"/>
          <w:szCs w:val="24"/>
        </w:rPr>
        <w:t xml:space="preserve"> P1 through P5 </w:t>
      </w:r>
      <w:r w:rsidR="00F718C2">
        <w:rPr>
          <w:rFonts w:eastAsiaTheme="minorEastAsia"/>
          <w:bCs/>
          <w:color w:val="000000"/>
          <w:szCs w:val="24"/>
        </w:rPr>
        <w:t xml:space="preserve">along </w:t>
      </w:r>
      <w:r w:rsidR="00107BE0">
        <w:rPr>
          <w:rFonts w:eastAsiaTheme="minorEastAsia"/>
          <w:bCs/>
          <w:color w:val="000000"/>
          <w:szCs w:val="24"/>
        </w:rPr>
        <w:t xml:space="preserve">with the 3 other </w:t>
      </w:r>
      <w:r w:rsidR="00E658CD">
        <w:rPr>
          <w:rFonts w:eastAsiaTheme="minorEastAsia"/>
          <w:bCs/>
          <w:color w:val="000000"/>
          <w:szCs w:val="24"/>
        </w:rPr>
        <w:t>covariates</w:t>
      </w:r>
      <w:r w:rsidR="00281352">
        <w:rPr>
          <w:rFonts w:eastAsiaTheme="minorEastAsia"/>
          <w:bCs/>
          <w:color w:val="000000"/>
          <w:szCs w:val="24"/>
        </w:rPr>
        <w:t>,</w:t>
      </w:r>
      <w:r w:rsidR="00107BE0">
        <w:rPr>
          <w:rFonts w:eastAsiaTheme="minorEastAsia"/>
          <w:bCs/>
          <w:color w:val="000000"/>
          <w:szCs w:val="24"/>
        </w:rPr>
        <w:t xml:space="preserve"> </w:t>
      </w:r>
      <w:r w:rsidR="00417534">
        <w:rPr>
          <w:rFonts w:eastAsiaTheme="minorEastAsia"/>
          <w:bCs/>
          <w:color w:val="000000"/>
          <w:szCs w:val="24"/>
        </w:rPr>
        <w:t xml:space="preserve">that </w:t>
      </w:r>
      <w:r w:rsidR="00FA0650">
        <w:rPr>
          <w:rFonts w:eastAsiaTheme="minorEastAsia"/>
          <w:bCs/>
          <w:color w:val="000000"/>
          <w:szCs w:val="24"/>
        </w:rPr>
        <w:t>are,</w:t>
      </w:r>
      <w:r w:rsidR="00107BE0">
        <w:rPr>
          <w:rFonts w:eastAsiaTheme="minorEastAsia"/>
          <w:bCs/>
          <w:color w:val="000000"/>
          <w:szCs w:val="24"/>
        </w:rPr>
        <w:t xml:space="preserve"> proppant </w:t>
      </w:r>
      <w:r w:rsidR="0002242A">
        <w:rPr>
          <w:rFonts w:eastAsiaTheme="minorEastAsia"/>
          <w:bCs/>
          <w:color w:val="000000"/>
          <w:szCs w:val="24"/>
        </w:rPr>
        <w:t>weight</w:t>
      </w:r>
      <w:r w:rsidR="00107BE0">
        <w:rPr>
          <w:rFonts w:eastAsiaTheme="minorEastAsia"/>
          <w:bCs/>
          <w:color w:val="000000"/>
          <w:szCs w:val="24"/>
        </w:rPr>
        <w:t xml:space="preserve">, </w:t>
      </w:r>
      <w:r w:rsidR="00E658CD">
        <w:rPr>
          <w:rFonts w:eastAsiaTheme="minorEastAsia"/>
          <w:bCs/>
          <w:color w:val="000000"/>
          <w:szCs w:val="24"/>
        </w:rPr>
        <w:t>fracture fluid volumes</w:t>
      </w:r>
      <w:r w:rsidR="00C73052">
        <w:rPr>
          <w:rFonts w:eastAsiaTheme="minorEastAsia"/>
          <w:bCs/>
          <w:color w:val="000000"/>
          <w:szCs w:val="24"/>
        </w:rPr>
        <w:t xml:space="preserve"> both normalized to lateral length</w:t>
      </w:r>
      <w:r w:rsidR="00E658CD">
        <w:rPr>
          <w:rFonts w:eastAsiaTheme="minorEastAsia"/>
          <w:bCs/>
          <w:color w:val="000000"/>
          <w:szCs w:val="24"/>
        </w:rPr>
        <w:t xml:space="preserve"> and true vertical depth. </w:t>
      </w:r>
      <w:r w:rsidR="00FA6BFE">
        <w:rPr>
          <w:rFonts w:eastAsiaTheme="minorEastAsia"/>
          <w:bCs/>
          <w:color w:val="000000"/>
          <w:szCs w:val="24"/>
        </w:rPr>
        <w:t>The 2</w:t>
      </w:r>
      <w:r w:rsidR="00FA6BFE" w:rsidRPr="00FA6BFE">
        <w:rPr>
          <w:rFonts w:eastAsiaTheme="minorEastAsia"/>
          <w:bCs/>
          <w:color w:val="000000"/>
          <w:szCs w:val="24"/>
          <w:vertAlign w:val="superscript"/>
        </w:rPr>
        <w:t>nd</w:t>
      </w:r>
      <w:r w:rsidR="00FA6BFE">
        <w:rPr>
          <w:rFonts w:eastAsiaTheme="minorEastAsia"/>
          <w:bCs/>
          <w:color w:val="000000"/>
          <w:szCs w:val="24"/>
        </w:rPr>
        <w:t xml:space="preserve"> and 3</w:t>
      </w:r>
      <w:r w:rsidR="00FA6BFE" w:rsidRPr="00FA6BFE">
        <w:rPr>
          <w:rFonts w:eastAsiaTheme="minorEastAsia"/>
          <w:bCs/>
          <w:color w:val="000000"/>
          <w:szCs w:val="24"/>
          <w:vertAlign w:val="superscript"/>
        </w:rPr>
        <w:t>rd</w:t>
      </w:r>
      <w:r w:rsidR="00FA6BFE">
        <w:rPr>
          <w:rFonts w:eastAsiaTheme="minorEastAsia"/>
          <w:bCs/>
          <w:color w:val="000000"/>
          <w:szCs w:val="24"/>
        </w:rPr>
        <w:t xml:space="preserve"> column</w:t>
      </w:r>
      <w:r w:rsidR="004E12C9">
        <w:rPr>
          <w:rFonts w:eastAsiaTheme="minorEastAsia"/>
          <w:bCs/>
          <w:color w:val="000000"/>
          <w:szCs w:val="24"/>
        </w:rPr>
        <w:t>s</w:t>
      </w:r>
      <w:r w:rsidR="00FA6BFE">
        <w:rPr>
          <w:rFonts w:eastAsiaTheme="minorEastAsia"/>
          <w:bCs/>
          <w:color w:val="000000"/>
          <w:szCs w:val="24"/>
        </w:rPr>
        <w:t xml:space="preserve"> show the mean and the standard deviation</w:t>
      </w:r>
      <w:r w:rsidR="00E946DF">
        <w:rPr>
          <w:rFonts w:eastAsiaTheme="minorEastAsia"/>
          <w:bCs/>
          <w:color w:val="000000"/>
          <w:szCs w:val="24"/>
        </w:rPr>
        <w:t xml:space="preserve"> </w:t>
      </w:r>
      <w:r w:rsidR="00FA6BFE">
        <w:rPr>
          <w:rFonts w:eastAsiaTheme="minorEastAsia"/>
          <w:bCs/>
          <w:color w:val="000000"/>
          <w:szCs w:val="24"/>
        </w:rPr>
        <w:t xml:space="preserve">for </w:t>
      </w:r>
      <w:r w:rsidR="00E946DF">
        <w:rPr>
          <w:rFonts w:eastAsiaTheme="minorEastAsia"/>
          <w:bCs/>
          <w:color w:val="000000"/>
          <w:szCs w:val="24"/>
        </w:rPr>
        <w:t xml:space="preserve">the parent well group </w:t>
      </w:r>
      <w:r w:rsidR="00336F9A">
        <w:rPr>
          <w:rFonts w:eastAsiaTheme="minorEastAsia"/>
          <w:bCs/>
          <w:color w:val="000000"/>
          <w:szCs w:val="24"/>
        </w:rPr>
        <w:t>and 4</w:t>
      </w:r>
      <w:r w:rsidR="00336F9A" w:rsidRPr="00336F9A">
        <w:rPr>
          <w:rFonts w:eastAsiaTheme="minorEastAsia"/>
          <w:bCs/>
          <w:color w:val="000000"/>
          <w:szCs w:val="24"/>
          <w:vertAlign w:val="superscript"/>
        </w:rPr>
        <w:t>th</w:t>
      </w:r>
      <w:r w:rsidR="00336F9A">
        <w:rPr>
          <w:rFonts w:eastAsiaTheme="minorEastAsia"/>
          <w:bCs/>
          <w:color w:val="000000"/>
          <w:szCs w:val="24"/>
        </w:rPr>
        <w:t xml:space="preserve"> and 5</w:t>
      </w:r>
      <w:r w:rsidR="00336F9A" w:rsidRPr="00336F9A">
        <w:rPr>
          <w:rFonts w:eastAsiaTheme="minorEastAsia"/>
          <w:bCs/>
          <w:color w:val="000000"/>
          <w:szCs w:val="24"/>
          <w:vertAlign w:val="superscript"/>
        </w:rPr>
        <w:t>th</w:t>
      </w:r>
      <w:r w:rsidR="00336F9A">
        <w:rPr>
          <w:rFonts w:eastAsiaTheme="minorEastAsia"/>
          <w:bCs/>
          <w:color w:val="000000"/>
          <w:szCs w:val="24"/>
        </w:rPr>
        <w:t xml:space="preserve"> column show the mean and standard deviation for child well group for </w:t>
      </w:r>
      <w:r w:rsidR="00FA6BFE">
        <w:rPr>
          <w:rFonts w:eastAsiaTheme="minorEastAsia"/>
          <w:bCs/>
          <w:color w:val="000000"/>
          <w:szCs w:val="24"/>
        </w:rPr>
        <w:t>each cova</w:t>
      </w:r>
      <w:r w:rsidR="004E12C9">
        <w:rPr>
          <w:rFonts w:eastAsiaTheme="minorEastAsia"/>
          <w:bCs/>
          <w:color w:val="000000"/>
          <w:szCs w:val="24"/>
        </w:rPr>
        <w:t>riate</w:t>
      </w:r>
      <w:r w:rsidR="00010E36">
        <w:rPr>
          <w:rFonts w:eastAsiaTheme="minorEastAsia"/>
          <w:bCs/>
          <w:color w:val="000000"/>
          <w:szCs w:val="24"/>
        </w:rPr>
        <w:t xml:space="preserve">. </w:t>
      </w:r>
      <w:r w:rsidR="002A498B">
        <w:rPr>
          <w:rFonts w:eastAsiaTheme="minorEastAsia"/>
          <w:bCs/>
          <w:color w:val="000000"/>
          <w:szCs w:val="24"/>
        </w:rPr>
        <w:t>SMD values are shown in the last column</w:t>
      </w:r>
      <w:r w:rsidR="006A3C7B">
        <w:rPr>
          <w:rFonts w:eastAsiaTheme="minorEastAsia"/>
          <w:bCs/>
          <w:color w:val="000000"/>
          <w:szCs w:val="24"/>
        </w:rPr>
        <w:t>.</w:t>
      </w:r>
    </w:p>
    <w:p w14:paraId="40CE9281" w14:textId="54F938C1" w:rsidR="00125E28" w:rsidRDefault="00010E36" w:rsidP="00CD4252">
      <w:pPr>
        <w:pStyle w:val="para1"/>
        <w:spacing w:line="480" w:lineRule="auto"/>
        <w:rPr>
          <w:rFonts w:eastAsiaTheme="minorEastAsia"/>
          <w:bCs/>
          <w:color w:val="000000"/>
          <w:szCs w:val="24"/>
        </w:rPr>
      </w:pPr>
      <w:r>
        <w:rPr>
          <w:rFonts w:eastAsiaTheme="minorEastAsia"/>
          <w:bCs/>
          <w:color w:val="000000"/>
          <w:szCs w:val="24"/>
        </w:rPr>
        <w:t>A</w:t>
      </w:r>
      <w:r w:rsidR="0021076A">
        <w:rPr>
          <w:rFonts w:eastAsiaTheme="minorEastAsia"/>
          <w:bCs/>
          <w:color w:val="000000"/>
          <w:szCs w:val="24"/>
        </w:rPr>
        <w:t>s highlighted by red rectangles</w:t>
      </w:r>
      <w:r w:rsidR="00D702A3">
        <w:rPr>
          <w:rFonts w:eastAsiaTheme="minorEastAsia"/>
          <w:bCs/>
          <w:color w:val="000000"/>
          <w:szCs w:val="24"/>
        </w:rPr>
        <w:t xml:space="preserve">, </w:t>
      </w:r>
      <w:r w:rsidR="00F10673">
        <w:rPr>
          <w:rFonts w:eastAsiaTheme="minorEastAsia"/>
          <w:bCs/>
          <w:color w:val="000000"/>
          <w:szCs w:val="24"/>
        </w:rPr>
        <w:t xml:space="preserve">we see that </w:t>
      </w:r>
      <w:r w:rsidR="00D702A3">
        <w:rPr>
          <w:rFonts w:eastAsiaTheme="minorEastAsia"/>
          <w:bCs/>
          <w:color w:val="000000"/>
          <w:szCs w:val="24"/>
        </w:rPr>
        <w:t>the SMD value</w:t>
      </w:r>
      <w:r w:rsidR="00D70560">
        <w:rPr>
          <w:rFonts w:eastAsiaTheme="minorEastAsia"/>
          <w:bCs/>
          <w:color w:val="000000"/>
          <w:szCs w:val="24"/>
        </w:rPr>
        <w:t>s</w:t>
      </w:r>
      <w:r w:rsidR="00D702A3">
        <w:rPr>
          <w:rFonts w:eastAsiaTheme="minorEastAsia"/>
          <w:bCs/>
          <w:color w:val="000000"/>
          <w:szCs w:val="24"/>
        </w:rPr>
        <w:t xml:space="preserve"> for P2 and the proppant </w:t>
      </w:r>
      <w:r w:rsidR="0002242A">
        <w:rPr>
          <w:rFonts w:eastAsiaTheme="minorEastAsia"/>
          <w:bCs/>
          <w:color w:val="000000"/>
          <w:szCs w:val="24"/>
        </w:rPr>
        <w:t>weight</w:t>
      </w:r>
      <w:r w:rsidR="00D702A3">
        <w:rPr>
          <w:rFonts w:eastAsiaTheme="minorEastAsia"/>
          <w:bCs/>
          <w:color w:val="000000"/>
          <w:szCs w:val="24"/>
        </w:rPr>
        <w:t xml:space="preserve"> are over 0.4 which indicate significant differences at the individual covariate level between the child and parent wells groups.</w:t>
      </w:r>
      <w:r w:rsidR="0021076A">
        <w:rPr>
          <w:rFonts w:eastAsiaTheme="minorEastAsia"/>
          <w:bCs/>
          <w:color w:val="000000"/>
          <w:szCs w:val="24"/>
        </w:rPr>
        <w:t xml:space="preserve"> </w:t>
      </w:r>
      <w:r w:rsidR="00943A32">
        <w:rPr>
          <w:rFonts w:eastAsiaTheme="minorEastAsia"/>
          <w:bCs/>
          <w:color w:val="000000"/>
          <w:szCs w:val="24"/>
        </w:rPr>
        <w:t>Therefore, the</w:t>
      </w:r>
      <w:r w:rsidR="00331BBE">
        <w:rPr>
          <w:rFonts w:eastAsiaTheme="minorEastAsia"/>
          <w:bCs/>
          <w:color w:val="000000"/>
          <w:szCs w:val="24"/>
        </w:rPr>
        <w:t xml:space="preserve">re is </w:t>
      </w:r>
      <w:r w:rsidR="00CA38B1">
        <w:rPr>
          <w:rFonts w:eastAsiaTheme="minorEastAsia"/>
          <w:bCs/>
          <w:color w:val="000000"/>
          <w:szCs w:val="24"/>
        </w:rPr>
        <w:t xml:space="preserve">a </w:t>
      </w:r>
      <w:r w:rsidR="00331BBE">
        <w:rPr>
          <w:rFonts w:eastAsiaTheme="minorEastAsia"/>
          <w:bCs/>
          <w:color w:val="000000"/>
          <w:szCs w:val="24"/>
        </w:rPr>
        <w:t>statistical dissimilarity</w:t>
      </w:r>
      <w:r w:rsidR="00CA38B1">
        <w:rPr>
          <w:rFonts w:eastAsiaTheme="minorEastAsia"/>
          <w:bCs/>
          <w:color w:val="000000"/>
          <w:szCs w:val="24"/>
        </w:rPr>
        <w:t xml:space="preserve"> seen</w:t>
      </w:r>
      <w:r w:rsidR="00500EB4">
        <w:rPr>
          <w:rFonts w:eastAsiaTheme="minorEastAsia"/>
          <w:bCs/>
          <w:color w:val="000000"/>
          <w:szCs w:val="24"/>
        </w:rPr>
        <w:t xml:space="preserve"> not only</w:t>
      </w:r>
      <w:r w:rsidR="00331BBE">
        <w:rPr>
          <w:rFonts w:eastAsiaTheme="minorEastAsia"/>
          <w:bCs/>
          <w:color w:val="000000"/>
          <w:szCs w:val="24"/>
        </w:rPr>
        <w:t xml:space="preserve"> at the individual </w:t>
      </w:r>
      <w:r w:rsidR="00CA38B1">
        <w:rPr>
          <w:rFonts w:eastAsiaTheme="minorEastAsia"/>
          <w:bCs/>
          <w:color w:val="000000"/>
          <w:szCs w:val="24"/>
        </w:rPr>
        <w:t>covariates</w:t>
      </w:r>
      <w:r w:rsidR="00331BBE">
        <w:rPr>
          <w:rFonts w:eastAsiaTheme="minorEastAsia"/>
          <w:bCs/>
          <w:color w:val="000000"/>
          <w:szCs w:val="24"/>
        </w:rPr>
        <w:t xml:space="preserve"> </w:t>
      </w:r>
      <w:r w:rsidR="00CA38B1">
        <w:rPr>
          <w:rFonts w:eastAsiaTheme="minorEastAsia"/>
          <w:bCs/>
          <w:color w:val="000000"/>
          <w:szCs w:val="24"/>
        </w:rPr>
        <w:t>level</w:t>
      </w:r>
      <w:r w:rsidR="00500EB4">
        <w:rPr>
          <w:rFonts w:eastAsiaTheme="minorEastAsia"/>
          <w:bCs/>
          <w:color w:val="000000"/>
          <w:szCs w:val="24"/>
        </w:rPr>
        <w:t xml:space="preserve"> but also in the</w:t>
      </w:r>
      <w:r w:rsidR="00331BBE">
        <w:rPr>
          <w:rFonts w:eastAsiaTheme="minorEastAsia"/>
          <w:bCs/>
          <w:color w:val="000000"/>
          <w:szCs w:val="24"/>
        </w:rPr>
        <w:t xml:space="preserve"> </w:t>
      </w:r>
      <w:r w:rsidR="00CA38B1">
        <w:rPr>
          <w:rFonts w:eastAsiaTheme="minorEastAsia"/>
          <w:bCs/>
          <w:color w:val="000000"/>
          <w:szCs w:val="24"/>
        </w:rPr>
        <w:t xml:space="preserve">overall </w:t>
      </w:r>
      <w:r w:rsidR="008A12B6">
        <w:rPr>
          <w:rFonts w:eastAsiaTheme="minorEastAsia"/>
          <w:bCs/>
          <w:color w:val="000000"/>
          <w:szCs w:val="24"/>
        </w:rPr>
        <w:t xml:space="preserve">propensity scores </w:t>
      </w:r>
      <w:r w:rsidR="00500EB4">
        <w:rPr>
          <w:rFonts w:eastAsiaTheme="minorEastAsia"/>
          <w:bCs/>
          <w:color w:val="000000"/>
          <w:szCs w:val="24"/>
        </w:rPr>
        <w:t xml:space="preserve">distribution </w:t>
      </w:r>
      <w:r w:rsidR="00C76C25">
        <w:rPr>
          <w:rFonts w:eastAsiaTheme="minorEastAsia"/>
          <w:bCs/>
          <w:color w:val="000000"/>
          <w:szCs w:val="24"/>
        </w:rPr>
        <w:t>considering all covariates</w:t>
      </w:r>
      <w:r w:rsidR="00943A32">
        <w:rPr>
          <w:rFonts w:eastAsiaTheme="minorEastAsia"/>
          <w:bCs/>
          <w:color w:val="000000"/>
          <w:szCs w:val="24"/>
        </w:rPr>
        <w:t xml:space="preserve"> </w:t>
      </w:r>
      <w:r w:rsidR="00500EB4">
        <w:rPr>
          <w:rFonts w:eastAsiaTheme="minorEastAsia"/>
          <w:bCs/>
          <w:color w:val="000000"/>
          <w:szCs w:val="24"/>
        </w:rPr>
        <w:t>together as seen in Fig.</w:t>
      </w:r>
      <w:r w:rsidR="00466E2D">
        <w:rPr>
          <w:rFonts w:eastAsiaTheme="minorEastAsia"/>
          <w:bCs/>
          <w:color w:val="000000"/>
          <w:szCs w:val="24"/>
        </w:rPr>
        <w:t xml:space="preserve"> 2.1</w:t>
      </w:r>
      <w:r w:rsidR="000E3B1C">
        <w:rPr>
          <w:rFonts w:eastAsiaTheme="minorEastAsia"/>
          <w:bCs/>
          <w:color w:val="000000"/>
          <w:szCs w:val="24"/>
        </w:rPr>
        <w:t>5</w:t>
      </w:r>
      <w:r w:rsidR="00500EB4">
        <w:rPr>
          <w:rFonts w:eastAsiaTheme="minorEastAsia"/>
          <w:bCs/>
          <w:color w:val="000000"/>
          <w:szCs w:val="24"/>
        </w:rPr>
        <w:t>.</w:t>
      </w:r>
      <w:r w:rsidR="00836E76">
        <w:rPr>
          <w:rFonts w:eastAsiaTheme="minorEastAsia"/>
          <w:bCs/>
          <w:color w:val="000000"/>
          <w:szCs w:val="24"/>
        </w:rPr>
        <w:t xml:space="preserve"> In order to improve from this current state, </w:t>
      </w:r>
      <w:r w:rsidR="00997858">
        <w:rPr>
          <w:rFonts w:eastAsiaTheme="minorEastAsia"/>
          <w:bCs/>
          <w:color w:val="000000"/>
          <w:szCs w:val="24"/>
        </w:rPr>
        <w:t>I</w:t>
      </w:r>
      <w:r w:rsidR="00836E76">
        <w:rPr>
          <w:rFonts w:eastAsiaTheme="minorEastAsia"/>
          <w:bCs/>
          <w:color w:val="000000"/>
          <w:szCs w:val="24"/>
        </w:rPr>
        <w:t xml:space="preserve"> </w:t>
      </w:r>
      <w:r w:rsidR="00A65508">
        <w:rPr>
          <w:rFonts w:eastAsiaTheme="minorEastAsia"/>
          <w:bCs/>
          <w:color w:val="000000"/>
          <w:szCs w:val="24"/>
        </w:rPr>
        <w:t>perform one to one matching which is explained in the next step.</w:t>
      </w:r>
    </w:p>
    <w:p w14:paraId="780336C0" w14:textId="77777777" w:rsidR="00125E28" w:rsidRDefault="00125E28" w:rsidP="00CD4252">
      <w:pPr>
        <w:pStyle w:val="para1"/>
        <w:spacing w:line="480" w:lineRule="auto"/>
        <w:rPr>
          <w:rFonts w:eastAsiaTheme="minorEastAsia"/>
          <w:bCs/>
          <w:color w:val="000000"/>
          <w:szCs w:val="24"/>
        </w:rPr>
      </w:pPr>
    </w:p>
    <w:p w14:paraId="1DBC429E" w14:textId="5A546DC1" w:rsidR="008D2CDF" w:rsidRDefault="008D2CDF" w:rsidP="00CD4252">
      <w:pPr>
        <w:pStyle w:val="para1"/>
        <w:spacing w:line="480" w:lineRule="auto"/>
        <w:rPr>
          <w:rFonts w:eastAsiaTheme="minorEastAsia"/>
          <w:bCs/>
          <w:color w:val="000000"/>
          <w:szCs w:val="24"/>
        </w:rPr>
      </w:pPr>
    </w:p>
    <w:p w14:paraId="74037474" w14:textId="43978332" w:rsidR="008D2CDF" w:rsidRDefault="008D2CDF" w:rsidP="00CD4252">
      <w:pPr>
        <w:pStyle w:val="para1"/>
        <w:spacing w:line="480" w:lineRule="auto"/>
        <w:rPr>
          <w:rFonts w:eastAsiaTheme="minorEastAsia"/>
          <w:bCs/>
          <w:color w:val="000000"/>
          <w:szCs w:val="24"/>
        </w:rPr>
      </w:pPr>
    </w:p>
    <w:p w14:paraId="2690F526" w14:textId="2219806F" w:rsidR="008D2CDF" w:rsidRDefault="008D2CDF" w:rsidP="00CD4252">
      <w:pPr>
        <w:pStyle w:val="para1"/>
        <w:spacing w:line="480" w:lineRule="auto"/>
        <w:rPr>
          <w:rFonts w:eastAsiaTheme="minorEastAsia"/>
          <w:bCs/>
          <w:color w:val="000000"/>
          <w:szCs w:val="24"/>
        </w:rPr>
      </w:pPr>
    </w:p>
    <w:p w14:paraId="4760DCB1" w14:textId="69FF5F3F" w:rsidR="008D2CDF" w:rsidRDefault="008D2CDF" w:rsidP="00CD4252">
      <w:pPr>
        <w:pStyle w:val="para1"/>
        <w:spacing w:line="480" w:lineRule="auto"/>
        <w:rPr>
          <w:rFonts w:eastAsiaTheme="minorEastAsia"/>
          <w:bCs/>
          <w:color w:val="000000"/>
          <w:szCs w:val="24"/>
        </w:rPr>
      </w:pPr>
    </w:p>
    <w:p w14:paraId="04F5D1C7" w14:textId="657D6342" w:rsidR="008D2CDF" w:rsidRDefault="008D2CDF" w:rsidP="00CD4252">
      <w:pPr>
        <w:pStyle w:val="para1"/>
        <w:spacing w:line="480" w:lineRule="auto"/>
        <w:rPr>
          <w:rFonts w:eastAsiaTheme="minorEastAsia"/>
          <w:bCs/>
          <w:color w:val="000000"/>
          <w:szCs w:val="24"/>
        </w:rPr>
      </w:pPr>
    </w:p>
    <w:p w14:paraId="1655BC03" w14:textId="721A7B2E" w:rsidR="008D2CDF" w:rsidRDefault="008D2CDF" w:rsidP="00CD4252">
      <w:pPr>
        <w:pStyle w:val="para1"/>
        <w:spacing w:line="480" w:lineRule="auto"/>
        <w:rPr>
          <w:rFonts w:eastAsiaTheme="minorEastAsia"/>
          <w:bCs/>
          <w:color w:val="000000"/>
          <w:szCs w:val="24"/>
        </w:rPr>
      </w:pPr>
    </w:p>
    <w:tbl>
      <w:tblPr>
        <w:tblW w:w="7465" w:type="dxa"/>
        <w:jc w:val="center"/>
        <w:tblLook w:val="04A0" w:firstRow="1" w:lastRow="0" w:firstColumn="1" w:lastColumn="0" w:noHBand="0" w:noVBand="1"/>
      </w:tblPr>
      <w:tblGrid>
        <w:gridCol w:w="1999"/>
        <w:gridCol w:w="996"/>
        <w:gridCol w:w="1316"/>
        <w:gridCol w:w="906"/>
        <w:gridCol w:w="1348"/>
        <w:gridCol w:w="900"/>
      </w:tblGrid>
      <w:tr w:rsidR="00432E38" w:rsidRPr="00432E38" w14:paraId="3EE9210B" w14:textId="77777777" w:rsidTr="00AB12A9">
        <w:trPr>
          <w:trHeight w:val="312"/>
          <w:jc w:val="center"/>
        </w:trPr>
        <w:tc>
          <w:tcPr>
            <w:tcW w:w="199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60E7B324" w14:textId="77777777" w:rsidR="00432E38" w:rsidRPr="00432E38" w:rsidRDefault="00432E38" w:rsidP="00432E38">
            <w:pPr>
              <w:spacing w:after="0" w:line="240" w:lineRule="auto"/>
              <w:jc w:val="center"/>
              <w:rPr>
                <w:rFonts w:eastAsia="Times New Roman" w:cs="Times New Roman"/>
                <w:b/>
                <w:bCs/>
                <w:color w:val="000000"/>
                <w:szCs w:val="24"/>
              </w:rPr>
            </w:pPr>
            <w:r w:rsidRPr="00432E38">
              <w:rPr>
                <w:rFonts w:eastAsia="Times New Roman" w:cs="Times New Roman"/>
                <w:color w:val="000000"/>
                <w:szCs w:val="24"/>
              </w:rPr>
              <w:lastRenderedPageBreak/>
              <w:t>Covariates</w:t>
            </w:r>
          </w:p>
        </w:tc>
        <w:tc>
          <w:tcPr>
            <w:tcW w:w="2312" w:type="dxa"/>
            <w:gridSpan w:val="2"/>
            <w:tcBorders>
              <w:top w:val="single" w:sz="4" w:space="0" w:color="auto"/>
              <w:left w:val="nil"/>
              <w:bottom w:val="single" w:sz="4" w:space="0" w:color="auto"/>
              <w:right w:val="single" w:sz="4" w:space="0" w:color="auto"/>
            </w:tcBorders>
            <w:shd w:val="clear" w:color="auto" w:fill="auto"/>
            <w:noWrap/>
            <w:vAlign w:val="bottom"/>
            <w:hideMark/>
          </w:tcPr>
          <w:p w14:paraId="33D0579A" w14:textId="0E9314CC" w:rsidR="00432E38" w:rsidRPr="00432E38" w:rsidRDefault="00432E38" w:rsidP="00432E38">
            <w:pPr>
              <w:spacing w:after="0" w:line="240" w:lineRule="auto"/>
              <w:jc w:val="center"/>
              <w:rPr>
                <w:rFonts w:eastAsia="Times New Roman" w:cs="Times New Roman"/>
                <w:color w:val="000000"/>
                <w:szCs w:val="24"/>
              </w:rPr>
            </w:pPr>
            <w:r w:rsidRPr="00432E38">
              <w:rPr>
                <w:rFonts w:eastAsia="Times New Roman" w:cs="Times New Roman"/>
                <w:color w:val="000000"/>
                <w:szCs w:val="24"/>
              </w:rPr>
              <w:t>256 Parent Wells (0)</w:t>
            </w:r>
          </w:p>
        </w:tc>
        <w:tc>
          <w:tcPr>
            <w:tcW w:w="2254"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BD7B85" w14:textId="5A636523" w:rsidR="00432E38" w:rsidRPr="00432E38" w:rsidRDefault="00432E38" w:rsidP="00432E38">
            <w:pPr>
              <w:spacing w:after="0" w:line="240" w:lineRule="auto"/>
              <w:jc w:val="center"/>
              <w:rPr>
                <w:rFonts w:eastAsia="Times New Roman" w:cs="Times New Roman"/>
                <w:color w:val="000000"/>
                <w:szCs w:val="24"/>
              </w:rPr>
            </w:pPr>
            <w:r w:rsidRPr="00432E38">
              <w:rPr>
                <w:rFonts w:eastAsia="Times New Roman" w:cs="Times New Roman"/>
                <w:color w:val="000000"/>
                <w:szCs w:val="24"/>
              </w:rPr>
              <w:t>349 Child Wells (1)</w:t>
            </w:r>
          </w:p>
        </w:tc>
        <w:tc>
          <w:tcPr>
            <w:tcW w:w="9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32388F95" w14:textId="56BB5EAB" w:rsidR="00432E38" w:rsidRPr="00432E38" w:rsidRDefault="00E917D8" w:rsidP="00432E38">
            <w:pPr>
              <w:spacing w:after="0" w:line="240" w:lineRule="auto"/>
              <w:jc w:val="center"/>
              <w:rPr>
                <w:rFonts w:eastAsia="Times New Roman" w:cs="Times New Roman"/>
                <w:color w:val="000000"/>
                <w:szCs w:val="24"/>
              </w:rPr>
            </w:pPr>
            <w:r w:rsidRPr="006D53C9">
              <w:rPr>
                <w:rFonts w:eastAsia="Times New Roman" w:cs="Times New Roman"/>
                <w:color w:val="000000"/>
                <w:szCs w:val="24"/>
              </w:rPr>
              <w:t>SMD</w:t>
            </w:r>
          </w:p>
        </w:tc>
      </w:tr>
      <w:tr w:rsidR="00432E38" w:rsidRPr="00432E38" w14:paraId="76BE8F0B" w14:textId="77777777" w:rsidTr="00AB12A9">
        <w:trPr>
          <w:trHeight w:val="312"/>
          <w:jc w:val="center"/>
        </w:trPr>
        <w:tc>
          <w:tcPr>
            <w:tcW w:w="1999" w:type="dxa"/>
            <w:vMerge/>
            <w:tcBorders>
              <w:top w:val="single" w:sz="4" w:space="0" w:color="auto"/>
              <w:left w:val="single" w:sz="4" w:space="0" w:color="auto"/>
              <w:bottom w:val="single" w:sz="4" w:space="0" w:color="000000"/>
              <w:right w:val="single" w:sz="4" w:space="0" w:color="auto"/>
            </w:tcBorders>
            <w:vAlign w:val="center"/>
            <w:hideMark/>
          </w:tcPr>
          <w:p w14:paraId="10A57BA4" w14:textId="77777777" w:rsidR="00432E38" w:rsidRPr="00432E38" w:rsidRDefault="00432E38" w:rsidP="00432E38">
            <w:pPr>
              <w:spacing w:after="0" w:line="240" w:lineRule="auto"/>
              <w:jc w:val="left"/>
              <w:rPr>
                <w:rFonts w:eastAsia="Times New Roman" w:cs="Times New Roman"/>
                <w:b/>
                <w:bCs/>
                <w:color w:val="000000"/>
                <w:szCs w:val="24"/>
              </w:rPr>
            </w:pPr>
          </w:p>
        </w:tc>
        <w:tc>
          <w:tcPr>
            <w:tcW w:w="996" w:type="dxa"/>
            <w:tcBorders>
              <w:top w:val="nil"/>
              <w:left w:val="nil"/>
              <w:bottom w:val="single" w:sz="4" w:space="0" w:color="auto"/>
              <w:right w:val="single" w:sz="4" w:space="0" w:color="auto"/>
            </w:tcBorders>
            <w:shd w:val="clear" w:color="auto" w:fill="auto"/>
            <w:noWrap/>
            <w:vAlign w:val="bottom"/>
            <w:hideMark/>
          </w:tcPr>
          <w:p w14:paraId="3784F17C"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Mean </w:t>
            </w:r>
          </w:p>
        </w:tc>
        <w:tc>
          <w:tcPr>
            <w:tcW w:w="1316" w:type="dxa"/>
            <w:tcBorders>
              <w:top w:val="nil"/>
              <w:left w:val="nil"/>
              <w:bottom w:val="single" w:sz="4" w:space="0" w:color="auto"/>
              <w:right w:val="single" w:sz="4" w:space="0" w:color="auto"/>
            </w:tcBorders>
            <w:shd w:val="clear" w:color="auto" w:fill="auto"/>
            <w:noWrap/>
            <w:vAlign w:val="bottom"/>
            <w:hideMark/>
          </w:tcPr>
          <w:p w14:paraId="0230F0A7"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Standard Deviation</w:t>
            </w:r>
          </w:p>
        </w:tc>
        <w:tc>
          <w:tcPr>
            <w:tcW w:w="906" w:type="dxa"/>
            <w:tcBorders>
              <w:top w:val="nil"/>
              <w:left w:val="nil"/>
              <w:bottom w:val="single" w:sz="4" w:space="0" w:color="auto"/>
              <w:right w:val="single" w:sz="4" w:space="0" w:color="auto"/>
            </w:tcBorders>
            <w:shd w:val="clear" w:color="auto" w:fill="auto"/>
            <w:noWrap/>
            <w:vAlign w:val="bottom"/>
            <w:hideMark/>
          </w:tcPr>
          <w:p w14:paraId="2A8CD88A"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Mean </w:t>
            </w:r>
          </w:p>
        </w:tc>
        <w:tc>
          <w:tcPr>
            <w:tcW w:w="1348" w:type="dxa"/>
            <w:tcBorders>
              <w:top w:val="nil"/>
              <w:left w:val="nil"/>
              <w:bottom w:val="single" w:sz="4" w:space="0" w:color="auto"/>
              <w:right w:val="single" w:sz="4" w:space="0" w:color="auto"/>
            </w:tcBorders>
            <w:shd w:val="clear" w:color="auto" w:fill="auto"/>
            <w:noWrap/>
            <w:vAlign w:val="bottom"/>
            <w:hideMark/>
          </w:tcPr>
          <w:p w14:paraId="785BDD81"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Standard Deviation</w:t>
            </w:r>
          </w:p>
        </w:tc>
        <w:tc>
          <w:tcPr>
            <w:tcW w:w="900" w:type="dxa"/>
            <w:vMerge/>
            <w:tcBorders>
              <w:top w:val="single" w:sz="4" w:space="0" w:color="auto"/>
              <w:left w:val="single" w:sz="4" w:space="0" w:color="auto"/>
              <w:bottom w:val="single" w:sz="4" w:space="0" w:color="000000"/>
              <w:right w:val="single" w:sz="4" w:space="0" w:color="auto"/>
            </w:tcBorders>
            <w:vAlign w:val="center"/>
            <w:hideMark/>
          </w:tcPr>
          <w:p w14:paraId="774D979E" w14:textId="77777777" w:rsidR="00432E38" w:rsidRPr="00432E38" w:rsidRDefault="00432E38" w:rsidP="00432E38">
            <w:pPr>
              <w:spacing w:after="0" w:line="240" w:lineRule="auto"/>
              <w:jc w:val="left"/>
              <w:rPr>
                <w:rFonts w:eastAsia="Times New Roman" w:cs="Times New Roman"/>
                <w:b/>
                <w:bCs/>
                <w:color w:val="000000"/>
                <w:szCs w:val="24"/>
              </w:rPr>
            </w:pPr>
          </w:p>
        </w:tc>
      </w:tr>
      <w:tr w:rsidR="00432E38" w:rsidRPr="00432E38" w14:paraId="5578027C"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07828293"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P1 </w:t>
            </w:r>
          </w:p>
        </w:tc>
        <w:tc>
          <w:tcPr>
            <w:tcW w:w="996" w:type="dxa"/>
            <w:tcBorders>
              <w:top w:val="nil"/>
              <w:left w:val="nil"/>
              <w:bottom w:val="single" w:sz="4" w:space="0" w:color="auto"/>
              <w:right w:val="single" w:sz="4" w:space="0" w:color="auto"/>
            </w:tcBorders>
            <w:shd w:val="clear" w:color="auto" w:fill="auto"/>
            <w:noWrap/>
            <w:vAlign w:val="bottom"/>
            <w:hideMark/>
          </w:tcPr>
          <w:p w14:paraId="34D7F255"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1.5</w:t>
            </w:r>
          </w:p>
        </w:tc>
        <w:tc>
          <w:tcPr>
            <w:tcW w:w="1316" w:type="dxa"/>
            <w:tcBorders>
              <w:top w:val="nil"/>
              <w:left w:val="nil"/>
              <w:bottom w:val="single" w:sz="4" w:space="0" w:color="auto"/>
              <w:right w:val="single" w:sz="4" w:space="0" w:color="auto"/>
            </w:tcBorders>
            <w:shd w:val="clear" w:color="auto" w:fill="auto"/>
            <w:noWrap/>
            <w:vAlign w:val="bottom"/>
            <w:hideMark/>
          </w:tcPr>
          <w:p w14:paraId="5B7871CE" w14:textId="2D898843"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12.92</w:t>
            </w:r>
          </w:p>
        </w:tc>
        <w:tc>
          <w:tcPr>
            <w:tcW w:w="906" w:type="dxa"/>
            <w:tcBorders>
              <w:top w:val="nil"/>
              <w:left w:val="nil"/>
              <w:bottom w:val="single" w:sz="4" w:space="0" w:color="auto"/>
              <w:right w:val="single" w:sz="4" w:space="0" w:color="auto"/>
            </w:tcBorders>
            <w:shd w:val="clear" w:color="auto" w:fill="auto"/>
            <w:noWrap/>
            <w:vAlign w:val="bottom"/>
            <w:hideMark/>
          </w:tcPr>
          <w:p w14:paraId="36B2DE41"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-1.1</w:t>
            </w:r>
          </w:p>
        </w:tc>
        <w:tc>
          <w:tcPr>
            <w:tcW w:w="1348" w:type="dxa"/>
            <w:tcBorders>
              <w:top w:val="nil"/>
              <w:left w:val="nil"/>
              <w:bottom w:val="single" w:sz="4" w:space="0" w:color="auto"/>
              <w:right w:val="single" w:sz="4" w:space="0" w:color="auto"/>
            </w:tcBorders>
            <w:shd w:val="clear" w:color="auto" w:fill="auto"/>
            <w:noWrap/>
            <w:vAlign w:val="bottom"/>
            <w:hideMark/>
          </w:tcPr>
          <w:p w14:paraId="0705251B"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10.4</w:t>
            </w:r>
          </w:p>
        </w:tc>
        <w:tc>
          <w:tcPr>
            <w:tcW w:w="900" w:type="dxa"/>
            <w:tcBorders>
              <w:top w:val="nil"/>
              <w:left w:val="nil"/>
              <w:bottom w:val="single" w:sz="4" w:space="0" w:color="auto"/>
              <w:right w:val="single" w:sz="4" w:space="0" w:color="auto"/>
            </w:tcBorders>
            <w:shd w:val="clear" w:color="auto" w:fill="auto"/>
            <w:noWrap/>
            <w:vAlign w:val="bottom"/>
            <w:hideMark/>
          </w:tcPr>
          <w:p w14:paraId="6B6D26D7"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0.222</w:t>
            </w:r>
          </w:p>
        </w:tc>
      </w:tr>
      <w:tr w:rsidR="00432E38" w:rsidRPr="00432E38" w14:paraId="4E5D4E8C"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78043CF7"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P2 </w:t>
            </w:r>
          </w:p>
        </w:tc>
        <w:tc>
          <w:tcPr>
            <w:tcW w:w="996" w:type="dxa"/>
            <w:tcBorders>
              <w:top w:val="nil"/>
              <w:left w:val="nil"/>
              <w:bottom w:val="single" w:sz="4" w:space="0" w:color="auto"/>
              <w:right w:val="single" w:sz="4" w:space="0" w:color="auto"/>
            </w:tcBorders>
            <w:shd w:val="clear" w:color="auto" w:fill="auto"/>
            <w:noWrap/>
            <w:vAlign w:val="bottom"/>
            <w:hideMark/>
          </w:tcPr>
          <w:p w14:paraId="55A3BB7A"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3.78</w:t>
            </w:r>
          </w:p>
        </w:tc>
        <w:tc>
          <w:tcPr>
            <w:tcW w:w="1316" w:type="dxa"/>
            <w:tcBorders>
              <w:top w:val="nil"/>
              <w:left w:val="nil"/>
              <w:bottom w:val="single" w:sz="4" w:space="0" w:color="auto"/>
              <w:right w:val="single" w:sz="4" w:space="0" w:color="auto"/>
            </w:tcBorders>
            <w:shd w:val="clear" w:color="auto" w:fill="auto"/>
            <w:noWrap/>
            <w:vAlign w:val="bottom"/>
            <w:hideMark/>
          </w:tcPr>
          <w:p w14:paraId="055C18F5" w14:textId="2604620A" w:rsidR="00432E38" w:rsidRPr="00432E38" w:rsidRDefault="0073585A" w:rsidP="00432E38">
            <w:pPr>
              <w:spacing w:after="0" w:line="240" w:lineRule="auto"/>
              <w:jc w:val="right"/>
              <w:rPr>
                <w:rFonts w:eastAsia="Times New Roman" w:cs="Times New Roman"/>
                <w:color w:val="000000"/>
                <w:szCs w:val="24"/>
              </w:rPr>
            </w:pPr>
            <w:r w:rsidRPr="00D26631">
              <w:rPr>
                <w:rFonts w:ascii="Arial" w:hAnsi="Arial"/>
                <w:b/>
                <w:noProof/>
                <w:color w:val="000000"/>
                <w:sz w:val="16"/>
                <w:szCs w:val="24"/>
              </w:rPr>
              <mc:AlternateContent>
                <mc:Choice Requires="wps">
                  <w:drawing>
                    <wp:anchor distT="0" distB="0" distL="114300" distR="114300" simplePos="0" relativeHeight="251659776" behindDoc="0" locked="0" layoutInCell="1" allowOverlap="1" wp14:anchorId="3ED4BC6F" wp14:editId="154A56CC">
                      <wp:simplePos x="0" y="0"/>
                      <wp:positionH relativeFrom="margin">
                        <wp:posOffset>-1969770</wp:posOffset>
                      </wp:positionH>
                      <wp:positionV relativeFrom="paragraph">
                        <wp:posOffset>-10795</wp:posOffset>
                      </wp:positionV>
                      <wp:extent cx="4751070" cy="224790"/>
                      <wp:effectExtent l="19050" t="19050" r="11430" b="22860"/>
                      <wp:wrapNone/>
                      <wp:docPr id="239" name="Rectangle 5"/>
                      <wp:cNvGraphicFramePr/>
                      <a:graphic xmlns:a="http://schemas.openxmlformats.org/drawingml/2006/main">
                        <a:graphicData uri="http://schemas.microsoft.com/office/word/2010/wordprocessingShape">
                          <wps:wsp>
                            <wps:cNvSpPr/>
                            <wps:spPr>
                              <a:xfrm rot="10800000" flipV="1">
                                <a:off x="0" y="0"/>
                                <a:ext cx="4751070" cy="22479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5BEFB218" id="Rectangle 5" o:spid="_x0000_s1026" style="position:absolute;margin-left:-155.1pt;margin-top:-.85pt;width:374.1pt;height:17.7pt;rotation:180;flip:y;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" fillcolor="red" strokecolor="red" strokeweight="2.5pt">
                      <v:fill opacity="0"/>
                      <w10:wrap anchorx="margin"/>
                    </v:rect>
                  </w:pict>
                </mc:Fallback>
              </mc:AlternateContent>
            </w:r>
            <w:r w:rsidR="00432E38" w:rsidRPr="00432E38">
              <w:rPr>
                <w:rFonts w:eastAsia="Times New Roman" w:cs="Times New Roman"/>
                <w:color w:val="000000"/>
                <w:szCs w:val="24"/>
              </w:rPr>
              <w:t>8.6</w:t>
            </w:r>
          </w:p>
        </w:tc>
        <w:tc>
          <w:tcPr>
            <w:tcW w:w="906" w:type="dxa"/>
            <w:tcBorders>
              <w:top w:val="nil"/>
              <w:left w:val="nil"/>
              <w:bottom w:val="single" w:sz="4" w:space="0" w:color="auto"/>
              <w:right w:val="single" w:sz="4" w:space="0" w:color="auto"/>
            </w:tcBorders>
            <w:shd w:val="clear" w:color="auto" w:fill="auto"/>
            <w:noWrap/>
            <w:vAlign w:val="bottom"/>
            <w:hideMark/>
          </w:tcPr>
          <w:p w14:paraId="3936161E"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-2.77</w:t>
            </w:r>
          </w:p>
        </w:tc>
        <w:tc>
          <w:tcPr>
            <w:tcW w:w="1348" w:type="dxa"/>
            <w:tcBorders>
              <w:top w:val="nil"/>
              <w:left w:val="nil"/>
              <w:bottom w:val="single" w:sz="4" w:space="0" w:color="auto"/>
              <w:right w:val="single" w:sz="4" w:space="0" w:color="auto"/>
            </w:tcBorders>
            <w:shd w:val="clear" w:color="auto" w:fill="auto"/>
            <w:noWrap/>
            <w:vAlign w:val="bottom"/>
            <w:hideMark/>
          </w:tcPr>
          <w:p w14:paraId="6AFB4FB1"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11.32</w:t>
            </w:r>
          </w:p>
        </w:tc>
        <w:tc>
          <w:tcPr>
            <w:tcW w:w="900" w:type="dxa"/>
            <w:tcBorders>
              <w:top w:val="nil"/>
              <w:left w:val="nil"/>
              <w:bottom w:val="single" w:sz="4" w:space="0" w:color="auto"/>
              <w:right w:val="single" w:sz="4" w:space="0" w:color="auto"/>
            </w:tcBorders>
            <w:shd w:val="clear" w:color="auto" w:fill="auto"/>
            <w:noWrap/>
            <w:vAlign w:val="bottom"/>
            <w:hideMark/>
          </w:tcPr>
          <w:p w14:paraId="462D2E7D"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0.651</w:t>
            </w:r>
          </w:p>
        </w:tc>
      </w:tr>
      <w:tr w:rsidR="00432E38" w:rsidRPr="00432E38" w14:paraId="5F22A9A4"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6C9B223B"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P3 </w:t>
            </w:r>
          </w:p>
        </w:tc>
        <w:tc>
          <w:tcPr>
            <w:tcW w:w="996" w:type="dxa"/>
            <w:tcBorders>
              <w:top w:val="nil"/>
              <w:left w:val="nil"/>
              <w:bottom w:val="single" w:sz="4" w:space="0" w:color="auto"/>
              <w:right w:val="single" w:sz="4" w:space="0" w:color="auto"/>
            </w:tcBorders>
            <w:shd w:val="clear" w:color="auto" w:fill="auto"/>
            <w:noWrap/>
            <w:vAlign w:val="bottom"/>
            <w:hideMark/>
          </w:tcPr>
          <w:p w14:paraId="167D1551"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0.3</w:t>
            </w:r>
          </w:p>
        </w:tc>
        <w:tc>
          <w:tcPr>
            <w:tcW w:w="1316" w:type="dxa"/>
            <w:tcBorders>
              <w:top w:val="nil"/>
              <w:left w:val="nil"/>
              <w:bottom w:val="single" w:sz="4" w:space="0" w:color="auto"/>
              <w:right w:val="single" w:sz="4" w:space="0" w:color="auto"/>
            </w:tcBorders>
            <w:shd w:val="clear" w:color="auto" w:fill="auto"/>
            <w:noWrap/>
            <w:vAlign w:val="bottom"/>
            <w:hideMark/>
          </w:tcPr>
          <w:p w14:paraId="57A77CD8" w14:textId="727DD601"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7.6</w:t>
            </w:r>
          </w:p>
        </w:tc>
        <w:tc>
          <w:tcPr>
            <w:tcW w:w="906" w:type="dxa"/>
            <w:tcBorders>
              <w:top w:val="nil"/>
              <w:left w:val="nil"/>
              <w:bottom w:val="single" w:sz="4" w:space="0" w:color="auto"/>
              <w:right w:val="single" w:sz="4" w:space="0" w:color="auto"/>
            </w:tcBorders>
            <w:shd w:val="clear" w:color="auto" w:fill="auto"/>
            <w:noWrap/>
            <w:vAlign w:val="bottom"/>
            <w:hideMark/>
          </w:tcPr>
          <w:p w14:paraId="4F6D620E"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-0.22</w:t>
            </w:r>
          </w:p>
        </w:tc>
        <w:tc>
          <w:tcPr>
            <w:tcW w:w="1348" w:type="dxa"/>
            <w:tcBorders>
              <w:top w:val="nil"/>
              <w:left w:val="nil"/>
              <w:bottom w:val="single" w:sz="4" w:space="0" w:color="auto"/>
              <w:right w:val="single" w:sz="4" w:space="0" w:color="auto"/>
            </w:tcBorders>
            <w:shd w:val="clear" w:color="auto" w:fill="auto"/>
            <w:noWrap/>
            <w:vAlign w:val="bottom"/>
            <w:hideMark/>
          </w:tcPr>
          <w:p w14:paraId="32578908"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6.05</w:t>
            </w:r>
          </w:p>
        </w:tc>
        <w:tc>
          <w:tcPr>
            <w:tcW w:w="900" w:type="dxa"/>
            <w:tcBorders>
              <w:top w:val="nil"/>
              <w:left w:val="nil"/>
              <w:bottom w:val="single" w:sz="4" w:space="0" w:color="auto"/>
              <w:right w:val="single" w:sz="4" w:space="0" w:color="auto"/>
            </w:tcBorders>
            <w:shd w:val="clear" w:color="auto" w:fill="auto"/>
            <w:noWrap/>
            <w:vAlign w:val="bottom"/>
            <w:hideMark/>
          </w:tcPr>
          <w:p w14:paraId="6330B87E"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0.077</w:t>
            </w:r>
          </w:p>
        </w:tc>
      </w:tr>
      <w:tr w:rsidR="00432E38" w:rsidRPr="00432E38" w14:paraId="7AD453AD"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4FD2D9AF"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P4 </w:t>
            </w:r>
          </w:p>
        </w:tc>
        <w:tc>
          <w:tcPr>
            <w:tcW w:w="996" w:type="dxa"/>
            <w:tcBorders>
              <w:top w:val="nil"/>
              <w:left w:val="nil"/>
              <w:bottom w:val="single" w:sz="4" w:space="0" w:color="auto"/>
              <w:right w:val="single" w:sz="4" w:space="0" w:color="auto"/>
            </w:tcBorders>
            <w:shd w:val="clear" w:color="auto" w:fill="auto"/>
            <w:noWrap/>
            <w:vAlign w:val="bottom"/>
            <w:hideMark/>
          </w:tcPr>
          <w:p w14:paraId="66F5F7FF" w14:textId="5F523F9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0.5</w:t>
            </w:r>
          </w:p>
        </w:tc>
        <w:tc>
          <w:tcPr>
            <w:tcW w:w="1316" w:type="dxa"/>
            <w:tcBorders>
              <w:top w:val="nil"/>
              <w:left w:val="nil"/>
              <w:bottom w:val="single" w:sz="4" w:space="0" w:color="auto"/>
              <w:right w:val="single" w:sz="4" w:space="0" w:color="auto"/>
            </w:tcBorders>
            <w:shd w:val="clear" w:color="auto" w:fill="auto"/>
            <w:noWrap/>
            <w:vAlign w:val="bottom"/>
            <w:hideMark/>
          </w:tcPr>
          <w:p w14:paraId="0537E149" w14:textId="329E4689"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4.48</w:t>
            </w:r>
          </w:p>
        </w:tc>
        <w:tc>
          <w:tcPr>
            <w:tcW w:w="906" w:type="dxa"/>
            <w:tcBorders>
              <w:top w:val="nil"/>
              <w:left w:val="nil"/>
              <w:bottom w:val="single" w:sz="4" w:space="0" w:color="auto"/>
              <w:right w:val="single" w:sz="4" w:space="0" w:color="auto"/>
            </w:tcBorders>
            <w:shd w:val="clear" w:color="auto" w:fill="auto"/>
            <w:noWrap/>
            <w:vAlign w:val="bottom"/>
            <w:hideMark/>
          </w:tcPr>
          <w:p w14:paraId="4BCA535C"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-0.37</w:t>
            </w:r>
          </w:p>
        </w:tc>
        <w:tc>
          <w:tcPr>
            <w:tcW w:w="1348" w:type="dxa"/>
            <w:tcBorders>
              <w:top w:val="nil"/>
              <w:left w:val="nil"/>
              <w:bottom w:val="single" w:sz="4" w:space="0" w:color="auto"/>
              <w:right w:val="single" w:sz="4" w:space="0" w:color="auto"/>
            </w:tcBorders>
            <w:shd w:val="clear" w:color="auto" w:fill="auto"/>
            <w:noWrap/>
            <w:vAlign w:val="bottom"/>
            <w:hideMark/>
          </w:tcPr>
          <w:p w14:paraId="2BECBFD9"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5.29</w:t>
            </w:r>
          </w:p>
        </w:tc>
        <w:tc>
          <w:tcPr>
            <w:tcW w:w="900" w:type="dxa"/>
            <w:tcBorders>
              <w:top w:val="nil"/>
              <w:left w:val="nil"/>
              <w:bottom w:val="single" w:sz="4" w:space="0" w:color="auto"/>
              <w:right w:val="single" w:sz="4" w:space="0" w:color="auto"/>
            </w:tcBorders>
            <w:shd w:val="clear" w:color="auto" w:fill="auto"/>
            <w:noWrap/>
            <w:vAlign w:val="bottom"/>
            <w:hideMark/>
          </w:tcPr>
          <w:p w14:paraId="3488AFFD"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0.178</w:t>
            </w:r>
          </w:p>
        </w:tc>
      </w:tr>
      <w:tr w:rsidR="00432E38" w:rsidRPr="00432E38" w14:paraId="5709DBF5"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3E9AFABA" w14:textId="70DBE42E"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 xml:space="preserve">P5 </w:t>
            </w:r>
          </w:p>
        </w:tc>
        <w:tc>
          <w:tcPr>
            <w:tcW w:w="996" w:type="dxa"/>
            <w:tcBorders>
              <w:top w:val="nil"/>
              <w:left w:val="nil"/>
              <w:bottom w:val="single" w:sz="4" w:space="0" w:color="auto"/>
              <w:right w:val="single" w:sz="4" w:space="0" w:color="auto"/>
            </w:tcBorders>
            <w:shd w:val="clear" w:color="auto" w:fill="auto"/>
            <w:noWrap/>
            <w:vAlign w:val="bottom"/>
            <w:hideMark/>
          </w:tcPr>
          <w:p w14:paraId="5A91742E" w14:textId="11EBE071"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1.08</w:t>
            </w:r>
          </w:p>
        </w:tc>
        <w:tc>
          <w:tcPr>
            <w:tcW w:w="1316" w:type="dxa"/>
            <w:tcBorders>
              <w:top w:val="nil"/>
              <w:left w:val="nil"/>
              <w:bottom w:val="single" w:sz="4" w:space="0" w:color="auto"/>
              <w:right w:val="single" w:sz="4" w:space="0" w:color="auto"/>
            </w:tcBorders>
            <w:shd w:val="clear" w:color="auto" w:fill="auto"/>
            <w:noWrap/>
            <w:vAlign w:val="bottom"/>
            <w:hideMark/>
          </w:tcPr>
          <w:p w14:paraId="1922F4E9"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4.74</w:t>
            </w:r>
          </w:p>
        </w:tc>
        <w:tc>
          <w:tcPr>
            <w:tcW w:w="906" w:type="dxa"/>
            <w:tcBorders>
              <w:top w:val="nil"/>
              <w:left w:val="nil"/>
              <w:bottom w:val="single" w:sz="4" w:space="0" w:color="auto"/>
              <w:right w:val="single" w:sz="4" w:space="0" w:color="auto"/>
            </w:tcBorders>
            <w:shd w:val="clear" w:color="auto" w:fill="auto"/>
            <w:noWrap/>
            <w:vAlign w:val="bottom"/>
            <w:hideMark/>
          </w:tcPr>
          <w:p w14:paraId="6D1A4D35" w14:textId="32BB41E3"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-0.79</w:t>
            </w:r>
          </w:p>
        </w:tc>
        <w:tc>
          <w:tcPr>
            <w:tcW w:w="1348" w:type="dxa"/>
            <w:tcBorders>
              <w:top w:val="nil"/>
              <w:left w:val="nil"/>
              <w:bottom w:val="single" w:sz="4" w:space="0" w:color="auto"/>
              <w:right w:val="single" w:sz="4" w:space="0" w:color="auto"/>
            </w:tcBorders>
            <w:shd w:val="clear" w:color="auto" w:fill="auto"/>
            <w:noWrap/>
            <w:vAlign w:val="bottom"/>
            <w:hideMark/>
          </w:tcPr>
          <w:p w14:paraId="2510DDCC" w14:textId="215DC968"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4.22</w:t>
            </w:r>
          </w:p>
        </w:tc>
        <w:tc>
          <w:tcPr>
            <w:tcW w:w="900" w:type="dxa"/>
            <w:tcBorders>
              <w:top w:val="nil"/>
              <w:left w:val="nil"/>
              <w:bottom w:val="single" w:sz="4" w:space="0" w:color="auto"/>
              <w:right w:val="single" w:sz="4" w:space="0" w:color="auto"/>
            </w:tcBorders>
            <w:shd w:val="clear" w:color="auto" w:fill="auto"/>
            <w:noWrap/>
            <w:vAlign w:val="bottom"/>
            <w:hideMark/>
          </w:tcPr>
          <w:p w14:paraId="1319922F"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0.417</w:t>
            </w:r>
          </w:p>
        </w:tc>
      </w:tr>
      <w:tr w:rsidR="00432E38" w:rsidRPr="00432E38" w14:paraId="2B89EAFD"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30481966" w14:textId="0E71A120" w:rsidR="00432E38" w:rsidRPr="00432E38" w:rsidRDefault="0002242A" w:rsidP="00432E38">
            <w:pPr>
              <w:spacing w:after="0" w:line="240" w:lineRule="auto"/>
              <w:jc w:val="left"/>
              <w:rPr>
                <w:rFonts w:eastAsia="Times New Roman" w:cs="Times New Roman"/>
                <w:color w:val="000000"/>
                <w:szCs w:val="24"/>
              </w:rPr>
            </w:pPr>
            <w:r w:rsidRPr="00D26631">
              <w:rPr>
                <w:rFonts w:ascii="Arial" w:hAnsi="Arial"/>
                <w:b/>
                <w:noProof/>
                <w:color w:val="000000"/>
                <w:sz w:val="16"/>
                <w:szCs w:val="24"/>
              </w:rPr>
              <mc:AlternateContent>
                <mc:Choice Requires="wps">
                  <w:drawing>
                    <wp:anchor distT="0" distB="0" distL="114300" distR="114300" simplePos="0" relativeHeight="251653632" behindDoc="0" locked="0" layoutInCell="1" allowOverlap="1" wp14:anchorId="5966A2B6" wp14:editId="2219A6E9">
                      <wp:simplePos x="0" y="0"/>
                      <wp:positionH relativeFrom="margin">
                        <wp:posOffset>-71755</wp:posOffset>
                      </wp:positionH>
                      <wp:positionV relativeFrom="paragraph">
                        <wp:posOffset>7620</wp:posOffset>
                      </wp:positionV>
                      <wp:extent cx="4743450" cy="716280"/>
                      <wp:effectExtent l="19050" t="19050" r="19050" b="26670"/>
                      <wp:wrapNone/>
                      <wp:docPr id="241" name="Rectangle 5"/>
                      <wp:cNvGraphicFramePr/>
                      <a:graphic xmlns:a="http://schemas.openxmlformats.org/drawingml/2006/main">
                        <a:graphicData uri="http://schemas.microsoft.com/office/word/2010/wordprocessingShape">
                          <wps:wsp>
                            <wps:cNvSpPr/>
                            <wps:spPr>
                              <a:xfrm rot="10800000" flipV="1">
                                <a:off x="0" y="0"/>
                                <a:ext cx="4743450" cy="71628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3EE302E1" id="Rectangle 5" o:spid="_x0000_s1026" style="position:absolute;margin-left:-5.65pt;margin-top:.6pt;width:373.5pt;height:56.4pt;rotation:180;flip:y;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" fillcolor="red" strokecolor="red" strokeweight="2.5pt">
                      <v:fill opacity="0"/>
                      <w10:wrap anchorx="margin"/>
                    </v:rect>
                  </w:pict>
                </mc:Fallback>
              </mc:AlternateContent>
            </w:r>
            <w:r w:rsidR="00432E38" w:rsidRPr="00432E38">
              <w:rPr>
                <w:rFonts w:eastAsia="Times New Roman" w:cs="Times New Roman"/>
                <w:color w:val="000000"/>
                <w:szCs w:val="24"/>
              </w:rPr>
              <w:t xml:space="preserve">Proppant </w:t>
            </w:r>
            <w:r>
              <w:rPr>
                <w:rFonts w:eastAsia="Times New Roman" w:cs="Times New Roman"/>
                <w:color w:val="000000"/>
                <w:szCs w:val="24"/>
              </w:rPr>
              <w:t>w</w:t>
            </w:r>
            <w:r w:rsidR="00432E38" w:rsidRPr="00432E38">
              <w:rPr>
                <w:rFonts w:eastAsia="Times New Roman" w:cs="Times New Roman"/>
                <w:color w:val="000000"/>
                <w:szCs w:val="24"/>
              </w:rPr>
              <w:t>e</w:t>
            </w:r>
            <w:r>
              <w:rPr>
                <w:rFonts w:eastAsia="Times New Roman" w:cs="Times New Roman"/>
                <w:color w:val="000000"/>
                <w:szCs w:val="24"/>
              </w:rPr>
              <w:t>ight</w:t>
            </w:r>
            <w:r w:rsidR="00432E38" w:rsidRPr="00432E38">
              <w:rPr>
                <w:rFonts w:eastAsia="Times New Roman" w:cs="Times New Roman"/>
                <w:color w:val="000000"/>
                <w:szCs w:val="24"/>
              </w:rPr>
              <w:t xml:space="preserve"> normalized to lateral length (</w:t>
            </w:r>
            <w:r w:rsidR="007D7803">
              <w:rPr>
                <w:rFonts w:eastAsia="Times New Roman" w:cs="Times New Roman"/>
                <w:color w:val="000000"/>
                <w:szCs w:val="24"/>
              </w:rPr>
              <w:t>lb/ft</w:t>
            </w:r>
            <w:r w:rsidR="00432E38" w:rsidRPr="00432E38">
              <w:rPr>
                <w:rFonts w:eastAsia="Times New Roman" w:cs="Times New Roman"/>
                <w:color w:val="000000"/>
                <w:szCs w:val="24"/>
              </w:rPr>
              <w:t>)</w:t>
            </w:r>
          </w:p>
        </w:tc>
        <w:tc>
          <w:tcPr>
            <w:tcW w:w="996" w:type="dxa"/>
            <w:tcBorders>
              <w:top w:val="nil"/>
              <w:left w:val="nil"/>
              <w:bottom w:val="single" w:sz="4" w:space="0" w:color="auto"/>
              <w:right w:val="single" w:sz="4" w:space="0" w:color="auto"/>
            </w:tcBorders>
            <w:shd w:val="clear" w:color="auto" w:fill="auto"/>
            <w:noWrap/>
            <w:vAlign w:val="bottom"/>
            <w:hideMark/>
          </w:tcPr>
          <w:p w14:paraId="59033E43" w14:textId="64F516EC"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1639.98</w:t>
            </w:r>
          </w:p>
        </w:tc>
        <w:tc>
          <w:tcPr>
            <w:tcW w:w="1316" w:type="dxa"/>
            <w:tcBorders>
              <w:top w:val="nil"/>
              <w:left w:val="nil"/>
              <w:bottom w:val="single" w:sz="4" w:space="0" w:color="auto"/>
              <w:right w:val="single" w:sz="4" w:space="0" w:color="auto"/>
            </w:tcBorders>
            <w:shd w:val="clear" w:color="auto" w:fill="auto"/>
            <w:noWrap/>
            <w:vAlign w:val="bottom"/>
            <w:hideMark/>
          </w:tcPr>
          <w:p w14:paraId="6C7872DE"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462.95</w:t>
            </w:r>
          </w:p>
        </w:tc>
        <w:tc>
          <w:tcPr>
            <w:tcW w:w="906" w:type="dxa"/>
            <w:tcBorders>
              <w:top w:val="nil"/>
              <w:left w:val="nil"/>
              <w:bottom w:val="single" w:sz="4" w:space="0" w:color="auto"/>
              <w:right w:val="single" w:sz="4" w:space="0" w:color="auto"/>
            </w:tcBorders>
            <w:shd w:val="clear" w:color="auto" w:fill="auto"/>
            <w:noWrap/>
            <w:vAlign w:val="bottom"/>
            <w:hideMark/>
          </w:tcPr>
          <w:p w14:paraId="63DBA961" w14:textId="46C6A68A"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1466</w:t>
            </w:r>
          </w:p>
        </w:tc>
        <w:tc>
          <w:tcPr>
            <w:tcW w:w="1348" w:type="dxa"/>
            <w:tcBorders>
              <w:top w:val="nil"/>
              <w:left w:val="nil"/>
              <w:bottom w:val="single" w:sz="4" w:space="0" w:color="auto"/>
              <w:right w:val="single" w:sz="4" w:space="0" w:color="auto"/>
            </w:tcBorders>
            <w:shd w:val="clear" w:color="auto" w:fill="auto"/>
            <w:noWrap/>
            <w:vAlign w:val="bottom"/>
            <w:hideMark/>
          </w:tcPr>
          <w:p w14:paraId="7CFDDC74" w14:textId="75BD4A89"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307.6</w:t>
            </w:r>
          </w:p>
        </w:tc>
        <w:tc>
          <w:tcPr>
            <w:tcW w:w="900" w:type="dxa"/>
            <w:tcBorders>
              <w:top w:val="nil"/>
              <w:left w:val="nil"/>
              <w:bottom w:val="single" w:sz="4" w:space="0" w:color="auto"/>
              <w:right w:val="single" w:sz="4" w:space="0" w:color="auto"/>
            </w:tcBorders>
            <w:shd w:val="clear" w:color="auto" w:fill="auto"/>
            <w:noWrap/>
            <w:vAlign w:val="bottom"/>
            <w:hideMark/>
          </w:tcPr>
          <w:p w14:paraId="31FF55C3"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0.444</w:t>
            </w:r>
          </w:p>
        </w:tc>
      </w:tr>
      <w:tr w:rsidR="00432E38" w:rsidRPr="00432E38" w14:paraId="1E9FEBA4"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6508BAE2" w14:textId="23E7A686"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Fracture fluid volume normalized to lateral length (bbl/ft)</w:t>
            </w:r>
          </w:p>
        </w:tc>
        <w:tc>
          <w:tcPr>
            <w:tcW w:w="996" w:type="dxa"/>
            <w:tcBorders>
              <w:top w:val="nil"/>
              <w:left w:val="nil"/>
              <w:bottom w:val="single" w:sz="4" w:space="0" w:color="auto"/>
              <w:right w:val="single" w:sz="4" w:space="0" w:color="auto"/>
            </w:tcBorders>
            <w:shd w:val="clear" w:color="auto" w:fill="auto"/>
            <w:noWrap/>
            <w:vAlign w:val="bottom"/>
            <w:hideMark/>
          </w:tcPr>
          <w:p w14:paraId="1AF65B2D" w14:textId="41664FBF"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42.65</w:t>
            </w:r>
          </w:p>
        </w:tc>
        <w:tc>
          <w:tcPr>
            <w:tcW w:w="1316" w:type="dxa"/>
            <w:tcBorders>
              <w:top w:val="nil"/>
              <w:left w:val="nil"/>
              <w:bottom w:val="single" w:sz="4" w:space="0" w:color="auto"/>
              <w:right w:val="single" w:sz="4" w:space="0" w:color="auto"/>
            </w:tcBorders>
            <w:shd w:val="clear" w:color="auto" w:fill="auto"/>
            <w:noWrap/>
            <w:vAlign w:val="bottom"/>
            <w:hideMark/>
          </w:tcPr>
          <w:p w14:paraId="78149679"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9.55</w:t>
            </w:r>
          </w:p>
        </w:tc>
        <w:tc>
          <w:tcPr>
            <w:tcW w:w="906" w:type="dxa"/>
            <w:tcBorders>
              <w:top w:val="nil"/>
              <w:left w:val="nil"/>
              <w:bottom w:val="single" w:sz="4" w:space="0" w:color="auto"/>
              <w:right w:val="single" w:sz="4" w:space="0" w:color="auto"/>
            </w:tcBorders>
            <w:shd w:val="clear" w:color="auto" w:fill="auto"/>
            <w:noWrap/>
            <w:vAlign w:val="bottom"/>
            <w:hideMark/>
          </w:tcPr>
          <w:p w14:paraId="48DDAAF3" w14:textId="660B7D1D"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39.6</w:t>
            </w:r>
          </w:p>
        </w:tc>
        <w:tc>
          <w:tcPr>
            <w:tcW w:w="1348" w:type="dxa"/>
            <w:tcBorders>
              <w:top w:val="nil"/>
              <w:left w:val="nil"/>
              <w:bottom w:val="single" w:sz="4" w:space="0" w:color="auto"/>
              <w:right w:val="single" w:sz="4" w:space="0" w:color="auto"/>
            </w:tcBorders>
            <w:shd w:val="clear" w:color="auto" w:fill="auto"/>
            <w:noWrap/>
            <w:vAlign w:val="bottom"/>
            <w:hideMark/>
          </w:tcPr>
          <w:p w14:paraId="7AF40404" w14:textId="65A4FB43"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0.74</w:t>
            </w:r>
          </w:p>
        </w:tc>
        <w:tc>
          <w:tcPr>
            <w:tcW w:w="900" w:type="dxa"/>
            <w:tcBorders>
              <w:top w:val="nil"/>
              <w:left w:val="nil"/>
              <w:bottom w:val="single" w:sz="4" w:space="0" w:color="auto"/>
              <w:right w:val="single" w:sz="4" w:space="0" w:color="auto"/>
            </w:tcBorders>
            <w:shd w:val="clear" w:color="auto" w:fill="auto"/>
            <w:noWrap/>
            <w:vAlign w:val="bottom"/>
            <w:hideMark/>
          </w:tcPr>
          <w:p w14:paraId="7E4B0230"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0.317</w:t>
            </w:r>
          </w:p>
        </w:tc>
      </w:tr>
      <w:tr w:rsidR="00432E38" w:rsidRPr="00432E38" w14:paraId="5868DCF4" w14:textId="77777777" w:rsidTr="00AB12A9">
        <w:trPr>
          <w:trHeight w:val="312"/>
          <w:jc w:val="center"/>
        </w:trPr>
        <w:tc>
          <w:tcPr>
            <w:tcW w:w="1999" w:type="dxa"/>
            <w:tcBorders>
              <w:top w:val="nil"/>
              <w:left w:val="single" w:sz="4" w:space="0" w:color="auto"/>
              <w:bottom w:val="single" w:sz="4" w:space="0" w:color="auto"/>
              <w:right w:val="single" w:sz="4" w:space="0" w:color="auto"/>
            </w:tcBorders>
            <w:shd w:val="clear" w:color="auto" w:fill="auto"/>
            <w:noWrap/>
            <w:vAlign w:val="bottom"/>
            <w:hideMark/>
          </w:tcPr>
          <w:p w14:paraId="781FC452" w14:textId="77777777" w:rsidR="00432E38" w:rsidRPr="00432E38" w:rsidRDefault="00432E38" w:rsidP="00432E38">
            <w:pPr>
              <w:spacing w:after="0" w:line="240" w:lineRule="auto"/>
              <w:jc w:val="left"/>
              <w:rPr>
                <w:rFonts w:eastAsia="Times New Roman" w:cs="Times New Roman"/>
                <w:color w:val="000000"/>
                <w:szCs w:val="24"/>
              </w:rPr>
            </w:pPr>
            <w:r w:rsidRPr="00432E38">
              <w:rPr>
                <w:rFonts w:eastAsia="Times New Roman" w:cs="Times New Roman"/>
                <w:color w:val="000000"/>
                <w:szCs w:val="24"/>
              </w:rPr>
              <w:t>TVD (ft)</w:t>
            </w:r>
          </w:p>
        </w:tc>
        <w:tc>
          <w:tcPr>
            <w:tcW w:w="996" w:type="dxa"/>
            <w:tcBorders>
              <w:top w:val="nil"/>
              <w:left w:val="nil"/>
              <w:bottom w:val="single" w:sz="4" w:space="0" w:color="auto"/>
              <w:right w:val="single" w:sz="4" w:space="0" w:color="auto"/>
            </w:tcBorders>
            <w:shd w:val="clear" w:color="auto" w:fill="auto"/>
            <w:noWrap/>
            <w:vAlign w:val="bottom"/>
            <w:hideMark/>
          </w:tcPr>
          <w:p w14:paraId="75BB8482" w14:textId="49776C61"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9311.9</w:t>
            </w:r>
          </w:p>
        </w:tc>
        <w:tc>
          <w:tcPr>
            <w:tcW w:w="1316" w:type="dxa"/>
            <w:tcBorders>
              <w:top w:val="nil"/>
              <w:left w:val="nil"/>
              <w:bottom w:val="single" w:sz="4" w:space="0" w:color="auto"/>
              <w:right w:val="single" w:sz="4" w:space="0" w:color="auto"/>
            </w:tcBorders>
            <w:shd w:val="clear" w:color="auto" w:fill="auto"/>
            <w:noWrap/>
            <w:vAlign w:val="bottom"/>
            <w:hideMark/>
          </w:tcPr>
          <w:p w14:paraId="35D75FD8"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433.85</w:t>
            </w:r>
          </w:p>
        </w:tc>
        <w:tc>
          <w:tcPr>
            <w:tcW w:w="906" w:type="dxa"/>
            <w:tcBorders>
              <w:top w:val="nil"/>
              <w:left w:val="nil"/>
              <w:bottom w:val="single" w:sz="4" w:space="0" w:color="auto"/>
              <w:right w:val="single" w:sz="4" w:space="0" w:color="auto"/>
            </w:tcBorders>
            <w:shd w:val="clear" w:color="auto" w:fill="auto"/>
            <w:noWrap/>
            <w:vAlign w:val="bottom"/>
            <w:hideMark/>
          </w:tcPr>
          <w:p w14:paraId="2284BB9C" w14:textId="736ADB8F"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9171</w:t>
            </w:r>
          </w:p>
        </w:tc>
        <w:tc>
          <w:tcPr>
            <w:tcW w:w="1348" w:type="dxa"/>
            <w:tcBorders>
              <w:top w:val="nil"/>
              <w:left w:val="nil"/>
              <w:bottom w:val="single" w:sz="4" w:space="0" w:color="auto"/>
              <w:right w:val="single" w:sz="4" w:space="0" w:color="auto"/>
            </w:tcBorders>
            <w:shd w:val="clear" w:color="auto" w:fill="auto"/>
            <w:noWrap/>
            <w:vAlign w:val="bottom"/>
            <w:hideMark/>
          </w:tcPr>
          <w:p w14:paraId="591E16DA" w14:textId="77777777" w:rsidR="00432E38" w:rsidRPr="00432E38" w:rsidRDefault="00432E38" w:rsidP="00432E38">
            <w:pPr>
              <w:spacing w:after="0" w:line="240" w:lineRule="auto"/>
              <w:jc w:val="right"/>
              <w:rPr>
                <w:rFonts w:eastAsia="Times New Roman" w:cs="Times New Roman"/>
                <w:color w:val="000000"/>
                <w:szCs w:val="24"/>
              </w:rPr>
            </w:pPr>
            <w:r w:rsidRPr="00432E38">
              <w:rPr>
                <w:rFonts w:eastAsia="Times New Roman" w:cs="Times New Roman"/>
                <w:color w:val="000000"/>
                <w:szCs w:val="24"/>
              </w:rPr>
              <w:t>357.03</w:t>
            </w:r>
          </w:p>
        </w:tc>
        <w:tc>
          <w:tcPr>
            <w:tcW w:w="900" w:type="dxa"/>
            <w:tcBorders>
              <w:top w:val="nil"/>
              <w:left w:val="nil"/>
              <w:bottom w:val="single" w:sz="4" w:space="0" w:color="auto"/>
              <w:right w:val="single" w:sz="4" w:space="0" w:color="auto"/>
            </w:tcBorders>
            <w:shd w:val="clear" w:color="auto" w:fill="auto"/>
            <w:noWrap/>
            <w:vAlign w:val="bottom"/>
            <w:hideMark/>
          </w:tcPr>
          <w:p w14:paraId="725F9876" w14:textId="77777777" w:rsidR="00432E38" w:rsidRPr="00432E38" w:rsidRDefault="00432E38" w:rsidP="00FB365A">
            <w:pPr>
              <w:keepNext/>
              <w:spacing w:after="0" w:line="240" w:lineRule="auto"/>
              <w:jc w:val="right"/>
              <w:rPr>
                <w:rFonts w:eastAsia="Times New Roman" w:cs="Times New Roman"/>
                <w:color w:val="000000"/>
                <w:szCs w:val="24"/>
              </w:rPr>
            </w:pPr>
            <w:r w:rsidRPr="00432E38">
              <w:rPr>
                <w:rFonts w:eastAsia="Times New Roman" w:cs="Times New Roman"/>
                <w:color w:val="000000"/>
                <w:szCs w:val="24"/>
              </w:rPr>
              <w:t>0.355</w:t>
            </w:r>
          </w:p>
        </w:tc>
      </w:tr>
    </w:tbl>
    <w:p w14:paraId="5856F1AA" w14:textId="77777777" w:rsidR="00842F1D" w:rsidRDefault="00842F1D" w:rsidP="00FB365A">
      <w:pPr>
        <w:pStyle w:val="para1"/>
        <w:spacing w:line="480" w:lineRule="auto"/>
        <w:jc w:val="center"/>
        <w:rPr>
          <w:rFonts w:ascii="Arial" w:eastAsiaTheme="minorHAnsi" w:hAnsi="Arial"/>
          <w:b/>
          <w:color w:val="000000"/>
          <w:sz w:val="16"/>
          <w:szCs w:val="24"/>
        </w:rPr>
      </w:pPr>
    </w:p>
    <w:p w14:paraId="4E2A34F4" w14:textId="481117E3" w:rsidR="00432E38" w:rsidRDefault="00FB365A" w:rsidP="00B15F41">
      <w:pPr>
        <w:pStyle w:val="para1"/>
        <w:spacing w:line="480" w:lineRule="auto"/>
        <w:jc w:val="center"/>
        <w:rPr>
          <w:rFonts w:eastAsiaTheme="minorEastAsia"/>
          <w:bCs/>
          <w:color w:val="000000"/>
          <w:szCs w:val="24"/>
        </w:rPr>
      </w:pPr>
      <w:bookmarkStart w:id="45" w:name="_Toc58667117"/>
      <w:r w:rsidRPr="00FB365A">
        <w:rPr>
          <w:rFonts w:ascii="Arial" w:eastAsiaTheme="minorHAnsi" w:hAnsi="Arial"/>
          <w:b/>
          <w:color w:val="000000"/>
          <w:sz w:val="16"/>
          <w:szCs w:val="24"/>
        </w:rPr>
        <w:t xml:space="preserve">Table 2. </w:t>
      </w:r>
      <w:r w:rsidRPr="00FB365A">
        <w:rPr>
          <w:rFonts w:ascii="Arial" w:eastAsiaTheme="minorHAnsi" w:hAnsi="Arial"/>
          <w:b/>
          <w:color w:val="000000"/>
          <w:sz w:val="16"/>
          <w:szCs w:val="24"/>
        </w:rPr>
        <w:fldChar w:fldCharType="begin"/>
      </w:r>
      <w:r w:rsidRPr="00FB365A">
        <w:rPr>
          <w:rFonts w:ascii="Arial" w:eastAsiaTheme="minorHAnsi" w:hAnsi="Arial"/>
          <w:b/>
          <w:color w:val="000000"/>
          <w:sz w:val="16"/>
          <w:szCs w:val="24"/>
        </w:rPr>
        <w:instrText xml:space="preserve"> SEQ Table_2. \* ARABIC </w:instrText>
      </w:r>
      <w:r w:rsidRPr="00FB365A">
        <w:rPr>
          <w:rFonts w:ascii="Arial" w:eastAsiaTheme="minorHAnsi" w:hAnsi="Arial"/>
          <w:b/>
          <w:color w:val="000000"/>
          <w:sz w:val="16"/>
          <w:szCs w:val="24"/>
        </w:rPr>
        <w:fldChar w:fldCharType="separate"/>
      </w:r>
      <w:r w:rsidR="00D006A5">
        <w:rPr>
          <w:rFonts w:ascii="Arial" w:eastAsiaTheme="minorHAnsi" w:hAnsi="Arial"/>
          <w:b/>
          <w:noProof/>
          <w:color w:val="000000"/>
          <w:sz w:val="16"/>
          <w:szCs w:val="24"/>
        </w:rPr>
        <w:t>3</w:t>
      </w:r>
      <w:r w:rsidRPr="00FB365A">
        <w:rPr>
          <w:rFonts w:ascii="Arial" w:eastAsiaTheme="minorHAnsi" w:hAnsi="Arial"/>
          <w:b/>
          <w:color w:val="000000"/>
          <w:sz w:val="16"/>
          <w:szCs w:val="24"/>
        </w:rPr>
        <w:fldChar w:fldCharType="end"/>
      </w:r>
      <w:r w:rsidRPr="00FB365A">
        <w:rPr>
          <w:rFonts w:ascii="Arial" w:eastAsiaTheme="minorHAnsi" w:hAnsi="Arial"/>
          <w:b/>
          <w:color w:val="000000"/>
          <w:sz w:val="16"/>
          <w:szCs w:val="24"/>
        </w:rPr>
        <w:t xml:space="preserve">— </w:t>
      </w:r>
      <w:r>
        <w:rPr>
          <w:rFonts w:ascii="Arial" w:eastAsiaTheme="minorHAnsi" w:hAnsi="Arial"/>
          <w:b/>
          <w:color w:val="000000"/>
          <w:sz w:val="16"/>
          <w:szCs w:val="24"/>
        </w:rPr>
        <w:t>Standardized mean differences (SMD) between parent (0) and child wells (1) groups at individual covariate levels (before matching).</w:t>
      </w:r>
      <w:bookmarkEnd w:id="45"/>
    </w:p>
    <w:p w14:paraId="678A5E69" w14:textId="77EFA630" w:rsidR="005145D5" w:rsidRDefault="005145D5" w:rsidP="00526872">
      <w:pPr>
        <w:pStyle w:val="para1"/>
        <w:numPr>
          <w:ilvl w:val="0"/>
          <w:numId w:val="1"/>
        </w:numPr>
        <w:spacing w:line="480" w:lineRule="auto"/>
        <w:ind w:left="180" w:hanging="180"/>
      </w:pPr>
      <w:r>
        <w:t xml:space="preserve"> </w:t>
      </w:r>
      <w:r w:rsidR="00DA1972" w:rsidRPr="00E059D4">
        <w:rPr>
          <w:rFonts w:eastAsiaTheme="minorHAnsi"/>
          <w:i/>
          <w:iCs/>
          <w:color w:val="000000"/>
          <w:szCs w:val="24"/>
        </w:rPr>
        <w:t xml:space="preserve">One to One </w:t>
      </w:r>
      <w:r w:rsidRPr="00E059D4">
        <w:rPr>
          <w:rFonts w:eastAsiaTheme="minorHAnsi"/>
          <w:i/>
          <w:iCs/>
          <w:color w:val="000000"/>
          <w:szCs w:val="24"/>
        </w:rPr>
        <w:t>Matching</w:t>
      </w:r>
      <w:r>
        <w:t xml:space="preserve"> </w:t>
      </w:r>
    </w:p>
    <w:p w14:paraId="5D3ACE02" w14:textId="703FF7B6" w:rsidR="008E5EB4" w:rsidRDefault="008E5EB4" w:rsidP="00526872">
      <w:pPr>
        <w:pStyle w:val="para1"/>
        <w:spacing w:line="480" w:lineRule="auto"/>
        <w:ind w:firstLine="0"/>
      </w:pPr>
      <w:r>
        <w:t>The third step is to find the way to improve the statistical balance shown in Fig. 2</w:t>
      </w:r>
      <w:r w:rsidR="00F81B99">
        <w:t>.1</w:t>
      </w:r>
      <w:r w:rsidR="00FE5333">
        <w:t>5</w:t>
      </w:r>
      <w:r>
        <w:t xml:space="preserve">. </w:t>
      </w:r>
      <w:r w:rsidR="00997858">
        <w:t>I</w:t>
      </w:r>
      <w:r>
        <w:t xml:space="preserve"> can do this by limiting the analysis to a smaller subset of parent and child </w:t>
      </w:r>
      <w:r w:rsidR="0089754C">
        <w:t>wells with</w:t>
      </w:r>
      <w:r>
        <w:t xml:space="preserve"> similar propensity scores. This process is known as matching. Here the aim is to discard wells from both groups that do not have statistically similar covariates. In order to do this, a one-to-one match is conducted on the propensity score based upon the covariates in </w:t>
      </w:r>
      <w:r w:rsidRPr="00D57CC8">
        <w:rPr>
          <w:b/>
          <w:bCs/>
        </w:rPr>
        <w:t>X</w:t>
      </w:r>
      <w:r>
        <w:t xml:space="preserve">. </w:t>
      </w:r>
    </w:p>
    <w:p w14:paraId="3233B3D3" w14:textId="4D9B832D" w:rsidR="008E5EB4" w:rsidRDefault="008E5EB4" w:rsidP="008E5EB4">
      <w:pPr>
        <w:pStyle w:val="para1"/>
        <w:spacing w:line="480" w:lineRule="auto"/>
      </w:pPr>
      <w:r>
        <w:t xml:space="preserve">The expression </w:t>
      </w:r>
      <w:r w:rsidR="0032324F">
        <w:t xml:space="preserve">in Eq. 2.11 </w:t>
      </w:r>
      <w:r>
        <w:t xml:space="preserve">signifies that we are taking the difference in the propensity score as a measure of distance between the wells used </w:t>
      </w:r>
      <w:r w:rsidR="00FB6314">
        <w:t>for one</w:t>
      </w:r>
      <w:r>
        <w:t xml:space="preserve">-to-one matching. The wells which </w:t>
      </w:r>
      <w:r w:rsidR="00E96078">
        <w:t>do not</w:t>
      </w:r>
      <w:r>
        <w:t xml:space="preserve"> find a match in this iterative matching process are eliminated. We start this process by taking the difference in propensity scores given by </w:t>
      </w:r>
      <w:r w:rsidRPr="00907949">
        <w:rPr>
          <w:rFonts w:ascii="Cambria Math" w:hAnsi="Cambria Math" w:cs="Cambria Math"/>
        </w:rPr>
        <w:t>∥</w:t>
      </w:r>
      <m:oMath>
        <m:sSub>
          <m:sSubPr>
            <m:ctrlPr>
              <w:rPr>
                <w:rFonts w:ascii="Cambria Math" w:hAnsi="Cambria Math"/>
              </w:rPr>
            </m:ctrlPr>
          </m:sSubPr>
          <m:e>
            <m:r>
              <m:rPr>
                <m:nor/>
              </m:rPr>
              <m:t>(</m:t>
            </m:r>
            <m:r>
              <w:rPr>
                <w:rFonts w:ascii="Cambria Math" w:hAnsi="Cambria Math"/>
              </w:rPr>
              <m:t>π</m:t>
            </m:r>
            <m:d>
              <m:dPr>
                <m:ctrlPr>
                  <w:rPr>
                    <w:rFonts w:ascii="Cambria Math" w:hAnsi="Cambria Math"/>
                  </w:rPr>
                </m:ctrlPr>
              </m:dPr>
              <m:e>
                <m:r>
                  <m:rPr>
                    <m:sty m:val="bi"/>
                  </m:rPr>
                  <w:rPr>
                    <w:rFonts w:ascii="Cambria Math" w:hAnsi="Cambria Math"/>
                  </w:rPr>
                  <m:t>X</m:t>
                </m:r>
              </m:e>
            </m:d>
            <m:r>
              <m:rPr>
                <m:nor/>
              </m:rPr>
              <m:t>)</m:t>
            </m:r>
          </m:e>
          <m:sub>
            <m:r>
              <w:rPr>
                <w:rFonts w:ascii="Cambria Math" w:hAnsi="Cambria Math"/>
              </w:rPr>
              <m:t>j</m:t>
            </m:r>
          </m:sub>
        </m:sSub>
      </m:oMath>
      <w:r w:rsidRPr="00390D5A">
        <w:t xml:space="preserve">− </w:t>
      </w:r>
      <m:oMath>
        <m:sSub>
          <m:sSubPr>
            <m:ctrlPr>
              <w:rPr>
                <w:rFonts w:ascii="Cambria Math" w:hAnsi="Cambria Math"/>
              </w:rPr>
            </m:ctrlPr>
          </m:sSubPr>
          <m:e>
            <m:r>
              <m:rPr>
                <m:nor/>
              </m:rPr>
              <m:t>(</m:t>
            </m:r>
            <m:r>
              <w:rPr>
                <w:rFonts w:ascii="Cambria Math" w:hAnsi="Cambria Math"/>
              </w:rPr>
              <m:t>π</m:t>
            </m:r>
            <m:d>
              <m:dPr>
                <m:ctrlPr>
                  <w:rPr>
                    <w:rFonts w:ascii="Cambria Math" w:hAnsi="Cambria Math"/>
                  </w:rPr>
                </m:ctrlPr>
              </m:dPr>
              <m:e>
                <m:r>
                  <m:rPr>
                    <m:sty m:val="bi"/>
                  </m:rPr>
                  <w:rPr>
                    <w:rFonts w:ascii="Cambria Math" w:hAnsi="Cambria Math"/>
                  </w:rPr>
                  <m:t>X</m:t>
                </m:r>
              </m:e>
            </m:d>
            <m:r>
              <m:rPr>
                <m:nor/>
              </m:rPr>
              <m:t>)</m:t>
            </m:r>
          </m:e>
          <m:sub>
            <m:r>
              <w:rPr>
                <w:rFonts w:ascii="Cambria Math" w:hAnsi="Cambria Math"/>
              </w:rPr>
              <m:t>i</m:t>
            </m:r>
          </m:sub>
        </m:sSub>
      </m:oMath>
      <w:r w:rsidRPr="00907949">
        <w:rPr>
          <w:rFonts w:ascii="Cambria Math" w:hAnsi="Cambria Math" w:cs="Cambria Math"/>
        </w:rPr>
        <w:t>∥</w:t>
      </w:r>
      <w:r>
        <w:rPr>
          <w:rFonts w:ascii="Cambria Math" w:hAnsi="Cambria Math" w:cs="Cambria Math"/>
        </w:rPr>
        <w:t xml:space="preserve"> </w:t>
      </w:r>
      <w:r>
        <w:t>between a parent well j (T=0) and a child well i (T=1) for all wells in the parent and child well group</w:t>
      </w:r>
      <w:r w:rsidR="0096133F">
        <w:t xml:space="preserve"> </w:t>
      </w:r>
      <w:r w:rsidR="0096133F">
        <w:rPr>
          <w:rFonts w:eastAsiaTheme="minorHAnsi" w:cstheme="minorBidi"/>
          <w:color w:val="002060"/>
          <w:szCs w:val="24"/>
        </w:rPr>
        <w:t>(</w:t>
      </w:r>
      <w:r w:rsidR="0096133F" w:rsidRPr="00626A23">
        <w:rPr>
          <w:rFonts w:eastAsiaTheme="minorHAnsi" w:cstheme="minorBidi"/>
          <w:color w:val="002060"/>
          <w:szCs w:val="24"/>
        </w:rPr>
        <w:t xml:space="preserve">Olmos </w:t>
      </w:r>
      <w:r w:rsidR="00646716">
        <w:rPr>
          <w:rFonts w:eastAsiaTheme="minorHAnsi" w:cstheme="minorBidi"/>
          <w:color w:val="002060"/>
          <w:szCs w:val="24"/>
        </w:rPr>
        <w:t>and Govindasamy</w:t>
      </w:r>
      <w:r w:rsidR="0096133F" w:rsidRPr="00626A23">
        <w:rPr>
          <w:rFonts w:eastAsiaTheme="minorHAnsi" w:cstheme="minorBidi"/>
          <w:color w:val="002060"/>
          <w:szCs w:val="24"/>
        </w:rPr>
        <w:t xml:space="preserve"> 2015</w:t>
      </w:r>
      <w:r w:rsidR="0096133F">
        <w:rPr>
          <w:rFonts w:eastAsiaTheme="minorHAnsi" w:cstheme="minorBidi"/>
          <w:color w:val="002060"/>
          <w:szCs w:val="24"/>
        </w:rPr>
        <w:t>)</w:t>
      </w:r>
      <w:r>
        <w:t xml:space="preserve">.Pairs with the smallest difference are considered a good match and retained for subsequent </w:t>
      </w:r>
      <w:r>
        <w:lastRenderedPageBreak/>
        <w:t>causal analyses</w:t>
      </w:r>
      <w:r w:rsidR="00B87785">
        <w:t>.</w:t>
      </w:r>
      <w:r>
        <w:t xml:space="preserve"> Once the wells are matched to each other, they are not considered for subsequent iterations in the matching process.</w:t>
      </w:r>
      <w:r w:rsidR="008C55B7">
        <w:t xml:space="preserve"> </w:t>
      </w:r>
    </w:p>
    <w:p w14:paraId="048661E6" w14:textId="68E894D8" w:rsidR="008E5EB4" w:rsidRDefault="008E5EB4" w:rsidP="00F41727">
      <w:pPr>
        <w:pStyle w:val="Default"/>
        <w:tabs>
          <w:tab w:val="center" w:pos="4680"/>
        </w:tabs>
        <w:spacing w:line="480" w:lineRule="auto"/>
        <w:ind w:firstLine="180"/>
        <w:rPr>
          <w:rFonts w:eastAsiaTheme="minorEastAsia"/>
        </w:rPr>
      </w:pPr>
      <w:r w:rsidRPr="00041668">
        <w:t>argmin</w:t>
      </w:r>
      <w:r w:rsidRPr="00041668">
        <w:rPr>
          <w:vertAlign w:val="subscript"/>
        </w:rPr>
        <w:t>j:Tj≠Ti</w:t>
      </w:r>
      <w:r w:rsidRPr="00041668">
        <w:t xml:space="preserve"> </w:t>
      </w:r>
      <w:r w:rsidRPr="00041668">
        <w:rPr>
          <w:rFonts w:ascii="Cambria Math" w:hAnsi="Cambria Math" w:cs="Cambria Math"/>
        </w:rPr>
        <w:t>∥</w:t>
      </w:r>
      <m:oMath>
        <m:sSub>
          <m:sSubPr>
            <m:ctrlPr>
              <w:rPr>
                <w:rFonts w:ascii="Cambria Math" w:hAnsi="Cambria Math"/>
                <w:i/>
                <w:iCs/>
              </w:rPr>
            </m:ctrlPr>
          </m:sSubPr>
          <m:e>
            <m:r>
              <m:rPr>
                <m:nor/>
              </m:rPr>
              <m:t>(</m:t>
            </m:r>
            <m:r>
              <w:rPr>
                <w:rFonts w:ascii="Cambria Math" w:hAnsi="Cambria Math"/>
                <w:lang w:val="el-GR"/>
              </w:rPr>
              <m:t>π</m:t>
            </m:r>
            <m:d>
              <m:dPr>
                <m:ctrlPr>
                  <w:rPr>
                    <w:rFonts w:ascii="Cambria Math" w:hAnsi="Cambria Math"/>
                    <w:i/>
                    <w:iCs/>
                  </w:rPr>
                </m:ctrlPr>
              </m:dPr>
              <m:e>
                <m:r>
                  <m:rPr>
                    <m:sty m:val="bi"/>
                  </m:rPr>
                  <w:rPr>
                    <w:rFonts w:ascii="Cambria Math" w:hAnsi="Cambria Math"/>
                  </w:rPr>
                  <m:t>X</m:t>
                </m:r>
              </m:e>
            </m:d>
            <m:r>
              <m:rPr>
                <m:nor/>
              </m:rPr>
              <m:t>)</m:t>
            </m:r>
          </m:e>
          <m:sub>
            <m:r>
              <w:rPr>
                <w:rFonts w:ascii="Cambria Math" w:hAnsi="Cambria Math"/>
              </w:rPr>
              <m:t>j</m:t>
            </m:r>
          </m:sub>
        </m:sSub>
      </m:oMath>
      <w:r w:rsidRPr="00041668">
        <w:t xml:space="preserve">− </w:t>
      </w:r>
      <m:oMath>
        <m:sSub>
          <m:sSubPr>
            <m:ctrlPr>
              <w:rPr>
                <w:rFonts w:ascii="Cambria Math" w:hAnsi="Cambria Math"/>
                <w:i/>
                <w:iCs/>
              </w:rPr>
            </m:ctrlPr>
          </m:sSubPr>
          <m:e>
            <m:r>
              <m:rPr>
                <m:nor/>
              </m:rPr>
              <m:t>(</m:t>
            </m:r>
            <m:r>
              <w:rPr>
                <w:rFonts w:ascii="Cambria Math" w:hAnsi="Cambria Math"/>
                <w:lang w:val="el-GR"/>
              </w:rPr>
              <m:t>π</m:t>
            </m:r>
            <m:d>
              <m:dPr>
                <m:ctrlPr>
                  <w:rPr>
                    <w:rFonts w:ascii="Cambria Math" w:hAnsi="Cambria Math"/>
                    <w:i/>
                    <w:iCs/>
                  </w:rPr>
                </m:ctrlPr>
              </m:dPr>
              <m:e>
                <m:r>
                  <m:rPr>
                    <m:sty m:val="bi"/>
                  </m:rPr>
                  <w:rPr>
                    <w:rFonts w:ascii="Cambria Math" w:hAnsi="Cambria Math"/>
                  </w:rPr>
                  <m:t>X</m:t>
                </m:r>
              </m:e>
            </m:d>
            <m:r>
              <m:rPr>
                <m:nor/>
              </m:rPr>
              <m:t>)</m:t>
            </m:r>
          </m:e>
          <m:sub>
            <m:r>
              <w:rPr>
                <w:rFonts w:ascii="Cambria Math" w:hAnsi="Cambria Math"/>
              </w:rPr>
              <m:t>i</m:t>
            </m:r>
          </m:sub>
        </m:sSub>
      </m:oMath>
      <w:r w:rsidRPr="00041668">
        <w:rPr>
          <w:rFonts w:ascii="Cambria Math" w:hAnsi="Cambria Math" w:cs="Cambria Math"/>
        </w:rPr>
        <w:t>∥</w:t>
      </w:r>
      <w:r w:rsidRPr="00041668">
        <w:t xml:space="preserve">, </w:t>
      </w:r>
      <m:oMath>
        <m:r>
          <w:rPr>
            <w:rFonts w:ascii="Cambria Math" w:hAnsi="Cambria Math"/>
          </w:rPr>
          <m:t>j∈T=0,i∈T=1</m:t>
        </m:r>
      </m:oMath>
      <w:r w:rsidR="00B87785">
        <w:rPr>
          <w:rFonts w:eastAsiaTheme="minorEastAsia"/>
        </w:rPr>
        <w:t>…………………………………</w:t>
      </w:r>
      <w:r w:rsidR="00E5170E">
        <w:rPr>
          <w:rFonts w:eastAsiaTheme="minorEastAsia"/>
        </w:rPr>
        <w:t>(</w:t>
      </w:r>
      <w:r w:rsidR="00416599">
        <w:rPr>
          <w:rFonts w:eastAsiaTheme="minorEastAsia"/>
        </w:rPr>
        <w:t>2.</w:t>
      </w:r>
      <w:r w:rsidR="00B15F41">
        <w:rPr>
          <w:rFonts w:eastAsiaTheme="minorEastAsia"/>
        </w:rPr>
        <w:t>11</w:t>
      </w:r>
      <w:r w:rsidR="00E5170E">
        <w:rPr>
          <w:rFonts w:eastAsiaTheme="minorEastAsia"/>
        </w:rPr>
        <w:t>)</w:t>
      </w:r>
    </w:p>
    <w:p w14:paraId="323C54A2" w14:textId="68083615" w:rsidR="00332EF6" w:rsidRDefault="008E5EB4" w:rsidP="00574667">
      <w:pPr>
        <w:pStyle w:val="para1"/>
        <w:spacing w:line="480" w:lineRule="auto"/>
      </w:pPr>
      <w:r w:rsidRPr="00574667">
        <w:t xml:space="preserve">    Let us now look at the plots of propensity scores versus a single covariate such as </w:t>
      </w:r>
      <w:r w:rsidR="0002242A">
        <w:t>proppant weight</w:t>
      </w:r>
      <w:r w:rsidRPr="00574667">
        <w:t xml:space="preserve">, fracture fluid volume </w:t>
      </w:r>
      <w:r w:rsidR="00C13F85" w:rsidRPr="00574667">
        <w:t xml:space="preserve">normalized </w:t>
      </w:r>
      <w:r w:rsidR="00C13F85">
        <w:t xml:space="preserve">to lateral length </w:t>
      </w:r>
      <w:r w:rsidRPr="00574667">
        <w:t xml:space="preserve">or true vertical depth, after we have performed the 1:1 matching process. </w:t>
      </w:r>
      <w:r w:rsidR="00E31F9F">
        <w:t>I</w:t>
      </w:r>
      <w:r w:rsidRPr="00574667">
        <w:t xml:space="preserve">n </w:t>
      </w:r>
      <w:r w:rsidRPr="00F312CF">
        <w:rPr>
          <w:b/>
          <w:bCs/>
        </w:rPr>
        <w:t>Figs. 2</w:t>
      </w:r>
      <w:r w:rsidR="000504BF">
        <w:rPr>
          <w:b/>
          <w:bCs/>
        </w:rPr>
        <w:t>.</w:t>
      </w:r>
      <w:r w:rsidR="007A44C6">
        <w:rPr>
          <w:b/>
          <w:bCs/>
        </w:rPr>
        <w:t>19</w:t>
      </w:r>
      <w:r w:rsidRPr="00574667">
        <w:t>,</w:t>
      </w:r>
      <w:r w:rsidR="009631FF">
        <w:t xml:space="preserve"> </w:t>
      </w:r>
      <w:r w:rsidRPr="00F312CF">
        <w:rPr>
          <w:b/>
          <w:bCs/>
        </w:rPr>
        <w:t>2</w:t>
      </w:r>
      <w:r w:rsidR="000504BF">
        <w:rPr>
          <w:b/>
          <w:bCs/>
        </w:rPr>
        <w:t>.</w:t>
      </w:r>
      <w:r w:rsidR="00F735A4">
        <w:rPr>
          <w:b/>
          <w:bCs/>
        </w:rPr>
        <w:t>2</w:t>
      </w:r>
      <w:r w:rsidR="007A44C6">
        <w:rPr>
          <w:b/>
          <w:bCs/>
        </w:rPr>
        <w:t>0</w:t>
      </w:r>
      <w:r>
        <w:t xml:space="preserve"> and </w:t>
      </w:r>
      <w:r w:rsidRPr="00F312CF">
        <w:rPr>
          <w:b/>
          <w:bCs/>
        </w:rPr>
        <w:t>2</w:t>
      </w:r>
      <w:r w:rsidR="000504BF">
        <w:rPr>
          <w:b/>
          <w:bCs/>
        </w:rPr>
        <w:t>.</w:t>
      </w:r>
      <w:r w:rsidR="00F735A4">
        <w:rPr>
          <w:b/>
          <w:bCs/>
        </w:rPr>
        <w:t>2</w:t>
      </w:r>
      <w:r w:rsidR="007A44C6">
        <w:rPr>
          <w:b/>
          <w:bCs/>
        </w:rPr>
        <w:t>1</w:t>
      </w:r>
      <w:r w:rsidRPr="00574667">
        <w:t xml:space="preserve">, we can see that the density of the propensity scores between the parent and child well groups look very similar or almost identical with regards to each of 3 covariates. The reason behind this is that we have discarded the wells in either group </w:t>
      </w:r>
      <w:r>
        <w:t xml:space="preserve">that do not have a matching well in the other group leading to </w:t>
      </w:r>
      <w:r w:rsidRPr="00574667">
        <w:t>improved balance between the two groups. In order to verify this finding</w:t>
      </w:r>
      <w:r>
        <w:t>,</w:t>
      </w:r>
      <w:r w:rsidRPr="00574667">
        <w:t xml:space="preserve"> we move to step 4 in the workflow </w:t>
      </w:r>
      <w:r>
        <w:t>to</w:t>
      </w:r>
      <w:r w:rsidRPr="00574667">
        <w:t xml:space="preserve"> reassess the balance. </w:t>
      </w:r>
      <w:r w:rsidR="00574667" w:rsidRPr="00574667">
        <w:t xml:space="preserve">    </w:t>
      </w:r>
    </w:p>
    <w:p w14:paraId="1E0FACE8" w14:textId="5A68FBA0" w:rsidR="00804240" w:rsidRDefault="00804240" w:rsidP="00574667">
      <w:pPr>
        <w:pStyle w:val="para1"/>
        <w:spacing w:line="480" w:lineRule="auto"/>
      </w:pPr>
    </w:p>
    <w:p w14:paraId="0889FD93" w14:textId="30D198B7" w:rsidR="00804240" w:rsidRDefault="00804240" w:rsidP="00574667">
      <w:pPr>
        <w:pStyle w:val="para1"/>
        <w:spacing w:line="480" w:lineRule="auto"/>
      </w:pPr>
    </w:p>
    <w:p w14:paraId="73DC73AD" w14:textId="77777777" w:rsidR="00804240" w:rsidRDefault="00804240" w:rsidP="00574667">
      <w:pPr>
        <w:pStyle w:val="para1"/>
        <w:spacing w:line="480" w:lineRule="auto"/>
      </w:pPr>
    </w:p>
    <w:p w14:paraId="4A6CEEA4" w14:textId="1CBBC3FB" w:rsidR="006D696E" w:rsidRDefault="00006FC2" w:rsidP="0016139C">
      <w:pPr>
        <w:pStyle w:val="para1"/>
        <w:spacing w:line="480" w:lineRule="auto"/>
        <w:ind w:left="450" w:hanging="450"/>
        <w:jc w:val="center"/>
        <w:rPr>
          <w:rFonts w:ascii="Arial" w:eastAsiaTheme="minorHAnsi" w:hAnsi="Arial"/>
          <w:b/>
          <w:color w:val="000000"/>
          <w:sz w:val="16"/>
          <w:szCs w:val="24"/>
        </w:rPr>
      </w:pPr>
      <w:r>
        <w:rPr>
          <w:noProof/>
        </w:rPr>
        <w:lastRenderedPageBreak/>
        <w:drawing>
          <wp:inline distT="0" distB="0" distL="0" distR="0" wp14:anchorId="6BA44210" wp14:editId="7447042D">
            <wp:extent cx="4404360" cy="3459493"/>
            <wp:effectExtent l="0" t="0" r="0" b="762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418106" cy="3470290"/>
                    </a:xfrm>
                    <a:prstGeom prst="rect">
                      <a:avLst/>
                    </a:prstGeom>
                  </pic:spPr>
                </pic:pic>
              </a:graphicData>
            </a:graphic>
          </wp:inline>
        </w:drawing>
      </w:r>
      <w:r w:rsidR="002F4325">
        <w:rPr>
          <w:rFonts w:ascii="Arial" w:eastAsiaTheme="minorHAnsi" w:hAnsi="Arial"/>
          <w:b/>
          <w:color w:val="000000"/>
          <w:sz w:val="16"/>
          <w:szCs w:val="24"/>
        </w:rPr>
        <w:t xml:space="preserve">                                                                                                                                                                                                                     </w:t>
      </w:r>
      <w:r w:rsidR="00D975C4">
        <w:rPr>
          <w:rFonts w:ascii="Arial" w:eastAsiaTheme="minorHAnsi" w:hAnsi="Arial"/>
          <w:b/>
          <w:color w:val="000000"/>
          <w:sz w:val="16"/>
          <w:szCs w:val="24"/>
        </w:rPr>
        <w:t xml:space="preserve">           </w:t>
      </w:r>
      <w:r w:rsidR="009A3207">
        <w:rPr>
          <w:rFonts w:ascii="Arial" w:eastAsiaTheme="minorHAnsi" w:hAnsi="Arial"/>
          <w:b/>
          <w:color w:val="000000"/>
          <w:sz w:val="16"/>
          <w:szCs w:val="24"/>
        </w:rPr>
        <w:t xml:space="preserve">  </w:t>
      </w:r>
      <w:r w:rsidR="00B17C69">
        <w:rPr>
          <w:rFonts w:ascii="Arial" w:eastAsiaTheme="minorHAnsi" w:hAnsi="Arial"/>
          <w:b/>
          <w:color w:val="000000"/>
          <w:sz w:val="16"/>
          <w:szCs w:val="24"/>
        </w:rPr>
        <w:t xml:space="preserve">     </w:t>
      </w:r>
      <w:r w:rsidR="00E77519">
        <w:rPr>
          <w:rFonts w:ascii="Arial" w:eastAsiaTheme="minorHAnsi" w:hAnsi="Arial"/>
          <w:b/>
          <w:color w:val="000000"/>
          <w:sz w:val="16"/>
          <w:szCs w:val="24"/>
        </w:rPr>
        <w:t xml:space="preserve">     </w:t>
      </w:r>
      <w:r w:rsidR="0016139C">
        <w:rPr>
          <w:rFonts w:ascii="Arial" w:eastAsiaTheme="minorHAnsi" w:hAnsi="Arial"/>
          <w:b/>
          <w:color w:val="000000"/>
          <w:sz w:val="16"/>
          <w:szCs w:val="24"/>
        </w:rPr>
        <w:t xml:space="preserve">      </w:t>
      </w:r>
      <w:r w:rsidR="006D696E" w:rsidRPr="002C0620">
        <w:rPr>
          <w:rFonts w:ascii="Arial" w:eastAsiaTheme="minorHAnsi" w:hAnsi="Arial"/>
          <w:b/>
          <w:color w:val="000000"/>
          <w:sz w:val="16"/>
          <w:szCs w:val="24"/>
        </w:rPr>
        <w:t>(a)</w:t>
      </w:r>
    </w:p>
    <w:p w14:paraId="45AC0115" w14:textId="635F2249" w:rsidR="00D35DBB" w:rsidRPr="008975FC" w:rsidRDefault="00D35DBB" w:rsidP="00297B02">
      <w:pPr>
        <w:pStyle w:val="para1"/>
        <w:spacing w:line="480" w:lineRule="auto"/>
        <w:ind w:firstLine="0"/>
        <w:jc w:val="center"/>
      </w:pPr>
      <w:r>
        <w:rPr>
          <w:noProof/>
        </w:rPr>
        <w:drawing>
          <wp:inline distT="0" distB="0" distL="0" distR="0" wp14:anchorId="53B346F9" wp14:editId="54F92629">
            <wp:extent cx="4221480" cy="3288335"/>
            <wp:effectExtent l="0" t="0" r="7620" b="762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39923" cy="3302701"/>
                    </a:xfrm>
                    <a:prstGeom prst="rect">
                      <a:avLst/>
                    </a:prstGeom>
                  </pic:spPr>
                </pic:pic>
              </a:graphicData>
            </a:graphic>
          </wp:inline>
        </w:drawing>
      </w:r>
    </w:p>
    <w:p w14:paraId="4DD03A49" w14:textId="3931171B" w:rsidR="00335361" w:rsidRDefault="002F4325" w:rsidP="00335361">
      <w:pPr>
        <w:pStyle w:val="para1"/>
        <w:spacing w:line="480" w:lineRule="auto"/>
        <w:ind w:firstLine="0"/>
        <w:jc w:val="center"/>
      </w:pPr>
      <w:r>
        <w:rPr>
          <w:rFonts w:ascii="Arial" w:eastAsiaTheme="minorHAnsi" w:hAnsi="Arial"/>
          <w:b/>
          <w:color w:val="000000"/>
          <w:sz w:val="16"/>
          <w:szCs w:val="24"/>
        </w:rPr>
        <w:t xml:space="preserve">          </w:t>
      </w:r>
      <w:r w:rsidR="00335361" w:rsidRPr="002C0620">
        <w:rPr>
          <w:rFonts w:ascii="Arial" w:eastAsiaTheme="minorHAnsi" w:hAnsi="Arial"/>
          <w:b/>
          <w:color w:val="000000"/>
          <w:sz w:val="16"/>
          <w:szCs w:val="24"/>
        </w:rPr>
        <w:t>(b)</w:t>
      </w:r>
    </w:p>
    <w:p w14:paraId="2E3E4F18" w14:textId="079E55B2" w:rsidR="00335361" w:rsidRDefault="00335361" w:rsidP="00335361">
      <w:pPr>
        <w:pStyle w:val="Caption"/>
        <w:rPr>
          <w:rFonts w:ascii="Arial" w:hAnsi="Arial"/>
          <w:i w:val="0"/>
          <w:iCs w:val="0"/>
          <w:color w:val="000000"/>
          <w:sz w:val="16"/>
          <w:szCs w:val="24"/>
        </w:rPr>
      </w:pPr>
      <w:bookmarkStart w:id="46" w:name="_Toc58667152"/>
      <w:r w:rsidRPr="008975FC">
        <w:rPr>
          <w:rFonts w:ascii="Arial" w:hAnsi="Arial"/>
          <w:i w:val="0"/>
          <w:iCs w:val="0"/>
          <w:color w:val="000000"/>
          <w:sz w:val="16"/>
          <w:szCs w:val="24"/>
        </w:rPr>
        <w:t xml:space="preserve">Fig. 2. </w:t>
      </w:r>
      <w:r w:rsidRPr="008975FC">
        <w:rPr>
          <w:rFonts w:ascii="Arial" w:hAnsi="Arial"/>
          <w:i w:val="0"/>
          <w:iCs w:val="0"/>
          <w:color w:val="000000"/>
          <w:sz w:val="16"/>
          <w:szCs w:val="24"/>
        </w:rPr>
        <w:fldChar w:fldCharType="begin"/>
      </w:r>
      <w:r w:rsidRPr="008975FC">
        <w:rPr>
          <w:rFonts w:ascii="Arial" w:hAnsi="Arial"/>
          <w:i w:val="0"/>
          <w:iCs w:val="0"/>
          <w:color w:val="000000"/>
          <w:sz w:val="16"/>
          <w:szCs w:val="24"/>
        </w:rPr>
        <w:instrText xml:space="preserve"> SEQ Fig._2. \* ARABIC </w:instrText>
      </w:r>
      <w:r w:rsidRPr="008975FC">
        <w:rPr>
          <w:rFonts w:ascii="Arial" w:hAnsi="Arial"/>
          <w:i w:val="0"/>
          <w:iCs w:val="0"/>
          <w:color w:val="000000"/>
          <w:sz w:val="16"/>
          <w:szCs w:val="24"/>
        </w:rPr>
        <w:fldChar w:fldCharType="separate"/>
      </w:r>
      <w:r w:rsidR="00D006A5">
        <w:rPr>
          <w:rFonts w:ascii="Arial" w:hAnsi="Arial"/>
          <w:i w:val="0"/>
          <w:iCs w:val="0"/>
          <w:noProof/>
          <w:color w:val="000000"/>
          <w:sz w:val="16"/>
          <w:szCs w:val="24"/>
        </w:rPr>
        <w:t>19</w:t>
      </w:r>
      <w:r w:rsidRPr="008975FC">
        <w:rPr>
          <w:rFonts w:ascii="Arial" w:hAnsi="Arial"/>
          <w:i w:val="0"/>
          <w:iCs w:val="0"/>
          <w:color w:val="000000"/>
          <w:sz w:val="16"/>
          <w:szCs w:val="24"/>
        </w:rPr>
        <w:fldChar w:fldCharType="end"/>
      </w:r>
      <w:r w:rsidRPr="00F735A4">
        <w:rPr>
          <w:rFonts w:ascii="Arial" w:hAnsi="Arial"/>
          <w:i w:val="0"/>
          <w:iCs w:val="0"/>
          <w:color w:val="000000"/>
          <w:sz w:val="16"/>
          <w:szCs w:val="24"/>
        </w:rPr>
        <w:t>—</w:t>
      </w:r>
      <w:r w:rsidRPr="000504BF">
        <w:rPr>
          <w:rFonts w:ascii="Arial" w:hAnsi="Arial"/>
          <w:i w:val="0"/>
          <w:iCs w:val="0"/>
          <w:color w:val="000000"/>
          <w:sz w:val="16"/>
          <w:szCs w:val="24"/>
        </w:rPr>
        <w:t xml:space="preserve">(a) Plot of propensity score versus </w:t>
      </w:r>
      <w:r w:rsidR="0002242A">
        <w:rPr>
          <w:rFonts w:ascii="Arial" w:hAnsi="Arial"/>
          <w:i w:val="0"/>
          <w:iCs w:val="0"/>
          <w:color w:val="000000"/>
          <w:sz w:val="16"/>
          <w:szCs w:val="24"/>
        </w:rPr>
        <w:t>proppant weight</w:t>
      </w:r>
      <w:r w:rsidRPr="000504BF">
        <w:rPr>
          <w:rFonts w:ascii="Arial" w:hAnsi="Arial"/>
          <w:i w:val="0"/>
          <w:iCs w:val="0"/>
          <w:color w:val="000000"/>
          <w:sz w:val="16"/>
          <w:szCs w:val="24"/>
        </w:rPr>
        <w:t xml:space="preserve"> normalized to lateral length (</w:t>
      </w:r>
      <w:r w:rsidR="007D7803">
        <w:rPr>
          <w:rFonts w:ascii="Arial" w:hAnsi="Arial"/>
          <w:i w:val="0"/>
          <w:iCs w:val="0"/>
          <w:color w:val="000000"/>
          <w:sz w:val="16"/>
          <w:szCs w:val="24"/>
        </w:rPr>
        <w:t>lb/ft</w:t>
      </w:r>
      <w:r w:rsidRPr="000504BF">
        <w:rPr>
          <w:rFonts w:ascii="Arial" w:hAnsi="Arial"/>
          <w:i w:val="0"/>
          <w:iCs w:val="0"/>
          <w:color w:val="000000"/>
          <w:sz w:val="16"/>
          <w:szCs w:val="24"/>
        </w:rPr>
        <w:t xml:space="preserve">) for matched child wells (b) Plot of propensity score versus </w:t>
      </w:r>
      <w:r w:rsidR="0002242A">
        <w:rPr>
          <w:rFonts w:ascii="Arial" w:hAnsi="Arial"/>
          <w:i w:val="0"/>
          <w:iCs w:val="0"/>
          <w:color w:val="000000"/>
          <w:sz w:val="16"/>
          <w:szCs w:val="24"/>
        </w:rPr>
        <w:t>proppant weight</w:t>
      </w:r>
      <w:r w:rsidRPr="000504BF">
        <w:rPr>
          <w:rFonts w:ascii="Arial" w:hAnsi="Arial"/>
          <w:i w:val="0"/>
          <w:iCs w:val="0"/>
          <w:color w:val="000000"/>
          <w:sz w:val="16"/>
          <w:szCs w:val="24"/>
        </w:rPr>
        <w:t xml:space="preserve"> normalized to lateral length (</w:t>
      </w:r>
      <w:r w:rsidR="007D7803">
        <w:rPr>
          <w:rFonts w:ascii="Arial" w:hAnsi="Arial"/>
          <w:i w:val="0"/>
          <w:iCs w:val="0"/>
          <w:color w:val="000000"/>
          <w:sz w:val="16"/>
          <w:szCs w:val="24"/>
        </w:rPr>
        <w:t>lb/ft</w:t>
      </w:r>
      <w:r w:rsidRPr="000504BF">
        <w:rPr>
          <w:rFonts w:ascii="Arial" w:hAnsi="Arial"/>
          <w:i w:val="0"/>
          <w:iCs w:val="0"/>
          <w:color w:val="000000"/>
          <w:sz w:val="16"/>
          <w:szCs w:val="24"/>
        </w:rPr>
        <w:t>) for matched parent wells.</w:t>
      </w:r>
      <w:bookmarkEnd w:id="46"/>
    </w:p>
    <w:p w14:paraId="48B2973E" w14:textId="0660F447" w:rsidR="00CD5F4C" w:rsidRDefault="00CD5F4C" w:rsidP="00CD5F4C"/>
    <w:p w14:paraId="78549D27" w14:textId="5C1FAAFC" w:rsidR="00D01699" w:rsidRDefault="00CD5F4C" w:rsidP="000E439E">
      <w:pPr>
        <w:jc w:val="center"/>
      </w:pPr>
      <w:r>
        <w:rPr>
          <w:noProof/>
        </w:rPr>
        <w:drawing>
          <wp:inline distT="0" distB="0" distL="0" distR="0" wp14:anchorId="695639BA" wp14:editId="70D33BE1">
            <wp:extent cx="4089400" cy="3205111"/>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102059" cy="3215033"/>
                    </a:xfrm>
                    <a:prstGeom prst="rect">
                      <a:avLst/>
                    </a:prstGeom>
                  </pic:spPr>
                </pic:pic>
              </a:graphicData>
            </a:graphic>
          </wp:inline>
        </w:drawing>
      </w:r>
    </w:p>
    <w:p w14:paraId="67F0CE59" w14:textId="747BB219" w:rsidR="00D87B71" w:rsidRDefault="00D01699" w:rsidP="00D87B71">
      <w:pPr>
        <w:pStyle w:val="para1"/>
        <w:spacing w:line="480" w:lineRule="auto"/>
        <w:ind w:firstLine="0"/>
        <w:jc w:val="center"/>
        <w:rPr>
          <w:rFonts w:ascii="Arial" w:eastAsiaTheme="minorHAnsi" w:hAnsi="Arial"/>
          <w:b/>
          <w:color w:val="000000"/>
          <w:sz w:val="16"/>
          <w:szCs w:val="24"/>
        </w:rPr>
      </w:pPr>
      <w:r w:rsidRPr="002C0620">
        <w:rPr>
          <w:rFonts w:ascii="Arial" w:eastAsiaTheme="minorHAnsi" w:hAnsi="Arial"/>
          <w:b/>
          <w:color w:val="000000"/>
          <w:sz w:val="16"/>
          <w:szCs w:val="24"/>
        </w:rPr>
        <w:t xml:space="preserve"> </w:t>
      </w:r>
      <w:r>
        <w:rPr>
          <w:rFonts w:ascii="Arial" w:eastAsiaTheme="minorHAnsi" w:hAnsi="Arial"/>
          <w:b/>
          <w:color w:val="000000"/>
          <w:sz w:val="16"/>
          <w:szCs w:val="24"/>
        </w:rPr>
        <w:t xml:space="preserve">          </w:t>
      </w:r>
      <w:r w:rsidR="00D87B71" w:rsidRPr="002C0620">
        <w:rPr>
          <w:rFonts w:ascii="Arial" w:eastAsiaTheme="minorHAnsi" w:hAnsi="Arial"/>
          <w:b/>
          <w:color w:val="000000"/>
          <w:sz w:val="16"/>
          <w:szCs w:val="24"/>
        </w:rPr>
        <w:t>(a)</w:t>
      </w:r>
    </w:p>
    <w:p w14:paraId="4AB309A7" w14:textId="1BF82F6C" w:rsidR="00174ABA" w:rsidRPr="002C0620" w:rsidRDefault="00174ABA" w:rsidP="00D87B71">
      <w:pPr>
        <w:pStyle w:val="para1"/>
        <w:spacing w:line="480" w:lineRule="auto"/>
        <w:ind w:firstLine="0"/>
        <w:jc w:val="center"/>
        <w:rPr>
          <w:rFonts w:ascii="Arial" w:eastAsiaTheme="minorHAnsi" w:hAnsi="Arial"/>
          <w:b/>
          <w:color w:val="000000"/>
          <w:sz w:val="16"/>
          <w:szCs w:val="24"/>
        </w:rPr>
      </w:pPr>
      <w:r>
        <w:rPr>
          <w:noProof/>
        </w:rPr>
        <w:drawing>
          <wp:inline distT="0" distB="0" distL="0" distR="0" wp14:anchorId="1B401063" wp14:editId="3763D400">
            <wp:extent cx="3920067" cy="3084959"/>
            <wp:effectExtent l="0" t="0" r="444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932439" cy="3094695"/>
                    </a:xfrm>
                    <a:prstGeom prst="rect">
                      <a:avLst/>
                    </a:prstGeom>
                  </pic:spPr>
                </pic:pic>
              </a:graphicData>
            </a:graphic>
          </wp:inline>
        </w:drawing>
      </w:r>
    </w:p>
    <w:p w14:paraId="5A678C78" w14:textId="425130E3" w:rsidR="00193062" w:rsidRDefault="00193062" w:rsidP="00193062">
      <w:pPr>
        <w:pStyle w:val="para1"/>
        <w:keepNext/>
        <w:spacing w:line="480" w:lineRule="auto"/>
        <w:jc w:val="center"/>
      </w:pPr>
      <w:r>
        <w:rPr>
          <w:rFonts w:ascii="Arial" w:eastAsiaTheme="minorHAnsi" w:hAnsi="Arial"/>
          <w:b/>
          <w:color w:val="000000"/>
          <w:sz w:val="16"/>
          <w:szCs w:val="24"/>
        </w:rPr>
        <w:t xml:space="preserve">      </w:t>
      </w:r>
      <w:r w:rsidRPr="002C0620">
        <w:rPr>
          <w:rFonts w:ascii="Arial" w:eastAsiaTheme="minorHAnsi" w:hAnsi="Arial"/>
          <w:b/>
          <w:color w:val="000000"/>
          <w:sz w:val="16"/>
          <w:szCs w:val="24"/>
        </w:rPr>
        <w:t>(</w:t>
      </w:r>
      <w:r>
        <w:rPr>
          <w:rFonts w:ascii="Arial" w:eastAsiaTheme="minorHAnsi" w:hAnsi="Arial"/>
          <w:b/>
          <w:color w:val="000000"/>
          <w:sz w:val="16"/>
          <w:szCs w:val="24"/>
        </w:rPr>
        <w:t>b</w:t>
      </w:r>
      <w:r w:rsidRPr="002C0620">
        <w:rPr>
          <w:rFonts w:ascii="Arial" w:eastAsiaTheme="minorHAnsi" w:hAnsi="Arial"/>
          <w:b/>
          <w:color w:val="000000"/>
          <w:sz w:val="16"/>
          <w:szCs w:val="24"/>
        </w:rPr>
        <w:t>)</w:t>
      </w:r>
    </w:p>
    <w:p w14:paraId="556A7197" w14:textId="4EDA31F5" w:rsidR="00D01699" w:rsidRDefault="00193062" w:rsidP="00193062">
      <w:pPr>
        <w:pStyle w:val="Caption"/>
      </w:pPr>
      <w:bookmarkStart w:id="47" w:name="_Toc58667153"/>
      <w:r w:rsidRPr="00617819">
        <w:rPr>
          <w:rFonts w:ascii="Arial" w:hAnsi="Arial"/>
          <w:i w:val="0"/>
          <w:iCs w:val="0"/>
          <w:sz w:val="16"/>
        </w:rPr>
        <w:t xml:space="preserve">Fig. 2. </w:t>
      </w:r>
      <w:r w:rsidRPr="00617819">
        <w:rPr>
          <w:rFonts w:ascii="Arial" w:hAnsi="Arial"/>
          <w:i w:val="0"/>
          <w:iCs w:val="0"/>
          <w:sz w:val="16"/>
        </w:rPr>
        <w:fldChar w:fldCharType="begin"/>
      </w:r>
      <w:r w:rsidRPr="00617819">
        <w:rPr>
          <w:rFonts w:ascii="Arial" w:hAnsi="Arial"/>
          <w:i w:val="0"/>
          <w:iCs w:val="0"/>
          <w:sz w:val="16"/>
        </w:rPr>
        <w:instrText xml:space="preserve"> SEQ Fig._2. \* ARABIC </w:instrText>
      </w:r>
      <w:r w:rsidRPr="00617819">
        <w:rPr>
          <w:rFonts w:ascii="Arial" w:hAnsi="Arial"/>
          <w:i w:val="0"/>
          <w:iCs w:val="0"/>
          <w:sz w:val="16"/>
        </w:rPr>
        <w:fldChar w:fldCharType="separate"/>
      </w:r>
      <w:r w:rsidR="00D006A5">
        <w:rPr>
          <w:rFonts w:ascii="Arial" w:hAnsi="Arial"/>
          <w:i w:val="0"/>
          <w:iCs w:val="0"/>
          <w:noProof/>
          <w:sz w:val="16"/>
        </w:rPr>
        <w:t>20</w:t>
      </w:r>
      <w:r w:rsidRPr="00617819">
        <w:rPr>
          <w:rFonts w:ascii="Arial" w:hAnsi="Arial"/>
          <w:i w:val="0"/>
          <w:iCs w:val="0"/>
          <w:sz w:val="16"/>
        </w:rPr>
        <w:fldChar w:fldCharType="end"/>
      </w:r>
      <w:r w:rsidRPr="00D01699">
        <w:rPr>
          <w:rFonts w:ascii="Arial" w:hAnsi="Arial"/>
          <w:i w:val="0"/>
          <w:iCs w:val="0"/>
          <w:sz w:val="16"/>
        </w:rPr>
        <w:t>—(a) Plot of propensity score versus fracture fluid volume normalized to lateral length (</w:t>
      </w:r>
      <w:r w:rsidR="00515BC9">
        <w:rPr>
          <w:rFonts w:ascii="Arial" w:hAnsi="Arial"/>
          <w:i w:val="0"/>
          <w:iCs w:val="0"/>
          <w:sz w:val="16"/>
        </w:rPr>
        <w:t>bbl</w:t>
      </w:r>
      <w:r w:rsidRPr="00D01699">
        <w:rPr>
          <w:rFonts w:ascii="Arial" w:hAnsi="Arial"/>
          <w:i w:val="0"/>
          <w:iCs w:val="0"/>
          <w:sz w:val="16"/>
        </w:rPr>
        <w:t>/ft) for matched child wells (b) Plot of propensity score versus fracture fluid volume normalized to lateral length (</w:t>
      </w:r>
      <w:r w:rsidR="00515BC9">
        <w:rPr>
          <w:rFonts w:ascii="Arial" w:hAnsi="Arial"/>
          <w:i w:val="0"/>
          <w:iCs w:val="0"/>
          <w:sz w:val="16"/>
        </w:rPr>
        <w:t>bbl</w:t>
      </w:r>
      <w:r w:rsidRPr="00D01699">
        <w:rPr>
          <w:rFonts w:ascii="Arial" w:hAnsi="Arial"/>
          <w:i w:val="0"/>
          <w:iCs w:val="0"/>
          <w:sz w:val="16"/>
        </w:rPr>
        <w:t>/ft) for matched parent wells.</w:t>
      </w:r>
      <w:bookmarkEnd w:id="47"/>
      <w:r w:rsidRPr="00D01699">
        <w:rPr>
          <w:rFonts w:ascii="Arial" w:hAnsi="Arial"/>
          <w:i w:val="0"/>
          <w:iCs w:val="0"/>
          <w:sz w:val="16"/>
        </w:rPr>
        <w:t xml:space="preserve">             </w:t>
      </w:r>
    </w:p>
    <w:p w14:paraId="7D94AF25" w14:textId="77777777" w:rsidR="00193062" w:rsidRDefault="00D01699" w:rsidP="00D01699">
      <w:pPr>
        <w:pStyle w:val="para1"/>
        <w:keepNext/>
        <w:spacing w:line="480" w:lineRule="auto"/>
        <w:jc w:val="center"/>
        <w:rPr>
          <w:rFonts w:ascii="Arial" w:eastAsiaTheme="minorHAnsi" w:hAnsi="Arial"/>
          <w:b/>
          <w:color w:val="000000"/>
          <w:sz w:val="16"/>
          <w:szCs w:val="24"/>
        </w:rPr>
      </w:pPr>
      <w:r>
        <w:rPr>
          <w:rFonts w:ascii="Arial" w:eastAsiaTheme="minorHAnsi" w:hAnsi="Arial"/>
          <w:b/>
          <w:color w:val="000000"/>
          <w:sz w:val="16"/>
          <w:szCs w:val="24"/>
        </w:rPr>
        <w:lastRenderedPageBreak/>
        <w:t xml:space="preserve">     </w:t>
      </w:r>
    </w:p>
    <w:p w14:paraId="595CFA94" w14:textId="586DF40B" w:rsidR="007A44C6" w:rsidRPr="00D01699" w:rsidRDefault="00D01699" w:rsidP="00D01699">
      <w:pPr>
        <w:pStyle w:val="Caption"/>
        <w:rPr>
          <w:i w:val="0"/>
          <w:iCs w:val="0"/>
        </w:rPr>
      </w:pPr>
      <w:r w:rsidRPr="00D01699">
        <w:rPr>
          <w:rFonts w:ascii="Arial" w:hAnsi="Arial"/>
          <w:i w:val="0"/>
          <w:iCs w:val="0"/>
          <w:sz w:val="16"/>
        </w:rPr>
        <w:t xml:space="preserve">       </w:t>
      </w:r>
    </w:p>
    <w:p w14:paraId="6E9CF76E" w14:textId="527507A4" w:rsidR="00D87B71" w:rsidRDefault="00777D70" w:rsidP="00883EF4">
      <w:pPr>
        <w:pStyle w:val="Default"/>
        <w:tabs>
          <w:tab w:val="center" w:pos="4680"/>
        </w:tabs>
        <w:spacing w:line="480" w:lineRule="auto"/>
        <w:jc w:val="center"/>
      </w:pPr>
      <w:r w:rsidRPr="00883EF4">
        <w:rPr>
          <w:rFonts w:ascii="Arial" w:hAnsi="Arial"/>
          <w:b/>
          <w:noProof/>
          <w:sz w:val="16"/>
        </w:rPr>
        <w:drawing>
          <wp:inline distT="0" distB="0" distL="0" distR="0" wp14:anchorId="53B091E7" wp14:editId="2E6E047A">
            <wp:extent cx="3851125" cy="2964873"/>
            <wp:effectExtent l="0" t="0" r="0" b="698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873095" cy="2981787"/>
                    </a:xfrm>
                    <a:prstGeom prst="rect">
                      <a:avLst/>
                    </a:prstGeom>
                  </pic:spPr>
                </pic:pic>
              </a:graphicData>
            </a:graphic>
          </wp:inline>
        </w:drawing>
      </w:r>
    </w:p>
    <w:p w14:paraId="57F44E14" w14:textId="448EA8D5" w:rsidR="00020849" w:rsidRDefault="00020849" w:rsidP="00020849">
      <w:pPr>
        <w:pStyle w:val="para1"/>
        <w:spacing w:line="480" w:lineRule="auto"/>
        <w:ind w:firstLine="0"/>
        <w:jc w:val="center"/>
        <w:rPr>
          <w:rFonts w:ascii="Arial" w:eastAsiaTheme="minorHAnsi" w:hAnsi="Arial"/>
          <w:b/>
          <w:color w:val="000000"/>
          <w:sz w:val="16"/>
          <w:szCs w:val="24"/>
        </w:rPr>
      </w:pPr>
      <w:r>
        <w:rPr>
          <w:rFonts w:ascii="Arial" w:eastAsiaTheme="minorHAnsi" w:hAnsi="Arial"/>
          <w:b/>
          <w:color w:val="000000"/>
          <w:sz w:val="16"/>
          <w:szCs w:val="24"/>
        </w:rPr>
        <w:t xml:space="preserve">        </w:t>
      </w:r>
      <w:r w:rsidR="00312641" w:rsidRPr="00A14905">
        <w:rPr>
          <w:rFonts w:ascii="Arial" w:eastAsiaTheme="minorHAnsi" w:hAnsi="Arial"/>
          <w:b/>
          <w:color w:val="000000"/>
          <w:sz w:val="16"/>
          <w:szCs w:val="24"/>
        </w:rPr>
        <w:t>(a)</w:t>
      </w:r>
    </w:p>
    <w:p w14:paraId="12D42AD4" w14:textId="64832783" w:rsidR="00193062" w:rsidRDefault="00312641" w:rsidP="00193062">
      <w:pPr>
        <w:pStyle w:val="Default"/>
        <w:keepNext/>
        <w:tabs>
          <w:tab w:val="center" w:pos="4680"/>
        </w:tabs>
        <w:spacing w:line="480" w:lineRule="auto"/>
        <w:jc w:val="center"/>
      </w:pPr>
      <w:r w:rsidRPr="00883EF4">
        <w:rPr>
          <w:rFonts w:ascii="Arial" w:hAnsi="Arial"/>
          <w:b/>
          <w:noProof/>
          <w:sz w:val="16"/>
        </w:rPr>
        <w:drawing>
          <wp:inline distT="0" distB="0" distL="0" distR="0" wp14:anchorId="77773123" wp14:editId="13502C84">
            <wp:extent cx="3847841" cy="2971800"/>
            <wp:effectExtent l="0" t="0" r="63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863302" cy="2983741"/>
                    </a:xfrm>
                    <a:prstGeom prst="rect">
                      <a:avLst/>
                    </a:prstGeom>
                  </pic:spPr>
                </pic:pic>
              </a:graphicData>
            </a:graphic>
          </wp:inline>
        </w:drawing>
      </w:r>
    </w:p>
    <w:p w14:paraId="168FA874" w14:textId="6E1EDF50" w:rsidR="00193062" w:rsidRDefault="00193062" w:rsidP="00193062">
      <w:pPr>
        <w:pStyle w:val="Default"/>
        <w:tabs>
          <w:tab w:val="center" w:pos="4680"/>
        </w:tabs>
        <w:spacing w:line="480" w:lineRule="auto"/>
        <w:jc w:val="center"/>
      </w:pPr>
      <w:r>
        <w:rPr>
          <w:rFonts w:ascii="Arial" w:hAnsi="Arial"/>
          <w:b/>
          <w:sz w:val="16"/>
        </w:rPr>
        <w:t xml:space="preserve">       </w:t>
      </w:r>
      <w:r w:rsidRPr="00A14905">
        <w:rPr>
          <w:rFonts w:ascii="Arial" w:hAnsi="Arial"/>
          <w:b/>
          <w:sz w:val="16"/>
        </w:rPr>
        <w:t>(b)</w:t>
      </w:r>
    </w:p>
    <w:p w14:paraId="031B3F17" w14:textId="255F621A" w:rsidR="00D01699" w:rsidRPr="00193062" w:rsidRDefault="00193062" w:rsidP="00193062">
      <w:pPr>
        <w:pStyle w:val="Default"/>
        <w:tabs>
          <w:tab w:val="center" w:pos="4680"/>
        </w:tabs>
        <w:spacing w:line="480" w:lineRule="auto"/>
        <w:jc w:val="center"/>
        <w:rPr>
          <w:rFonts w:ascii="Arial" w:hAnsi="Arial"/>
          <w:b/>
          <w:sz w:val="16"/>
        </w:rPr>
      </w:pPr>
      <w:bookmarkStart w:id="48" w:name="_Toc58667154"/>
      <w:r w:rsidRPr="00193062">
        <w:rPr>
          <w:rFonts w:ascii="Arial" w:hAnsi="Arial"/>
          <w:b/>
          <w:sz w:val="16"/>
        </w:rPr>
        <w:t xml:space="preserve">Fig. 2. </w:t>
      </w:r>
      <w:r w:rsidRPr="00193062">
        <w:rPr>
          <w:rFonts w:ascii="Arial" w:hAnsi="Arial"/>
          <w:b/>
          <w:sz w:val="16"/>
        </w:rPr>
        <w:fldChar w:fldCharType="begin"/>
      </w:r>
      <w:r w:rsidRPr="00193062">
        <w:rPr>
          <w:rFonts w:ascii="Arial" w:hAnsi="Arial"/>
          <w:b/>
          <w:sz w:val="16"/>
        </w:rPr>
        <w:instrText xml:space="preserve"> SEQ Fig._2. \* ARABIC </w:instrText>
      </w:r>
      <w:r w:rsidRPr="00193062">
        <w:rPr>
          <w:rFonts w:ascii="Arial" w:hAnsi="Arial"/>
          <w:b/>
          <w:sz w:val="16"/>
        </w:rPr>
        <w:fldChar w:fldCharType="separate"/>
      </w:r>
      <w:r w:rsidR="00D006A5">
        <w:rPr>
          <w:rFonts w:ascii="Arial" w:hAnsi="Arial"/>
          <w:b/>
          <w:noProof/>
          <w:sz w:val="16"/>
        </w:rPr>
        <w:t>21</w:t>
      </w:r>
      <w:r w:rsidRPr="00193062">
        <w:rPr>
          <w:rFonts w:ascii="Arial" w:hAnsi="Arial"/>
          <w:b/>
          <w:sz w:val="16"/>
        </w:rPr>
        <w:fldChar w:fldCharType="end"/>
      </w:r>
      <w:r w:rsidRPr="00193062">
        <w:rPr>
          <w:rFonts w:ascii="Arial" w:hAnsi="Arial"/>
          <w:b/>
          <w:sz w:val="16"/>
        </w:rPr>
        <w:t xml:space="preserve"> </w:t>
      </w:r>
      <w:r w:rsidRPr="00FA4539">
        <w:rPr>
          <w:rFonts w:ascii="Arial" w:hAnsi="Arial"/>
          <w:b/>
          <w:sz w:val="16"/>
        </w:rPr>
        <w:t>—</w:t>
      </w:r>
      <w:r w:rsidRPr="00D32460">
        <w:rPr>
          <w:rFonts w:ascii="Arial" w:hAnsi="Arial"/>
          <w:b/>
          <w:sz w:val="16"/>
        </w:rPr>
        <w:t xml:space="preserve">(a) Plot of propensity score versus </w:t>
      </w:r>
      <w:r w:rsidR="00EC358E">
        <w:rPr>
          <w:rFonts w:ascii="Arial" w:hAnsi="Arial"/>
          <w:b/>
          <w:sz w:val="16"/>
        </w:rPr>
        <w:t>true vertical depth</w:t>
      </w:r>
      <w:r w:rsidRPr="00D32460">
        <w:rPr>
          <w:rFonts w:ascii="Arial" w:hAnsi="Arial"/>
          <w:b/>
          <w:sz w:val="16"/>
        </w:rPr>
        <w:t xml:space="preserve"> </w:t>
      </w:r>
      <w:r w:rsidR="00EC358E">
        <w:rPr>
          <w:rFonts w:ascii="Arial" w:hAnsi="Arial"/>
          <w:b/>
          <w:sz w:val="16"/>
        </w:rPr>
        <w:t>(</w:t>
      </w:r>
      <w:r w:rsidRPr="00D32460">
        <w:rPr>
          <w:rFonts w:ascii="Arial" w:hAnsi="Arial"/>
          <w:b/>
          <w:sz w:val="16"/>
        </w:rPr>
        <w:t xml:space="preserve">ft) for matched child wells (b) Plot of </w:t>
      </w:r>
      <w:r>
        <w:rPr>
          <w:rFonts w:ascii="Arial" w:hAnsi="Arial"/>
          <w:b/>
          <w:sz w:val="16"/>
        </w:rPr>
        <w:t>p</w:t>
      </w:r>
      <w:r w:rsidRPr="00D32460">
        <w:rPr>
          <w:rFonts w:ascii="Arial" w:hAnsi="Arial"/>
          <w:b/>
          <w:sz w:val="16"/>
        </w:rPr>
        <w:t xml:space="preserve">ropensity score versus </w:t>
      </w:r>
      <w:r w:rsidR="00EC358E">
        <w:rPr>
          <w:rFonts w:ascii="Arial" w:hAnsi="Arial"/>
          <w:b/>
          <w:sz w:val="16"/>
        </w:rPr>
        <w:t>true vertical depth</w:t>
      </w:r>
      <w:r w:rsidRPr="00D32460">
        <w:rPr>
          <w:rFonts w:ascii="Arial" w:hAnsi="Arial"/>
          <w:b/>
          <w:sz w:val="16"/>
        </w:rPr>
        <w:t xml:space="preserve"> (ft) for matched parent wells</w:t>
      </w:r>
      <w:r>
        <w:rPr>
          <w:rFonts w:ascii="Arial" w:hAnsi="Arial"/>
          <w:b/>
          <w:sz w:val="16"/>
        </w:rPr>
        <w:t>.</w:t>
      </w:r>
      <w:bookmarkEnd w:id="48"/>
    </w:p>
    <w:p w14:paraId="181C4968" w14:textId="4BFD1684" w:rsidR="0018137C" w:rsidRDefault="0018137C" w:rsidP="00D01699">
      <w:pPr>
        <w:pStyle w:val="Caption"/>
      </w:pPr>
    </w:p>
    <w:p w14:paraId="69DFABC6" w14:textId="128DB142" w:rsidR="00D01699" w:rsidRDefault="0018137C" w:rsidP="0018137C">
      <w:pPr>
        <w:pStyle w:val="Default"/>
        <w:tabs>
          <w:tab w:val="center" w:pos="4680"/>
        </w:tabs>
        <w:spacing w:line="480" w:lineRule="auto"/>
        <w:jc w:val="center"/>
        <w:rPr>
          <w:rFonts w:ascii="Arial" w:hAnsi="Arial"/>
          <w:b/>
          <w:sz w:val="16"/>
        </w:rPr>
      </w:pPr>
      <w:r>
        <w:rPr>
          <w:rFonts w:ascii="Arial" w:hAnsi="Arial"/>
          <w:b/>
          <w:sz w:val="16"/>
        </w:rPr>
        <w:lastRenderedPageBreak/>
        <w:t xml:space="preserve">      </w:t>
      </w:r>
    </w:p>
    <w:p w14:paraId="56F78647" w14:textId="462FB2D9" w:rsidR="00D50922" w:rsidRPr="00620898" w:rsidRDefault="005145D5" w:rsidP="00540334">
      <w:pPr>
        <w:pStyle w:val="para1"/>
        <w:numPr>
          <w:ilvl w:val="0"/>
          <w:numId w:val="1"/>
        </w:numPr>
        <w:spacing w:line="480" w:lineRule="auto"/>
        <w:ind w:left="270" w:hanging="270"/>
        <w:rPr>
          <w:rFonts w:eastAsiaTheme="minorHAnsi"/>
          <w:i/>
          <w:iCs/>
          <w:color w:val="000000"/>
          <w:szCs w:val="24"/>
        </w:rPr>
      </w:pPr>
      <w:r w:rsidRPr="00620898">
        <w:rPr>
          <w:rFonts w:eastAsiaTheme="minorHAnsi"/>
          <w:i/>
          <w:iCs/>
          <w:color w:val="000000"/>
          <w:szCs w:val="24"/>
        </w:rPr>
        <w:t>Reassess</w:t>
      </w:r>
      <w:r w:rsidR="002C2AD5" w:rsidRPr="00620898">
        <w:rPr>
          <w:rFonts w:eastAsiaTheme="minorHAnsi"/>
          <w:i/>
          <w:iCs/>
          <w:color w:val="000000"/>
          <w:szCs w:val="24"/>
        </w:rPr>
        <w:t>ing the</w:t>
      </w:r>
      <w:r w:rsidRPr="00620898">
        <w:rPr>
          <w:rFonts w:eastAsiaTheme="minorHAnsi"/>
          <w:i/>
          <w:iCs/>
          <w:color w:val="000000"/>
          <w:szCs w:val="24"/>
        </w:rPr>
        <w:t xml:space="preserve"> Balance</w:t>
      </w:r>
    </w:p>
    <w:p w14:paraId="1442B855" w14:textId="2544AC6F" w:rsidR="00D50922" w:rsidRDefault="00D50922" w:rsidP="00526872">
      <w:pPr>
        <w:pStyle w:val="para1"/>
        <w:spacing w:line="480" w:lineRule="auto"/>
        <w:ind w:firstLine="0"/>
      </w:pPr>
      <w:r>
        <w:t xml:space="preserve">The fourth step is to compare the propensity score distributions for the parent and child wells groups after the process of one-to-one matching is complete. </w:t>
      </w:r>
      <w:r w:rsidRPr="00AC15E1">
        <w:rPr>
          <w:b/>
          <w:bCs/>
        </w:rPr>
        <w:t xml:space="preserve">Fig. </w:t>
      </w:r>
      <w:r>
        <w:rPr>
          <w:b/>
          <w:bCs/>
        </w:rPr>
        <w:t>2</w:t>
      </w:r>
      <w:r w:rsidR="00B77C8E">
        <w:rPr>
          <w:b/>
          <w:bCs/>
        </w:rPr>
        <w:t>.2</w:t>
      </w:r>
      <w:r w:rsidR="0018137C">
        <w:rPr>
          <w:b/>
          <w:bCs/>
        </w:rPr>
        <w:t>2</w:t>
      </w:r>
      <w:r>
        <w:t xml:space="preserve"> shows the density of the propensity scores between the matched and unmatched parent and child well groups</w:t>
      </w:r>
      <w:r w:rsidR="0015257E">
        <w:t xml:space="preserve"> at 600 ft spacing</w:t>
      </w:r>
      <w:r>
        <w:t xml:space="preserve">. As the propensity score is a probability estimate, the density clusters are bounded between 0 and 1. We can easily observe that the propensity score cluster density, in the center of Fig. </w:t>
      </w:r>
      <w:r w:rsidR="00F04C67">
        <w:t>2.2</w:t>
      </w:r>
      <w:r w:rsidR="0018137C">
        <w:t>2</w:t>
      </w:r>
      <w:r>
        <w:t xml:space="preserve">, for the matched parent and child well groups look similar to each other. The wells for which a match was not obtained are called unmatched treatment units or control units at the top and bottom of Fig. </w:t>
      </w:r>
      <w:r w:rsidR="00A95326">
        <w:t>2.2</w:t>
      </w:r>
      <w:r w:rsidR="0018137C">
        <w:t>2</w:t>
      </w:r>
      <w:r>
        <w:t>. These wells are the ones to be discarded from the causal inference workflow.</w:t>
      </w:r>
    </w:p>
    <w:p w14:paraId="5EA6528B" w14:textId="1ACAA844" w:rsidR="00D50922" w:rsidRDefault="00D50922" w:rsidP="00D50922">
      <w:pPr>
        <w:pStyle w:val="para1"/>
        <w:spacing w:line="480" w:lineRule="auto"/>
      </w:pPr>
      <w:r>
        <w:t xml:space="preserve">In </w:t>
      </w:r>
      <w:r w:rsidRPr="003E57C7">
        <w:rPr>
          <w:b/>
          <w:bCs/>
        </w:rPr>
        <w:t>Fig. 2</w:t>
      </w:r>
      <w:r w:rsidR="00A95326">
        <w:rPr>
          <w:b/>
          <w:bCs/>
        </w:rPr>
        <w:t>.2</w:t>
      </w:r>
      <w:r w:rsidR="0018137C">
        <w:rPr>
          <w:b/>
          <w:bCs/>
        </w:rPr>
        <w:t>3</w:t>
      </w:r>
      <w:r>
        <w:t xml:space="preserve">, after the matching is performed, we can check and compare the propensity score distributions for the matched child wells group as seen in Fig. </w:t>
      </w:r>
      <w:r w:rsidR="003E53FC">
        <w:t>2.</w:t>
      </w:r>
      <w:r>
        <w:t>2</w:t>
      </w:r>
      <w:r w:rsidR="0018137C">
        <w:t>3</w:t>
      </w:r>
      <w:r>
        <w:t>a</w:t>
      </w:r>
      <w:r w:rsidR="00666DFA">
        <w:t xml:space="preserve"> </w:t>
      </w:r>
      <w:r>
        <w:t xml:space="preserve">and matched parent wells group as seen in Fig. </w:t>
      </w:r>
      <w:r w:rsidR="003E53FC">
        <w:t>2.</w:t>
      </w:r>
      <w:r>
        <w:t>2</w:t>
      </w:r>
      <w:r w:rsidR="0018137C">
        <w:t>3</w:t>
      </w:r>
      <w:r>
        <w:t>b. Since both distributions look the same or are identical, there is a great balance between the parent and child well groups with statistically similar parent and child well pairs.  Thus,</w:t>
      </w:r>
      <w:r w:rsidR="001D5326">
        <w:t xml:space="preserve"> I</w:t>
      </w:r>
      <w:r>
        <w:t xml:space="preserve"> have controlled for the variations in heterogenous reservoir properties, different fluid</w:t>
      </w:r>
      <w:r w:rsidR="007166BC">
        <w:t xml:space="preserve"> volume,</w:t>
      </w:r>
      <w:r>
        <w:t xml:space="preserve"> </w:t>
      </w:r>
      <w:r w:rsidR="0002242A">
        <w:t>proppant weight</w:t>
      </w:r>
      <w:r>
        <w:t xml:space="preserve"> and landing zones for both well groups.</w:t>
      </w:r>
      <w:r w:rsidRPr="001234ED">
        <w:t xml:space="preserve"> </w:t>
      </w:r>
    </w:p>
    <w:p w14:paraId="2DB98B25" w14:textId="47BBA532" w:rsidR="00D50922" w:rsidRDefault="00D50922" w:rsidP="00D50922">
      <w:pPr>
        <w:pStyle w:val="para1"/>
        <w:spacing w:line="480" w:lineRule="auto"/>
      </w:pPr>
      <w:r>
        <w:t xml:space="preserve">The </w:t>
      </w:r>
      <w:r w:rsidR="00441CB0">
        <w:t xml:space="preserve">propensity </w:t>
      </w:r>
      <w:r>
        <w:t xml:space="preserve">density plots and propensity score distributions for 500 ft, 600 ft, 700 ft and 800 ft spacing options, before and after matching, are shown in the Appendix from </w:t>
      </w:r>
      <w:r w:rsidRPr="00946E2B">
        <w:rPr>
          <w:b/>
          <w:bCs/>
        </w:rPr>
        <w:t>Fig.</w:t>
      </w:r>
      <w:r>
        <w:rPr>
          <w:b/>
          <w:bCs/>
        </w:rPr>
        <w:t xml:space="preserve"> A1</w:t>
      </w:r>
      <w:r w:rsidRPr="00946E2B">
        <w:rPr>
          <w:b/>
          <w:bCs/>
        </w:rPr>
        <w:t xml:space="preserve"> to Fig.</w:t>
      </w:r>
      <w:r>
        <w:rPr>
          <w:b/>
          <w:bCs/>
        </w:rPr>
        <w:t xml:space="preserve"> A16.</w:t>
      </w:r>
    </w:p>
    <w:p w14:paraId="754C8978" w14:textId="77777777" w:rsidR="00D50922" w:rsidRDefault="00D50922" w:rsidP="00F77298">
      <w:pPr>
        <w:pStyle w:val="para1"/>
        <w:spacing w:line="480" w:lineRule="auto"/>
      </w:pPr>
    </w:p>
    <w:p w14:paraId="3C7C7939" w14:textId="77777777" w:rsidR="00193062" w:rsidRPr="00193062" w:rsidRDefault="005145D5" w:rsidP="00193062">
      <w:pPr>
        <w:pStyle w:val="Caption"/>
        <w:spacing w:after="0"/>
        <w:rPr>
          <w:rFonts w:ascii="Arial" w:hAnsi="Arial"/>
          <w:i w:val="0"/>
          <w:iCs w:val="0"/>
          <w:color w:val="000000"/>
          <w:sz w:val="16"/>
          <w:szCs w:val="24"/>
        </w:rPr>
      </w:pPr>
      <w:r w:rsidRPr="00193062">
        <w:rPr>
          <w:rFonts w:ascii="Arial" w:hAnsi="Arial"/>
          <w:i w:val="0"/>
          <w:iCs w:val="0"/>
          <w:noProof/>
          <w:color w:val="000000"/>
          <w:sz w:val="16"/>
          <w:szCs w:val="24"/>
        </w:rPr>
        <w:lastRenderedPageBreak/>
        <w:drawing>
          <wp:inline distT="0" distB="0" distL="0" distR="0" wp14:anchorId="05B2ACC7" wp14:editId="7F28B975">
            <wp:extent cx="3144252" cy="2895600"/>
            <wp:effectExtent l="0" t="0" r="0" b="0"/>
            <wp:docPr id="32" name="Picture 7">
              <a:extLst xmlns:a="http://schemas.openxmlformats.org/drawingml/2006/main">
                <a:ext uri="{FF2B5EF4-FFF2-40B4-BE49-F238E27FC236}">
                  <a16:creationId xmlns:a16="http://schemas.microsoft.com/office/drawing/2014/main" id="{70EF87C7-3D57-4D3C-AA14-F833D08A2C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70EF87C7-3D57-4D3C-AA14-F833D08A2CE0}"/>
                        </a:ext>
                      </a:extLst>
                    </pic:cNvPr>
                    <pic:cNvPicPr>
                      <a:picLocks noChangeAspect="1"/>
                    </pic:cNvPicPr>
                  </pic:nvPicPr>
                  <pic:blipFill>
                    <a:blip r:embed="rId52"/>
                    <a:stretch>
                      <a:fillRect/>
                    </a:stretch>
                  </pic:blipFill>
                  <pic:spPr>
                    <a:xfrm>
                      <a:off x="0" y="0"/>
                      <a:ext cx="3147690" cy="2898766"/>
                    </a:xfrm>
                    <a:prstGeom prst="rect">
                      <a:avLst/>
                    </a:prstGeom>
                  </pic:spPr>
                </pic:pic>
              </a:graphicData>
            </a:graphic>
          </wp:inline>
        </w:drawing>
      </w:r>
    </w:p>
    <w:p w14:paraId="6A31FB25" w14:textId="45B3222D" w:rsidR="00D01699" w:rsidRPr="00193062" w:rsidRDefault="00193062" w:rsidP="00193062">
      <w:pPr>
        <w:pStyle w:val="Caption"/>
        <w:spacing w:after="0"/>
        <w:rPr>
          <w:rFonts w:ascii="Arial" w:hAnsi="Arial"/>
          <w:i w:val="0"/>
          <w:iCs w:val="0"/>
          <w:color w:val="000000"/>
          <w:sz w:val="16"/>
          <w:szCs w:val="24"/>
        </w:rPr>
      </w:pPr>
      <w:bookmarkStart w:id="49" w:name="_Toc58667155"/>
      <w:r w:rsidRPr="00193062">
        <w:rPr>
          <w:rFonts w:ascii="Arial" w:hAnsi="Arial"/>
          <w:i w:val="0"/>
          <w:iCs w:val="0"/>
          <w:color w:val="000000"/>
          <w:sz w:val="16"/>
          <w:szCs w:val="24"/>
        </w:rPr>
        <w:t xml:space="preserve">Fig. 2. </w:t>
      </w:r>
      <w:r w:rsidRPr="00193062">
        <w:rPr>
          <w:rFonts w:ascii="Arial" w:hAnsi="Arial"/>
          <w:i w:val="0"/>
          <w:iCs w:val="0"/>
          <w:color w:val="000000"/>
          <w:sz w:val="16"/>
          <w:szCs w:val="24"/>
        </w:rPr>
        <w:fldChar w:fldCharType="begin"/>
      </w:r>
      <w:r w:rsidRPr="00193062">
        <w:rPr>
          <w:rFonts w:ascii="Arial" w:hAnsi="Arial"/>
          <w:i w:val="0"/>
          <w:iCs w:val="0"/>
          <w:color w:val="000000"/>
          <w:sz w:val="16"/>
          <w:szCs w:val="24"/>
        </w:rPr>
        <w:instrText xml:space="preserve"> SEQ Fig._2. \* ARABIC </w:instrText>
      </w:r>
      <w:r w:rsidRPr="00193062">
        <w:rPr>
          <w:rFonts w:ascii="Arial" w:hAnsi="Arial"/>
          <w:i w:val="0"/>
          <w:iCs w:val="0"/>
          <w:color w:val="000000"/>
          <w:sz w:val="16"/>
          <w:szCs w:val="24"/>
        </w:rPr>
        <w:fldChar w:fldCharType="separate"/>
      </w:r>
      <w:r w:rsidR="00D006A5">
        <w:rPr>
          <w:rFonts w:ascii="Arial" w:hAnsi="Arial"/>
          <w:i w:val="0"/>
          <w:iCs w:val="0"/>
          <w:noProof/>
          <w:color w:val="000000"/>
          <w:sz w:val="16"/>
          <w:szCs w:val="24"/>
        </w:rPr>
        <w:t>22</w:t>
      </w:r>
      <w:r w:rsidRPr="00193062">
        <w:rPr>
          <w:rFonts w:ascii="Arial" w:hAnsi="Arial"/>
          <w:i w:val="0"/>
          <w:iCs w:val="0"/>
          <w:color w:val="000000"/>
          <w:sz w:val="16"/>
          <w:szCs w:val="24"/>
        </w:rPr>
        <w:fldChar w:fldCharType="end"/>
      </w:r>
      <w:r w:rsidRPr="00D01699">
        <w:rPr>
          <w:rFonts w:ascii="Arial" w:hAnsi="Arial"/>
          <w:i w:val="0"/>
          <w:iCs w:val="0"/>
          <w:color w:val="000000"/>
          <w:sz w:val="16"/>
          <w:szCs w:val="24"/>
        </w:rPr>
        <w:t>—</w:t>
      </w:r>
      <w:r w:rsidRPr="001115C7">
        <w:rPr>
          <w:rFonts w:ascii="Arial" w:hAnsi="Arial"/>
          <w:i w:val="0"/>
          <w:iCs w:val="0"/>
          <w:color w:val="000000"/>
          <w:sz w:val="16"/>
          <w:szCs w:val="24"/>
        </w:rPr>
        <w:t>Plot illustrating the density of propensity scores for wells after matching.</w:t>
      </w:r>
      <w:bookmarkEnd w:id="49"/>
    </w:p>
    <w:p w14:paraId="29B2D39D" w14:textId="4C6D0999" w:rsidR="002F544C" w:rsidRDefault="002F544C" w:rsidP="002F544C">
      <w:pPr>
        <w:pStyle w:val="para1"/>
        <w:tabs>
          <w:tab w:val="center" w:pos="4680"/>
          <w:tab w:val="left" w:pos="8291"/>
        </w:tabs>
        <w:spacing w:line="480" w:lineRule="auto"/>
        <w:ind w:firstLine="0"/>
        <w:jc w:val="left"/>
        <w:rPr>
          <w:rFonts w:ascii="Arial" w:eastAsiaTheme="minorHAnsi" w:hAnsi="Arial"/>
          <w:b/>
          <w:color w:val="000000"/>
          <w:sz w:val="16"/>
          <w:szCs w:val="24"/>
        </w:rPr>
      </w:pPr>
    </w:p>
    <w:p w14:paraId="46BD2F62" w14:textId="77777777" w:rsidR="00193062" w:rsidRDefault="002F544C" w:rsidP="00193062">
      <w:pPr>
        <w:pStyle w:val="para1"/>
        <w:keepNext/>
        <w:tabs>
          <w:tab w:val="center" w:pos="4680"/>
          <w:tab w:val="left" w:pos="8291"/>
        </w:tabs>
        <w:spacing w:line="480" w:lineRule="auto"/>
        <w:ind w:firstLine="0"/>
        <w:jc w:val="center"/>
      </w:pPr>
      <w:r>
        <w:rPr>
          <w:noProof/>
        </w:rPr>
        <w:drawing>
          <wp:inline distT="0" distB="0" distL="0" distR="0" wp14:anchorId="04D33537" wp14:editId="77AD3DEA">
            <wp:extent cx="5273040" cy="1962180"/>
            <wp:effectExtent l="0" t="0" r="381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301521" cy="1972778"/>
                    </a:xfrm>
                    <a:prstGeom prst="rect">
                      <a:avLst/>
                    </a:prstGeom>
                  </pic:spPr>
                </pic:pic>
              </a:graphicData>
            </a:graphic>
          </wp:inline>
        </w:drawing>
      </w:r>
    </w:p>
    <w:p w14:paraId="77E8D10E" w14:textId="2751CDB0" w:rsidR="00193062" w:rsidRDefault="00193062" w:rsidP="00193062">
      <w:pPr>
        <w:pStyle w:val="Caption"/>
        <w:rPr>
          <w:rFonts w:ascii="Arial" w:hAnsi="Arial"/>
          <w:i w:val="0"/>
          <w:iCs w:val="0"/>
          <w:color w:val="000000"/>
          <w:sz w:val="16"/>
          <w:szCs w:val="24"/>
        </w:rPr>
      </w:pPr>
      <w:r>
        <w:rPr>
          <w:rFonts w:ascii="Arial" w:hAnsi="Arial" w:cs="Times New Roman"/>
          <w:i w:val="0"/>
          <w:iCs w:val="0"/>
          <w:color w:val="000000"/>
          <w:sz w:val="16"/>
          <w:szCs w:val="24"/>
        </w:rPr>
        <w:t xml:space="preserve">                                 </w:t>
      </w:r>
      <w:r w:rsidRPr="00A94A4B">
        <w:rPr>
          <w:rFonts w:ascii="Arial" w:hAnsi="Arial" w:cs="Times New Roman"/>
          <w:i w:val="0"/>
          <w:iCs w:val="0"/>
          <w:color w:val="000000"/>
          <w:sz w:val="16"/>
          <w:szCs w:val="24"/>
        </w:rPr>
        <w:t xml:space="preserve">(a) </w:t>
      </w:r>
      <w:r>
        <w:rPr>
          <w:rFonts w:ascii="Arial" w:hAnsi="Arial" w:cs="Times New Roman"/>
          <w:i w:val="0"/>
          <w:iCs w:val="0"/>
          <w:color w:val="000000"/>
          <w:sz w:val="16"/>
          <w:szCs w:val="24"/>
        </w:rPr>
        <w:t xml:space="preserve">                                                                                                                </w:t>
      </w:r>
      <w:r w:rsidRPr="00A94A4B">
        <w:rPr>
          <w:rFonts w:ascii="Arial" w:hAnsi="Arial" w:cs="Times New Roman"/>
          <w:i w:val="0"/>
          <w:iCs w:val="0"/>
          <w:color w:val="000000"/>
          <w:sz w:val="16"/>
          <w:szCs w:val="24"/>
        </w:rPr>
        <w:t xml:space="preserve">(b)    </w:t>
      </w:r>
    </w:p>
    <w:p w14:paraId="435F5EAC" w14:textId="6508FBD6" w:rsidR="00193062" w:rsidRDefault="00193062" w:rsidP="00D01699">
      <w:pPr>
        <w:pStyle w:val="Caption"/>
        <w:rPr>
          <w:rFonts w:ascii="Arial" w:hAnsi="Arial" w:cs="Times New Roman"/>
          <w:i w:val="0"/>
          <w:iCs w:val="0"/>
          <w:color w:val="000000"/>
          <w:sz w:val="16"/>
          <w:szCs w:val="24"/>
        </w:rPr>
      </w:pPr>
      <w:bookmarkStart w:id="50" w:name="_Toc58667156"/>
      <w:r w:rsidRPr="00193062">
        <w:rPr>
          <w:rFonts w:ascii="Arial" w:hAnsi="Arial"/>
          <w:i w:val="0"/>
          <w:iCs w:val="0"/>
          <w:color w:val="000000"/>
          <w:sz w:val="16"/>
          <w:szCs w:val="24"/>
        </w:rPr>
        <w:t xml:space="preserve">Fig. 2. </w:t>
      </w:r>
      <w:r w:rsidRPr="00193062">
        <w:rPr>
          <w:rFonts w:ascii="Arial" w:hAnsi="Arial"/>
          <w:i w:val="0"/>
          <w:iCs w:val="0"/>
          <w:color w:val="000000"/>
          <w:sz w:val="16"/>
          <w:szCs w:val="24"/>
        </w:rPr>
        <w:fldChar w:fldCharType="begin"/>
      </w:r>
      <w:r w:rsidRPr="00193062">
        <w:rPr>
          <w:rFonts w:ascii="Arial" w:hAnsi="Arial"/>
          <w:i w:val="0"/>
          <w:iCs w:val="0"/>
          <w:color w:val="000000"/>
          <w:sz w:val="16"/>
          <w:szCs w:val="24"/>
        </w:rPr>
        <w:instrText xml:space="preserve"> SEQ Fig._2. \* ARABIC </w:instrText>
      </w:r>
      <w:r w:rsidRPr="00193062">
        <w:rPr>
          <w:rFonts w:ascii="Arial" w:hAnsi="Arial"/>
          <w:i w:val="0"/>
          <w:iCs w:val="0"/>
          <w:color w:val="000000"/>
          <w:sz w:val="16"/>
          <w:szCs w:val="24"/>
        </w:rPr>
        <w:fldChar w:fldCharType="separate"/>
      </w:r>
      <w:r w:rsidR="00D006A5">
        <w:rPr>
          <w:rFonts w:ascii="Arial" w:hAnsi="Arial"/>
          <w:i w:val="0"/>
          <w:iCs w:val="0"/>
          <w:noProof/>
          <w:color w:val="000000"/>
          <w:sz w:val="16"/>
          <w:szCs w:val="24"/>
        </w:rPr>
        <w:t>23</w:t>
      </w:r>
      <w:r w:rsidRPr="00193062">
        <w:rPr>
          <w:rFonts w:ascii="Arial" w:hAnsi="Arial"/>
          <w:i w:val="0"/>
          <w:iCs w:val="0"/>
          <w:color w:val="000000"/>
          <w:sz w:val="16"/>
          <w:szCs w:val="24"/>
        </w:rPr>
        <w:fldChar w:fldCharType="end"/>
      </w:r>
      <w:r>
        <w:rPr>
          <w:rFonts w:ascii="Arial" w:hAnsi="Arial"/>
          <w:i w:val="0"/>
          <w:iCs w:val="0"/>
          <w:color w:val="000000"/>
          <w:sz w:val="16"/>
          <w:szCs w:val="24"/>
        </w:rPr>
        <w:t>—</w:t>
      </w:r>
      <w:r w:rsidRPr="006A1E52">
        <w:rPr>
          <w:rFonts w:ascii="Arial" w:hAnsi="Arial"/>
          <w:i w:val="0"/>
          <w:iCs w:val="0"/>
          <w:color w:val="000000"/>
          <w:sz w:val="16"/>
          <w:szCs w:val="24"/>
        </w:rPr>
        <w:t>(a) Distribution of prope</w:t>
      </w:r>
      <w:bookmarkStart w:id="51" w:name="_GoBack"/>
      <w:bookmarkEnd w:id="51"/>
      <w:r w:rsidRPr="006A1E52">
        <w:rPr>
          <w:rFonts w:ascii="Arial" w:hAnsi="Arial"/>
          <w:i w:val="0"/>
          <w:iCs w:val="0"/>
          <w:color w:val="000000"/>
          <w:sz w:val="16"/>
          <w:szCs w:val="24"/>
        </w:rPr>
        <w:t xml:space="preserve">nsity score for matched child wells (b) Distribution of propensity score for matched </w:t>
      </w:r>
      <w:r w:rsidRPr="00883EF4">
        <w:rPr>
          <w:rFonts w:ascii="Arial" w:hAnsi="Arial"/>
          <w:i w:val="0"/>
          <w:iCs w:val="0"/>
          <w:color w:val="000000"/>
          <w:sz w:val="16"/>
          <w:szCs w:val="24"/>
        </w:rPr>
        <w:t>parent</w:t>
      </w:r>
      <w:r w:rsidRPr="006A1E52">
        <w:rPr>
          <w:rFonts w:ascii="Arial" w:hAnsi="Arial"/>
          <w:i w:val="0"/>
          <w:iCs w:val="0"/>
          <w:color w:val="000000"/>
          <w:sz w:val="16"/>
          <w:szCs w:val="24"/>
        </w:rPr>
        <w:t xml:space="preserve"> wells </w:t>
      </w:r>
      <w:r w:rsidRPr="009A3B09">
        <w:rPr>
          <w:rFonts w:ascii="Arial" w:hAnsi="Arial"/>
          <w:i w:val="0"/>
          <w:iCs w:val="0"/>
          <w:color w:val="000000"/>
          <w:sz w:val="16"/>
          <w:szCs w:val="24"/>
        </w:rPr>
        <w:t>(Sakhardande and Devegowda 2021).</w:t>
      </w:r>
      <w:bookmarkEnd w:id="50"/>
      <w:r w:rsidR="00D01699">
        <w:rPr>
          <w:rFonts w:ascii="Arial" w:hAnsi="Arial" w:cs="Times New Roman"/>
          <w:i w:val="0"/>
          <w:iCs w:val="0"/>
          <w:color w:val="000000"/>
          <w:sz w:val="16"/>
          <w:szCs w:val="24"/>
        </w:rPr>
        <w:t xml:space="preserve">                               </w:t>
      </w:r>
    </w:p>
    <w:p w14:paraId="24928B0B" w14:textId="77777777" w:rsidR="00193062" w:rsidRDefault="00193062" w:rsidP="00D01699">
      <w:pPr>
        <w:pStyle w:val="Caption"/>
        <w:rPr>
          <w:rFonts w:ascii="Arial" w:hAnsi="Arial" w:cs="Times New Roman"/>
          <w:i w:val="0"/>
          <w:iCs w:val="0"/>
          <w:color w:val="000000"/>
          <w:sz w:val="16"/>
          <w:szCs w:val="24"/>
        </w:rPr>
      </w:pPr>
    </w:p>
    <w:p w14:paraId="15C5F518" w14:textId="2FC4286C" w:rsidR="00851B61" w:rsidRDefault="00851B61" w:rsidP="00D01699">
      <w:pPr>
        <w:pStyle w:val="Caption"/>
      </w:pPr>
    </w:p>
    <w:p w14:paraId="048D2C3B" w14:textId="43BC7853" w:rsidR="00851B61" w:rsidRDefault="00851B61" w:rsidP="00851B61">
      <w:pPr>
        <w:pStyle w:val="Caption"/>
        <w:rPr>
          <w:rFonts w:ascii="Arial" w:hAnsi="Arial" w:cs="Times New Roman"/>
          <w:i w:val="0"/>
          <w:iCs w:val="0"/>
          <w:color w:val="000000"/>
          <w:sz w:val="16"/>
          <w:szCs w:val="24"/>
        </w:rPr>
      </w:pPr>
      <w:r>
        <w:rPr>
          <w:rFonts w:ascii="Arial" w:hAnsi="Arial" w:cs="Times New Roman"/>
          <w:i w:val="0"/>
          <w:iCs w:val="0"/>
          <w:color w:val="000000"/>
          <w:sz w:val="16"/>
          <w:szCs w:val="24"/>
        </w:rPr>
        <w:t xml:space="preserve">                        </w:t>
      </w:r>
    </w:p>
    <w:p w14:paraId="4CCE5494" w14:textId="471D9DF9" w:rsidR="002F544C" w:rsidRDefault="002F544C" w:rsidP="000F1848">
      <w:pPr>
        <w:pStyle w:val="Caption"/>
        <w:spacing w:after="0"/>
        <w:jc w:val="both"/>
        <w:rPr>
          <w:rFonts w:ascii="Arial" w:hAnsi="Arial"/>
          <w:color w:val="000000"/>
          <w:sz w:val="16"/>
          <w:szCs w:val="24"/>
        </w:rPr>
      </w:pPr>
      <w:r>
        <w:rPr>
          <w:rFonts w:ascii="Arial" w:hAnsi="Arial" w:cs="Times New Roman"/>
          <w:i w:val="0"/>
          <w:iCs w:val="0"/>
          <w:color w:val="000000"/>
          <w:sz w:val="16"/>
          <w:szCs w:val="24"/>
        </w:rPr>
        <w:t xml:space="preserve">                                                           </w:t>
      </w:r>
      <w:r w:rsidRPr="00A94A4B">
        <w:rPr>
          <w:rFonts w:ascii="Arial" w:hAnsi="Arial" w:cs="Times New Roman"/>
          <w:i w:val="0"/>
          <w:iCs w:val="0"/>
          <w:color w:val="000000"/>
          <w:sz w:val="16"/>
          <w:szCs w:val="24"/>
        </w:rPr>
        <w:t xml:space="preserve">                                                                    </w:t>
      </w:r>
    </w:p>
    <w:p w14:paraId="27396438" w14:textId="49C61736" w:rsidR="009622BB" w:rsidRDefault="009622BB" w:rsidP="009622BB">
      <w:pPr>
        <w:pStyle w:val="para1"/>
        <w:spacing w:line="480" w:lineRule="auto"/>
        <w:rPr>
          <w:rFonts w:eastAsiaTheme="minorEastAsia"/>
          <w:bCs/>
          <w:color w:val="000000"/>
          <w:szCs w:val="24"/>
        </w:rPr>
      </w:pPr>
      <w:r>
        <w:rPr>
          <w:rFonts w:eastAsiaTheme="minorHAnsi"/>
          <w:bCs/>
          <w:color w:val="000000"/>
          <w:szCs w:val="24"/>
        </w:rPr>
        <w:lastRenderedPageBreak/>
        <w:t>Here again, we</w:t>
      </w:r>
      <w:r w:rsidRPr="00716DA8">
        <w:rPr>
          <w:rFonts w:eastAsiaTheme="minorHAnsi"/>
          <w:bCs/>
          <w:color w:val="000000"/>
          <w:szCs w:val="24"/>
        </w:rPr>
        <w:t xml:space="preserve"> can check for the balance</w:t>
      </w:r>
      <w:r>
        <w:rPr>
          <w:rFonts w:eastAsiaTheme="minorHAnsi"/>
          <w:bCs/>
          <w:color w:val="000000"/>
          <w:szCs w:val="24"/>
        </w:rPr>
        <w:t xml:space="preserve"> after matching</w:t>
      </w:r>
      <w:r w:rsidRPr="00716DA8">
        <w:rPr>
          <w:rFonts w:eastAsiaTheme="minorHAnsi"/>
          <w:bCs/>
          <w:color w:val="000000"/>
          <w:szCs w:val="24"/>
        </w:rPr>
        <w:t xml:space="preserve"> by computing the </w:t>
      </w:r>
      <w:r>
        <w:rPr>
          <w:rFonts w:eastAsiaTheme="minorHAnsi"/>
          <w:bCs/>
          <w:color w:val="000000"/>
          <w:szCs w:val="24"/>
        </w:rPr>
        <w:t>s</w:t>
      </w:r>
      <w:r w:rsidRPr="00716DA8">
        <w:rPr>
          <w:rFonts w:eastAsiaTheme="minorHAnsi"/>
          <w:bCs/>
          <w:color w:val="000000"/>
          <w:szCs w:val="24"/>
        </w:rPr>
        <w:t>tandardized mean differences</w:t>
      </w:r>
      <w:r>
        <w:rPr>
          <w:rFonts w:eastAsiaTheme="minorHAnsi"/>
          <w:bCs/>
          <w:color w:val="000000"/>
          <w:szCs w:val="24"/>
        </w:rPr>
        <w:t xml:space="preserve"> (SMD) for all the individual covariates for both child and parent well groups.</w:t>
      </w:r>
      <w:r>
        <w:rPr>
          <w:rFonts w:ascii="Arial" w:eastAsiaTheme="minorHAnsi" w:hAnsi="Arial"/>
          <w:b/>
          <w:color w:val="000000"/>
          <w:sz w:val="16"/>
          <w:szCs w:val="24"/>
        </w:rPr>
        <w:t xml:space="preserve"> </w:t>
      </w:r>
      <w:r>
        <w:rPr>
          <w:rFonts w:eastAsiaTheme="minorHAnsi"/>
          <w:bCs/>
          <w:color w:val="000000"/>
          <w:szCs w:val="24"/>
        </w:rPr>
        <w:t xml:space="preserve">In the </w:t>
      </w:r>
      <w:r>
        <w:rPr>
          <w:rFonts w:eastAsiaTheme="minorHAnsi"/>
          <w:b/>
          <w:color w:val="000000"/>
          <w:szCs w:val="24"/>
        </w:rPr>
        <w:t>Table</w:t>
      </w:r>
      <w:r w:rsidRPr="00F41A86">
        <w:rPr>
          <w:rFonts w:eastAsiaTheme="minorHAnsi"/>
          <w:b/>
          <w:color w:val="000000"/>
          <w:szCs w:val="24"/>
        </w:rPr>
        <w:t xml:space="preserve">. </w:t>
      </w:r>
      <w:r w:rsidR="00E64688">
        <w:rPr>
          <w:rFonts w:eastAsiaTheme="minorHAnsi"/>
          <w:b/>
          <w:color w:val="000000"/>
          <w:szCs w:val="24"/>
        </w:rPr>
        <w:t>2.4</w:t>
      </w:r>
      <w:r>
        <w:rPr>
          <w:rFonts w:eastAsiaTheme="minorHAnsi"/>
          <w:bCs/>
          <w:color w:val="000000"/>
          <w:szCs w:val="24"/>
        </w:rPr>
        <w:t>, the standardized mean differences between the two groups (Child wells denoted by “1” and Parent wells denoted by “0”) after matching are shown in the last column for all the covariates used in this study at well spacing of 700 ft.</w:t>
      </w:r>
      <w:r w:rsidRPr="00D26631">
        <w:rPr>
          <w:rFonts w:ascii="Arial" w:eastAsiaTheme="minorHAnsi" w:hAnsi="Arial"/>
          <w:b/>
          <w:color w:val="000000"/>
          <w:sz w:val="16"/>
          <w:szCs w:val="24"/>
        </w:rPr>
        <w:t xml:space="preserve"> </w:t>
      </w:r>
      <w:r>
        <w:rPr>
          <w:rFonts w:ascii="Arial" w:eastAsiaTheme="minorHAnsi" w:hAnsi="Arial"/>
          <w:b/>
          <w:color w:val="000000"/>
          <w:sz w:val="16"/>
          <w:szCs w:val="24"/>
        </w:rPr>
        <w:t xml:space="preserve"> </w:t>
      </w:r>
    </w:p>
    <w:p w14:paraId="21BE1102" w14:textId="07A89C53" w:rsidR="00057A3F" w:rsidRDefault="009622BB" w:rsidP="009622BB">
      <w:pPr>
        <w:pStyle w:val="para1"/>
        <w:spacing w:line="480" w:lineRule="auto"/>
        <w:rPr>
          <w:rFonts w:eastAsiaTheme="minorEastAsia"/>
          <w:bCs/>
          <w:color w:val="000000"/>
          <w:szCs w:val="24"/>
        </w:rPr>
      </w:pPr>
      <w:r>
        <w:rPr>
          <w:rFonts w:eastAsiaTheme="minorEastAsia"/>
          <w:bCs/>
          <w:color w:val="000000"/>
          <w:szCs w:val="24"/>
        </w:rPr>
        <w:t xml:space="preserve">As we can see in </w:t>
      </w:r>
      <w:r w:rsidRPr="004040E0">
        <w:rPr>
          <w:rFonts w:eastAsiaTheme="minorEastAsia"/>
          <w:bCs/>
          <w:color w:val="000000"/>
          <w:szCs w:val="24"/>
        </w:rPr>
        <w:t xml:space="preserve">Table </w:t>
      </w:r>
      <w:r w:rsidR="00E64688">
        <w:rPr>
          <w:rFonts w:eastAsiaTheme="minorEastAsia"/>
          <w:bCs/>
          <w:color w:val="000000"/>
          <w:szCs w:val="24"/>
        </w:rPr>
        <w:t>2</w:t>
      </w:r>
      <w:r w:rsidRPr="004040E0">
        <w:rPr>
          <w:rFonts w:eastAsiaTheme="minorEastAsia"/>
          <w:bCs/>
          <w:color w:val="000000"/>
          <w:szCs w:val="24"/>
        </w:rPr>
        <w:t>.</w:t>
      </w:r>
      <w:r w:rsidR="00E64688">
        <w:rPr>
          <w:rFonts w:eastAsiaTheme="minorEastAsia"/>
          <w:bCs/>
          <w:color w:val="000000"/>
          <w:szCs w:val="24"/>
        </w:rPr>
        <w:t>4</w:t>
      </w:r>
      <w:r>
        <w:rPr>
          <w:rFonts w:eastAsiaTheme="minorEastAsia"/>
          <w:bCs/>
          <w:color w:val="000000"/>
          <w:szCs w:val="24"/>
        </w:rPr>
        <w:t>, the SMD values are below 0.1 which indicates that we have achieved a much better balance within the covariates of both groups at the individual covariate level. Another point to notice is that the number of wells in both groups at the 700 ft well spacing option is now 139 which shows the fact that we have discarded some statistically dissimilar wells from both groups through the matching process.</w:t>
      </w:r>
    </w:p>
    <w:tbl>
      <w:tblPr>
        <w:tblW w:w="7735" w:type="dxa"/>
        <w:jc w:val="center"/>
        <w:tblLook w:val="04A0" w:firstRow="1" w:lastRow="0" w:firstColumn="1" w:lastColumn="0" w:noHBand="0" w:noVBand="1"/>
      </w:tblPr>
      <w:tblGrid>
        <w:gridCol w:w="1908"/>
        <w:gridCol w:w="996"/>
        <w:gridCol w:w="1435"/>
        <w:gridCol w:w="912"/>
        <w:gridCol w:w="1313"/>
        <w:gridCol w:w="1171"/>
      </w:tblGrid>
      <w:tr w:rsidR="00402A59" w:rsidRPr="00C619B7" w14:paraId="73A37175" w14:textId="77777777" w:rsidTr="002E3804">
        <w:trPr>
          <w:trHeight w:val="312"/>
          <w:jc w:val="center"/>
        </w:trPr>
        <w:tc>
          <w:tcPr>
            <w:tcW w:w="1908"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14:paraId="46728B36" w14:textId="77777777" w:rsidR="00402A59" w:rsidRPr="002E3804" w:rsidRDefault="00402A59" w:rsidP="00C619B7">
            <w:pPr>
              <w:spacing w:after="0" w:line="240" w:lineRule="auto"/>
              <w:jc w:val="center"/>
              <w:rPr>
                <w:rFonts w:eastAsia="Times New Roman" w:cs="Times New Roman"/>
                <w:color w:val="000000"/>
                <w:szCs w:val="24"/>
              </w:rPr>
            </w:pPr>
            <w:r w:rsidRPr="002E3804">
              <w:rPr>
                <w:rFonts w:eastAsia="Times New Roman" w:cs="Times New Roman"/>
                <w:color w:val="000000"/>
                <w:szCs w:val="24"/>
              </w:rPr>
              <w:t>Covariates</w:t>
            </w:r>
          </w:p>
        </w:tc>
        <w:tc>
          <w:tcPr>
            <w:tcW w:w="243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3537AA6" w14:textId="4807AFEE" w:rsidR="00402A59" w:rsidRPr="002E3804" w:rsidRDefault="00402A59" w:rsidP="00C619B7">
            <w:pPr>
              <w:spacing w:after="0" w:line="240" w:lineRule="auto"/>
              <w:jc w:val="center"/>
              <w:rPr>
                <w:rFonts w:eastAsia="Times New Roman" w:cs="Times New Roman"/>
                <w:color w:val="000000"/>
                <w:szCs w:val="24"/>
              </w:rPr>
            </w:pPr>
            <w:r w:rsidRPr="002E3804">
              <w:rPr>
                <w:rFonts w:eastAsia="Times New Roman" w:cs="Times New Roman"/>
                <w:color w:val="000000"/>
                <w:szCs w:val="24"/>
              </w:rPr>
              <w:t>139 Parent Wells (0)</w:t>
            </w:r>
          </w:p>
        </w:tc>
        <w:tc>
          <w:tcPr>
            <w:tcW w:w="2225" w:type="dxa"/>
            <w:gridSpan w:val="2"/>
            <w:tcBorders>
              <w:top w:val="single" w:sz="4" w:space="0" w:color="auto"/>
              <w:left w:val="nil"/>
              <w:bottom w:val="single" w:sz="4" w:space="0" w:color="auto"/>
              <w:right w:val="single" w:sz="4" w:space="0" w:color="auto"/>
            </w:tcBorders>
            <w:shd w:val="clear" w:color="auto" w:fill="auto"/>
            <w:noWrap/>
            <w:vAlign w:val="bottom"/>
            <w:hideMark/>
          </w:tcPr>
          <w:p w14:paraId="2494F897" w14:textId="7974E330" w:rsidR="00402A59" w:rsidRPr="002E3804" w:rsidRDefault="00402A59" w:rsidP="00C619B7">
            <w:pPr>
              <w:spacing w:after="0" w:line="240" w:lineRule="auto"/>
              <w:jc w:val="center"/>
              <w:rPr>
                <w:rFonts w:eastAsia="Times New Roman" w:cs="Times New Roman"/>
                <w:color w:val="000000"/>
                <w:szCs w:val="24"/>
              </w:rPr>
            </w:pPr>
            <w:r w:rsidRPr="002E3804">
              <w:rPr>
                <w:rFonts w:eastAsia="Times New Roman" w:cs="Times New Roman"/>
                <w:color w:val="000000"/>
                <w:szCs w:val="24"/>
              </w:rPr>
              <w:t>139 Child Wells (1)</w:t>
            </w:r>
          </w:p>
        </w:tc>
        <w:tc>
          <w:tcPr>
            <w:tcW w:w="1171" w:type="dxa"/>
            <w:vMerge w:val="restart"/>
            <w:tcBorders>
              <w:top w:val="single" w:sz="4" w:space="0" w:color="auto"/>
              <w:left w:val="single" w:sz="4" w:space="0" w:color="auto"/>
              <w:right w:val="single" w:sz="4" w:space="0" w:color="auto"/>
            </w:tcBorders>
            <w:shd w:val="clear" w:color="auto" w:fill="auto"/>
            <w:noWrap/>
            <w:vAlign w:val="bottom"/>
            <w:hideMark/>
          </w:tcPr>
          <w:p w14:paraId="02117ADF" w14:textId="77777777" w:rsidR="00402A59" w:rsidRPr="002E3804" w:rsidRDefault="00402A59" w:rsidP="00C619B7">
            <w:pPr>
              <w:spacing w:after="0" w:line="240" w:lineRule="auto"/>
              <w:jc w:val="center"/>
              <w:rPr>
                <w:rFonts w:eastAsia="Times New Roman" w:cs="Times New Roman"/>
                <w:color w:val="000000"/>
                <w:szCs w:val="24"/>
              </w:rPr>
            </w:pPr>
            <w:r w:rsidRPr="002E3804">
              <w:rPr>
                <w:rFonts w:eastAsia="Times New Roman" w:cs="Times New Roman"/>
                <w:color w:val="000000"/>
                <w:szCs w:val="24"/>
              </w:rPr>
              <w:t>SMD</w:t>
            </w:r>
          </w:p>
        </w:tc>
      </w:tr>
      <w:tr w:rsidR="00402A59" w:rsidRPr="00C619B7" w14:paraId="2BFCFEF0" w14:textId="77777777" w:rsidTr="002E3804">
        <w:trPr>
          <w:trHeight w:val="312"/>
          <w:jc w:val="center"/>
        </w:trPr>
        <w:tc>
          <w:tcPr>
            <w:tcW w:w="1908" w:type="dxa"/>
            <w:vMerge/>
            <w:tcBorders>
              <w:top w:val="single" w:sz="4" w:space="0" w:color="auto"/>
              <w:left w:val="single" w:sz="4" w:space="0" w:color="auto"/>
              <w:bottom w:val="single" w:sz="4" w:space="0" w:color="000000"/>
              <w:right w:val="single" w:sz="4" w:space="0" w:color="auto"/>
            </w:tcBorders>
            <w:vAlign w:val="center"/>
            <w:hideMark/>
          </w:tcPr>
          <w:p w14:paraId="60449B67" w14:textId="77777777" w:rsidR="00402A59" w:rsidRPr="002E3804" w:rsidRDefault="00402A59" w:rsidP="00C619B7">
            <w:pPr>
              <w:spacing w:after="0" w:line="240" w:lineRule="auto"/>
              <w:jc w:val="left"/>
              <w:rPr>
                <w:rFonts w:eastAsia="Times New Roman" w:cs="Times New Roman"/>
                <w:color w:val="000000"/>
                <w:szCs w:val="24"/>
              </w:rPr>
            </w:pPr>
          </w:p>
        </w:tc>
        <w:tc>
          <w:tcPr>
            <w:tcW w:w="996" w:type="dxa"/>
            <w:tcBorders>
              <w:top w:val="nil"/>
              <w:left w:val="nil"/>
              <w:bottom w:val="single" w:sz="4" w:space="0" w:color="auto"/>
              <w:right w:val="single" w:sz="4" w:space="0" w:color="auto"/>
            </w:tcBorders>
            <w:shd w:val="clear" w:color="auto" w:fill="auto"/>
            <w:noWrap/>
            <w:vAlign w:val="bottom"/>
            <w:hideMark/>
          </w:tcPr>
          <w:p w14:paraId="430A9F9A" w14:textId="77777777" w:rsidR="00402A59" w:rsidRPr="002E3804" w:rsidRDefault="00402A59" w:rsidP="00C619B7">
            <w:pPr>
              <w:spacing w:after="0" w:line="240" w:lineRule="auto"/>
              <w:jc w:val="left"/>
              <w:rPr>
                <w:rFonts w:eastAsia="Times New Roman" w:cs="Times New Roman"/>
                <w:color w:val="000000"/>
                <w:szCs w:val="24"/>
              </w:rPr>
            </w:pPr>
            <w:r w:rsidRPr="002E3804">
              <w:rPr>
                <w:rFonts w:eastAsia="Times New Roman" w:cs="Times New Roman"/>
                <w:color w:val="000000"/>
                <w:szCs w:val="24"/>
              </w:rPr>
              <w:t xml:space="preserve">Mean </w:t>
            </w:r>
          </w:p>
        </w:tc>
        <w:tc>
          <w:tcPr>
            <w:tcW w:w="1435" w:type="dxa"/>
            <w:tcBorders>
              <w:top w:val="nil"/>
              <w:left w:val="nil"/>
              <w:bottom w:val="single" w:sz="4" w:space="0" w:color="auto"/>
              <w:right w:val="single" w:sz="4" w:space="0" w:color="auto"/>
            </w:tcBorders>
            <w:shd w:val="clear" w:color="auto" w:fill="auto"/>
            <w:noWrap/>
            <w:vAlign w:val="bottom"/>
            <w:hideMark/>
          </w:tcPr>
          <w:p w14:paraId="0999A0FA" w14:textId="77777777" w:rsidR="00402A59" w:rsidRPr="002E3804" w:rsidRDefault="00402A59" w:rsidP="00C619B7">
            <w:pPr>
              <w:spacing w:after="0" w:line="240" w:lineRule="auto"/>
              <w:jc w:val="left"/>
              <w:rPr>
                <w:rFonts w:eastAsia="Times New Roman" w:cs="Times New Roman"/>
                <w:color w:val="000000"/>
                <w:szCs w:val="24"/>
              </w:rPr>
            </w:pPr>
            <w:r w:rsidRPr="002E3804">
              <w:rPr>
                <w:rFonts w:eastAsia="Times New Roman" w:cs="Times New Roman"/>
                <w:color w:val="000000"/>
                <w:szCs w:val="24"/>
              </w:rPr>
              <w:t>Standard Deviation</w:t>
            </w:r>
          </w:p>
        </w:tc>
        <w:tc>
          <w:tcPr>
            <w:tcW w:w="912" w:type="dxa"/>
            <w:tcBorders>
              <w:top w:val="nil"/>
              <w:left w:val="nil"/>
              <w:bottom w:val="single" w:sz="4" w:space="0" w:color="auto"/>
              <w:right w:val="single" w:sz="4" w:space="0" w:color="auto"/>
            </w:tcBorders>
            <w:shd w:val="clear" w:color="auto" w:fill="auto"/>
            <w:noWrap/>
            <w:vAlign w:val="bottom"/>
            <w:hideMark/>
          </w:tcPr>
          <w:p w14:paraId="65C15BFA" w14:textId="77777777" w:rsidR="00402A59" w:rsidRPr="002E3804" w:rsidRDefault="00402A59" w:rsidP="00C619B7">
            <w:pPr>
              <w:spacing w:after="0" w:line="240" w:lineRule="auto"/>
              <w:jc w:val="left"/>
              <w:rPr>
                <w:rFonts w:eastAsia="Times New Roman" w:cs="Times New Roman"/>
                <w:color w:val="000000"/>
                <w:szCs w:val="24"/>
              </w:rPr>
            </w:pPr>
            <w:r w:rsidRPr="002E3804">
              <w:rPr>
                <w:rFonts w:eastAsia="Times New Roman" w:cs="Times New Roman"/>
                <w:color w:val="000000"/>
                <w:szCs w:val="24"/>
              </w:rPr>
              <w:t xml:space="preserve">Mean </w:t>
            </w:r>
          </w:p>
        </w:tc>
        <w:tc>
          <w:tcPr>
            <w:tcW w:w="1313" w:type="dxa"/>
            <w:tcBorders>
              <w:top w:val="nil"/>
              <w:left w:val="nil"/>
              <w:bottom w:val="single" w:sz="4" w:space="0" w:color="auto"/>
              <w:right w:val="single" w:sz="4" w:space="0" w:color="auto"/>
            </w:tcBorders>
            <w:shd w:val="clear" w:color="auto" w:fill="auto"/>
            <w:noWrap/>
            <w:vAlign w:val="bottom"/>
            <w:hideMark/>
          </w:tcPr>
          <w:p w14:paraId="45F278C3" w14:textId="77777777" w:rsidR="00402A59" w:rsidRPr="002E3804" w:rsidRDefault="00402A59" w:rsidP="00C619B7">
            <w:pPr>
              <w:spacing w:after="0" w:line="240" w:lineRule="auto"/>
              <w:jc w:val="left"/>
              <w:rPr>
                <w:rFonts w:eastAsia="Times New Roman" w:cs="Times New Roman"/>
                <w:color w:val="000000"/>
                <w:szCs w:val="24"/>
              </w:rPr>
            </w:pPr>
            <w:r w:rsidRPr="002E3804">
              <w:rPr>
                <w:rFonts w:eastAsia="Times New Roman" w:cs="Times New Roman"/>
                <w:color w:val="000000"/>
                <w:szCs w:val="24"/>
              </w:rPr>
              <w:t>Standard Deviation</w:t>
            </w:r>
          </w:p>
        </w:tc>
        <w:tc>
          <w:tcPr>
            <w:tcW w:w="1171" w:type="dxa"/>
            <w:vMerge/>
            <w:tcBorders>
              <w:left w:val="single" w:sz="4" w:space="0" w:color="auto"/>
              <w:bottom w:val="single" w:sz="4" w:space="0" w:color="000000"/>
              <w:right w:val="single" w:sz="4" w:space="0" w:color="auto"/>
            </w:tcBorders>
            <w:vAlign w:val="center"/>
            <w:hideMark/>
          </w:tcPr>
          <w:p w14:paraId="020F9CBF" w14:textId="77777777" w:rsidR="00402A59" w:rsidRPr="00C619B7" w:rsidRDefault="00402A59" w:rsidP="00C619B7">
            <w:pPr>
              <w:spacing w:after="0" w:line="240" w:lineRule="auto"/>
              <w:jc w:val="left"/>
              <w:rPr>
                <w:rFonts w:eastAsia="Times New Roman" w:cs="Times New Roman"/>
                <w:b/>
                <w:bCs/>
                <w:color w:val="000000"/>
                <w:szCs w:val="24"/>
              </w:rPr>
            </w:pPr>
          </w:p>
        </w:tc>
      </w:tr>
      <w:tr w:rsidR="00C619B7" w:rsidRPr="00C619B7" w14:paraId="798931CF"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23CD15D5" w14:textId="112B6BBD"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 xml:space="preserve">P1 </w:t>
            </w:r>
          </w:p>
        </w:tc>
        <w:tc>
          <w:tcPr>
            <w:tcW w:w="996" w:type="dxa"/>
            <w:tcBorders>
              <w:top w:val="nil"/>
              <w:left w:val="nil"/>
              <w:bottom w:val="single" w:sz="4" w:space="0" w:color="auto"/>
              <w:right w:val="single" w:sz="4" w:space="0" w:color="auto"/>
            </w:tcBorders>
            <w:shd w:val="clear" w:color="auto" w:fill="auto"/>
            <w:noWrap/>
            <w:vAlign w:val="bottom"/>
            <w:hideMark/>
          </w:tcPr>
          <w:p w14:paraId="0DCB524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1.77</w:t>
            </w:r>
          </w:p>
        </w:tc>
        <w:tc>
          <w:tcPr>
            <w:tcW w:w="1435" w:type="dxa"/>
            <w:tcBorders>
              <w:top w:val="nil"/>
              <w:left w:val="nil"/>
              <w:bottom w:val="single" w:sz="4" w:space="0" w:color="auto"/>
              <w:right w:val="single" w:sz="4" w:space="0" w:color="auto"/>
            </w:tcBorders>
            <w:shd w:val="clear" w:color="auto" w:fill="auto"/>
            <w:noWrap/>
            <w:vAlign w:val="bottom"/>
            <w:hideMark/>
          </w:tcPr>
          <w:p w14:paraId="4C20A66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12.53</w:t>
            </w:r>
          </w:p>
        </w:tc>
        <w:tc>
          <w:tcPr>
            <w:tcW w:w="912" w:type="dxa"/>
            <w:tcBorders>
              <w:top w:val="nil"/>
              <w:left w:val="nil"/>
              <w:bottom w:val="single" w:sz="4" w:space="0" w:color="auto"/>
              <w:right w:val="single" w:sz="4" w:space="0" w:color="auto"/>
            </w:tcBorders>
            <w:shd w:val="clear" w:color="auto" w:fill="auto"/>
            <w:noWrap/>
            <w:vAlign w:val="bottom"/>
            <w:hideMark/>
          </w:tcPr>
          <w:p w14:paraId="1B9D1FEE"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1.17</w:t>
            </w:r>
          </w:p>
        </w:tc>
        <w:tc>
          <w:tcPr>
            <w:tcW w:w="1313" w:type="dxa"/>
            <w:tcBorders>
              <w:top w:val="nil"/>
              <w:left w:val="nil"/>
              <w:bottom w:val="single" w:sz="4" w:space="0" w:color="auto"/>
              <w:right w:val="single" w:sz="4" w:space="0" w:color="auto"/>
            </w:tcBorders>
            <w:shd w:val="clear" w:color="auto" w:fill="auto"/>
            <w:noWrap/>
            <w:vAlign w:val="bottom"/>
            <w:hideMark/>
          </w:tcPr>
          <w:p w14:paraId="75DEA4C1"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11.54</w:t>
            </w:r>
          </w:p>
        </w:tc>
        <w:tc>
          <w:tcPr>
            <w:tcW w:w="1171" w:type="dxa"/>
            <w:tcBorders>
              <w:top w:val="nil"/>
              <w:left w:val="nil"/>
              <w:bottom w:val="single" w:sz="4" w:space="0" w:color="auto"/>
              <w:right w:val="single" w:sz="4" w:space="0" w:color="auto"/>
            </w:tcBorders>
            <w:shd w:val="clear" w:color="auto" w:fill="auto"/>
            <w:noWrap/>
            <w:vAlign w:val="bottom"/>
            <w:hideMark/>
          </w:tcPr>
          <w:p w14:paraId="79638243"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0.049</w:t>
            </w:r>
          </w:p>
        </w:tc>
      </w:tr>
      <w:tr w:rsidR="00C619B7" w:rsidRPr="00C619B7" w14:paraId="2D0B95D6"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1F48BA94" w14:textId="02F7EC46" w:rsidR="00C619B7" w:rsidRPr="00C619B7" w:rsidRDefault="00741378" w:rsidP="00C619B7">
            <w:pPr>
              <w:spacing w:after="0" w:line="240" w:lineRule="auto"/>
              <w:jc w:val="left"/>
              <w:rPr>
                <w:rFonts w:eastAsia="Times New Roman" w:cs="Times New Roman"/>
                <w:color w:val="000000"/>
                <w:szCs w:val="24"/>
              </w:rPr>
            </w:pPr>
            <w:r w:rsidRPr="00D26631">
              <w:rPr>
                <w:rFonts w:ascii="Arial" w:hAnsi="Arial"/>
                <w:b/>
                <w:noProof/>
                <w:color w:val="000000"/>
                <w:sz w:val="16"/>
                <w:szCs w:val="24"/>
              </w:rPr>
              <mc:AlternateContent>
                <mc:Choice Requires="wps">
                  <w:drawing>
                    <wp:anchor distT="0" distB="0" distL="114300" distR="114300" simplePos="0" relativeHeight="251655680" behindDoc="0" locked="0" layoutInCell="1" allowOverlap="1" wp14:anchorId="10E6A7D4" wp14:editId="5F726C18">
                      <wp:simplePos x="0" y="0"/>
                      <wp:positionH relativeFrom="margin">
                        <wp:posOffset>-69215</wp:posOffset>
                      </wp:positionH>
                      <wp:positionV relativeFrom="paragraph">
                        <wp:posOffset>-15240</wp:posOffset>
                      </wp:positionV>
                      <wp:extent cx="4903470" cy="217170"/>
                      <wp:effectExtent l="19050" t="19050" r="11430" b="11430"/>
                      <wp:wrapNone/>
                      <wp:docPr id="180" name="Rectangle 5"/>
                      <wp:cNvGraphicFramePr/>
                      <a:graphic xmlns:a="http://schemas.openxmlformats.org/drawingml/2006/main">
                        <a:graphicData uri="http://schemas.microsoft.com/office/word/2010/wordprocessingShape">
                          <wps:wsp>
                            <wps:cNvSpPr/>
                            <wps:spPr>
                              <a:xfrm rot="10800000" flipV="1">
                                <a:off x="0" y="0"/>
                                <a:ext cx="4903470" cy="21717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635929CF" id="Rectangle 5" o:spid="_x0000_s1026" style="position:absolute;margin-left:-5.45pt;margin-top:-1.2pt;width:386.1pt;height:17.1pt;rotation:180;flip:y;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" fillcolor="red" strokecolor="red" strokeweight="2.5pt">
                      <v:fill opacity="0"/>
                      <w10:wrap anchorx="margin"/>
                    </v:rect>
                  </w:pict>
                </mc:Fallback>
              </mc:AlternateContent>
            </w:r>
            <w:r w:rsidR="00C619B7" w:rsidRPr="00C619B7">
              <w:rPr>
                <w:rFonts w:eastAsia="Times New Roman" w:cs="Times New Roman"/>
                <w:color w:val="000000"/>
                <w:szCs w:val="24"/>
              </w:rPr>
              <w:t xml:space="preserve">P2 </w:t>
            </w:r>
          </w:p>
        </w:tc>
        <w:tc>
          <w:tcPr>
            <w:tcW w:w="996" w:type="dxa"/>
            <w:tcBorders>
              <w:top w:val="nil"/>
              <w:left w:val="nil"/>
              <w:bottom w:val="single" w:sz="4" w:space="0" w:color="auto"/>
              <w:right w:val="single" w:sz="4" w:space="0" w:color="auto"/>
            </w:tcBorders>
            <w:shd w:val="clear" w:color="auto" w:fill="auto"/>
            <w:noWrap/>
            <w:vAlign w:val="bottom"/>
            <w:hideMark/>
          </w:tcPr>
          <w:p w14:paraId="442A744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2.92</w:t>
            </w:r>
          </w:p>
        </w:tc>
        <w:tc>
          <w:tcPr>
            <w:tcW w:w="1435" w:type="dxa"/>
            <w:tcBorders>
              <w:top w:val="nil"/>
              <w:left w:val="nil"/>
              <w:bottom w:val="single" w:sz="4" w:space="0" w:color="auto"/>
              <w:right w:val="single" w:sz="4" w:space="0" w:color="auto"/>
            </w:tcBorders>
            <w:shd w:val="clear" w:color="auto" w:fill="auto"/>
            <w:noWrap/>
            <w:vAlign w:val="bottom"/>
            <w:hideMark/>
          </w:tcPr>
          <w:p w14:paraId="2BBC2163"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8.77</w:t>
            </w:r>
          </w:p>
        </w:tc>
        <w:tc>
          <w:tcPr>
            <w:tcW w:w="912" w:type="dxa"/>
            <w:tcBorders>
              <w:top w:val="nil"/>
              <w:left w:val="nil"/>
              <w:bottom w:val="single" w:sz="4" w:space="0" w:color="auto"/>
              <w:right w:val="single" w:sz="4" w:space="0" w:color="auto"/>
            </w:tcBorders>
            <w:shd w:val="clear" w:color="auto" w:fill="auto"/>
            <w:noWrap/>
            <w:vAlign w:val="bottom"/>
            <w:hideMark/>
          </w:tcPr>
          <w:p w14:paraId="6B599905"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2.31</w:t>
            </w:r>
          </w:p>
        </w:tc>
        <w:tc>
          <w:tcPr>
            <w:tcW w:w="1313" w:type="dxa"/>
            <w:tcBorders>
              <w:top w:val="nil"/>
              <w:left w:val="nil"/>
              <w:bottom w:val="single" w:sz="4" w:space="0" w:color="auto"/>
              <w:right w:val="single" w:sz="4" w:space="0" w:color="auto"/>
            </w:tcBorders>
            <w:shd w:val="clear" w:color="auto" w:fill="auto"/>
            <w:noWrap/>
            <w:vAlign w:val="bottom"/>
            <w:hideMark/>
          </w:tcPr>
          <w:p w14:paraId="67504EA6"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8.42</w:t>
            </w:r>
          </w:p>
        </w:tc>
        <w:tc>
          <w:tcPr>
            <w:tcW w:w="1171" w:type="dxa"/>
            <w:tcBorders>
              <w:top w:val="nil"/>
              <w:left w:val="nil"/>
              <w:bottom w:val="single" w:sz="4" w:space="0" w:color="auto"/>
              <w:right w:val="single" w:sz="4" w:space="0" w:color="auto"/>
            </w:tcBorders>
            <w:shd w:val="clear" w:color="auto" w:fill="auto"/>
            <w:noWrap/>
            <w:vAlign w:val="bottom"/>
            <w:hideMark/>
          </w:tcPr>
          <w:p w14:paraId="0EE61DA2"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0.071</w:t>
            </w:r>
          </w:p>
        </w:tc>
      </w:tr>
      <w:tr w:rsidR="00C619B7" w:rsidRPr="00C619B7" w14:paraId="2388B74E"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307FFF3F" w14:textId="196CB9D2"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 xml:space="preserve">P3 </w:t>
            </w:r>
          </w:p>
        </w:tc>
        <w:tc>
          <w:tcPr>
            <w:tcW w:w="996" w:type="dxa"/>
            <w:tcBorders>
              <w:top w:val="nil"/>
              <w:left w:val="nil"/>
              <w:bottom w:val="single" w:sz="4" w:space="0" w:color="auto"/>
              <w:right w:val="single" w:sz="4" w:space="0" w:color="auto"/>
            </w:tcBorders>
            <w:shd w:val="clear" w:color="auto" w:fill="auto"/>
            <w:noWrap/>
            <w:vAlign w:val="bottom"/>
            <w:hideMark/>
          </w:tcPr>
          <w:p w14:paraId="396FD8D2"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0.4</w:t>
            </w:r>
          </w:p>
        </w:tc>
        <w:tc>
          <w:tcPr>
            <w:tcW w:w="1435" w:type="dxa"/>
            <w:tcBorders>
              <w:top w:val="nil"/>
              <w:left w:val="nil"/>
              <w:bottom w:val="single" w:sz="4" w:space="0" w:color="auto"/>
              <w:right w:val="single" w:sz="4" w:space="0" w:color="auto"/>
            </w:tcBorders>
            <w:shd w:val="clear" w:color="auto" w:fill="auto"/>
            <w:noWrap/>
            <w:vAlign w:val="bottom"/>
            <w:hideMark/>
          </w:tcPr>
          <w:p w14:paraId="12DDCE54"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7.6</w:t>
            </w:r>
          </w:p>
        </w:tc>
        <w:tc>
          <w:tcPr>
            <w:tcW w:w="912" w:type="dxa"/>
            <w:tcBorders>
              <w:top w:val="nil"/>
              <w:left w:val="nil"/>
              <w:bottom w:val="single" w:sz="4" w:space="0" w:color="auto"/>
              <w:right w:val="single" w:sz="4" w:space="0" w:color="auto"/>
            </w:tcBorders>
            <w:shd w:val="clear" w:color="auto" w:fill="auto"/>
            <w:noWrap/>
            <w:vAlign w:val="bottom"/>
            <w:hideMark/>
          </w:tcPr>
          <w:p w14:paraId="62411E6B"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0.37</w:t>
            </w:r>
          </w:p>
        </w:tc>
        <w:tc>
          <w:tcPr>
            <w:tcW w:w="1313" w:type="dxa"/>
            <w:tcBorders>
              <w:top w:val="nil"/>
              <w:left w:val="nil"/>
              <w:bottom w:val="single" w:sz="4" w:space="0" w:color="auto"/>
              <w:right w:val="single" w:sz="4" w:space="0" w:color="auto"/>
            </w:tcBorders>
            <w:shd w:val="clear" w:color="auto" w:fill="auto"/>
            <w:noWrap/>
            <w:vAlign w:val="bottom"/>
            <w:hideMark/>
          </w:tcPr>
          <w:p w14:paraId="7738C7A8"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7.02</w:t>
            </w:r>
          </w:p>
        </w:tc>
        <w:tc>
          <w:tcPr>
            <w:tcW w:w="1171" w:type="dxa"/>
            <w:tcBorders>
              <w:top w:val="nil"/>
              <w:left w:val="nil"/>
              <w:bottom w:val="single" w:sz="4" w:space="0" w:color="auto"/>
              <w:right w:val="single" w:sz="4" w:space="0" w:color="auto"/>
            </w:tcBorders>
            <w:shd w:val="clear" w:color="auto" w:fill="auto"/>
            <w:noWrap/>
            <w:vAlign w:val="bottom"/>
            <w:hideMark/>
          </w:tcPr>
          <w:p w14:paraId="58508199"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0.004</w:t>
            </w:r>
          </w:p>
        </w:tc>
      </w:tr>
      <w:tr w:rsidR="00C619B7" w:rsidRPr="00C619B7" w14:paraId="545136E3"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4EECF451" w14:textId="09CE5807"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 xml:space="preserve">P4 </w:t>
            </w:r>
          </w:p>
        </w:tc>
        <w:tc>
          <w:tcPr>
            <w:tcW w:w="996" w:type="dxa"/>
            <w:tcBorders>
              <w:top w:val="nil"/>
              <w:left w:val="nil"/>
              <w:bottom w:val="single" w:sz="4" w:space="0" w:color="auto"/>
              <w:right w:val="single" w:sz="4" w:space="0" w:color="auto"/>
            </w:tcBorders>
            <w:shd w:val="clear" w:color="auto" w:fill="auto"/>
            <w:noWrap/>
            <w:vAlign w:val="bottom"/>
            <w:hideMark/>
          </w:tcPr>
          <w:p w14:paraId="73659E1D"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0.06</w:t>
            </w:r>
          </w:p>
        </w:tc>
        <w:tc>
          <w:tcPr>
            <w:tcW w:w="1435" w:type="dxa"/>
            <w:tcBorders>
              <w:top w:val="nil"/>
              <w:left w:val="nil"/>
              <w:bottom w:val="single" w:sz="4" w:space="0" w:color="auto"/>
              <w:right w:val="single" w:sz="4" w:space="0" w:color="auto"/>
            </w:tcBorders>
            <w:shd w:val="clear" w:color="auto" w:fill="auto"/>
            <w:noWrap/>
            <w:vAlign w:val="bottom"/>
            <w:hideMark/>
          </w:tcPr>
          <w:p w14:paraId="1C6FC4CF"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4.66</w:t>
            </w:r>
          </w:p>
        </w:tc>
        <w:tc>
          <w:tcPr>
            <w:tcW w:w="912" w:type="dxa"/>
            <w:tcBorders>
              <w:top w:val="nil"/>
              <w:left w:val="nil"/>
              <w:bottom w:val="single" w:sz="4" w:space="0" w:color="auto"/>
              <w:right w:val="single" w:sz="4" w:space="0" w:color="auto"/>
            </w:tcBorders>
            <w:shd w:val="clear" w:color="auto" w:fill="auto"/>
            <w:noWrap/>
            <w:vAlign w:val="bottom"/>
            <w:hideMark/>
          </w:tcPr>
          <w:p w14:paraId="06DDFFDC"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0.2</w:t>
            </w:r>
          </w:p>
        </w:tc>
        <w:tc>
          <w:tcPr>
            <w:tcW w:w="1313" w:type="dxa"/>
            <w:tcBorders>
              <w:top w:val="nil"/>
              <w:left w:val="nil"/>
              <w:bottom w:val="single" w:sz="4" w:space="0" w:color="auto"/>
              <w:right w:val="single" w:sz="4" w:space="0" w:color="auto"/>
            </w:tcBorders>
            <w:shd w:val="clear" w:color="auto" w:fill="auto"/>
            <w:noWrap/>
            <w:vAlign w:val="bottom"/>
            <w:hideMark/>
          </w:tcPr>
          <w:p w14:paraId="0DAD596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5.77</w:t>
            </w:r>
          </w:p>
        </w:tc>
        <w:tc>
          <w:tcPr>
            <w:tcW w:w="1171" w:type="dxa"/>
            <w:tcBorders>
              <w:top w:val="nil"/>
              <w:left w:val="nil"/>
              <w:bottom w:val="single" w:sz="4" w:space="0" w:color="auto"/>
              <w:right w:val="single" w:sz="4" w:space="0" w:color="auto"/>
            </w:tcBorders>
            <w:shd w:val="clear" w:color="auto" w:fill="auto"/>
            <w:noWrap/>
            <w:vAlign w:val="bottom"/>
            <w:hideMark/>
          </w:tcPr>
          <w:p w14:paraId="4E4BFDB7"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0.028</w:t>
            </w:r>
          </w:p>
        </w:tc>
      </w:tr>
      <w:tr w:rsidR="00C619B7" w:rsidRPr="00C619B7" w14:paraId="3A62A1DE"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4AB38166" w14:textId="40BCCB4C"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 xml:space="preserve">P5 </w:t>
            </w:r>
          </w:p>
        </w:tc>
        <w:tc>
          <w:tcPr>
            <w:tcW w:w="996" w:type="dxa"/>
            <w:tcBorders>
              <w:top w:val="nil"/>
              <w:left w:val="nil"/>
              <w:bottom w:val="single" w:sz="4" w:space="0" w:color="auto"/>
              <w:right w:val="single" w:sz="4" w:space="0" w:color="auto"/>
            </w:tcBorders>
            <w:shd w:val="clear" w:color="auto" w:fill="auto"/>
            <w:noWrap/>
            <w:vAlign w:val="bottom"/>
            <w:hideMark/>
          </w:tcPr>
          <w:p w14:paraId="63780536" w14:textId="68D8E30D"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0.01</w:t>
            </w:r>
          </w:p>
        </w:tc>
        <w:tc>
          <w:tcPr>
            <w:tcW w:w="1435" w:type="dxa"/>
            <w:tcBorders>
              <w:top w:val="nil"/>
              <w:left w:val="nil"/>
              <w:bottom w:val="single" w:sz="4" w:space="0" w:color="auto"/>
              <w:right w:val="single" w:sz="4" w:space="0" w:color="auto"/>
            </w:tcBorders>
            <w:shd w:val="clear" w:color="auto" w:fill="auto"/>
            <w:noWrap/>
            <w:vAlign w:val="bottom"/>
            <w:hideMark/>
          </w:tcPr>
          <w:p w14:paraId="0E6CDCAF" w14:textId="55AAAA80"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4.66</w:t>
            </w:r>
          </w:p>
        </w:tc>
        <w:tc>
          <w:tcPr>
            <w:tcW w:w="912" w:type="dxa"/>
            <w:tcBorders>
              <w:top w:val="nil"/>
              <w:left w:val="nil"/>
              <w:bottom w:val="single" w:sz="4" w:space="0" w:color="auto"/>
              <w:right w:val="single" w:sz="4" w:space="0" w:color="auto"/>
            </w:tcBorders>
            <w:shd w:val="clear" w:color="auto" w:fill="auto"/>
            <w:noWrap/>
            <w:vAlign w:val="bottom"/>
            <w:hideMark/>
          </w:tcPr>
          <w:p w14:paraId="015AE6E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-0.07</w:t>
            </w:r>
          </w:p>
        </w:tc>
        <w:tc>
          <w:tcPr>
            <w:tcW w:w="1313" w:type="dxa"/>
            <w:tcBorders>
              <w:top w:val="nil"/>
              <w:left w:val="nil"/>
              <w:bottom w:val="single" w:sz="4" w:space="0" w:color="auto"/>
              <w:right w:val="single" w:sz="4" w:space="0" w:color="auto"/>
            </w:tcBorders>
            <w:shd w:val="clear" w:color="auto" w:fill="auto"/>
            <w:noWrap/>
            <w:vAlign w:val="bottom"/>
            <w:hideMark/>
          </w:tcPr>
          <w:p w14:paraId="17596179"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4.59</w:t>
            </w:r>
          </w:p>
        </w:tc>
        <w:tc>
          <w:tcPr>
            <w:tcW w:w="1171" w:type="dxa"/>
            <w:tcBorders>
              <w:top w:val="nil"/>
              <w:left w:val="nil"/>
              <w:bottom w:val="single" w:sz="4" w:space="0" w:color="auto"/>
              <w:right w:val="single" w:sz="4" w:space="0" w:color="auto"/>
            </w:tcBorders>
            <w:shd w:val="clear" w:color="auto" w:fill="auto"/>
            <w:noWrap/>
            <w:vAlign w:val="bottom"/>
            <w:hideMark/>
          </w:tcPr>
          <w:p w14:paraId="5AFD16D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0.015</w:t>
            </w:r>
          </w:p>
        </w:tc>
      </w:tr>
      <w:tr w:rsidR="00C619B7" w:rsidRPr="00C619B7" w14:paraId="2BD26173"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74E89CC2" w14:textId="07C6B9A4" w:rsidR="00C619B7" w:rsidRPr="00C619B7" w:rsidRDefault="00D643E6" w:rsidP="00C619B7">
            <w:pPr>
              <w:spacing w:after="0" w:line="240" w:lineRule="auto"/>
              <w:jc w:val="left"/>
              <w:rPr>
                <w:rFonts w:eastAsia="Times New Roman" w:cs="Times New Roman"/>
                <w:color w:val="000000"/>
                <w:szCs w:val="24"/>
              </w:rPr>
            </w:pPr>
            <w:r w:rsidRPr="00D26631">
              <w:rPr>
                <w:rFonts w:ascii="Arial" w:hAnsi="Arial"/>
                <w:b/>
                <w:noProof/>
                <w:color w:val="000000"/>
                <w:sz w:val="16"/>
                <w:szCs w:val="24"/>
              </w:rPr>
              <mc:AlternateContent>
                <mc:Choice Requires="wps">
                  <w:drawing>
                    <wp:anchor distT="0" distB="0" distL="114300" distR="114300" simplePos="0" relativeHeight="251657728" behindDoc="0" locked="0" layoutInCell="1" allowOverlap="1" wp14:anchorId="0DC91345" wp14:editId="11D1BB3F">
                      <wp:simplePos x="0" y="0"/>
                      <wp:positionH relativeFrom="margin">
                        <wp:posOffset>-76835</wp:posOffset>
                      </wp:positionH>
                      <wp:positionV relativeFrom="paragraph">
                        <wp:posOffset>-19685</wp:posOffset>
                      </wp:positionV>
                      <wp:extent cx="4926330" cy="742950"/>
                      <wp:effectExtent l="19050" t="19050" r="26670" b="19050"/>
                      <wp:wrapNone/>
                      <wp:docPr id="181" name="Rectangle 5"/>
                      <wp:cNvGraphicFramePr/>
                      <a:graphic xmlns:a="http://schemas.openxmlformats.org/drawingml/2006/main">
                        <a:graphicData uri="http://schemas.microsoft.com/office/word/2010/wordprocessingShape">
                          <wps:wsp>
                            <wps:cNvSpPr/>
                            <wps:spPr>
                              <a:xfrm rot="10800000" flipV="1">
                                <a:off x="0" y="0"/>
                                <a:ext cx="4926330" cy="7429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E9CD0EB" id="Rectangle 5" o:spid="_x0000_s1026" style="position:absolute;margin-left:-6.05pt;margin-top:-1.55pt;width:387.9pt;height:58.5pt;rotation:180;flip: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" fillcolor="red" strokecolor="red" strokeweight="2.5pt">
                      <v:fill opacity="0"/>
                      <w10:wrap anchorx="margin"/>
                    </v:rect>
                  </w:pict>
                </mc:Fallback>
              </mc:AlternateContent>
            </w:r>
            <w:r w:rsidR="0002242A">
              <w:rPr>
                <w:rFonts w:eastAsia="Times New Roman" w:cs="Times New Roman"/>
                <w:color w:val="000000"/>
                <w:szCs w:val="24"/>
              </w:rPr>
              <w:t>Proppant weight</w:t>
            </w:r>
            <w:r w:rsidR="00C619B7" w:rsidRPr="00C619B7">
              <w:rPr>
                <w:rFonts w:eastAsia="Times New Roman" w:cs="Times New Roman"/>
                <w:color w:val="000000"/>
                <w:szCs w:val="24"/>
              </w:rPr>
              <w:t xml:space="preserve"> normalized to lateral length (</w:t>
            </w:r>
            <w:r w:rsidR="007D7803">
              <w:rPr>
                <w:rFonts w:eastAsia="Times New Roman" w:cs="Times New Roman"/>
                <w:color w:val="000000"/>
                <w:szCs w:val="24"/>
              </w:rPr>
              <w:t>lb/ft</w:t>
            </w:r>
            <w:r w:rsidR="00C619B7" w:rsidRPr="00C619B7">
              <w:rPr>
                <w:rFonts w:eastAsia="Times New Roman" w:cs="Times New Roman"/>
                <w:color w:val="000000"/>
                <w:szCs w:val="24"/>
              </w:rPr>
              <w:t>)</w:t>
            </w:r>
          </w:p>
        </w:tc>
        <w:tc>
          <w:tcPr>
            <w:tcW w:w="996" w:type="dxa"/>
            <w:tcBorders>
              <w:top w:val="nil"/>
              <w:left w:val="nil"/>
              <w:bottom w:val="single" w:sz="4" w:space="0" w:color="auto"/>
              <w:right w:val="single" w:sz="4" w:space="0" w:color="auto"/>
            </w:tcBorders>
            <w:shd w:val="clear" w:color="auto" w:fill="auto"/>
            <w:noWrap/>
            <w:vAlign w:val="bottom"/>
            <w:hideMark/>
          </w:tcPr>
          <w:p w14:paraId="1AD2B9E3" w14:textId="3A8C80CE"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1513.92</w:t>
            </w:r>
          </w:p>
        </w:tc>
        <w:tc>
          <w:tcPr>
            <w:tcW w:w="1435" w:type="dxa"/>
            <w:tcBorders>
              <w:top w:val="nil"/>
              <w:left w:val="nil"/>
              <w:bottom w:val="single" w:sz="4" w:space="0" w:color="auto"/>
              <w:right w:val="single" w:sz="4" w:space="0" w:color="auto"/>
            </w:tcBorders>
            <w:shd w:val="clear" w:color="auto" w:fill="auto"/>
            <w:noWrap/>
            <w:vAlign w:val="bottom"/>
            <w:hideMark/>
          </w:tcPr>
          <w:p w14:paraId="2131F33D" w14:textId="41ABD438"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349.39</w:t>
            </w:r>
          </w:p>
        </w:tc>
        <w:tc>
          <w:tcPr>
            <w:tcW w:w="912" w:type="dxa"/>
            <w:tcBorders>
              <w:top w:val="nil"/>
              <w:left w:val="nil"/>
              <w:bottom w:val="single" w:sz="4" w:space="0" w:color="auto"/>
              <w:right w:val="single" w:sz="4" w:space="0" w:color="auto"/>
            </w:tcBorders>
            <w:shd w:val="clear" w:color="auto" w:fill="auto"/>
            <w:noWrap/>
            <w:vAlign w:val="bottom"/>
            <w:hideMark/>
          </w:tcPr>
          <w:p w14:paraId="144D205D"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1529</w:t>
            </w:r>
          </w:p>
        </w:tc>
        <w:tc>
          <w:tcPr>
            <w:tcW w:w="1313" w:type="dxa"/>
            <w:tcBorders>
              <w:top w:val="nil"/>
              <w:left w:val="nil"/>
              <w:bottom w:val="single" w:sz="4" w:space="0" w:color="auto"/>
              <w:right w:val="single" w:sz="4" w:space="0" w:color="auto"/>
            </w:tcBorders>
            <w:shd w:val="clear" w:color="auto" w:fill="auto"/>
            <w:noWrap/>
            <w:vAlign w:val="bottom"/>
            <w:hideMark/>
          </w:tcPr>
          <w:p w14:paraId="6DDF41E9"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317.94</w:t>
            </w:r>
          </w:p>
        </w:tc>
        <w:tc>
          <w:tcPr>
            <w:tcW w:w="1171" w:type="dxa"/>
            <w:tcBorders>
              <w:top w:val="nil"/>
              <w:left w:val="nil"/>
              <w:bottom w:val="single" w:sz="4" w:space="0" w:color="auto"/>
              <w:right w:val="single" w:sz="4" w:space="0" w:color="auto"/>
            </w:tcBorders>
            <w:shd w:val="clear" w:color="auto" w:fill="auto"/>
            <w:noWrap/>
            <w:vAlign w:val="bottom"/>
            <w:hideMark/>
          </w:tcPr>
          <w:p w14:paraId="28F07557"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0.045</w:t>
            </w:r>
          </w:p>
        </w:tc>
      </w:tr>
      <w:tr w:rsidR="00C619B7" w:rsidRPr="00C619B7" w14:paraId="5E327023"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40F14042" w14:textId="4969CDE5"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Fracture fluid volume normalized to lateral length (bbl/ft)</w:t>
            </w:r>
          </w:p>
        </w:tc>
        <w:tc>
          <w:tcPr>
            <w:tcW w:w="996" w:type="dxa"/>
            <w:tcBorders>
              <w:top w:val="nil"/>
              <w:left w:val="nil"/>
              <w:bottom w:val="single" w:sz="4" w:space="0" w:color="auto"/>
              <w:right w:val="single" w:sz="4" w:space="0" w:color="auto"/>
            </w:tcBorders>
            <w:shd w:val="clear" w:color="auto" w:fill="auto"/>
            <w:noWrap/>
            <w:vAlign w:val="bottom"/>
            <w:hideMark/>
          </w:tcPr>
          <w:p w14:paraId="023B08C2" w14:textId="0ED9B70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40.49</w:t>
            </w:r>
          </w:p>
        </w:tc>
        <w:tc>
          <w:tcPr>
            <w:tcW w:w="1435" w:type="dxa"/>
            <w:tcBorders>
              <w:top w:val="nil"/>
              <w:left w:val="nil"/>
              <w:bottom w:val="single" w:sz="4" w:space="0" w:color="auto"/>
              <w:right w:val="single" w:sz="4" w:space="0" w:color="auto"/>
            </w:tcBorders>
            <w:shd w:val="clear" w:color="auto" w:fill="auto"/>
            <w:noWrap/>
            <w:vAlign w:val="bottom"/>
            <w:hideMark/>
          </w:tcPr>
          <w:p w14:paraId="2DCBB9B8" w14:textId="05D3D62E"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9.4</w:t>
            </w:r>
          </w:p>
        </w:tc>
        <w:tc>
          <w:tcPr>
            <w:tcW w:w="912" w:type="dxa"/>
            <w:tcBorders>
              <w:top w:val="nil"/>
              <w:left w:val="nil"/>
              <w:bottom w:val="single" w:sz="4" w:space="0" w:color="auto"/>
              <w:right w:val="single" w:sz="4" w:space="0" w:color="auto"/>
            </w:tcBorders>
            <w:shd w:val="clear" w:color="auto" w:fill="auto"/>
            <w:noWrap/>
            <w:vAlign w:val="bottom"/>
            <w:hideMark/>
          </w:tcPr>
          <w:p w14:paraId="7BA08702"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41.4</w:t>
            </w:r>
          </w:p>
        </w:tc>
        <w:tc>
          <w:tcPr>
            <w:tcW w:w="1313" w:type="dxa"/>
            <w:tcBorders>
              <w:top w:val="nil"/>
              <w:left w:val="nil"/>
              <w:bottom w:val="single" w:sz="4" w:space="0" w:color="auto"/>
              <w:right w:val="single" w:sz="4" w:space="0" w:color="auto"/>
            </w:tcBorders>
            <w:shd w:val="clear" w:color="auto" w:fill="auto"/>
            <w:noWrap/>
            <w:vAlign w:val="bottom"/>
            <w:hideMark/>
          </w:tcPr>
          <w:p w14:paraId="58684D4A"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9.33</w:t>
            </w:r>
          </w:p>
        </w:tc>
        <w:tc>
          <w:tcPr>
            <w:tcW w:w="1171" w:type="dxa"/>
            <w:tcBorders>
              <w:top w:val="nil"/>
              <w:left w:val="nil"/>
              <w:bottom w:val="single" w:sz="4" w:space="0" w:color="auto"/>
              <w:right w:val="single" w:sz="4" w:space="0" w:color="auto"/>
            </w:tcBorders>
            <w:shd w:val="clear" w:color="auto" w:fill="auto"/>
            <w:noWrap/>
            <w:vAlign w:val="bottom"/>
            <w:hideMark/>
          </w:tcPr>
          <w:p w14:paraId="3469E993"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0.101</w:t>
            </w:r>
          </w:p>
        </w:tc>
      </w:tr>
      <w:tr w:rsidR="00C619B7" w:rsidRPr="00C619B7" w14:paraId="3974EE0C" w14:textId="77777777" w:rsidTr="002E3804">
        <w:trPr>
          <w:trHeight w:val="312"/>
          <w:jc w:val="center"/>
        </w:trPr>
        <w:tc>
          <w:tcPr>
            <w:tcW w:w="1908" w:type="dxa"/>
            <w:tcBorders>
              <w:top w:val="nil"/>
              <w:left w:val="single" w:sz="4" w:space="0" w:color="auto"/>
              <w:bottom w:val="single" w:sz="4" w:space="0" w:color="auto"/>
              <w:right w:val="single" w:sz="4" w:space="0" w:color="auto"/>
            </w:tcBorders>
            <w:shd w:val="clear" w:color="auto" w:fill="auto"/>
            <w:noWrap/>
            <w:vAlign w:val="bottom"/>
            <w:hideMark/>
          </w:tcPr>
          <w:p w14:paraId="5004D059" w14:textId="5C2261D7" w:rsidR="00C619B7" w:rsidRPr="00C619B7" w:rsidRDefault="00C619B7" w:rsidP="00C619B7">
            <w:pPr>
              <w:spacing w:after="0" w:line="240" w:lineRule="auto"/>
              <w:jc w:val="left"/>
              <w:rPr>
                <w:rFonts w:eastAsia="Times New Roman" w:cs="Times New Roman"/>
                <w:color w:val="000000"/>
                <w:szCs w:val="24"/>
              </w:rPr>
            </w:pPr>
            <w:r w:rsidRPr="00C619B7">
              <w:rPr>
                <w:rFonts w:eastAsia="Times New Roman" w:cs="Times New Roman"/>
                <w:color w:val="000000"/>
                <w:szCs w:val="24"/>
              </w:rPr>
              <w:t>TVD (ft)</w:t>
            </w:r>
          </w:p>
        </w:tc>
        <w:tc>
          <w:tcPr>
            <w:tcW w:w="996" w:type="dxa"/>
            <w:tcBorders>
              <w:top w:val="nil"/>
              <w:left w:val="nil"/>
              <w:bottom w:val="single" w:sz="4" w:space="0" w:color="auto"/>
              <w:right w:val="single" w:sz="4" w:space="0" w:color="auto"/>
            </w:tcBorders>
            <w:shd w:val="clear" w:color="auto" w:fill="auto"/>
            <w:noWrap/>
            <w:vAlign w:val="bottom"/>
            <w:hideMark/>
          </w:tcPr>
          <w:p w14:paraId="63B9B3CE" w14:textId="1C56E423"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9226.38</w:t>
            </w:r>
          </w:p>
        </w:tc>
        <w:tc>
          <w:tcPr>
            <w:tcW w:w="1435" w:type="dxa"/>
            <w:tcBorders>
              <w:top w:val="nil"/>
              <w:left w:val="nil"/>
              <w:bottom w:val="single" w:sz="4" w:space="0" w:color="auto"/>
              <w:right w:val="single" w:sz="4" w:space="0" w:color="auto"/>
            </w:tcBorders>
            <w:shd w:val="clear" w:color="auto" w:fill="auto"/>
            <w:noWrap/>
            <w:vAlign w:val="bottom"/>
            <w:hideMark/>
          </w:tcPr>
          <w:p w14:paraId="6633DEFE" w14:textId="5BB2F411"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434.44</w:t>
            </w:r>
          </w:p>
        </w:tc>
        <w:tc>
          <w:tcPr>
            <w:tcW w:w="912" w:type="dxa"/>
            <w:tcBorders>
              <w:top w:val="nil"/>
              <w:left w:val="nil"/>
              <w:bottom w:val="single" w:sz="4" w:space="0" w:color="auto"/>
              <w:right w:val="single" w:sz="4" w:space="0" w:color="auto"/>
            </w:tcBorders>
            <w:shd w:val="clear" w:color="auto" w:fill="auto"/>
            <w:noWrap/>
            <w:vAlign w:val="bottom"/>
            <w:hideMark/>
          </w:tcPr>
          <w:p w14:paraId="6EFEAB75"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9254</w:t>
            </w:r>
          </w:p>
        </w:tc>
        <w:tc>
          <w:tcPr>
            <w:tcW w:w="1313" w:type="dxa"/>
            <w:tcBorders>
              <w:top w:val="nil"/>
              <w:left w:val="nil"/>
              <w:bottom w:val="single" w:sz="4" w:space="0" w:color="auto"/>
              <w:right w:val="single" w:sz="4" w:space="0" w:color="auto"/>
            </w:tcBorders>
            <w:shd w:val="clear" w:color="auto" w:fill="auto"/>
            <w:noWrap/>
            <w:vAlign w:val="bottom"/>
            <w:hideMark/>
          </w:tcPr>
          <w:p w14:paraId="3B04AB01" w14:textId="77777777" w:rsidR="00C619B7" w:rsidRPr="00C619B7" w:rsidRDefault="00C619B7" w:rsidP="00C619B7">
            <w:pPr>
              <w:spacing w:after="0" w:line="240" w:lineRule="auto"/>
              <w:jc w:val="right"/>
              <w:rPr>
                <w:rFonts w:eastAsia="Times New Roman" w:cs="Times New Roman"/>
                <w:color w:val="000000"/>
                <w:szCs w:val="24"/>
              </w:rPr>
            </w:pPr>
            <w:r w:rsidRPr="00C619B7">
              <w:rPr>
                <w:rFonts w:eastAsia="Times New Roman" w:cs="Times New Roman"/>
                <w:color w:val="000000"/>
                <w:szCs w:val="24"/>
              </w:rPr>
              <w:t>402.07</w:t>
            </w:r>
          </w:p>
        </w:tc>
        <w:tc>
          <w:tcPr>
            <w:tcW w:w="1171" w:type="dxa"/>
            <w:tcBorders>
              <w:top w:val="nil"/>
              <w:left w:val="nil"/>
              <w:bottom w:val="single" w:sz="4" w:space="0" w:color="auto"/>
              <w:right w:val="single" w:sz="4" w:space="0" w:color="auto"/>
            </w:tcBorders>
            <w:shd w:val="clear" w:color="auto" w:fill="auto"/>
            <w:noWrap/>
            <w:vAlign w:val="bottom"/>
            <w:hideMark/>
          </w:tcPr>
          <w:p w14:paraId="3D2116D0" w14:textId="77777777" w:rsidR="00C619B7" w:rsidRPr="00C619B7" w:rsidRDefault="00C619B7" w:rsidP="00EB6A8F">
            <w:pPr>
              <w:keepNext/>
              <w:spacing w:after="0" w:line="240" w:lineRule="auto"/>
              <w:jc w:val="right"/>
              <w:rPr>
                <w:rFonts w:eastAsia="Times New Roman" w:cs="Times New Roman"/>
                <w:color w:val="000000"/>
                <w:szCs w:val="24"/>
              </w:rPr>
            </w:pPr>
            <w:r w:rsidRPr="00C619B7">
              <w:rPr>
                <w:rFonts w:eastAsia="Times New Roman" w:cs="Times New Roman"/>
                <w:color w:val="000000"/>
                <w:szCs w:val="24"/>
              </w:rPr>
              <w:t>0.065</w:t>
            </w:r>
          </w:p>
        </w:tc>
      </w:tr>
    </w:tbl>
    <w:p w14:paraId="199BC1C2" w14:textId="77777777" w:rsidR="00EB6A8F" w:rsidRPr="00F941B6" w:rsidRDefault="00EB6A8F" w:rsidP="00F941B6">
      <w:pPr>
        <w:pStyle w:val="Caption"/>
        <w:spacing w:after="0"/>
        <w:jc w:val="both"/>
        <w:rPr>
          <w:rFonts w:ascii="Arial" w:hAnsi="Arial" w:cs="Times New Roman"/>
          <w:i w:val="0"/>
          <w:iCs w:val="0"/>
          <w:color w:val="000000"/>
          <w:sz w:val="16"/>
          <w:szCs w:val="24"/>
        </w:rPr>
      </w:pPr>
    </w:p>
    <w:p w14:paraId="50AF05A3" w14:textId="17062274" w:rsidR="00C619B7" w:rsidRPr="007C2285" w:rsidRDefault="00EB6A8F" w:rsidP="00EB6A8F">
      <w:pPr>
        <w:pStyle w:val="Caption"/>
        <w:rPr>
          <w:rFonts w:ascii="Arial" w:hAnsi="Arial"/>
          <w:b w:val="0"/>
          <w:color w:val="000000"/>
          <w:sz w:val="16"/>
          <w:szCs w:val="24"/>
        </w:rPr>
      </w:pPr>
      <w:bookmarkStart w:id="52" w:name="_Toc58667118"/>
      <w:r w:rsidRPr="00EB6A8F">
        <w:rPr>
          <w:rFonts w:ascii="Arial" w:hAnsi="Arial"/>
          <w:i w:val="0"/>
          <w:iCs w:val="0"/>
          <w:color w:val="000000"/>
          <w:sz w:val="16"/>
          <w:szCs w:val="24"/>
        </w:rPr>
        <w:t xml:space="preserve">Table 2. </w:t>
      </w:r>
      <w:r w:rsidRPr="00EB6A8F">
        <w:rPr>
          <w:rFonts w:ascii="Arial" w:hAnsi="Arial"/>
          <w:i w:val="0"/>
          <w:iCs w:val="0"/>
          <w:color w:val="000000"/>
          <w:sz w:val="16"/>
          <w:szCs w:val="24"/>
        </w:rPr>
        <w:fldChar w:fldCharType="begin"/>
      </w:r>
      <w:r w:rsidRPr="00EB6A8F">
        <w:rPr>
          <w:rFonts w:ascii="Arial" w:hAnsi="Arial"/>
          <w:i w:val="0"/>
          <w:iCs w:val="0"/>
          <w:color w:val="000000"/>
          <w:sz w:val="16"/>
          <w:szCs w:val="24"/>
        </w:rPr>
        <w:instrText xml:space="preserve"> SEQ Table_2. \* ARABIC </w:instrText>
      </w:r>
      <w:r w:rsidRPr="00EB6A8F">
        <w:rPr>
          <w:rFonts w:ascii="Arial" w:hAnsi="Arial"/>
          <w:i w:val="0"/>
          <w:iCs w:val="0"/>
          <w:color w:val="000000"/>
          <w:sz w:val="16"/>
          <w:szCs w:val="24"/>
        </w:rPr>
        <w:fldChar w:fldCharType="separate"/>
      </w:r>
      <w:r w:rsidR="00D006A5">
        <w:rPr>
          <w:rFonts w:ascii="Arial" w:hAnsi="Arial"/>
          <w:i w:val="0"/>
          <w:iCs w:val="0"/>
          <w:noProof/>
          <w:color w:val="000000"/>
          <w:sz w:val="16"/>
          <w:szCs w:val="24"/>
        </w:rPr>
        <w:t>4</w:t>
      </w:r>
      <w:r w:rsidRPr="00EB6A8F">
        <w:rPr>
          <w:rFonts w:ascii="Arial" w:hAnsi="Arial"/>
          <w:i w:val="0"/>
          <w:iCs w:val="0"/>
          <w:color w:val="000000"/>
          <w:sz w:val="16"/>
          <w:szCs w:val="24"/>
        </w:rPr>
        <w:fldChar w:fldCharType="end"/>
      </w:r>
      <w:r w:rsidR="00E64688">
        <w:rPr>
          <w:rFonts w:ascii="Arial" w:hAnsi="Arial"/>
          <w:i w:val="0"/>
          <w:iCs w:val="0"/>
          <w:color w:val="000000"/>
          <w:sz w:val="16"/>
          <w:szCs w:val="24"/>
        </w:rPr>
        <w:t>—</w:t>
      </w:r>
      <w:r w:rsidRPr="00EB6A8F">
        <w:rPr>
          <w:rFonts w:ascii="Arial" w:hAnsi="Arial"/>
          <w:color w:val="000000"/>
          <w:sz w:val="16"/>
          <w:szCs w:val="24"/>
        </w:rPr>
        <w:t xml:space="preserve"> </w:t>
      </w:r>
      <w:r w:rsidRPr="00EB6A8F">
        <w:rPr>
          <w:rFonts w:ascii="Arial" w:hAnsi="Arial"/>
          <w:i w:val="0"/>
          <w:iCs w:val="0"/>
          <w:color w:val="000000"/>
          <w:sz w:val="16"/>
          <w:szCs w:val="24"/>
        </w:rPr>
        <w:t xml:space="preserve">Standardized mean differences (SMD) between parent (0) and child </w:t>
      </w:r>
      <w:r w:rsidR="00C96C74">
        <w:rPr>
          <w:rFonts w:ascii="Arial" w:hAnsi="Arial"/>
          <w:i w:val="0"/>
          <w:iCs w:val="0"/>
          <w:color w:val="000000"/>
          <w:sz w:val="16"/>
          <w:szCs w:val="24"/>
        </w:rPr>
        <w:t>w</w:t>
      </w:r>
      <w:r w:rsidRPr="00EB6A8F">
        <w:rPr>
          <w:rFonts w:ascii="Arial" w:hAnsi="Arial"/>
          <w:i w:val="0"/>
          <w:iCs w:val="0"/>
          <w:color w:val="000000"/>
          <w:sz w:val="16"/>
          <w:szCs w:val="24"/>
        </w:rPr>
        <w:t>ells (1) groups at individual covariate levels (after matching).</w:t>
      </w:r>
      <w:bookmarkEnd w:id="52"/>
    </w:p>
    <w:p w14:paraId="50F3776D" w14:textId="7BFF7C9A" w:rsidR="009622BB" w:rsidRDefault="009622BB" w:rsidP="00905EA4">
      <w:pPr>
        <w:pStyle w:val="para1"/>
        <w:spacing w:line="480" w:lineRule="auto"/>
        <w:jc w:val="center"/>
        <w:rPr>
          <w:rFonts w:ascii="Arial" w:eastAsiaTheme="minorHAnsi" w:hAnsi="Arial"/>
          <w:b/>
          <w:color w:val="000000"/>
          <w:sz w:val="16"/>
          <w:szCs w:val="24"/>
        </w:rPr>
      </w:pPr>
    </w:p>
    <w:p w14:paraId="15CA5833" w14:textId="428AC64A" w:rsidR="003B32FE" w:rsidRDefault="003B32FE" w:rsidP="003B32FE">
      <w:pPr>
        <w:pStyle w:val="para1"/>
        <w:spacing w:line="480" w:lineRule="auto"/>
        <w:rPr>
          <w:rFonts w:eastAsiaTheme="minorEastAsia"/>
          <w:bCs/>
          <w:color w:val="000000"/>
          <w:szCs w:val="24"/>
        </w:rPr>
      </w:pPr>
      <w:r>
        <w:rPr>
          <w:rFonts w:eastAsiaTheme="minorEastAsia"/>
          <w:bCs/>
          <w:color w:val="000000"/>
          <w:szCs w:val="24"/>
        </w:rPr>
        <w:lastRenderedPageBreak/>
        <w:t xml:space="preserve">The number of wells with 180-day and 360-day of production history in the parent well and the child well groups before and after matching can be seen in </w:t>
      </w:r>
      <w:r w:rsidRPr="00A234E1">
        <w:rPr>
          <w:rFonts w:eastAsiaTheme="minorEastAsia"/>
          <w:b/>
          <w:color w:val="000000"/>
          <w:szCs w:val="24"/>
        </w:rPr>
        <w:t xml:space="preserve">Table </w:t>
      </w:r>
      <w:r w:rsidR="00007D06">
        <w:rPr>
          <w:rFonts w:eastAsiaTheme="minorEastAsia"/>
          <w:b/>
          <w:color w:val="000000"/>
          <w:szCs w:val="24"/>
        </w:rPr>
        <w:t>2.5</w:t>
      </w:r>
      <w:r>
        <w:rPr>
          <w:rFonts w:eastAsiaTheme="minorEastAsia"/>
          <w:bCs/>
          <w:color w:val="000000"/>
          <w:szCs w:val="24"/>
        </w:rPr>
        <w:t xml:space="preserve"> </w:t>
      </w:r>
      <w:r w:rsidRPr="001115C7">
        <w:rPr>
          <w:rFonts w:eastAsiaTheme="minorEastAsia"/>
          <w:b/>
          <w:color w:val="000000"/>
          <w:szCs w:val="24"/>
        </w:rPr>
        <w:t>and</w:t>
      </w:r>
      <w:r w:rsidR="00851B61">
        <w:rPr>
          <w:rFonts w:eastAsiaTheme="minorEastAsia"/>
          <w:b/>
          <w:color w:val="000000"/>
          <w:szCs w:val="24"/>
        </w:rPr>
        <w:t xml:space="preserve"> </w:t>
      </w:r>
      <w:r w:rsidR="00007D06">
        <w:rPr>
          <w:rFonts w:eastAsiaTheme="minorEastAsia"/>
          <w:b/>
          <w:color w:val="000000"/>
          <w:szCs w:val="24"/>
        </w:rPr>
        <w:t>2.6</w:t>
      </w:r>
      <w:r>
        <w:rPr>
          <w:rFonts w:eastAsiaTheme="minorEastAsia"/>
          <w:bCs/>
          <w:color w:val="000000"/>
          <w:szCs w:val="24"/>
        </w:rPr>
        <w:t>. Before matching, the number of wells in each group is decided based on the 3-dimensional distance and time criteria explained earlier. For the outcome of 180-day cumulative production</w:t>
      </w:r>
      <w:r w:rsidR="00C55318" w:rsidRPr="00C55318">
        <w:rPr>
          <w:rFonts w:eastAsiaTheme="minorEastAsia"/>
          <w:bCs/>
          <w:color w:val="000000"/>
          <w:szCs w:val="24"/>
        </w:rPr>
        <w:t xml:space="preserve"> </w:t>
      </w:r>
      <w:r w:rsidR="00C55318">
        <w:rPr>
          <w:rFonts w:eastAsiaTheme="minorEastAsia"/>
          <w:bCs/>
          <w:color w:val="000000"/>
          <w:szCs w:val="24"/>
        </w:rPr>
        <w:t>normalized to lateral length</w:t>
      </w:r>
      <w:r>
        <w:rPr>
          <w:rFonts w:eastAsiaTheme="minorEastAsia"/>
          <w:bCs/>
          <w:color w:val="000000"/>
          <w:szCs w:val="24"/>
        </w:rPr>
        <w:t xml:space="preserve">, </w:t>
      </w:r>
      <w:r w:rsidR="00514721">
        <w:rPr>
          <w:rFonts w:eastAsiaTheme="minorEastAsia"/>
          <w:bCs/>
          <w:color w:val="000000"/>
          <w:szCs w:val="24"/>
        </w:rPr>
        <w:t>I</w:t>
      </w:r>
      <w:r>
        <w:rPr>
          <w:rFonts w:eastAsiaTheme="minorEastAsia"/>
          <w:bCs/>
          <w:color w:val="000000"/>
          <w:szCs w:val="24"/>
        </w:rPr>
        <w:t xml:space="preserve"> had 725 wells initially and 605 wells that had 360-day cumulative </w:t>
      </w:r>
      <w:r w:rsidR="00784085">
        <w:rPr>
          <w:rFonts w:eastAsiaTheme="minorEastAsia"/>
          <w:bCs/>
          <w:color w:val="000000"/>
          <w:szCs w:val="24"/>
        </w:rPr>
        <w:t>production</w:t>
      </w:r>
      <w:r w:rsidR="00784085" w:rsidRPr="00C55318">
        <w:rPr>
          <w:rFonts w:eastAsiaTheme="minorEastAsia"/>
          <w:bCs/>
          <w:color w:val="000000"/>
          <w:szCs w:val="24"/>
        </w:rPr>
        <w:t xml:space="preserve"> </w:t>
      </w:r>
      <w:r w:rsidR="00784085">
        <w:rPr>
          <w:rFonts w:eastAsiaTheme="minorEastAsia"/>
          <w:bCs/>
          <w:color w:val="000000"/>
          <w:szCs w:val="24"/>
        </w:rPr>
        <w:t>data normalized to lateral length.</w:t>
      </w:r>
    </w:p>
    <w:p w14:paraId="603CC968" w14:textId="60E5ECE2" w:rsidR="00FB1C35" w:rsidRDefault="008A1456" w:rsidP="00BD1CC2">
      <w:pPr>
        <w:pStyle w:val="para1"/>
        <w:spacing w:line="480" w:lineRule="auto"/>
        <w:rPr>
          <w:rFonts w:eastAsiaTheme="minorEastAsia"/>
          <w:bCs/>
          <w:color w:val="000000"/>
          <w:szCs w:val="24"/>
        </w:rPr>
      </w:pPr>
      <w:r>
        <w:rPr>
          <w:rFonts w:eastAsiaTheme="minorEastAsia"/>
          <w:bCs/>
          <w:color w:val="000000"/>
          <w:szCs w:val="24"/>
        </w:rPr>
        <w:t xml:space="preserve">As we can see in Table </w:t>
      </w:r>
      <w:r w:rsidR="001A41E7">
        <w:rPr>
          <w:rFonts w:eastAsiaTheme="minorEastAsia"/>
          <w:bCs/>
          <w:color w:val="000000"/>
          <w:szCs w:val="24"/>
        </w:rPr>
        <w:t>2.5</w:t>
      </w:r>
      <w:r>
        <w:rPr>
          <w:rFonts w:eastAsiaTheme="minorEastAsia"/>
          <w:bCs/>
          <w:color w:val="000000"/>
          <w:szCs w:val="24"/>
        </w:rPr>
        <w:t xml:space="preserve"> </w:t>
      </w:r>
      <w:r w:rsidR="001713B9">
        <w:rPr>
          <w:rFonts w:eastAsiaTheme="minorEastAsia"/>
          <w:bCs/>
          <w:color w:val="000000"/>
          <w:szCs w:val="24"/>
        </w:rPr>
        <w:t>and 2</w:t>
      </w:r>
      <w:r w:rsidR="001A41E7">
        <w:rPr>
          <w:rFonts w:eastAsiaTheme="minorEastAsia"/>
          <w:bCs/>
          <w:color w:val="000000"/>
          <w:szCs w:val="24"/>
        </w:rPr>
        <w:t>.6</w:t>
      </w:r>
      <w:r>
        <w:rPr>
          <w:rFonts w:eastAsiaTheme="minorEastAsia"/>
          <w:bCs/>
          <w:color w:val="000000"/>
          <w:szCs w:val="24"/>
        </w:rPr>
        <w:t xml:space="preserve"> after matching, a few wells in both parent and child groups are discarded or eliminated through the matching process. </w:t>
      </w:r>
      <w:r w:rsidRPr="00DF3E84">
        <w:rPr>
          <w:rFonts w:eastAsiaTheme="minorHAnsi" w:cstheme="minorBidi"/>
          <w:color w:val="002060"/>
          <w:szCs w:val="24"/>
        </w:rPr>
        <w:t>Lunt (201</w:t>
      </w:r>
      <w:r>
        <w:rPr>
          <w:rFonts w:eastAsiaTheme="minorHAnsi" w:cstheme="minorBidi"/>
          <w:color w:val="002060"/>
          <w:szCs w:val="24"/>
        </w:rPr>
        <w:t>4</w:t>
      </w:r>
      <w:r w:rsidRPr="00DF3E84">
        <w:rPr>
          <w:rFonts w:eastAsiaTheme="minorHAnsi" w:cstheme="minorBidi"/>
          <w:color w:val="002060"/>
          <w:szCs w:val="24"/>
        </w:rPr>
        <w:t>)</w:t>
      </w:r>
      <w:r>
        <w:rPr>
          <w:rFonts w:eastAsiaTheme="minorEastAsia"/>
          <w:bCs/>
          <w:color w:val="000000"/>
          <w:szCs w:val="24"/>
        </w:rPr>
        <w:t xml:space="preserve"> showed that the use of a “caliper” for the matching process is essential for achieving great balance between treatment and control groups. A caliper is a measure of tolerance that can be allowed for the propensity score distance measure. The value of a caliper or the maximum permitted difference between the matches is typically user-defined and often between 0.01 to 0.1. Therefore, tighter the tolerance, smaller is the value of the caliper which leads to closeness in the matches obtained. A tighter tolerance can however significantly reduce the number of wells.  Here, </w:t>
      </w:r>
      <w:r w:rsidR="007132BF">
        <w:rPr>
          <w:rFonts w:eastAsiaTheme="minorEastAsia"/>
          <w:bCs/>
          <w:color w:val="000000"/>
          <w:szCs w:val="24"/>
        </w:rPr>
        <w:t>I</w:t>
      </w:r>
      <w:r>
        <w:rPr>
          <w:rFonts w:eastAsiaTheme="minorEastAsia"/>
          <w:bCs/>
          <w:color w:val="000000"/>
          <w:szCs w:val="24"/>
        </w:rPr>
        <w:t xml:space="preserve"> iteratively check the quality of the balance as seen in Fig. 2</w:t>
      </w:r>
      <w:r w:rsidR="00B01142">
        <w:rPr>
          <w:rFonts w:eastAsiaTheme="minorEastAsia"/>
          <w:bCs/>
          <w:color w:val="000000"/>
          <w:szCs w:val="24"/>
        </w:rPr>
        <w:t>.2</w:t>
      </w:r>
      <w:r w:rsidR="00851B61">
        <w:rPr>
          <w:rFonts w:eastAsiaTheme="minorEastAsia"/>
          <w:bCs/>
          <w:color w:val="000000"/>
          <w:szCs w:val="24"/>
        </w:rPr>
        <w:t>3</w:t>
      </w:r>
      <w:r>
        <w:rPr>
          <w:rFonts w:eastAsiaTheme="minorEastAsia"/>
          <w:bCs/>
          <w:color w:val="000000"/>
          <w:szCs w:val="24"/>
        </w:rPr>
        <w:t xml:space="preserve"> by adjusting the caliper such that the best possible balance </w:t>
      </w:r>
      <w:r w:rsidR="00D45C7D">
        <w:rPr>
          <w:rFonts w:eastAsiaTheme="minorEastAsia"/>
          <w:bCs/>
          <w:color w:val="000000"/>
          <w:szCs w:val="24"/>
        </w:rPr>
        <w:t xml:space="preserve">is obtained </w:t>
      </w:r>
      <w:r>
        <w:rPr>
          <w:rFonts w:eastAsiaTheme="minorEastAsia"/>
          <w:bCs/>
          <w:color w:val="000000"/>
          <w:szCs w:val="24"/>
        </w:rPr>
        <w:t xml:space="preserve">between the parent and child wells groups. Only when the best possible balance </w:t>
      </w:r>
      <w:r w:rsidR="004907B1">
        <w:rPr>
          <w:rFonts w:eastAsiaTheme="minorEastAsia"/>
          <w:bCs/>
          <w:color w:val="000000"/>
          <w:szCs w:val="24"/>
        </w:rPr>
        <w:t xml:space="preserve">is achieved </w:t>
      </w:r>
      <w:r>
        <w:rPr>
          <w:rFonts w:eastAsiaTheme="minorEastAsia"/>
          <w:bCs/>
          <w:color w:val="000000"/>
          <w:szCs w:val="24"/>
        </w:rPr>
        <w:t>between the two groups, we can proceed to the final step in this workflow which is estimating the causal effect.</w:t>
      </w:r>
    </w:p>
    <w:p w14:paraId="2FD722C9" w14:textId="6B5E36FC" w:rsidR="00E700AB" w:rsidRDefault="00E700AB" w:rsidP="00BD1CC2">
      <w:pPr>
        <w:pStyle w:val="para1"/>
        <w:spacing w:line="480" w:lineRule="auto"/>
        <w:rPr>
          <w:rFonts w:eastAsiaTheme="minorEastAsia"/>
          <w:bCs/>
          <w:color w:val="000000"/>
          <w:szCs w:val="24"/>
        </w:rPr>
      </w:pPr>
    </w:p>
    <w:p w14:paraId="187043B5" w14:textId="77777777" w:rsidR="00E700AB" w:rsidRDefault="00E700AB" w:rsidP="00BD1CC2">
      <w:pPr>
        <w:pStyle w:val="para1"/>
        <w:spacing w:line="480" w:lineRule="auto"/>
      </w:pPr>
    </w:p>
    <w:p w14:paraId="47A8DCED" w14:textId="77777777" w:rsidR="00186213" w:rsidRDefault="00186213" w:rsidP="000E4B70">
      <w:pPr>
        <w:pStyle w:val="para1"/>
        <w:spacing w:line="480" w:lineRule="auto"/>
      </w:pPr>
    </w:p>
    <w:p w14:paraId="19CCB4EF" w14:textId="77777777" w:rsidR="00965200" w:rsidRDefault="00965200" w:rsidP="00A234E1">
      <w:pPr>
        <w:pStyle w:val="para1"/>
        <w:spacing w:line="480" w:lineRule="auto"/>
        <w:rPr>
          <w:rFonts w:eastAsiaTheme="minorEastAsia"/>
          <w:bCs/>
          <w:color w:val="000000"/>
          <w:szCs w:val="24"/>
        </w:rPr>
      </w:pPr>
    </w:p>
    <w:tbl>
      <w:tblPr>
        <w:tblStyle w:val="TableGrid"/>
        <w:tblW w:w="0" w:type="auto"/>
        <w:jc w:val="center"/>
        <w:tblLook w:val="04A0" w:firstRow="1" w:lastRow="0" w:firstColumn="1" w:lastColumn="0" w:noHBand="0" w:noVBand="1"/>
      </w:tblPr>
      <w:tblGrid>
        <w:gridCol w:w="1558"/>
        <w:gridCol w:w="1558"/>
        <w:gridCol w:w="1558"/>
        <w:gridCol w:w="1558"/>
        <w:gridCol w:w="1559"/>
        <w:gridCol w:w="1559"/>
      </w:tblGrid>
      <w:tr w:rsidR="00B46642" w14:paraId="6259E603" w14:textId="77777777" w:rsidTr="00905EA4">
        <w:trPr>
          <w:jc w:val="center"/>
        </w:trPr>
        <w:tc>
          <w:tcPr>
            <w:tcW w:w="1558" w:type="dxa"/>
          </w:tcPr>
          <w:p w14:paraId="4C423DA0" w14:textId="77777777" w:rsidR="00B46642" w:rsidRDefault="00B46642" w:rsidP="00B01142">
            <w:pPr>
              <w:pStyle w:val="NoSpacing"/>
              <w:jc w:val="center"/>
            </w:pPr>
            <w:r>
              <w:lastRenderedPageBreak/>
              <w:t>Well Spacing Options considered</w:t>
            </w:r>
          </w:p>
        </w:tc>
        <w:tc>
          <w:tcPr>
            <w:tcW w:w="1558" w:type="dxa"/>
          </w:tcPr>
          <w:p w14:paraId="24430AE7" w14:textId="77777777" w:rsidR="00B46642" w:rsidRDefault="00B46642" w:rsidP="00B01142">
            <w:pPr>
              <w:pStyle w:val="NoSpacing"/>
              <w:jc w:val="center"/>
            </w:pPr>
            <w:r>
              <w:t>Number of Parent Wells (Before Matching)</w:t>
            </w:r>
          </w:p>
        </w:tc>
        <w:tc>
          <w:tcPr>
            <w:tcW w:w="1558" w:type="dxa"/>
          </w:tcPr>
          <w:p w14:paraId="3B060959" w14:textId="77777777" w:rsidR="00B46642" w:rsidRDefault="00B46642" w:rsidP="00B01142">
            <w:pPr>
              <w:pStyle w:val="NoSpacing"/>
              <w:jc w:val="center"/>
            </w:pPr>
            <w:r>
              <w:t>Number of Child Wells (Before Matching)</w:t>
            </w:r>
          </w:p>
        </w:tc>
        <w:tc>
          <w:tcPr>
            <w:tcW w:w="1558" w:type="dxa"/>
          </w:tcPr>
          <w:p w14:paraId="71A17578" w14:textId="77777777" w:rsidR="00B46642" w:rsidRDefault="00B46642" w:rsidP="00B01142">
            <w:pPr>
              <w:pStyle w:val="NoSpacing"/>
              <w:jc w:val="center"/>
            </w:pPr>
            <w:r>
              <w:t>Number of Parent Wells (After Matching)</w:t>
            </w:r>
          </w:p>
        </w:tc>
        <w:tc>
          <w:tcPr>
            <w:tcW w:w="1559" w:type="dxa"/>
          </w:tcPr>
          <w:p w14:paraId="5A246A23" w14:textId="77777777" w:rsidR="00B46642" w:rsidRDefault="00B46642" w:rsidP="00B01142">
            <w:pPr>
              <w:pStyle w:val="NoSpacing"/>
              <w:jc w:val="center"/>
            </w:pPr>
            <w:r>
              <w:t>Number of Child Wells (After Matching)</w:t>
            </w:r>
          </w:p>
        </w:tc>
        <w:tc>
          <w:tcPr>
            <w:tcW w:w="1559" w:type="dxa"/>
          </w:tcPr>
          <w:p w14:paraId="4208B022" w14:textId="77777777" w:rsidR="00B46642" w:rsidRDefault="00B46642" w:rsidP="00B01142">
            <w:pPr>
              <w:pStyle w:val="NoSpacing"/>
              <w:jc w:val="center"/>
            </w:pPr>
            <w:r>
              <w:t>Choice of the Caliper value selected for Matching</w:t>
            </w:r>
          </w:p>
        </w:tc>
      </w:tr>
      <w:tr w:rsidR="0039091C" w14:paraId="0DBC4D82" w14:textId="77777777" w:rsidTr="00905EA4">
        <w:trPr>
          <w:jc w:val="center"/>
        </w:trPr>
        <w:tc>
          <w:tcPr>
            <w:tcW w:w="1558" w:type="dxa"/>
          </w:tcPr>
          <w:p w14:paraId="2DD9DCE1" w14:textId="6A81E0A2"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500 ft</w:t>
            </w:r>
          </w:p>
        </w:tc>
        <w:tc>
          <w:tcPr>
            <w:tcW w:w="1558" w:type="dxa"/>
          </w:tcPr>
          <w:p w14:paraId="19FB6AC6" w14:textId="5C4D5D33"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501</w:t>
            </w:r>
          </w:p>
        </w:tc>
        <w:tc>
          <w:tcPr>
            <w:tcW w:w="1558" w:type="dxa"/>
          </w:tcPr>
          <w:p w14:paraId="5D3BE8E6" w14:textId="797E0B0E"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224</w:t>
            </w:r>
          </w:p>
        </w:tc>
        <w:tc>
          <w:tcPr>
            <w:tcW w:w="1558" w:type="dxa"/>
          </w:tcPr>
          <w:p w14:paraId="5E629785" w14:textId="70B827AD"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157</w:t>
            </w:r>
          </w:p>
        </w:tc>
        <w:tc>
          <w:tcPr>
            <w:tcW w:w="1559" w:type="dxa"/>
          </w:tcPr>
          <w:p w14:paraId="075BAC9A" w14:textId="29E658B2"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157</w:t>
            </w:r>
          </w:p>
        </w:tc>
        <w:tc>
          <w:tcPr>
            <w:tcW w:w="1559" w:type="dxa"/>
          </w:tcPr>
          <w:p w14:paraId="62F936E8" w14:textId="4BE3AB68" w:rsidR="0039091C" w:rsidRDefault="0039091C" w:rsidP="00B01142">
            <w:pPr>
              <w:pStyle w:val="para1"/>
              <w:spacing w:line="480" w:lineRule="auto"/>
              <w:ind w:firstLine="0"/>
              <w:jc w:val="center"/>
              <w:rPr>
                <w:rFonts w:eastAsiaTheme="minorEastAsia"/>
                <w:bCs/>
                <w:color w:val="000000"/>
                <w:szCs w:val="24"/>
              </w:rPr>
            </w:pPr>
            <w:r w:rsidRPr="00673289">
              <w:rPr>
                <w:rFonts w:eastAsiaTheme="minorEastAsia"/>
                <w:bCs/>
                <w:color w:val="000000"/>
                <w:szCs w:val="24"/>
              </w:rPr>
              <w:t>0.0</w:t>
            </w:r>
            <w:r>
              <w:rPr>
                <w:rFonts w:eastAsiaTheme="minorEastAsia"/>
                <w:bCs/>
                <w:color w:val="000000"/>
                <w:szCs w:val="24"/>
              </w:rPr>
              <w:t>2</w:t>
            </w:r>
          </w:p>
        </w:tc>
      </w:tr>
      <w:tr w:rsidR="0039091C" w14:paraId="1DA3631C" w14:textId="77777777" w:rsidTr="00905EA4">
        <w:trPr>
          <w:jc w:val="center"/>
        </w:trPr>
        <w:tc>
          <w:tcPr>
            <w:tcW w:w="1558" w:type="dxa"/>
          </w:tcPr>
          <w:p w14:paraId="0BF624EF" w14:textId="1393A7CE"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600 ft</w:t>
            </w:r>
          </w:p>
        </w:tc>
        <w:tc>
          <w:tcPr>
            <w:tcW w:w="1558" w:type="dxa"/>
          </w:tcPr>
          <w:p w14:paraId="7CF39AD8" w14:textId="726B5A38" w:rsidR="0039091C" w:rsidRDefault="00755D03" w:rsidP="00B01142">
            <w:pPr>
              <w:pStyle w:val="para1"/>
              <w:spacing w:line="480" w:lineRule="auto"/>
              <w:ind w:firstLine="0"/>
              <w:jc w:val="center"/>
              <w:rPr>
                <w:rFonts w:eastAsiaTheme="minorEastAsia"/>
                <w:bCs/>
                <w:color w:val="000000"/>
                <w:szCs w:val="24"/>
              </w:rPr>
            </w:pPr>
            <w:r>
              <w:rPr>
                <w:rFonts w:eastAsiaTheme="minorEastAsia"/>
                <w:bCs/>
                <w:color w:val="000000"/>
                <w:szCs w:val="24"/>
              </w:rPr>
              <w:t>346</w:t>
            </w:r>
          </w:p>
        </w:tc>
        <w:tc>
          <w:tcPr>
            <w:tcW w:w="1558" w:type="dxa"/>
          </w:tcPr>
          <w:p w14:paraId="28884F40" w14:textId="1B710E15" w:rsidR="0039091C" w:rsidRDefault="00755D03" w:rsidP="00B01142">
            <w:pPr>
              <w:pStyle w:val="para1"/>
              <w:spacing w:line="480" w:lineRule="auto"/>
              <w:ind w:firstLine="0"/>
              <w:jc w:val="center"/>
              <w:rPr>
                <w:rFonts w:eastAsiaTheme="minorEastAsia"/>
                <w:bCs/>
                <w:color w:val="000000"/>
                <w:szCs w:val="24"/>
              </w:rPr>
            </w:pPr>
            <w:r>
              <w:rPr>
                <w:rFonts w:eastAsiaTheme="minorEastAsia"/>
                <w:bCs/>
                <w:color w:val="000000"/>
                <w:szCs w:val="24"/>
              </w:rPr>
              <w:t>379</w:t>
            </w:r>
          </w:p>
        </w:tc>
        <w:tc>
          <w:tcPr>
            <w:tcW w:w="1558" w:type="dxa"/>
          </w:tcPr>
          <w:p w14:paraId="10550A9E" w14:textId="6A5CB2B1"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168</w:t>
            </w:r>
          </w:p>
        </w:tc>
        <w:tc>
          <w:tcPr>
            <w:tcW w:w="1559" w:type="dxa"/>
          </w:tcPr>
          <w:p w14:paraId="29850400" w14:textId="15D702E9"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168</w:t>
            </w:r>
          </w:p>
        </w:tc>
        <w:tc>
          <w:tcPr>
            <w:tcW w:w="1559" w:type="dxa"/>
          </w:tcPr>
          <w:p w14:paraId="6EF73B1B" w14:textId="3F406DF9" w:rsidR="0039091C" w:rsidRDefault="0039091C" w:rsidP="00B01142">
            <w:pPr>
              <w:pStyle w:val="para1"/>
              <w:spacing w:line="480" w:lineRule="auto"/>
              <w:ind w:firstLine="0"/>
              <w:jc w:val="center"/>
              <w:rPr>
                <w:rFonts w:eastAsiaTheme="minorEastAsia"/>
                <w:bCs/>
                <w:color w:val="000000"/>
                <w:szCs w:val="24"/>
              </w:rPr>
            </w:pPr>
            <w:r w:rsidRPr="0009760B">
              <w:rPr>
                <w:rFonts w:eastAsiaTheme="minorEastAsia"/>
                <w:bCs/>
                <w:color w:val="000000"/>
                <w:szCs w:val="24"/>
              </w:rPr>
              <w:t>0.0165</w:t>
            </w:r>
          </w:p>
        </w:tc>
      </w:tr>
      <w:tr w:rsidR="0039091C" w14:paraId="2F46C2AE" w14:textId="77777777" w:rsidTr="00905EA4">
        <w:trPr>
          <w:jc w:val="center"/>
        </w:trPr>
        <w:tc>
          <w:tcPr>
            <w:tcW w:w="1558" w:type="dxa"/>
          </w:tcPr>
          <w:p w14:paraId="201DFD05" w14:textId="22995477"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700 ft</w:t>
            </w:r>
          </w:p>
        </w:tc>
        <w:tc>
          <w:tcPr>
            <w:tcW w:w="1558" w:type="dxa"/>
          </w:tcPr>
          <w:p w14:paraId="3980661C" w14:textId="066A66E4" w:rsidR="0039091C" w:rsidRDefault="00755D03" w:rsidP="00B01142">
            <w:pPr>
              <w:pStyle w:val="para1"/>
              <w:spacing w:line="480" w:lineRule="auto"/>
              <w:ind w:firstLine="0"/>
              <w:jc w:val="center"/>
              <w:rPr>
                <w:rFonts w:eastAsiaTheme="minorEastAsia"/>
                <w:bCs/>
                <w:color w:val="000000"/>
                <w:szCs w:val="24"/>
              </w:rPr>
            </w:pPr>
            <w:r>
              <w:rPr>
                <w:rFonts w:eastAsiaTheme="minorEastAsia"/>
                <w:bCs/>
                <w:color w:val="000000"/>
                <w:szCs w:val="24"/>
              </w:rPr>
              <w:t>302</w:t>
            </w:r>
          </w:p>
        </w:tc>
        <w:tc>
          <w:tcPr>
            <w:tcW w:w="1558" w:type="dxa"/>
          </w:tcPr>
          <w:p w14:paraId="0DDA09FB" w14:textId="3AF9FD2A" w:rsidR="0039091C" w:rsidRDefault="00755D03" w:rsidP="00B01142">
            <w:pPr>
              <w:pStyle w:val="para1"/>
              <w:spacing w:line="480" w:lineRule="auto"/>
              <w:ind w:firstLine="0"/>
              <w:jc w:val="center"/>
              <w:rPr>
                <w:rFonts w:eastAsiaTheme="minorEastAsia"/>
                <w:bCs/>
                <w:color w:val="000000"/>
                <w:szCs w:val="24"/>
              </w:rPr>
            </w:pPr>
            <w:r>
              <w:rPr>
                <w:rFonts w:eastAsiaTheme="minorEastAsia"/>
                <w:bCs/>
                <w:color w:val="000000"/>
                <w:szCs w:val="24"/>
              </w:rPr>
              <w:t>423</w:t>
            </w:r>
          </w:p>
        </w:tc>
        <w:tc>
          <w:tcPr>
            <w:tcW w:w="1558" w:type="dxa"/>
          </w:tcPr>
          <w:p w14:paraId="00BD9271" w14:textId="40136B15"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193</w:t>
            </w:r>
          </w:p>
        </w:tc>
        <w:tc>
          <w:tcPr>
            <w:tcW w:w="1559" w:type="dxa"/>
          </w:tcPr>
          <w:p w14:paraId="03A7ABA2" w14:textId="60ED0A27"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193</w:t>
            </w:r>
          </w:p>
        </w:tc>
        <w:tc>
          <w:tcPr>
            <w:tcW w:w="1559" w:type="dxa"/>
          </w:tcPr>
          <w:p w14:paraId="52700A44" w14:textId="0FA6584A" w:rsidR="0039091C" w:rsidRDefault="0039091C" w:rsidP="00B01142">
            <w:pPr>
              <w:pStyle w:val="para1"/>
              <w:spacing w:line="480" w:lineRule="auto"/>
              <w:ind w:firstLine="0"/>
              <w:jc w:val="center"/>
              <w:rPr>
                <w:rFonts w:eastAsiaTheme="minorEastAsia"/>
                <w:bCs/>
                <w:color w:val="000000"/>
                <w:szCs w:val="24"/>
              </w:rPr>
            </w:pPr>
            <w:r w:rsidRPr="009A0F58">
              <w:rPr>
                <w:rFonts w:eastAsiaTheme="minorEastAsia"/>
                <w:bCs/>
                <w:color w:val="000000"/>
                <w:szCs w:val="24"/>
              </w:rPr>
              <w:t>0.015</w:t>
            </w:r>
          </w:p>
        </w:tc>
      </w:tr>
      <w:tr w:rsidR="0039091C" w14:paraId="6F1F3FB7" w14:textId="77777777" w:rsidTr="00905EA4">
        <w:trPr>
          <w:jc w:val="center"/>
        </w:trPr>
        <w:tc>
          <w:tcPr>
            <w:tcW w:w="1558" w:type="dxa"/>
          </w:tcPr>
          <w:p w14:paraId="48A75DFC" w14:textId="6F4A2FC5"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800 ft</w:t>
            </w:r>
          </w:p>
        </w:tc>
        <w:tc>
          <w:tcPr>
            <w:tcW w:w="1558" w:type="dxa"/>
          </w:tcPr>
          <w:p w14:paraId="57CD5F0B" w14:textId="73162C11" w:rsidR="0039091C" w:rsidRDefault="0020568F" w:rsidP="00B01142">
            <w:pPr>
              <w:pStyle w:val="para1"/>
              <w:spacing w:line="480" w:lineRule="auto"/>
              <w:ind w:firstLine="0"/>
              <w:jc w:val="center"/>
              <w:rPr>
                <w:rFonts w:eastAsiaTheme="minorEastAsia"/>
                <w:bCs/>
                <w:color w:val="000000"/>
                <w:szCs w:val="24"/>
              </w:rPr>
            </w:pPr>
            <w:r>
              <w:rPr>
                <w:rFonts w:eastAsiaTheme="minorEastAsia"/>
                <w:bCs/>
                <w:color w:val="000000"/>
                <w:szCs w:val="24"/>
              </w:rPr>
              <w:t>183</w:t>
            </w:r>
          </w:p>
        </w:tc>
        <w:tc>
          <w:tcPr>
            <w:tcW w:w="1558" w:type="dxa"/>
          </w:tcPr>
          <w:p w14:paraId="7CC4024F" w14:textId="3CFB5AC9" w:rsidR="0039091C" w:rsidRDefault="00FB362B" w:rsidP="00B01142">
            <w:pPr>
              <w:pStyle w:val="para1"/>
              <w:spacing w:line="480" w:lineRule="auto"/>
              <w:ind w:firstLine="0"/>
              <w:jc w:val="center"/>
              <w:rPr>
                <w:rFonts w:eastAsiaTheme="minorEastAsia"/>
                <w:bCs/>
                <w:color w:val="000000"/>
                <w:szCs w:val="24"/>
              </w:rPr>
            </w:pPr>
            <w:r>
              <w:rPr>
                <w:rFonts w:eastAsiaTheme="minorEastAsia"/>
                <w:bCs/>
                <w:color w:val="000000"/>
                <w:szCs w:val="24"/>
              </w:rPr>
              <w:t>542</w:t>
            </w:r>
          </w:p>
        </w:tc>
        <w:tc>
          <w:tcPr>
            <w:tcW w:w="1558" w:type="dxa"/>
          </w:tcPr>
          <w:p w14:paraId="06997E53" w14:textId="423FE8B4"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136</w:t>
            </w:r>
          </w:p>
        </w:tc>
        <w:tc>
          <w:tcPr>
            <w:tcW w:w="1559" w:type="dxa"/>
          </w:tcPr>
          <w:p w14:paraId="498FDFBD" w14:textId="6C971010" w:rsidR="0039091C" w:rsidRDefault="0039091C" w:rsidP="00B01142">
            <w:pPr>
              <w:pStyle w:val="para1"/>
              <w:spacing w:line="480" w:lineRule="auto"/>
              <w:ind w:firstLine="0"/>
              <w:jc w:val="center"/>
              <w:rPr>
                <w:rFonts w:eastAsiaTheme="minorEastAsia"/>
                <w:bCs/>
                <w:color w:val="000000"/>
                <w:szCs w:val="24"/>
              </w:rPr>
            </w:pPr>
            <w:r>
              <w:rPr>
                <w:rFonts w:eastAsiaTheme="minorEastAsia"/>
                <w:bCs/>
                <w:color w:val="000000"/>
                <w:szCs w:val="24"/>
              </w:rPr>
              <w:t>136</w:t>
            </w:r>
          </w:p>
        </w:tc>
        <w:tc>
          <w:tcPr>
            <w:tcW w:w="1559" w:type="dxa"/>
          </w:tcPr>
          <w:p w14:paraId="2F87283C" w14:textId="118B7164" w:rsidR="0039091C" w:rsidRDefault="0039091C" w:rsidP="00B01142">
            <w:pPr>
              <w:pStyle w:val="para1"/>
              <w:keepNext/>
              <w:spacing w:line="480" w:lineRule="auto"/>
              <w:ind w:firstLine="0"/>
              <w:jc w:val="center"/>
              <w:rPr>
                <w:rFonts w:eastAsiaTheme="minorEastAsia"/>
                <w:bCs/>
                <w:color w:val="000000"/>
                <w:szCs w:val="24"/>
              </w:rPr>
            </w:pPr>
            <w:r w:rsidRPr="00CC18FC">
              <w:rPr>
                <w:rFonts w:eastAsiaTheme="minorEastAsia"/>
                <w:bCs/>
                <w:color w:val="000000"/>
                <w:szCs w:val="24"/>
              </w:rPr>
              <w:t>0.0175</w:t>
            </w:r>
          </w:p>
        </w:tc>
      </w:tr>
    </w:tbl>
    <w:p w14:paraId="6C4990F6" w14:textId="77777777" w:rsidR="001C7F5B" w:rsidRPr="00F941B6" w:rsidRDefault="001C7F5B" w:rsidP="00F941B6">
      <w:pPr>
        <w:spacing w:after="0" w:line="240" w:lineRule="auto"/>
        <w:jc w:val="left"/>
        <w:rPr>
          <w:rFonts w:eastAsia="Times New Roman" w:cs="Times New Roman"/>
          <w:color w:val="000000"/>
          <w:szCs w:val="24"/>
        </w:rPr>
      </w:pPr>
    </w:p>
    <w:p w14:paraId="2F13BEF6" w14:textId="5044DB93" w:rsidR="00B46642" w:rsidRDefault="00007D06" w:rsidP="00F941B6">
      <w:pPr>
        <w:pStyle w:val="para1"/>
        <w:spacing w:line="480" w:lineRule="auto"/>
        <w:ind w:firstLine="0"/>
        <w:jc w:val="center"/>
        <w:rPr>
          <w:rFonts w:ascii="Arial" w:eastAsiaTheme="minorHAnsi" w:hAnsi="Arial"/>
          <w:b/>
          <w:color w:val="000000"/>
          <w:sz w:val="16"/>
          <w:szCs w:val="24"/>
        </w:rPr>
      </w:pPr>
      <w:bookmarkStart w:id="53" w:name="_Toc58667119"/>
      <w:r w:rsidRPr="00007D06">
        <w:rPr>
          <w:rFonts w:ascii="Arial" w:eastAsiaTheme="minorHAnsi" w:hAnsi="Arial"/>
          <w:b/>
          <w:color w:val="000000"/>
          <w:sz w:val="16"/>
          <w:szCs w:val="24"/>
        </w:rPr>
        <w:t xml:space="preserve">Table 2. </w:t>
      </w:r>
      <w:r w:rsidRPr="00007D06">
        <w:rPr>
          <w:rFonts w:ascii="Arial" w:eastAsiaTheme="minorHAnsi" w:hAnsi="Arial"/>
          <w:b/>
          <w:color w:val="000000"/>
          <w:sz w:val="16"/>
          <w:szCs w:val="24"/>
        </w:rPr>
        <w:fldChar w:fldCharType="begin"/>
      </w:r>
      <w:r w:rsidRPr="00007D06">
        <w:rPr>
          <w:rFonts w:ascii="Arial" w:eastAsiaTheme="minorHAnsi" w:hAnsi="Arial"/>
          <w:b/>
          <w:color w:val="000000"/>
          <w:sz w:val="16"/>
          <w:szCs w:val="24"/>
        </w:rPr>
        <w:instrText xml:space="preserve"> SEQ Table_2. \* ARABIC </w:instrText>
      </w:r>
      <w:r w:rsidRPr="00007D06">
        <w:rPr>
          <w:rFonts w:ascii="Arial" w:eastAsiaTheme="minorHAnsi" w:hAnsi="Arial"/>
          <w:b/>
          <w:color w:val="000000"/>
          <w:sz w:val="16"/>
          <w:szCs w:val="24"/>
        </w:rPr>
        <w:fldChar w:fldCharType="separate"/>
      </w:r>
      <w:r w:rsidR="00D006A5">
        <w:rPr>
          <w:rFonts w:ascii="Arial" w:eastAsiaTheme="minorHAnsi" w:hAnsi="Arial"/>
          <w:b/>
          <w:noProof/>
          <w:color w:val="000000"/>
          <w:sz w:val="16"/>
          <w:szCs w:val="24"/>
        </w:rPr>
        <w:t>5</w:t>
      </w:r>
      <w:r w:rsidRPr="00007D06">
        <w:rPr>
          <w:rFonts w:ascii="Arial" w:eastAsiaTheme="minorHAnsi" w:hAnsi="Arial"/>
          <w:b/>
          <w:color w:val="000000"/>
          <w:sz w:val="16"/>
          <w:szCs w:val="24"/>
        </w:rPr>
        <w:fldChar w:fldCharType="end"/>
      </w:r>
      <w:r w:rsidR="001C7F5B">
        <w:rPr>
          <w:rFonts w:ascii="Arial" w:eastAsiaTheme="minorHAnsi" w:hAnsi="Arial"/>
          <w:b/>
          <w:color w:val="000000"/>
          <w:sz w:val="16"/>
          <w:szCs w:val="24"/>
        </w:rPr>
        <w:t>—</w:t>
      </w:r>
      <w:r w:rsidRPr="00007D06">
        <w:rPr>
          <w:rFonts w:ascii="Arial" w:eastAsiaTheme="minorHAnsi" w:hAnsi="Arial"/>
          <w:b/>
          <w:color w:val="000000"/>
          <w:sz w:val="16"/>
          <w:szCs w:val="24"/>
        </w:rPr>
        <w:t xml:space="preserve"> </w:t>
      </w:r>
      <w:r>
        <w:rPr>
          <w:rFonts w:ascii="Arial" w:eastAsiaTheme="minorHAnsi" w:hAnsi="Arial"/>
          <w:b/>
          <w:color w:val="000000"/>
          <w:sz w:val="16"/>
          <w:szCs w:val="24"/>
        </w:rPr>
        <w:t>The number of parent wells and child wells before and after matching along with the choice of the caliper used for obtaining the best possible balance in the matching process for the 4 well spacing options considered with outcome cumulative 180-day production normalized to lateral length.</w:t>
      </w:r>
      <w:bookmarkEnd w:id="53"/>
    </w:p>
    <w:p w14:paraId="1384C65C" w14:textId="77777777" w:rsidR="0000173E" w:rsidRPr="00D32460" w:rsidRDefault="0000173E" w:rsidP="00BC5CD1">
      <w:pPr>
        <w:pStyle w:val="para1"/>
        <w:rPr>
          <w:rFonts w:ascii="Arial" w:eastAsiaTheme="minorHAnsi" w:hAnsi="Arial"/>
          <w:b/>
          <w:color w:val="000000"/>
          <w:sz w:val="16"/>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F148E3" w14:paraId="4FD7D96F" w14:textId="77777777" w:rsidTr="00F148E3">
        <w:tc>
          <w:tcPr>
            <w:tcW w:w="1558" w:type="dxa"/>
          </w:tcPr>
          <w:p w14:paraId="6C140B1F" w14:textId="0024D881" w:rsidR="00F148E3" w:rsidRDefault="00F148E3" w:rsidP="00B01142">
            <w:pPr>
              <w:pStyle w:val="NoSpacing"/>
              <w:jc w:val="center"/>
            </w:pPr>
            <w:r>
              <w:t>Well Spacin</w:t>
            </w:r>
            <w:r w:rsidR="008A3234">
              <w:t>g Options</w:t>
            </w:r>
            <w:r w:rsidR="007C0F6A">
              <w:t xml:space="preserve"> considered</w:t>
            </w:r>
          </w:p>
        </w:tc>
        <w:tc>
          <w:tcPr>
            <w:tcW w:w="1558" w:type="dxa"/>
          </w:tcPr>
          <w:p w14:paraId="57FB88D0" w14:textId="29D5002F" w:rsidR="00F148E3" w:rsidRDefault="00F148E3" w:rsidP="00B01142">
            <w:pPr>
              <w:pStyle w:val="NoSpacing"/>
              <w:jc w:val="center"/>
            </w:pPr>
            <w:r>
              <w:t>Number of Parent Wells (Before Matching)</w:t>
            </w:r>
          </w:p>
        </w:tc>
        <w:tc>
          <w:tcPr>
            <w:tcW w:w="1558" w:type="dxa"/>
          </w:tcPr>
          <w:p w14:paraId="67BC8AC5" w14:textId="396D9D6E" w:rsidR="00F148E3" w:rsidRDefault="00F148E3" w:rsidP="00B01142">
            <w:pPr>
              <w:pStyle w:val="NoSpacing"/>
              <w:jc w:val="center"/>
            </w:pPr>
            <w:r>
              <w:t>Number of Child Wells (</w:t>
            </w:r>
            <w:r w:rsidR="003B01B4">
              <w:t>Before</w:t>
            </w:r>
            <w:r>
              <w:t xml:space="preserve"> Matching)</w:t>
            </w:r>
          </w:p>
        </w:tc>
        <w:tc>
          <w:tcPr>
            <w:tcW w:w="1558" w:type="dxa"/>
          </w:tcPr>
          <w:p w14:paraId="4724A765" w14:textId="47483098" w:rsidR="00F148E3" w:rsidRDefault="003B01B4" w:rsidP="00B01142">
            <w:pPr>
              <w:pStyle w:val="NoSpacing"/>
              <w:jc w:val="center"/>
            </w:pPr>
            <w:r>
              <w:t>Number of Parent Wells (</w:t>
            </w:r>
            <w:r w:rsidR="00FD2694">
              <w:t>After</w:t>
            </w:r>
            <w:r>
              <w:t xml:space="preserve"> Matching)</w:t>
            </w:r>
          </w:p>
        </w:tc>
        <w:tc>
          <w:tcPr>
            <w:tcW w:w="1559" w:type="dxa"/>
          </w:tcPr>
          <w:p w14:paraId="6436A2E2" w14:textId="07E6E5C9" w:rsidR="00F148E3" w:rsidRDefault="003B01B4" w:rsidP="00B01142">
            <w:pPr>
              <w:pStyle w:val="NoSpacing"/>
              <w:jc w:val="center"/>
            </w:pPr>
            <w:r>
              <w:t>Number of Child Wells (</w:t>
            </w:r>
            <w:r w:rsidR="00FD2694">
              <w:t>After</w:t>
            </w:r>
            <w:r>
              <w:t xml:space="preserve"> Matching)</w:t>
            </w:r>
          </w:p>
        </w:tc>
        <w:tc>
          <w:tcPr>
            <w:tcW w:w="1559" w:type="dxa"/>
          </w:tcPr>
          <w:p w14:paraId="1F13A619" w14:textId="5078F0DA" w:rsidR="00F148E3" w:rsidRDefault="007C0F6A" w:rsidP="00B01142">
            <w:pPr>
              <w:pStyle w:val="NoSpacing"/>
              <w:jc w:val="center"/>
            </w:pPr>
            <w:r>
              <w:t>Choice</w:t>
            </w:r>
            <w:r w:rsidR="003B01B4">
              <w:t xml:space="preserve"> of </w:t>
            </w:r>
            <w:r>
              <w:t>the Caliper</w:t>
            </w:r>
            <w:r w:rsidR="007F6B3F">
              <w:t xml:space="preserve"> value</w:t>
            </w:r>
            <w:r>
              <w:t xml:space="preserve"> selected</w:t>
            </w:r>
            <w:r w:rsidR="007F6B3F">
              <w:t xml:space="preserve"> for Matching</w:t>
            </w:r>
          </w:p>
        </w:tc>
      </w:tr>
      <w:tr w:rsidR="00F148E3" w14:paraId="01E91C5A" w14:textId="77777777" w:rsidTr="00F148E3">
        <w:tc>
          <w:tcPr>
            <w:tcW w:w="1558" w:type="dxa"/>
          </w:tcPr>
          <w:p w14:paraId="26BD54B0" w14:textId="0C1790E8" w:rsidR="00F148E3" w:rsidRDefault="00F148E3" w:rsidP="00B01142">
            <w:pPr>
              <w:pStyle w:val="para1"/>
              <w:spacing w:line="480" w:lineRule="auto"/>
              <w:ind w:firstLine="0"/>
              <w:jc w:val="center"/>
              <w:rPr>
                <w:rFonts w:eastAsiaTheme="minorEastAsia"/>
                <w:bCs/>
                <w:color w:val="000000"/>
                <w:szCs w:val="24"/>
              </w:rPr>
            </w:pPr>
            <w:r>
              <w:rPr>
                <w:rFonts w:eastAsiaTheme="minorEastAsia"/>
                <w:bCs/>
                <w:color w:val="000000"/>
                <w:szCs w:val="24"/>
              </w:rPr>
              <w:t>500 ft</w:t>
            </w:r>
          </w:p>
        </w:tc>
        <w:tc>
          <w:tcPr>
            <w:tcW w:w="1558" w:type="dxa"/>
          </w:tcPr>
          <w:p w14:paraId="4866A3DA" w14:textId="52C261C8" w:rsidR="00F148E3" w:rsidRDefault="009722AA" w:rsidP="00B01142">
            <w:pPr>
              <w:pStyle w:val="para1"/>
              <w:spacing w:line="480" w:lineRule="auto"/>
              <w:ind w:firstLine="0"/>
              <w:jc w:val="center"/>
              <w:rPr>
                <w:rFonts w:eastAsiaTheme="minorEastAsia"/>
                <w:bCs/>
                <w:color w:val="000000"/>
                <w:szCs w:val="24"/>
              </w:rPr>
            </w:pPr>
            <w:r>
              <w:rPr>
                <w:rFonts w:eastAsiaTheme="minorEastAsia"/>
                <w:bCs/>
                <w:color w:val="000000"/>
                <w:szCs w:val="24"/>
              </w:rPr>
              <w:t>384</w:t>
            </w:r>
          </w:p>
        </w:tc>
        <w:tc>
          <w:tcPr>
            <w:tcW w:w="1558" w:type="dxa"/>
          </w:tcPr>
          <w:p w14:paraId="24A8B9B7" w14:textId="0FD7541C" w:rsidR="00F148E3" w:rsidRDefault="009722AA" w:rsidP="00B01142">
            <w:pPr>
              <w:pStyle w:val="para1"/>
              <w:spacing w:line="480" w:lineRule="auto"/>
              <w:ind w:firstLine="0"/>
              <w:jc w:val="center"/>
              <w:rPr>
                <w:rFonts w:eastAsiaTheme="minorEastAsia"/>
                <w:bCs/>
                <w:color w:val="000000"/>
                <w:szCs w:val="24"/>
              </w:rPr>
            </w:pPr>
            <w:r>
              <w:rPr>
                <w:rFonts w:eastAsiaTheme="minorEastAsia"/>
                <w:bCs/>
                <w:color w:val="000000"/>
                <w:szCs w:val="24"/>
              </w:rPr>
              <w:t>221</w:t>
            </w:r>
          </w:p>
        </w:tc>
        <w:tc>
          <w:tcPr>
            <w:tcW w:w="1558" w:type="dxa"/>
          </w:tcPr>
          <w:p w14:paraId="77E95AF3" w14:textId="376FF686" w:rsidR="00F148E3" w:rsidRDefault="00D55A5F" w:rsidP="00B01142">
            <w:pPr>
              <w:pStyle w:val="para1"/>
              <w:spacing w:line="480" w:lineRule="auto"/>
              <w:ind w:firstLine="0"/>
              <w:jc w:val="center"/>
              <w:rPr>
                <w:rFonts w:eastAsiaTheme="minorEastAsia"/>
                <w:bCs/>
                <w:color w:val="000000"/>
                <w:szCs w:val="24"/>
              </w:rPr>
            </w:pPr>
            <w:r>
              <w:rPr>
                <w:rFonts w:eastAsiaTheme="minorEastAsia"/>
                <w:bCs/>
                <w:color w:val="000000"/>
                <w:szCs w:val="24"/>
              </w:rPr>
              <w:t>113</w:t>
            </w:r>
          </w:p>
        </w:tc>
        <w:tc>
          <w:tcPr>
            <w:tcW w:w="1559" w:type="dxa"/>
          </w:tcPr>
          <w:p w14:paraId="4E530254" w14:textId="3B19AE47" w:rsidR="00F148E3" w:rsidRDefault="00D55A5F" w:rsidP="00B01142">
            <w:pPr>
              <w:pStyle w:val="para1"/>
              <w:spacing w:line="480" w:lineRule="auto"/>
              <w:ind w:firstLine="0"/>
              <w:jc w:val="center"/>
              <w:rPr>
                <w:rFonts w:eastAsiaTheme="minorEastAsia"/>
                <w:bCs/>
                <w:color w:val="000000"/>
                <w:szCs w:val="24"/>
              </w:rPr>
            </w:pPr>
            <w:r>
              <w:rPr>
                <w:rFonts w:eastAsiaTheme="minorEastAsia"/>
                <w:bCs/>
                <w:color w:val="000000"/>
                <w:szCs w:val="24"/>
              </w:rPr>
              <w:t>113</w:t>
            </w:r>
          </w:p>
        </w:tc>
        <w:tc>
          <w:tcPr>
            <w:tcW w:w="1559" w:type="dxa"/>
          </w:tcPr>
          <w:p w14:paraId="618D39A3" w14:textId="032C5A12" w:rsidR="00F148E3" w:rsidRDefault="00673289" w:rsidP="00B01142">
            <w:pPr>
              <w:pStyle w:val="para1"/>
              <w:spacing w:line="480" w:lineRule="auto"/>
              <w:ind w:firstLine="0"/>
              <w:jc w:val="center"/>
              <w:rPr>
                <w:rFonts w:eastAsiaTheme="minorEastAsia"/>
                <w:bCs/>
                <w:color w:val="000000"/>
                <w:szCs w:val="24"/>
              </w:rPr>
            </w:pPr>
            <w:r w:rsidRPr="00673289">
              <w:rPr>
                <w:rFonts w:eastAsiaTheme="minorEastAsia"/>
                <w:bCs/>
                <w:color w:val="000000"/>
                <w:szCs w:val="24"/>
              </w:rPr>
              <w:t>0.0125</w:t>
            </w:r>
          </w:p>
        </w:tc>
      </w:tr>
      <w:tr w:rsidR="00F148E3" w14:paraId="7F1B94B1" w14:textId="77777777" w:rsidTr="00F148E3">
        <w:tc>
          <w:tcPr>
            <w:tcW w:w="1558" w:type="dxa"/>
          </w:tcPr>
          <w:p w14:paraId="66F15F04" w14:textId="7F1EBCF7" w:rsidR="00F148E3" w:rsidRDefault="00F148E3" w:rsidP="00B01142">
            <w:pPr>
              <w:pStyle w:val="para1"/>
              <w:spacing w:line="480" w:lineRule="auto"/>
              <w:ind w:firstLine="0"/>
              <w:jc w:val="center"/>
              <w:rPr>
                <w:rFonts w:eastAsiaTheme="minorEastAsia"/>
                <w:bCs/>
                <w:color w:val="000000"/>
                <w:szCs w:val="24"/>
              </w:rPr>
            </w:pPr>
            <w:r>
              <w:rPr>
                <w:rFonts w:eastAsiaTheme="minorEastAsia"/>
                <w:bCs/>
                <w:color w:val="000000"/>
                <w:szCs w:val="24"/>
              </w:rPr>
              <w:t>600 ft</w:t>
            </w:r>
          </w:p>
        </w:tc>
        <w:tc>
          <w:tcPr>
            <w:tcW w:w="1558" w:type="dxa"/>
          </w:tcPr>
          <w:p w14:paraId="54D710BE" w14:textId="47A6FA4A" w:rsidR="00F148E3" w:rsidRDefault="009D056C" w:rsidP="00B01142">
            <w:pPr>
              <w:pStyle w:val="para1"/>
              <w:spacing w:line="480" w:lineRule="auto"/>
              <w:ind w:firstLine="0"/>
              <w:jc w:val="center"/>
              <w:rPr>
                <w:rFonts w:eastAsiaTheme="minorEastAsia"/>
                <w:bCs/>
                <w:color w:val="000000"/>
                <w:szCs w:val="24"/>
              </w:rPr>
            </w:pPr>
            <w:r>
              <w:rPr>
                <w:rFonts w:eastAsiaTheme="minorEastAsia"/>
                <w:bCs/>
                <w:color w:val="000000"/>
                <w:szCs w:val="24"/>
              </w:rPr>
              <w:t>306</w:t>
            </w:r>
          </w:p>
        </w:tc>
        <w:tc>
          <w:tcPr>
            <w:tcW w:w="1558" w:type="dxa"/>
          </w:tcPr>
          <w:p w14:paraId="59AA3645" w14:textId="62754362" w:rsidR="00F148E3" w:rsidRDefault="009D056C" w:rsidP="00B01142">
            <w:pPr>
              <w:pStyle w:val="para1"/>
              <w:spacing w:line="480" w:lineRule="auto"/>
              <w:ind w:firstLine="0"/>
              <w:jc w:val="center"/>
              <w:rPr>
                <w:rFonts w:eastAsiaTheme="minorEastAsia"/>
                <w:bCs/>
                <w:color w:val="000000"/>
                <w:szCs w:val="24"/>
              </w:rPr>
            </w:pPr>
            <w:r>
              <w:rPr>
                <w:rFonts w:eastAsiaTheme="minorEastAsia"/>
                <w:bCs/>
                <w:color w:val="000000"/>
                <w:szCs w:val="24"/>
              </w:rPr>
              <w:t>299</w:t>
            </w:r>
          </w:p>
        </w:tc>
        <w:tc>
          <w:tcPr>
            <w:tcW w:w="1558" w:type="dxa"/>
          </w:tcPr>
          <w:p w14:paraId="71F0C875" w14:textId="38B34DA2" w:rsidR="00F148E3" w:rsidRDefault="00EB62DF" w:rsidP="00B01142">
            <w:pPr>
              <w:pStyle w:val="para1"/>
              <w:spacing w:line="480" w:lineRule="auto"/>
              <w:ind w:firstLine="0"/>
              <w:jc w:val="center"/>
              <w:rPr>
                <w:rFonts w:eastAsiaTheme="minorEastAsia"/>
                <w:bCs/>
                <w:color w:val="000000"/>
                <w:szCs w:val="24"/>
              </w:rPr>
            </w:pPr>
            <w:r>
              <w:rPr>
                <w:rFonts w:eastAsiaTheme="minorEastAsia"/>
                <w:bCs/>
                <w:color w:val="000000"/>
                <w:szCs w:val="24"/>
              </w:rPr>
              <w:t>137</w:t>
            </w:r>
          </w:p>
        </w:tc>
        <w:tc>
          <w:tcPr>
            <w:tcW w:w="1559" w:type="dxa"/>
          </w:tcPr>
          <w:p w14:paraId="3D473713" w14:textId="30DE226E" w:rsidR="00F148E3" w:rsidRDefault="00EB62DF" w:rsidP="00B01142">
            <w:pPr>
              <w:pStyle w:val="para1"/>
              <w:spacing w:line="480" w:lineRule="auto"/>
              <w:ind w:firstLine="0"/>
              <w:jc w:val="center"/>
              <w:rPr>
                <w:rFonts w:eastAsiaTheme="minorEastAsia"/>
                <w:bCs/>
                <w:color w:val="000000"/>
                <w:szCs w:val="24"/>
              </w:rPr>
            </w:pPr>
            <w:r>
              <w:rPr>
                <w:rFonts w:eastAsiaTheme="minorEastAsia"/>
                <w:bCs/>
                <w:color w:val="000000"/>
                <w:szCs w:val="24"/>
              </w:rPr>
              <w:t>137</w:t>
            </w:r>
          </w:p>
        </w:tc>
        <w:tc>
          <w:tcPr>
            <w:tcW w:w="1559" w:type="dxa"/>
          </w:tcPr>
          <w:p w14:paraId="7018B66E" w14:textId="182EDCA8" w:rsidR="00F148E3" w:rsidRDefault="00BB7CC5" w:rsidP="00B01142">
            <w:pPr>
              <w:pStyle w:val="para1"/>
              <w:spacing w:line="480" w:lineRule="auto"/>
              <w:ind w:firstLine="0"/>
              <w:jc w:val="center"/>
              <w:rPr>
                <w:rFonts w:eastAsiaTheme="minorEastAsia"/>
                <w:bCs/>
                <w:color w:val="000000"/>
                <w:szCs w:val="24"/>
              </w:rPr>
            </w:pPr>
            <w:r>
              <w:rPr>
                <w:rFonts w:eastAsiaTheme="minorEastAsia"/>
                <w:bCs/>
                <w:color w:val="000000"/>
                <w:szCs w:val="24"/>
              </w:rPr>
              <w:t>0.05</w:t>
            </w:r>
          </w:p>
        </w:tc>
      </w:tr>
      <w:tr w:rsidR="00F148E3" w14:paraId="71DE3CAD" w14:textId="77777777" w:rsidTr="00F148E3">
        <w:tc>
          <w:tcPr>
            <w:tcW w:w="1558" w:type="dxa"/>
          </w:tcPr>
          <w:p w14:paraId="60243885" w14:textId="594441C5" w:rsidR="00F148E3" w:rsidRDefault="00F148E3" w:rsidP="00B01142">
            <w:pPr>
              <w:pStyle w:val="para1"/>
              <w:spacing w:line="480" w:lineRule="auto"/>
              <w:ind w:firstLine="0"/>
              <w:jc w:val="center"/>
              <w:rPr>
                <w:rFonts w:eastAsiaTheme="minorEastAsia"/>
                <w:bCs/>
                <w:color w:val="000000"/>
                <w:szCs w:val="24"/>
              </w:rPr>
            </w:pPr>
            <w:r>
              <w:rPr>
                <w:rFonts w:eastAsiaTheme="minorEastAsia"/>
                <w:bCs/>
                <w:color w:val="000000"/>
                <w:szCs w:val="24"/>
              </w:rPr>
              <w:t>700 ft</w:t>
            </w:r>
          </w:p>
        </w:tc>
        <w:tc>
          <w:tcPr>
            <w:tcW w:w="1558" w:type="dxa"/>
          </w:tcPr>
          <w:p w14:paraId="689927A5" w14:textId="26DAF732" w:rsidR="00F148E3" w:rsidRDefault="00291C97" w:rsidP="00B01142">
            <w:pPr>
              <w:pStyle w:val="para1"/>
              <w:spacing w:line="480" w:lineRule="auto"/>
              <w:ind w:firstLine="0"/>
              <w:jc w:val="center"/>
              <w:rPr>
                <w:rFonts w:eastAsiaTheme="minorEastAsia"/>
                <w:bCs/>
                <w:color w:val="000000"/>
                <w:szCs w:val="24"/>
              </w:rPr>
            </w:pPr>
            <w:r>
              <w:rPr>
                <w:rFonts w:eastAsiaTheme="minorEastAsia"/>
                <w:bCs/>
                <w:color w:val="000000"/>
                <w:szCs w:val="24"/>
              </w:rPr>
              <w:t>256</w:t>
            </w:r>
          </w:p>
        </w:tc>
        <w:tc>
          <w:tcPr>
            <w:tcW w:w="1558" w:type="dxa"/>
          </w:tcPr>
          <w:p w14:paraId="5692E345" w14:textId="7CECE35A" w:rsidR="00F148E3" w:rsidRDefault="00291C97" w:rsidP="00B01142">
            <w:pPr>
              <w:pStyle w:val="para1"/>
              <w:spacing w:line="480" w:lineRule="auto"/>
              <w:ind w:firstLine="0"/>
              <w:jc w:val="center"/>
              <w:rPr>
                <w:rFonts w:eastAsiaTheme="minorEastAsia"/>
                <w:bCs/>
                <w:color w:val="000000"/>
                <w:szCs w:val="24"/>
              </w:rPr>
            </w:pPr>
            <w:r>
              <w:rPr>
                <w:rFonts w:eastAsiaTheme="minorEastAsia"/>
                <w:bCs/>
                <w:color w:val="000000"/>
                <w:szCs w:val="24"/>
              </w:rPr>
              <w:t>349</w:t>
            </w:r>
          </w:p>
        </w:tc>
        <w:tc>
          <w:tcPr>
            <w:tcW w:w="1558" w:type="dxa"/>
          </w:tcPr>
          <w:p w14:paraId="5C25B158" w14:textId="587D0BA2" w:rsidR="00F148E3" w:rsidRDefault="00E47BFD" w:rsidP="00B01142">
            <w:pPr>
              <w:pStyle w:val="para1"/>
              <w:spacing w:line="480" w:lineRule="auto"/>
              <w:ind w:firstLine="0"/>
              <w:jc w:val="center"/>
              <w:rPr>
                <w:rFonts w:eastAsiaTheme="minorEastAsia"/>
                <w:bCs/>
                <w:color w:val="000000"/>
                <w:szCs w:val="24"/>
              </w:rPr>
            </w:pPr>
            <w:r>
              <w:rPr>
                <w:rFonts w:eastAsiaTheme="minorEastAsia"/>
                <w:bCs/>
                <w:color w:val="000000"/>
                <w:szCs w:val="24"/>
              </w:rPr>
              <w:t>139</w:t>
            </w:r>
          </w:p>
        </w:tc>
        <w:tc>
          <w:tcPr>
            <w:tcW w:w="1559" w:type="dxa"/>
          </w:tcPr>
          <w:p w14:paraId="2D1170A9" w14:textId="7B6623EE" w:rsidR="00F148E3" w:rsidRDefault="00E47BFD" w:rsidP="00B01142">
            <w:pPr>
              <w:pStyle w:val="para1"/>
              <w:spacing w:line="480" w:lineRule="auto"/>
              <w:ind w:firstLine="0"/>
              <w:jc w:val="center"/>
              <w:rPr>
                <w:rFonts w:eastAsiaTheme="minorEastAsia"/>
                <w:bCs/>
                <w:color w:val="000000"/>
                <w:szCs w:val="24"/>
              </w:rPr>
            </w:pPr>
            <w:r>
              <w:rPr>
                <w:rFonts w:eastAsiaTheme="minorEastAsia"/>
                <w:bCs/>
                <w:color w:val="000000"/>
                <w:szCs w:val="24"/>
              </w:rPr>
              <w:t>139</w:t>
            </w:r>
          </w:p>
        </w:tc>
        <w:tc>
          <w:tcPr>
            <w:tcW w:w="1559" w:type="dxa"/>
          </w:tcPr>
          <w:p w14:paraId="111BC842" w14:textId="41C706E8" w:rsidR="00F148E3" w:rsidRDefault="003A6DA0" w:rsidP="00B01142">
            <w:pPr>
              <w:pStyle w:val="para1"/>
              <w:spacing w:line="480" w:lineRule="auto"/>
              <w:ind w:firstLine="0"/>
              <w:jc w:val="center"/>
              <w:rPr>
                <w:rFonts w:eastAsiaTheme="minorEastAsia"/>
                <w:bCs/>
                <w:color w:val="000000"/>
                <w:szCs w:val="24"/>
              </w:rPr>
            </w:pPr>
            <w:r>
              <w:rPr>
                <w:rFonts w:eastAsiaTheme="minorEastAsia"/>
                <w:bCs/>
                <w:color w:val="000000"/>
                <w:szCs w:val="24"/>
              </w:rPr>
              <w:t>0.0175</w:t>
            </w:r>
          </w:p>
        </w:tc>
      </w:tr>
      <w:tr w:rsidR="00F148E3" w14:paraId="7C160422" w14:textId="77777777" w:rsidTr="00F148E3">
        <w:tc>
          <w:tcPr>
            <w:tcW w:w="1558" w:type="dxa"/>
          </w:tcPr>
          <w:p w14:paraId="75CABB98" w14:textId="2A9C0E17" w:rsidR="00F148E3" w:rsidRDefault="00F148E3" w:rsidP="00B01142">
            <w:pPr>
              <w:pStyle w:val="para1"/>
              <w:spacing w:line="480" w:lineRule="auto"/>
              <w:ind w:firstLine="0"/>
              <w:jc w:val="center"/>
              <w:rPr>
                <w:rFonts w:eastAsiaTheme="minorEastAsia"/>
                <w:bCs/>
                <w:color w:val="000000"/>
                <w:szCs w:val="24"/>
              </w:rPr>
            </w:pPr>
            <w:r>
              <w:rPr>
                <w:rFonts w:eastAsiaTheme="minorEastAsia"/>
                <w:bCs/>
                <w:color w:val="000000"/>
                <w:szCs w:val="24"/>
              </w:rPr>
              <w:t>800 ft</w:t>
            </w:r>
          </w:p>
        </w:tc>
        <w:tc>
          <w:tcPr>
            <w:tcW w:w="1558" w:type="dxa"/>
          </w:tcPr>
          <w:p w14:paraId="7D8BB512" w14:textId="70856E37" w:rsidR="00F148E3" w:rsidRDefault="00291C97" w:rsidP="00B01142">
            <w:pPr>
              <w:pStyle w:val="para1"/>
              <w:spacing w:line="480" w:lineRule="auto"/>
              <w:ind w:firstLine="0"/>
              <w:jc w:val="center"/>
              <w:rPr>
                <w:rFonts w:eastAsiaTheme="minorEastAsia"/>
                <w:bCs/>
                <w:color w:val="000000"/>
                <w:szCs w:val="24"/>
              </w:rPr>
            </w:pPr>
            <w:r>
              <w:rPr>
                <w:rFonts w:eastAsiaTheme="minorEastAsia"/>
                <w:bCs/>
                <w:color w:val="000000"/>
                <w:szCs w:val="24"/>
              </w:rPr>
              <w:t>166</w:t>
            </w:r>
          </w:p>
        </w:tc>
        <w:tc>
          <w:tcPr>
            <w:tcW w:w="1558" w:type="dxa"/>
          </w:tcPr>
          <w:p w14:paraId="73AE614E" w14:textId="47FA8321" w:rsidR="00F148E3" w:rsidRDefault="00291C97" w:rsidP="00B01142">
            <w:pPr>
              <w:pStyle w:val="para1"/>
              <w:spacing w:line="480" w:lineRule="auto"/>
              <w:ind w:firstLine="0"/>
              <w:jc w:val="center"/>
              <w:rPr>
                <w:rFonts w:eastAsiaTheme="minorEastAsia"/>
                <w:bCs/>
                <w:color w:val="000000"/>
                <w:szCs w:val="24"/>
              </w:rPr>
            </w:pPr>
            <w:r>
              <w:rPr>
                <w:rFonts w:eastAsiaTheme="minorEastAsia"/>
                <w:bCs/>
                <w:color w:val="000000"/>
                <w:szCs w:val="24"/>
              </w:rPr>
              <w:t>439</w:t>
            </w:r>
          </w:p>
        </w:tc>
        <w:tc>
          <w:tcPr>
            <w:tcW w:w="1558" w:type="dxa"/>
          </w:tcPr>
          <w:p w14:paraId="03D7F197" w14:textId="18E1892C" w:rsidR="00F148E3" w:rsidRDefault="006967F2" w:rsidP="00B01142">
            <w:pPr>
              <w:pStyle w:val="para1"/>
              <w:spacing w:line="480" w:lineRule="auto"/>
              <w:ind w:firstLine="0"/>
              <w:jc w:val="center"/>
              <w:rPr>
                <w:rFonts w:eastAsiaTheme="minorEastAsia"/>
                <w:bCs/>
                <w:color w:val="000000"/>
                <w:szCs w:val="24"/>
              </w:rPr>
            </w:pPr>
            <w:r>
              <w:rPr>
                <w:rFonts w:eastAsiaTheme="minorEastAsia"/>
                <w:bCs/>
                <w:color w:val="000000"/>
                <w:szCs w:val="24"/>
              </w:rPr>
              <w:t>105</w:t>
            </w:r>
          </w:p>
        </w:tc>
        <w:tc>
          <w:tcPr>
            <w:tcW w:w="1559" w:type="dxa"/>
          </w:tcPr>
          <w:p w14:paraId="0E5BD1E6" w14:textId="06189404" w:rsidR="00F148E3" w:rsidRDefault="006967F2" w:rsidP="00B01142">
            <w:pPr>
              <w:pStyle w:val="para1"/>
              <w:spacing w:line="480" w:lineRule="auto"/>
              <w:ind w:firstLine="0"/>
              <w:jc w:val="center"/>
              <w:rPr>
                <w:rFonts w:eastAsiaTheme="minorEastAsia"/>
                <w:bCs/>
                <w:color w:val="000000"/>
                <w:szCs w:val="24"/>
              </w:rPr>
            </w:pPr>
            <w:r>
              <w:rPr>
                <w:rFonts w:eastAsiaTheme="minorEastAsia"/>
                <w:bCs/>
                <w:color w:val="000000"/>
                <w:szCs w:val="24"/>
              </w:rPr>
              <w:t>105</w:t>
            </w:r>
          </w:p>
        </w:tc>
        <w:tc>
          <w:tcPr>
            <w:tcW w:w="1559" w:type="dxa"/>
          </w:tcPr>
          <w:p w14:paraId="73902630" w14:textId="7D7778D9" w:rsidR="00F148E3" w:rsidRDefault="003E7938" w:rsidP="00B01142">
            <w:pPr>
              <w:pStyle w:val="para1"/>
              <w:keepNext/>
              <w:spacing w:line="480" w:lineRule="auto"/>
              <w:ind w:firstLine="0"/>
              <w:jc w:val="center"/>
              <w:rPr>
                <w:rFonts w:eastAsiaTheme="minorEastAsia"/>
                <w:bCs/>
                <w:color w:val="000000"/>
                <w:szCs w:val="24"/>
              </w:rPr>
            </w:pPr>
            <w:r w:rsidRPr="003E7938">
              <w:rPr>
                <w:rFonts w:eastAsiaTheme="minorEastAsia"/>
                <w:bCs/>
                <w:color w:val="000000"/>
                <w:szCs w:val="24"/>
              </w:rPr>
              <w:t>0.015</w:t>
            </w:r>
          </w:p>
        </w:tc>
      </w:tr>
    </w:tbl>
    <w:p w14:paraId="2CDD1F2D" w14:textId="77777777" w:rsidR="00B01142" w:rsidRPr="00F941B6" w:rsidRDefault="00B01142" w:rsidP="00F941B6">
      <w:pPr>
        <w:spacing w:after="0" w:line="240" w:lineRule="auto"/>
        <w:jc w:val="left"/>
        <w:rPr>
          <w:rFonts w:eastAsia="Times New Roman" w:cs="Times New Roman"/>
          <w:color w:val="000000"/>
          <w:szCs w:val="24"/>
        </w:rPr>
      </w:pPr>
    </w:p>
    <w:p w14:paraId="23C9EF24" w14:textId="685B4449" w:rsidR="00BE1CDE" w:rsidRDefault="001C7F5B" w:rsidP="001C7F5B">
      <w:pPr>
        <w:pStyle w:val="Caption"/>
        <w:rPr>
          <w:rFonts w:ascii="Arial" w:hAnsi="Arial" w:cs="Times New Roman"/>
          <w:i w:val="0"/>
          <w:iCs w:val="0"/>
          <w:color w:val="000000"/>
          <w:sz w:val="16"/>
          <w:szCs w:val="24"/>
        </w:rPr>
      </w:pPr>
      <w:bookmarkStart w:id="54" w:name="_Toc58667120"/>
      <w:r w:rsidRPr="00B01142">
        <w:rPr>
          <w:rFonts w:ascii="Arial" w:hAnsi="Arial" w:cs="Times New Roman"/>
          <w:i w:val="0"/>
          <w:iCs w:val="0"/>
          <w:color w:val="000000"/>
          <w:sz w:val="16"/>
          <w:szCs w:val="24"/>
        </w:rPr>
        <w:t xml:space="preserve">Table 2. </w:t>
      </w:r>
      <w:r w:rsidRPr="00B01142">
        <w:rPr>
          <w:rFonts w:ascii="Arial" w:hAnsi="Arial" w:cs="Times New Roman"/>
          <w:i w:val="0"/>
          <w:iCs w:val="0"/>
          <w:color w:val="000000"/>
          <w:sz w:val="16"/>
          <w:szCs w:val="24"/>
        </w:rPr>
        <w:fldChar w:fldCharType="begin"/>
      </w:r>
      <w:r w:rsidRPr="00B01142">
        <w:rPr>
          <w:rFonts w:ascii="Arial" w:hAnsi="Arial" w:cs="Times New Roman"/>
          <w:i w:val="0"/>
          <w:iCs w:val="0"/>
          <w:color w:val="000000"/>
          <w:sz w:val="16"/>
          <w:szCs w:val="24"/>
        </w:rPr>
        <w:instrText xml:space="preserve"> SEQ Table_2. \* ARABIC </w:instrText>
      </w:r>
      <w:r w:rsidRPr="00B01142">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6</w:t>
      </w:r>
      <w:r w:rsidRPr="00B01142">
        <w:rPr>
          <w:rFonts w:ascii="Arial" w:hAnsi="Arial" w:cs="Times New Roman"/>
          <w:i w:val="0"/>
          <w:iCs w:val="0"/>
          <w:color w:val="000000"/>
          <w:sz w:val="16"/>
          <w:szCs w:val="24"/>
        </w:rPr>
        <w:fldChar w:fldCharType="end"/>
      </w:r>
      <w:r w:rsidR="00B01142" w:rsidRPr="00B01142">
        <w:rPr>
          <w:rFonts w:ascii="Arial" w:hAnsi="Arial" w:cs="Times New Roman"/>
          <w:i w:val="0"/>
          <w:iCs w:val="0"/>
          <w:color w:val="000000"/>
          <w:sz w:val="16"/>
          <w:szCs w:val="24"/>
        </w:rPr>
        <w:t>—</w:t>
      </w:r>
      <w:r w:rsidRPr="00BE1CDE">
        <w:rPr>
          <w:rFonts w:ascii="Arial" w:hAnsi="Arial" w:cs="Times New Roman"/>
          <w:i w:val="0"/>
          <w:iCs w:val="0"/>
          <w:color w:val="000000"/>
          <w:sz w:val="16"/>
          <w:szCs w:val="24"/>
        </w:rPr>
        <w:t>The number of parent wells and child wells before and after matching along with the choice of the caliper used for obtaining the best possible balance in the matching process for the 4 well spacing options considered with outcome cumulative 360-day production</w:t>
      </w:r>
      <w:r>
        <w:rPr>
          <w:rFonts w:ascii="Arial" w:hAnsi="Arial" w:cs="Times New Roman"/>
          <w:i w:val="0"/>
          <w:iCs w:val="0"/>
          <w:color w:val="000000"/>
          <w:sz w:val="16"/>
          <w:szCs w:val="24"/>
        </w:rPr>
        <w:t xml:space="preserve"> </w:t>
      </w:r>
      <w:r w:rsidRPr="00BE1CDE">
        <w:rPr>
          <w:rFonts w:ascii="Arial" w:hAnsi="Arial" w:cs="Times New Roman"/>
          <w:i w:val="0"/>
          <w:iCs w:val="0"/>
          <w:color w:val="000000"/>
          <w:sz w:val="16"/>
          <w:szCs w:val="24"/>
        </w:rPr>
        <w:t>normalized</w:t>
      </w:r>
      <w:r>
        <w:rPr>
          <w:rFonts w:ascii="Arial" w:hAnsi="Arial" w:cs="Times New Roman"/>
          <w:i w:val="0"/>
          <w:iCs w:val="0"/>
          <w:color w:val="000000"/>
          <w:sz w:val="16"/>
          <w:szCs w:val="24"/>
        </w:rPr>
        <w:t xml:space="preserve"> to lateral length</w:t>
      </w:r>
      <w:r>
        <w:rPr>
          <w:rFonts w:ascii="Arial" w:hAnsi="Arial"/>
          <w:color w:val="000000"/>
          <w:sz w:val="16"/>
          <w:szCs w:val="24"/>
        </w:rPr>
        <w:t>.</w:t>
      </w:r>
      <w:bookmarkEnd w:id="54"/>
    </w:p>
    <w:p w14:paraId="66D4F34E" w14:textId="1286EA81" w:rsidR="00B94DF8" w:rsidRDefault="00B94DF8" w:rsidP="00B94DF8"/>
    <w:p w14:paraId="5CDF114E" w14:textId="74E58625" w:rsidR="00B94DF8" w:rsidRDefault="00B94DF8" w:rsidP="002E3804"/>
    <w:p w14:paraId="245837FF" w14:textId="5DA5C940" w:rsidR="00F941B6" w:rsidRDefault="00F941B6" w:rsidP="002E3804"/>
    <w:p w14:paraId="3C268F7E" w14:textId="77777777" w:rsidR="00F941B6" w:rsidRPr="002E3804" w:rsidRDefault="00F941B6" w:rsidP="002E3804"/>
    <w:p w14:paraId="30A7D401" w14:textId="317D0A59" w:rsidR="004266B1" w:rsidRDefault="004266B1" w:rsidP="00F77298">
      <w:pPr>
        <w:pStyle w:val="para1"/>
        <w:spacing w:line="480" w:lineRule="auto"/>
        <w:rPr>
          <w:rFonts w:ascii="Arial" w:eastAsiaTheme="minorHAnsi" w:hAnsi="Arial"/>
          <w:b/>
          <w:color w:val="000000"/>
          <w:sz w:val="16"/>
          <w:szCs w:val="24"/>
        </w:rPr>
      </w:pPr>
    </w:p>
    <w:p w14:paraId="216AE98B" w14:textId="7C4F7C95" w:rsidR="005145D5" w:rsidRPr="002E3804" w:rsidRDefault="001C0B42" w:rsidP="00386EBE">
      <w:pPr>
        <w:pStyle w:val="para1"/>
        <w:numPr>
          <w:ilvl w:val="0"/>
          <w:numId w:val="1"/>
        </w:numPr>
        <w:spacing w:line="480" w:lineRule="auto"/>
        <w:ind w:left="180" w:hanging="180"/>
      </w:pPr>
      <w:r>
        <w:rPr>
          <w:rFonts w:eastAsiaTheme="minorHAnsi"/>
          <w:i/>
          <w:iCs/>
          <w:color w:val="000000"/>
          <w:szCs w:val="24"/>
        </w:rPr>
        <w:lastRenderedPageBreak/>
        <w:t>Causal</w:t>
      </w:r>
      <w:r w:rsidR="005145D5" w:rsidRPr="00DB055E">
        <w:rPr>
          <w:rFonts w:eastAsiaTheme="minorHAnsi"/>
          <w:i/>
          <w:iCs/>
          <w:color w:val="000000"/>
          <w:szCs w:val="24"/>
        </w:rPr>
        <w:t xml:space="preserve"> </w:t>
      </w:r>
      <w:r w:rsidR="004F477A" w:rsidRPr="00DB055E">
        <w:rPr>
          <w:rFonts w:eastAsiaTheme="minorHAnsi"/>
          <w:i/>
          <w:iCs/>
          <w:color w:val="000000"/>
          <w:szCs w:val="24"/>
        </w:rPr>
        <w:t>E</w:t>
      </w:r>
      <w:r w:rsidR="005145D5" w:rsidRPr="00DB055E">
        <w:rPr>
          <w:rFonts w:eastAsiaTheme="minorHAnsi"/>
          <w:i/>
          <w:iCs/>
          <w:color w:val="000000"/>
          <w:szCs w:val="24"/>
        </w:rPr>
        <w:t>ffect</w:t>
      </w:r>
      <w:r w:rsidR="004F477A" w:rsidRPr="00DB055E">
        <w:rPr>
          <w:rFonts w:eastAsiaTheme="minorHAnsi"/>
          <w:i/>
          <w:iCs/>
          <w:color w:val="000000"/>
          <w:szCs w:val="24"/>
        </w:rPr>
        <w:t xml:space="preserve"> Estimation</w:t>
      </w:r>
    </w:p>
    <w:p w14:paraId="1C103E36" w14:textId="6C353E22" w:rsidR="00B94DF8" w:rsidRDefault="00B94DF8" w:rsidP="00850B54">
      <w:pPr>
        <w:pStyle w:val="para1"/>
        <w:spacing w:line="480" w:lineRule="auto"/>
        <w:ind w:firstLine="0"/>
      </w:pPr>
      <w:r>
        <w:t xml:space="preserve">The final step in the </w:t>
      </w:r>
      <w:r w:rsidR="00ED6DC1">
        <w:t>c</w:t>
      </w:r>
      <w:r>
        <w:t xml:space="preserve">ausal </w:t>
      </w:r>
      <w:r w:rsidR="00ED6DC1">
        <w:t>i</w:t>
      </w:r>
      <w:r>
        <w:t xml:space="preserve">nference workflow is the estimation of the causal effect well spacing on well performance. As mentioned earlier, causal effects are differences in the means of potential outcomes for both groups </w:t>
      </w:r>
      <w:r>
        <w:rPr>
          <w:rFonts w:eastAsiaTheme="minorHAnsi" w:cstheme="minorBidi"/>
          <w:color w:val="002060"/>
          <w:szCs w:val="24"/>
        </w:rPr>
        <w:t>(</w:t>
      </w:r>
      <w:r w:rsidRPr="00226039">
        <w:rPr>
          <w:rFonts w:eastAsiaTheme="minorHAnsi" w:cstheme="minorBidi"/>
          <w:color w:val="002060"/>
          <w:szCs w:val="24"/>
        </w:rPr>
        <w:t>Morgan and Winship 20</w:t>
      </w:r>
      <w:r w:rsidR="008E2F13">
        <w:rPr>
          <w:rFonts w:eastAsiaTheme="minorHAnsi" w:cstheme="minorBidi"/>
          <w:color w:val="002060"/>
          <w:szCs w:val="24"/>
        </w:rPr>
        <w:t>14</w:t>
      </w:r>
      <w:r>
        <w:rPr>
          <w:rFonts w:eastAsiaTheme="minorHAnsi" w:cstheme="minorBidi"/>
          <w:color w:val="002060"/>
          <w:szCs w:val="24"/>
        </w:rPr>
        <w:t xml:space="preserve">; </w:t>
      </w:r>
      <w:r w:rsidRPr="00226039">
        <w:rPr>
          <w:rFonts w:eastAsiaTheme="minorHAnsi" w:cstheme="minorBidi"/>
          <w:color w:val="002060"/>
          <w:szCs w:val="24"/>
        </w:rPr>
        <w:t>Imbens and Rubin 2015</w:t>
      </w:r>
      <w:r>
        <w:rPr>
          <w:rFonts w:eastAsiaTheme="minorHAnsi" w:cstheme="minorBidi"/>
          <w:color w:val="002060"/>
          <w:szCs w:val="24"/>
        </w:rPr>
        <w:t>)</w:t>
      </w:r>
      <w:r>
        <w:t xml:space="preserve">.  As a reminder, the potential outcomes are the calculated responses for treatment subjects if they did not receive the treatment and </w:t>
      </w:r>
      <w:r w:rsidR="00103117">
        <w:t xml:space="preserve">the </w:t>
      </w:r>
      <w:r w:rsidR="00B04725">
        <w:t xml:space="preserve">calculated </w:t>
      </w:r>
      <w:r w:rsidR="00103117">
        <w:t>responses for control subjects if they receive</w:t>
      </w:r>
      <w:r w:rsidR="00B04725">
        <w:t>d</w:t>
      </w:r>
      <w:r w:rsidR="00103117">
        <w:t xml:space="preserve"> the </w:t>
      </w:r>
      <w:r w:rsidR="00B04725">
        <w:t>treatment.</w:t>
      </w:r>
    </w:p>
    <w:p w14:paraId="451396A5" w14:textId="6C3BAB9C" w:rsidR="00DD70EA" w:rsidRDefault="00B94DF8" w:rsidP="00B94DF8">
      <w:pPr>
        <w:pStyle w:val="para1"/>
        <w:spacing w:line="480" w:lineRule="auto"/>
      </w:pPr>
      <w:r>
        <w:t xml:space="preserve">In order to predict the potential outcomes, </w:t>
      </w:r>
      <w:r w:rsidRPr="00EB288F">
        <w:t>I</w:t>
      </w:r>
      <w:r>
        <w:t xml:space="preserve"> build a random forest regression model </w:t>
      </w:r>
      <w:r w:rsidR="00046476">
        <w:t>(</w:t>
      </w:r>
      <w:r w:rsidR="00EE7FAF" w:rsidRPr="008E2F13">
        <w:rPr>
          <w:rFonts w:eastAsiaTheme="minorHAnsi" w:cstheme="minorBidi"/>
          <w:color w:val="002060"/>
          <w:szCs w:val="24"/>
        </w:rPr>
        <w:t>Ho 1995</w:t>
      </w:r>
      <w:r w:rsidR="00424A90" w:rsidRPr="008E2F13">
        <w:rPr>
          <w:rFonts w:eastAsiaTheme="minorHAnsi" w:cstheme="minorBidi"/>
          <w:color w:val="002060"/>
          <w:szCs w:val="24"/>
        </w:rPr>
        <w:t>;</w:t>
      </w:r>
      <w:r w:rsidR="00424A90">
        <w:t xml:space="preserve"> </w:t>
      </w:r>
      <w:r w:rsidR="00293C5F">
        <w:t>Breiman</w:t>
      </w:r>
      <w:r w:rsidR="00046476" w:rsidRPr="008E2F13">
        <w:rPr>
          <w:rFonts w:eastAsiaTheme="minorHAnsi" w:cstheme="minorBidi"/>
          <w:color w:val="002060"/>
          <w:szCs w:val="24"/>
        </w:rPr>
        <w:t xml:space="preserve"> 2001</w:t>
      </w:r>
      <w:r w:rsidR="00046476">
        <w:t xml:space="preserve">) </w:t>
      </w:r>
      <w:r>
        <w:t xml:space="preserve">between the outcomes: 180-day and </w:t>
      </w:r>
      <w:r w:rsidRPr="0078633D">
        <w:t>360</w:t>
      </w:r>
      <w:r>
        <w:t xml:space="preserve">-day </w:t>
      </w:r>
      <w:r w:rsidR="009B039F">
        <w:t>c</w:t>
      </w:r>
      <w:r w:rsidR="009B039F" w:rsidRPr="0078633D">
        <w:t>um</w:t>
      </w:r>
      <w:r w:rsidR="009B039F">
        <w:t>ulative</w:t>
      </w:r>
      <w:r w:rsidR="009B039F" w:rsidRPr="0078633D">
        <w:t xml:space="preserve"> </w:t>
      </w:r>
      <w:r>
        <w:t>production numbers normalized to l</w:t>
      </w:r>
      <w:r w:rsidRPr="0078633D">
        <w:t xml:space="preserve">ateral </w:t>
      </w:r>
      <w:r>
        <w:t>l</w:t>
      </w:r>
      <w:r w:rsidRPr="0078633D">
        <w:t xml:space="preserve">ength for the </w:t>
      </w:r>
      <w:r>
        <w:t xml:space="preserve">matched child </w:t>
      </w:r>
      <w:r w:rsidRPr="0078633D">
        <w:t>wells</w:t>
      </w:r>
      <w:r>
        <w:t xml:space="preserve"> </w:t>
      </w:r>
      <w:r w:rsidRPr="0078633D">
        <w:t>and th</w:t>
      </w:r>
      <w:r>
        <w:t xml:space="preserve">eir </w:t>
      </w:r>
      <w:r w:rsidRPr="0078633D">
        <w:t>covariates.</w:t>
      </w:r>
      <w:r>
        <w:t xml:space="preserve"> Then, I predict the potential outcome using matched parent well covariates. In a similar manner, I build another random forest regression model between the outcomes: 180-day and </w:t>
      </w:r>
      <w:r w:rsidRPr="0078633D">
        <w:t>360</w:t>
      </w:r>
      <w:r>
        <w:t>-day</w:t>
      </w:r>
      <w:r w:rsidR="009B039F" w:rsidRPr="009B039F">
        <w:t xml:space="preserve"> </w:t>
      </w:r>
      <w:r w:rsidR="009B039F">
        <w:t>cumulative</w:t>
      </w:r>
      <w:r>
        <w:t xml:space="preserve"> production numbers normalized to l</w:t>
      </w:r>
      <w:r w:rsidRPr="0078633D">
        <w:t xml:space="preserve">ateral </w:t>
      </w:r>
      <w:r>
        <w:t>l</w:t>
      </w:r>
      <w:r w:rsidRPr="0078633D">
        <w:t xml:space="preserve">ength for the </w:t>
      </w:r>
      <w:r>
        <w:t xml:space="preserve">matched parent </w:t>
      </w:r>
      <w:r w:rsidRPr="0078633D">
        <w:t>wells</w:t>
      </w:r>
      <w:r w:rsidR="0096132C">
        <w:t xml:space="preserve"> </w:t>
      </w:r>
      <w:r w:rsidRPr="0078633D">
        <w:t>and th</w:t>
      </w:r>
      <w:r>
        <w:t xml:space="preserve">eir </w:t>
      </w:r>
      <w:r w:rsidRPr="0078633D">
        <w:t>covariates.</w:t>
      </w:r>
      <w:r>
        <w:t xml:space="preserve"> Then, </w:t>
      </w:r>
      <w:r w:rsidR="008C5947">
        <w:t xml:space="preserve">I </w:t>
      </w:r>
      <w:r>
        <w:t xml:space="preserve">fit this model with child wells (matched) covariates. This model gives the predicted potential outcomes for the parent wells. The causal effect of well spacing on well performance is given by the group mean difference between these two predicted potential outcomes for the child and parent well groups </w:t>
      </w:r>
      <w:r w:rsidR="00913B4B">
        <w:rPr>
          <w:rFonts w:eastAsiaTheme="minorHAnsi" w:cstheme="minorBidi"/>
          <w:color w:val="002060"/>
          <w:szCs w:val="24"/>
        </w:rPr>
        <w:t>(</w:t>
      </w:r>
      <w:r w:rsidRPr="00626A23">
        <w:rPr>
          <w:rFonts w:eastAsiaTheme="minorHAnsi" w:cstheme="minorBidi"/>
          <w:color w:val="002060"/>
          <w:szCs w:val="24"/>
        </w:rPr>
        <w:t>Ho et al. 2011</w:t>
      </w:r>
      <w:r w:rsidR="00885424">
        <w:rPr>
          <w:rFonts w:eastAsiaTheme="minorHAnsi" w:cstheme="minorBidi"/>
          <w:color w:val="002060"/>
          <w:szCs w:val="24"/>
        </w:rPr>
        <w:t>)</w:t>
      </w:r>
      <w:r w:rsidR="00885424">
        <w:t>.</w:t>
      </w:r>
      <w:r w:rsidR="00870F39">
        <w:t xml:space="preserve"> </w:t>
      </w:r>
    </w:p>
    <w:p w14:paraId="73476DDA" w14:textId="3FD554EF" w:rsidR="009D0222" w:rsidRDefault="00BC77F7" w:rsidP="00B94DF8">
      <w:pPr>
        <w:pStyle w:val="para1"/>
        <w:spacing w:line="480" w:lineRule="auto"/>
      </w:pPr>
      <w:r w:rsidRPr="008C744C">
        <w:rPr>
          <w:b/>
          <w:bCs/>
        </w:rPr>
        <w:t xml:space="preserve">Fig. </w:t>
      </w:r>
      <w:r w:rsidR="00B73BF3">
        <w:rPr>
          <w:b/>
          <w:bCs/>
        </w:rPr>
        <w:t>2.2</w:t>
      </w:r>
      <w:r w:rsidR="007D275A">
        <w:rPr>
          <w:b/>
          <w:bCs/>
        </w:rPr>
        <w:t>4</w:t>
      </w:r>
      <w:r w:rsidR="00FF42E7">
        <w:t xml:space="preserve"> shows the predicted potential outcomes of the matched child wells at 700 ft well versus their actual outcome. </w:t>
      </w:r>
    </w:p>
    <w:p w14:paraId="3BDF5D2A" w14:textId="77777777" w:rsidR="00193062" w:rsidRDefault="0035637D" w:rsidP="00193062">
      <w:pPr>
        <w:pStyle w:val="para1"/>
        <w:keepNext/>
        <w:spacing w:line="480" w:lineRule="auto"/>
        <w:jc w:val="center"/>
      </w:pPr>
      <w:r>
        <w:rPr>
          <w:noProof/>
        </w:rPr>
        <w:lastRenderedPageBreak/>
        <w:drawing>
          <wp:inline distT="0" distB="0" distL="0" distR="0" wp14:anchorId="74F57E70" wp14:editId="0900769E">
            <wp:extent cx="4810125" cy="3267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810125" cy="3267075"/>
                    </a:xfrm>
                    <a:prstGeom prst="rect">
                      <a:avLst/>
                    </a:prstGeom>
                  </pic:spPr>
                </pic:pic>
              </a:graphicData>
            </a:graphic>
          </wp:inline>
        </w:drawing>
      </w:r>
    </w:p>
    <w:p w14:paraId="3566F507" w14:textId="06032FC1" w:rsidR="00D01699" w:rsidRDefault="00193062" w:rsidP="00193062">
      <w:pPr>
        <w:pStyle w:val="Caption"/>
      </w:pPr>
      <w:bookmarkStart w:id="55" w:name="_Toc58667157"/>
      <w:r w:rsidRPr="00193062">
        <w:rPr>
          <w:rFonts w:ascii="Arial" w:hAnsi="Arial" w:cs="Arial"/>
          <w:i w:val="0"/>
          <w:iCs w:val="0"/>
          <w:sz w:val="16"/>
          <w:szCs w:val="16"/>
        </w:rPr>
        <w:t xml:space="preserve">Fig. 2. </w:t>
      </w:r>
      <w:r w:rsidRPr="00193062">
        <w:rPr>
          <w:rFonts w:ascii="Arial" w:hAnsi="Arial" w:cs="Arial"/>
          <w:i w:val="0"/>
          <w:iCs w:val="0"/>
          <w:sz w:val="16"/>
          <w:szCs w:val="16"/>
        </w:rPr>
        <w:fldChar w:fldCharType="begin"/>
      </w:r>
      <w:r w:rsidRPr="00193062">
        <w:rPr>
          <w:rFonts w:ascii="Arial" w:hAnsi="Arial" w:cs="Arial"/>
          <w:i w:val="0"/>
          <w:iCs w:val="0"/>
          <w:sz w:val="16"/>
          <w:szCs w:val="16"/>
        </w:rPr>
        <w:instrText xml:space="preserve"> SEQ Fig._2. \* ARABIC </w:instrText>
      </w:r>
      <w:r w:rsidRPr="00193062">
        <w:rPr>
          <w:rFonts w:ascii="Arial" w:hAnsi="Arial" w:cs="Arial"/>
          <w:i w:val="0"/>
          <w:iCs w:val="0"/>
          <w:sz w:val="16"/>
          <w:szCs w:val="16"/>
        </w:rPr>
        <w:fldChar w:fldCharType="separate"/>
      </w:r>
      <w:r w:rsidR="00D006A5">
        <w:rPr>
          <w:rFonts w:ascii="Arial" w:hAnsi="Arial" w:cs="Arial"/>
          <w:i w:val="0"/>
          <w:iCs w:val="0"/>
          <w:noProof/>
          <w:sz w:val="16"/>
          <w:szCs w:val="16"/>
        </w:rPr>
        <w:t>24</w:t>
      </w:r>
      <w:r w:rsidRPr="00193062">
        <w:rPr>
          <w:rFonts w:ascii="Arial" w:hAnsi="Arial" w:cs="Arial"/>
          <w:i w:val="0"/>
          <w:iCs w:val="0"/>
          <w:sz w:val="16"/>
          <w:szCs w:val="16"/>
        </w:rPr>
        <w:fldChar w:fldCharType="end"/>
      </w:r>
      <w:r>
        <w:rPr>
          <w:rFonts w:ascii="Arial" w:hAnsi="Arial" w:cs="Arial"/>
          <w:i w:val="0"/>
          <w:iCs w:val="0"/>
          <w:sz w:val="16"/>
          <w:szCs w:val="16"/>
        </w:rPr>
        <w:t>—</w:t>
      </w:r>
      <w:r w:rsidRPr="004E387C">
        <w:rPr>
          <w:rFonts w:ascii="Arial" w:hAnsi="Arial" w:cs="Arial"/>
          <w:i w:val="0"/>
          <w:iCs w:val="0"/>
          <w:sz w:val="16"/>
          <w:szCs w:val="16"/>
        </w:rPr>
        <w:t xml:space="preserve"> Plot of child well potential outcome (bbl/ft) versus child well actual outcome (bbl/ft)</w:t>
      </w:r>
      <w:r>
        <w:rPr>
          <w:rFonts w:ascii="Arial" w:hAnsi="Arial" w:cs="Arial"/>
          <w:i w:val="0"/>
          <w:iCs w:val="0"/>
          <w:sz w:val="16"/>
          <w:szCs w:val="16"/>
        </w:rPr>
        <w:t>.</w:t>
      </w:r>
      <w:bookmarkEnd w:id="55"/>
    </w:p>
    <w:p w14:paraId="35C1CF76" w14:textId="762820B9" w:rsidR="00C115DF" w:rsidRDefault="00723E62" w:rsidP="00C115DF">
      <w:pPr>
        <w:pStyle w:val="para1"/>
        <w:spacing w:line="480" w:lineRule="auto"/>
      </w:pPr>
      <w:r w:rsidRPr="008C744C">
        <w:rPr>
          <w:b/>
          <w:bCs/>
        </w:rPr>
        <w:t xml:space="preserve">Fig. </w:t>
      </w:r>
      <w:r>
        <w:rPr>
          <w:b/>
          <w:bCs/>
        </w:rPr>
        <w:t>2.2</w:t>
      </w:r>
      <w:r w:rsidR="0035637D">
        <w:rPr>
          <w:b/>
          <w:bCs/>
        </w:rPr>
        <w:t>5</w:t>
      </w:r>
      <w:r>
        <w:t xml:space="preserve"> </w:t>
      </w:r>
      <w:r w:rsidR="00E35979">
        <w:t xml:space="preserve">shows </w:t>
      </w:r>
      <w:r w:rsidR="00471C97">
        <w:t xml:space="preserve">the predicted potential outcomes of the matched </w:t>
      </w:r>
      <w:r w:rsidR="00193062">
        <w:t>parent</w:t>
      </w:r>
      <w:r w:rsidR="00471C97">
        <w:t xml:space="preserve"> wells at 700 ft well versus their actual outcome. </w:t>
      </w:r>
    </w:p>
    <w:p w14:paraId="3CCFF83A" w14:textId="77777777" w:rsidR="00193062" w:rsidRDefault="00BA3BCC" w:rsidP="00193062">
      <w:pPr>
        <w:pStyle w:val="para1"/>
        <w:keepNext/>
        <w:spacing w:line="480" w:lineRule="auto"/>
        <w:jc w:val="center"/>
      </w:pPr>
      <w:r>
        <w:rPr>
          <w:noProof/>
        </w:rPr>
        <w:drawing>
          <wp:inline distT="0" distB="0" distL="0" distR="0" wp14:anchorId="0468FB9B" wp14:editId="28C5B26E">
            <wp:extent cx="4296698" cy="305562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304327" cy="3061045"/>
                    </a:xfrm>
                    <a:prstGeom prst="rect">
                      <a:avLst/>
                    </a:prstGeom>
                  </pic:spPr>
                </pic:pic>
              </a:graphicData>
            </a:graphic>
          </wp:inline>
        </w:drawing>
      </w:r>
    </w:p>
    <w:p w14:paraId="13715EDD" w14:textId="5992F9F4" w:rsidR="00193062" w:rsidRDefault="00193062" w:rsidP="00193062">
      <w:pPr>
        <w:pStyle w:val="para1"/>
        <w:spacing w:line="480" w:lineRule="auto"/>
        <w:jc w:val="center"/>
        <w:rPr>
          <w:rFonts w:ascii="Arial" w:hAnsi="Arial" w:cs="Arial"/>
          <w:b/>
          <w:bCs/>
          <w:sz w:val="16"/>
          <w:szCs w:val="16"/>
        </w:rPr>
      </w:pPr>
      <w:bookmarkStart w:id="56" w:name="_Toc58667158"/>
      <w:r w:rsidRPr="00193062">
        <w:rPr>
          <w:rFonts w:ascii="Arial" w:hAnsi="Arial" w:cs="Arial"/>
          <w:b/>
          <w:bCs/>
          <w:sz w:val="16"/>
          <w:szCs w:val="16"/>
        </w:rPr>
        <w:t xml:space="preserve">Fig. 2. </w:t>
      </w:r>
      <w:r w:rsidRPr="00193062">
        <w:rPr>
          <w:rFonts w:ascii="Arial" w:hAnsi="Arial" w:cs="Arial"/>
          <w:b/>
          <w:bCs/>
          <w:sz w:val="16"/>
          <w:szCs w:val="16"/>
        </w:rPr>
        <w:fldChar w:fldCharType="begin"/>
      </w:r>
      <w:r w:rsidRPr="00193062">
        <w:rPr>
          <w:rFonts w:ascii="Arial" w:hAnsi="Arial" w:cs="Arial"/>
          <w:b/>
          <w:bCs/>
          <w:sz w:val="16"/>
          <w:szCs w:val="16"/>
        </w:rPr>
        <w:instrText xml:space="preserve"> SEQ Fig._2. \* ARABIC </w:instrText>
      </w:r>
      <w:r w:rsidRPr="00193062">
        <w:rPr>
          <w:rFonts w:ascii="Arial" w:hAnsi="Arial" w:cs="Arial"/>
          <w:b/>
          <w:bCs/>
          <w:sz w:val="16"/>
          <w:szCs w:val="16"/>
        </w:rPr>
        <w:fldChar w:fldCharType="separate"/>
      </w:r>
      <w:r w:rsidR="00D006A5">
        <w:rPr>
          <w:rFonts w:ascii="Arial" w:hAnsi="Arial" w:cs="Arial"/>
          <w:b/>
          <w:bCs/>
          <w:noProof/>
          <w:sz w:val="16"/>
          <w:szCs w:val="16"/>
        </w:rPr>
        <w:t>25</w:t>
      </w:r>
      <w:r w:rsidRPr="00193062">
        <w:rPr>
          <w:rFonts w:ascii="Arial" w:hAnsi="Arial" w:cs="Arial"/>
          <w:b/>
          <w:bCs/>
          <w:sz w:val="16"/>
          <w:szCs w:val="16"/>
        </w:rPr>
        <w:fldChar w:fldCharType="end"/>
      </w:r>
      <w:r w:rsidRPr="001115C7">
        <w:rPr>
          <w:rFonts w:ascii="Arial" w:hAnsi="Arial" w:cs="Arial"/>
          <w:b/>
          <w:bCs/>
          <w:sz w:val="16"/>
          <w:szCs w:val="16"/>
        </w:rPr>
        <w:t>—Plot of parent well potential outcome (bbl/ft) versus parent well actual outcome (bbl/ft).</w:t>
      </w:r>
      <w:bookmarkEnd w:id="56"/>
    </w:p>
    <w:p w14:paraId="2EAC765F" w14:textId="7F510385" w:rsidR="00D01699" w:rsidRDefault="00D01699" w:rsidP="00193062">
      <w:pPr>
        <w:pStyle w:val="Caption"/>
      </w:pPr>
    </w:p>
    <w:p w14:paraId="234C0A99" w14:textId="5EF08D59" w:rsidR="007207EA" w:rsidRDefault="00FF30B6" w:rsidP="004C36D5">
      <w:pPr>
        <w:pStyle w:val="para1"/>
        <w:spacing w:line="480" w:lineRule="auto"/>
      </w:pPr>
      <w:r>
        <w:lastRenderedPageBreak/>
        <w:t xml:space="preserve">In the next section, I discuss the results from the </w:t>
      </w:r>
      <w:r w:rsidR="00FE1760">
        <w:t>c</w:t>
      </w:r>
      <w:r w:rsidR="001C0B42">
        <w:t>ausal</w:t>
      </w:r>
      <w:r w:rsidR="00FC7E05">
        <w:t xml:space="preserve"> inference</w:t>
      </w:r>
      <w:r w:rsidR="00FA08A5">
        <w:t xml:space="preserve"> workflow comparing it to the naïve</w:t>
      </w:r>
      <w:r w:rsidR="00DA3D31">
        <w:t>,</w:t>
      </w:r>
      <w:r w:rsidR="00FA08A5">
        <w:t xml:space="preserve"> simple averages approach at the four well spacing options considered in this study.</w:t>
      </w:r>
    </w:p>
    <w:p w14:paraId="65E312E3" w14:textId="435C64C4" w:rsidR="005145D5" w:rsidRDefault="00FD47E0" w:rsidP="002E3804">
      <w:pPr>
        <w:pStyle w:val="Heading2"/>
        <w:ind w:left="0" w:firstLine="0"/>
      </w:pPr>
      <w:bookmarkStart w:id="57" w:name="_Toc58667105"/>
      <w:r w:rsidRPr="00D33E79">
        <w:t xml:space="preserve">2.8 Results and </w:t>
      </w:r>
      <w:r w:rsidR="003E080D">
        <w:t>Discussion</w:t>
      </w:r>
      <w:bookmarkEnd w:id="57"/>
    </w:p>
    <w:p w14:paraId="69E337E3" w14:textId="22C4CBA2" w:rsidR="008A5094" w:rsidRDefault="00FB25F9" w:rsidP="00FB25F9">
      <w:pPr>
        <w:pStyle w:val="Default"/>
        <w:spacing w:line="480" w:lineRule="auto"/>
        <w:jc w:val="both"/>
      </w:pPr>
      <w:r>
        <w:t xml:space="preserve">In this section, results with the simple averages approach or naïve approach of finding the well spacing effects are compared with the results from the </w:t>
      </w:r>
      <w:r w:rsidR="00A11B04">
        <w:t>c</w:t>
      </w:r>
      <w:r>
        <w:t xml:space="preserve">ausal </w:t>
      </w:r>
      <w:r w:rsidR="00A11B04">
        <w:t>i</w:t>
      </w:r>
      <w:r>
        <w:t xml:space="preserve">nference workflow. </w:t>
      </w:r>
    </w:p>
    <w:p w14:paraId="5DFFE0E4" w14:textId="75BB1719" w:rsidR="008A5094" w:rsidRDefault="007F7086" w:rsidP="00FB25F9">
      <w:pPr>
        <w:pStyle w:val="Default"/>
        <w:spacing w:line="480" w:lineRule="auto"/>
        <w:jc w:val="both"/>
        <w:rPr>
          <w:b/>
          <w:bCs/>
        </w:rPr>
      </w:pPr>
      <w:r>
        <w:rPr>
          <w:i/>
          <w:iCs/>
        </w:rPr>
        <w:t>Simple Averages Approach</w:t>
      </w:r>
      <w:r w:rsidRPr="00AA2028">
        <w:rPr>
          <w:i/>
          <w:iCs/>
        </w:rPr>
        <w:t xml:space="preserve"> for 36</w:t>
      </w:r>
      <w:r>
        <w:rPr>
          <w:i/>
          <w:iCs/>
        </w:rPr>
        <w:t>0</w:t>
      </w:r>
      <w:r w:rsidRPr="00AA2028">
        <w:rPr>
          <w:i/>
          <w:iCs/>
        </w:rPr>
        <w:t xml:space="preserve">-Day Cumulative Production Normalized </w:t>
      </w:r>
      <w:r>
        <w:rPr>
          <w:i/>
          <w:iCs/>
        </w:rPr>
        <w:t>to Lateral Length (bbl/ft)</w:t>
      </w:r>
    </w:p>
    <w:p w14:paraId="3FA8CBC3" w14:textId="6AFF4041" w:rsidR="00C45306" w:rsidRDefault="00FB25F9" w:rsidP="00C45306">
      <w:pPr>
        <w:pStyle w:val="Default"/>
        <w:spacing w:line="480" w:lineRule="auto"/>
        <w:jc w:val="both"/>
      </w:pPr>
      <w:r w:rsidRPr="009E09FF">
        <w:rPr>
          <w:b/>
          <w:bCs/>
        </w:rPr>
        <w:t>Fig.</w:t>
      </w:r>
      <w:r>
        <w:rPr>
          <w:b/>
          <w:bCs/>
        </w:rPr>
        <w:t xml:space="preserve"> </w:t>
      </w:r>
      <w:r w:rsidRPr="009E09FF">
        <w:rPr>
          <w:b/>
          <w:bCs/>
        </w:rPr>
        <w:t>2</w:t>
      </w:r>
      <w:r w:rsidR="00C6593D">
        <w:rPr>
          <w:b/>
          <w:bCs/>
        </w:rPr>
        <w:t>.2</w:t>
      </w:r>
      <w:r w:rsidR="004A4522">
        <w:rPr>
          <w:b/>
          <w:bCs/>
        </w:rPr>
        <w:t>6</w:t>
      </w:r>
      <w:r>
        <w:t xml:space="preserve"> </w:t>
      </w:r>
      <w:r w:rsidR="00C45306">
        <w:t xml:space="preserve">shows the results from the simple averages approach where the outcomes are computed as the average of the 360-day cumulative production normalized to lateral length for each of the parent and child well groups shown in </w:t>
      </w:r>
      <w:r w:rsidR="00C45306" w:rsidRPr="002E3804">
        <w:rPr>
          <w:b/>
          <w:bCs/>
        </w:rPr>
        <w:t>Table</w:t>
      </w:r>
      <w:r w:rsidR="00C45306">
        <w:rPr>
          <w:b/>
          <w:bCs/>
        </w:rPr>
        <w:t xml:space="preserve"> 2.</w:t>
      </w:r>
      <w:r w:rsidR="00D01699" w:rsidRPr="00D01699">
        <w:rPr>
          <w:b/>
          <w:bCs/>
        </w:rPr>
        <w:t>7</w:t>
      </w:r>
      <w:r w:rsidR="00C45306">
        <w:t>. Fig. 2.2</w:t>
      </w:r>
      <w:r w:rsidR="004A4522">
        <w:t>6</w:t>
      </w:r>
      <w:r w:rsidR="00C45306">
        <w:t xml:space="preserve"> shows the outcomes on the primary </w:t>
      </w:r>
      <w:r w:rsidR="00A903F3">
        <w:t>y</w:t>
      </w:r>
      <w:r w:rsidR="00C45306">
        <w:t xml:space="preserve">-axis and the difference in outcomes for parent and child well groups on the secondary </w:t>
      </w:r>
      <w:r w:rsidR="00A903F3">
        <w:t>y</w:t>
      </w:r>
      <w:r w:rsidR="00C45306">
        <w:t xml:space="preserve">-axis and the four well spacing options considered in this study are shown on the </w:t>
      </w:r>
      <w:r w:rsidR="00A903F3">
        <w:t>x</w:t>
      </w:r>
      <w:r w:rsidR="00C45306">
        <w:t xml:space="preserve">-axis. Child well group average production in bbl/ft is shown by blue bars and the parent well group average production in bbl/ft is shown by red bars. The black error bars show their standard deviations at each well spacing </w:t>
      </w:r>
      <w:r w:rsidR="00C45306">
        <w:rPr>
          <w:rFonts w:cstheme="minorBidi"/>
          <w:color w:val="002060"/>
        </w:rPr>
        <w:t>(</w:t>
      </w:r>
      <w:r w:rsidR="00C45306" w:rsidRPr="00626A23">
        <w:rPr>
          <w:rFonts w:cstheme="minorBidi"/>
          <w:color w:val="002060"/>
        </w:rPr>
        <w:t>Sakhardande and Devegowda 2021</w:t>
      </w:r>
      <w:r w:rsidR="00C45306">
        <w:rPr>
          <w:rFonts w:cstheme="minorBidi"/>
          <w:color w:val="002060"/>
        </w:rPr>
        <w:t>)</w:t>
      </w:r>
      <w:r w:rsidR="00C45306" w:rsidRPr="0078633D">
        <w:t>.</w:t>
      </w:r>
    </w:p>
    <w:tbl>
      <w:tblPr>
        <w:tblStyle w:val="TableGrid"/>
        <w:tblW w:w="0" w:type="auto"/>
        <w:jc w:val="center"/>
        <w:tblLook w:val="04A0" w:firstRow="1" w:lastRow="0" w:firstColumn="1" w:lastColumn="0" w:noHBand="0" w:noVBand="1"/>
      </w:tblPr>
      <w:tblGrid>
        <w:gridCol w:w="1256"/>
        <w:gridCol w:w="1483"/>
        <w:gridCol w:w="1483"/>
      </w:tblGrid>
      <w:tr w:rsidR="00465EE1" w14:paraId="78BFA64F" w14:textId="77777777" w:rsidTr="002E3804">
        <w:trPr>
          <w:trHeight w:val="359"/>
          <w:jc w:val="center"/>
        </w:trPr>
        <w:tc>
          <w:tcPr>
            <w:tcW w:w="1159" w:type="dxa"/>
          </w:tcPr>
          <w:p w14:paraId="27CFA013" w14:textId="77777777" w:rsidR="00465EE1" w:rsidRDefault="00465EE1" w:rsidP="002E3804">
            <w:pPr>
              <w:pStyle w:val="NoSpacing"/>
              <w:jc w:val="center"/>
            </w:pPr>
            <w:r>
              <w:t>Well Spacing Options considered</w:t>
            </w:r>
          </w:p>
        </w:tc>
        <w:tc>
          <w:tcPr>
            <w:tcW w:w="1291" w:type="dxa"/>
          </w:tcPr>
          <w:p w14:paraId="633CBA63" w14:textId="4E1AAC53" w:rsidR="00465EE1" w:rsidRDefault="00465EE1" w:rsidP="002E3804">
            <w:pPr>
              <w:pStyle w:val="NoSpacing"/>
              <w:jc w:val="center"/>
            </w:pPr>
            <w:r>
              <w:t>Number of Parent Wells (</w:t>
            </w:r>
            <w:r w:rsidR="00F7741D">
              <w:t>Unmatched</w:t>
            </w:r>
            <w:r>
              <w:t>)</w:t>
            </w:r>
          </w:p>
        </w:tc>
        <w:tc>
          <w:tcPr>
            <w:tcW w:w="1291" w:type="dxa"/>
          </w:tcPr>
          <w:p w14:paraId="2BC75EBA" w14:textId="775D8B65" w:rsidR="00465EE1" w:rsidRDefault="00465EE1" w:rsidP="002E3804">
            <w:pPr>
              <w:pStyle w:val="NoSpacing"/>
              <w:jc w:val="center"/>
            </w:pPr>
            <w:r>
              <w:t>Number of Child Wells (</w:t>
            </w:r>
            <w:r w:rsidR="00F7741D">
              <w:t>Unmatched</w:t>
            </w:r>
            <w:r>
              <w:t>)</w:t>
            </w:r>
          </w:p>
        </w:tc>
      </w:tr>
      <w:tr w:rsidR="00465EE1" w14:paraId="0CB7F013" w14:textId="77777777" w:rsidTr="002E3804">
        <w:trPr>
          <w:trHeight w:val="236"/>
          <w:jc w:val="center"/>
        </w:trPr>
        <w:tc>
          <w:tcPr>
            <w:tcW w:w="1159" w:type="dxa"/>
          </w:tcPr>
          <w:p w14:paraId="6B5C0A99" w14:textId="7C7C597B"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500 ft</w:t>
            </w:r>
          </w:p>
        </w:tc>
        <w:tc>
          <w:tcPr>
            <w:tcW w:w="1291" w:type="dxa"/>
          </w:tcPr>
          <w:p w14:paraId="450F90FC"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384</w:t>
            </w:r>
          </w:p>
        </w:tc>
        <w:tc>
          <w:tcPr>
            <w:tcW w:w="1291" w:type="dxa"/>
          </w:tcPr>
          <w:p w14:paraId="0139E1B4"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221</w:t>
            </w:r>
          </w:p>
        </w:tc>
      </w:tr>
      <w:tr w:rsidR="00465EE1" w14:paraId="7A9FB1AB" w14:textId="77777777" w:rsidTr="002E3804">
        <w:trPr>
          <w:trHeight w:val="240"/>
          <w:jc w:val="center"/>
        </w:trPr>
        <w:tc>
          <w:tcPr>
            <w:tcW w:w="1159" w:type="dxa"/>
          </w:tcPr>
          <w:p w14:paraId="0781B68A" w14:textId="4981C2B0"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600 ft</w:t>
            </w:r>
          </w:p>
        </w:tc>
        <w:tc>
          <w:tcPr>
            <w:tcW w:w="1291" w:type="dxa"/>
          </w:tcPr>
          <w:p w14:paraId="16447100"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306</w:t>
            </w:r>
          </w:p>
        </w:tc>
        <w:tc>
          <w:tcPr>
            <w:tcW w:w="1291" w:type="dxa"/>
          </w:tcPr>
          <w:p w14:paraId="5AAFCE90"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299</w:t>
            </w:r>
          </w:p>
        </w:tc>
      </w:tr>
      <w:tr w:rsidR="00465EE1" w14:paraId="53595AE3" w14:textId="77777777" w:rsidTr="002E3804">
        <w:trPr>
          <w:trHeight w:val="236"/>
          <w:jc w:val="center"/>
        </w:trPr>
        <w:tc>
          <w:tcPr>
            <w:tcW w:w="1159" w:type="dxa"/>
          </w:tcPr>
          <w:p w14:paraId="5B6FE05C" w14:textId="1216AF49"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700 ft</w:t>
            </w:r>
          </w:p>
        </w:tc>
        <w:tc>
          <w:tcPr>
            <w:tcW w:w="1291" w:type="dxa"/>
          </w:tcPr>
          <w:p w14:paraId="6DFF1158"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256</w:t>
            </w:r>
          </w:p>
        </w:tc>
        <w:tc>
          <w:tcPr>
            <w:tcW w:w="1291" w:type="dxa"/>
          </w:tcPr>
          <w:p w14:paraId="6D495AB2"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349</w:t>
            </w:r>
          </w:p>
        </w:tc>
      </w:tr>
      <w:tr w:rsidR="00465EE1" w14:paraId="4607E802" w14:textId="77777777" w:rsidTr="002E3804">
        <w:trPr>
          <w:trHeight w:val="54"/>
          <w:jc w:val="center"/>
        </w:trPr>
        <w:tc>
          <w:tcPr>
            <w:tcW w:w="1159" w:type="dxa"/>
          </w:tcPr>
          <w:p w14:paraId="2600A583" w14:textId="0B4F32BA"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800 ft</w:t>
            </w:r>
          </w:p>
        </w:tc>
        <w:tc>
          <w:tcPr>
            <w:tcW w:w="1291" w:type="dxa"/>
          </w:tcPr>
          <w:p w14:paraId="01DA4D6A" w14:textId="77777777" w:rsidR="00465EE1" w:rsidRDefault="00465EE1" w:rsidP="002E3804">
            <w:pPr>
              <w:pStyle w:val="para1"/>
              <w:spacing w:line="480" w:lineRule="auto"/>
              <w:ind w:firstLine="0"/>
              <w:jc w:val="center"/>
              <w:rPr>
                <w:rFonts w:eastAsiaTheme="minorEastAsia"/>
                <w:bCs/>
                <w:color w:val="000000"/>
                <w:szCs w:val="24"/>
              </w:rPr>
            </w:pPr>
            <w:r>
              <w:rPr>
                <w:rFonts w:eastAsiaTheme="minorEastAsia"/>
                <w:bCs/>
                <w:color w:val="000000"/>
                <w:szCs w:val="24"/>
              </w:rPr>
              <w:t>166</w:t>
            </w:r>
          </w:p>
        </w:tc>
        <w:tc>
          <w:tcPr>
            <w:tcW w:w="1291" w:type="dxa"/>
          </w:tcPr>
          <w:p w14:paraId="2ED87F2D" w14:textId="77777777" w:rsidR="00465EE1" w:rsidRDefault="00465EE1" w:rsidP="00D01699">
            <w:pPr>
              <w:pStyle w:val="para1"/>
              <w:keepNext/>
              <w:spacing w:line="480" w:lineRule="auto"/>
              <w:ind w:firstLine="0"/>
              <w:jc w:val="center"/>
              <w:rPr>
                <w:rFonts w:eastAsiaTheme="minorEastAsia"/>
                <w:bCs/>
                <w:color w:val="000000"/>
                <w:szCs w:val="24"/>
              </w:rPr>
            </w:pPr>
            <w:r>
              <w:rPr>
                <w:rFonts w:eastAsiaTheme="minorEastAsia"/>
                <w:bCs/>
                <w:color w:val="000000"/>
                <w:szCs w:val="24"/>
              </w:rPr>
              <w:t>439</w:t>
            </w:r>
          </w:p>
        </w:tc>
      </w:tr>
    </w:tbl>
    <w:p w14:paraId="5D6B45B8" w14:textId="77777777" w:rsidR="00D01699" w:rsidRDefault="00D01699" w:rsidP="00D01699">
      <w:pPr>
        <w:pStyle w:val="Caption"/>
        <w:spacing w:after="0"/>
        <w:rPr>
          <w:rFonts w:ascii="Arial" w:hAnsi="Arial" w:cs="Times New Roman"/>
          <w:i w:val="0"/>
          <w:iCs w:val="0"/>
          <w:color w:val="000000"/>
          <w:sz w:val="16"/>
          <w:szCs w:val="24"/>
        </w:rPr>
      </w:pPr>
    </w:p>
    <w:p w14:paraId="145814BA" w14:textId="05A185E9" w:rsidR="00D01699" w:rsidRDefault="0005269B" w:rsidP="00D01699">
      <w:pPr>
        <w:pStyle w:val="Caption"/>
        <w:spacing w:after="0"/>
        <w:rPr>
          <w:rFonts w:ascii="Arial" w:hAnsi="Arial" w:cs="Times New Roman"/>
          <w:i w:val="0"/>
          <w:iCs w:val="0"/>
          <w:color w:val="000000"/>
          <w:sz w:val="16"/>
          <w:szCs w:val="24"/>
        </w:rPr>
      </w:pPr>
      <w:bookmarkStart w:id="58" w:name="_Toc58667121"/>
      <w:r w:rsidRPr="00D01699">
        <w:rPr>
          <w:rFonts w:ascii="Arial" w:hAnsi="Arial" w:cs="Times New Roman"/>
          <w:i w:val="0"/>
          <w:iCs w:val="0"/>
          <w:color w:val="000000"/>
          <w:sz w:val="16"/>
          <w:szCs w:val="24"/>
        </w:rPr>
        <w:t xml:space="preserve">Table 2. </w:t>
      </w:r>
      <w:r w:rsidRPr="00D01699">
        <w:rPr>
          <w:rFonts w:ascii="Arial" w:hAnsi="Arial" w:cs="Times New Roman"/>
          <w:i w:val="0"/>
          <w:iCs w:val="0"/>
          <w:color w:val="000000"/>
          <w:sz w:val="16"/>
          <w:szCs w:val="24"/>
        </w:rPr>
        <w:fldChar w:fldCharType="begin"/>
      </w:r>
      <w:r w:rsidRPr="00D01699">
        <w:rPr>
          <w:rFonts w:ascii="Arial" w:hAnsi="Arial" w:cs="Times New Roman"/>
          <w:i w:val="0"/>
          <w:iCs w:val="0"/>
          <w:color w:val="000000"/>
          <w:sz w:val="16"/>
          <w:szCs w:val="24"/>
        </w:rPr>
        <w:instrText xml:space="preserve"> SEQ Table_2. \* ARABIC </w:instrText>
      </w:r>
      <w:r w:rsidRPr="00D01699">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7</w:t>
      </w:r>
      <w:r w:rsidRPr="00D01699">
        <w:rPr>
          <w:rFonts w:ascii="Arial" w:hAnsi="Arial" w:cs="Times New Roman"/>
          <w:i w:val="0"/>
          <w:iCs w:val="0"/>
          <w:color w:val="000000"/>
          <w:sz w:val="16"/>
          <w:szCs w:val="24"/>
        </w:rPr>
        <w:fldChar w:fldCharType="end"/>
      </w:r>
      <w:r w:rsidR="00D01699" w:rsidRPr="00FE1760">
        <w:rPr>
          <w:rFonts w:ascii="Arial" w:hAnsi="Arial" w:cs="Times New Roman"/>
          <w:i w:val="0"/>
          <w:iCs w:val="0"/>
          <w:color w:val="000000"/>
          <w:sz w:val="16"/>
          <w:szCs w:val="24"/>
        </w:rPr>
        <w:t>—</w:t>
      </w:r>
      <w:r w:rsidR="00D01699">
        <w:rPr>
          <w:rFonts w:ascii="Arial" w:hAnsi="Arial" w:cs="Times New Roman"/>
          <w:i w:val="0"/>
          <w:iCs w:val="0"/>
          <w:color w:val="000000"/>
          <w:sz w:val="16"/>
          <w:szCs w:val="24"/>
        </w:rPr>
        <w:t>T</w:t>
      </w:r>
      <w:r w:rsidR="00D01699" w:rsidRPr="00BE1CDE">
        <w:rPr>
          <w:rFonts w:ascii="Arial" w:hAnsi="Arial" w:cs="Times New Roman"/>
          <w:i w:val="0"/>
          <w:iCs w:val="0"/>
          <w:color w:val="000000"/>
          <w:sz w:val="16"/>
          <w:szCs w:val="24"/>
        </w:rPr>
        <w:t xml:space="preserve">he number of </w:t>
      </w:r>
      <w:r w:rsidR="00D01699">
        <w:rPr>
          <w:rFonts w:ascii="Arial" w:hAnsi="Arial" w:cs="Times New Roman"/>
          <w:i w:val="0"/>
          <w:iCs w:val="0"/>
          <w:color w:val="000000"/>
          <w:sz w:val="16"/>
          <w:szCs w:val="24"/>
        </w:rPr>
        <w:t xml:space="preserve">unmatched </w:t>
      </w:r>
      <w:r w:rsidR="00D01699" w:rsidRPr="00BE1CDE">
        <w:rPr>
          <w:rFonts w:ascii="Arial" w:hAnsi="Arial" w:cs="Times New Roman"/>
          <w:i w:val="0"/>
          <w:iCs w:val="0"/>
          <w:color w:val="000000"/>
          <w:sz w:val="16"/>
          <w:szCs w:val="24"/>
        </w:rPr>
        <w:t xml:space="preserve">parent wells and child wells </w:t>
      </w:r>
      <w:r w:rsidR="00D01699">
        <w:rPr>
          <w:rFonts w:ascii="Arial" w:hAnsi="Arial" w:cs="Times New Roman"/>
          <w:i w:val="0"/>
          <w:iCs w:val="0"/>
          <w:color w:val="000000"/>
          <w:sz w:val="16"/>
          <w:szCs w:val="24"/>
        </w:rPr>
        <w:t>at</w:t>
      </w:r>
      <w:r w:rsidR="00D01699" w:rsidRPr="00BE1CDE">
        <w:rPr>
          <w:rFonts w:ascii="Arial" w:hAnsi="Arial" w:cs="Times New Roman"/>
          <w:i w:val="0"/>
          <w:iCs w:val="0"/>
          <w:color w:val="000000"/>
          <w:sz w:val="16"/>
          <w:szCs w:val="24"/>
        </w:rPr>
        <w:t xml:space="preserve"> the 4 well spacing options </w:t>
      </w:r>
      <w:r w:rsidR="00D01699">
        <w:rPr>
          <w:rFonts w:ascii="Arial" w:hAnsi="Arial" w:cs="Times New Roman"/>
          <w:i w:val="0"/>
          <w:iCs w:val="0"/>
          <w:color w:val="000000"/>
          <w:sz w:val="16"/>
          <w:szCs w:val="24"/>
        </w:rPr>
        <w:t xml:space="preserve">used in the simple averages approach for </w:t>
      </w:r>
      <w:r w:rsidR="00D01699" w:rsidRPr="00BE1CDE">
        <w:rPr>
          <w:rFonts w:ascii="Arial" w:hAnsi="Arial" w:cs="Times New Roman"/>
          <w:i w:val="0"/>
          <w:iCs w:val="0"/>
          <w:color w:val="000000"/>
          <w:sz w:val="16"/>
          <w:szCs w:val="24"/>
        </w:rPr>
        <w:t xml:space="preserve">outcome cumulative </w:t>
      </w:r>
      <w:r w:rsidR="00D01699">
        <w:rPr>
          <w:rFonts w:ascii="Arial" w:hAnsi="Arial" w:cs="Times New Roman"/>
          <w:i w:val="0"/>
          <w:iCs w:val="0"/>
          <w:color w:val="000000"/>
          <w:sz w:val="16"/>
          <w:szCs w:val="24"/>
        </w:rPr>
        <w:t xml:space="preserve">180-day and </w:t>
      </w:r>
      <w:r w:rsidR="00D01699" w:rsidRPr="00BE1CDE">
        <w:rPr>
          <w:rFonts w:ascii="Arial" w:hAnsi="Arial" w:cs="Times New Roman"/>
          <w:i w:val="0"/>
          <w:iCs w:val="0"/>
          <w:color w:val="000000"/>
          <w:sz w:val="16"/>
          <w:szCs w:val="24"/>
        </w:rPr>
        <w:t>360-day production</w:t>
      </w:r>
      <w:r w:rsidR="00D01699">
        <w:rPr>
          <w:rFonts w:ascii="Arial" w:hAnsi="Arial" w:cs="Times New Roman"/>
          <w:i w:val="0"/>
          <w:iCs w:val="0"/>
          <w:color w:val="000000"/>
          <w:sz w:val="16"/>
          <w:szCs w:val="24"/>
        </w:rPr>
        <w:t xml:space="preserve"> </w:t>
      </w:r>
      <w:r w:rsidR="00D01699" w:rsidRPr="00BE1CDE">
        <w:rPr>
          <w:rFonts w:ascii="Arial" w:hAnsi="Arial" w:cs="Times New Roman"/>
          <w:i w:val="0"/>
          <w:iCs w:val="0"/>
          <w:color w:val="000000"/>
          <w:sz w:val="16"/>
          <w:szCs w:val="24"/>
        </w:rPr>
        <w:t>normalized</w:t>
      </w:r>
      <w:r w:rsidR="00D01699">
        <w:rPr>
          <w:rFonts w:ascii="Arial" w:hAnsi="Arial" w:cs="Times New Roman"/>
          <w:i w:val="0"/>
          <w:iCs w:val="0"/>
          <w:color w:val="000000"/>
          <w:sz w:val="16"/>
          <w:szCs w:val="24"/>
        </w:rPr>
        <w:t xml:space="preserve"> to lateral length.</w:t>
      </w:r>
      <w:bookmarkEnd w:id="58"/>
    </w:p>
    <w:p w14:paraId="47883076" w14:textId="5B536E21" w:rsidR="002F72C2" w:rsidRDefault="002F72C2" w:rsidP="001115C7">
      <w:pPr>
        <w:rPr>
          <w:rFonts w:eastAsia="Times New Roman"/>
          <w:szCs w:val="20"/>
        </w:rPr>
      </w:pPr>
      <w:r w:rsidRPr="002565DF">
        <w:rPr>
          <w:rFonts w:eastAsia="Times New Roman" w:cs="Times New Roman"/>
          <w:szCs w:val="20"/>
        </w:rPr>
        <w:lastRenderedPageBreak/>
        <w:t>Before discussing further, I</w:t>
      </w:r>
      <w:r>
        <w:rPr>
          <w:rFonts w:eastAsia="Times New Roman" w:cs="Times New Roman"/>
          <w:szCs w:val="20"/>
        </w:rPr>
        <w:t xml:space="preserve"> m</w:t>
      </w:r>
      <w:r w:rsidRPr="002565DF">
        <w:rPr>
          <w:rFonts w:eastAsia="Times New Roman" w:cs="Times New Roman"/>
          <w:szCs w:val="20"/>
        </w:rPr>
        <w:t>ake a note here</w:t>
      </w:r>
      <w:r>
        <w:rPr>
          <w:rFonts w:eastAsia="Times New Roman" w:cs="Times New Roman"/>
          <w:szCs w:val="20"/>
        </w:rPr>
        <w:t xml:space="preserve"> emphasizing </w:t>
      </w:r>
      <w:r w:rsidRPr="002565DF">
        <w:rPr>
          <w:rFonts w:eastAsia="Times New Roman" w:cs="Times New Roman"/>
          <w:szCs w:val="20"/>
        </w:rPr>
        <w:t xml:space="preserve">that an overlap in error bars does not let us conclude </w:t>
      </w:r>
      <w:r w:rsidRPr="002565DF">
        <w:rPr>
          <w:rFonts w:eastAsia="Times New Roman"/>
          <w:szCs w:val="20"/>
        </w:rPr>
        <w:t>whether difference between the means of groups is statistically significant or not. In order to check the significance, one needs to conduct a paired t-test (</w:t>
      </w:r>
      <w:r w:rsidRPr="0090615E">
        <w:rPr>
          <w:color w:val="002060"/>
          <w:szCs w:val="24"/>
        </w:rPr>
        <w:t>La</w:t>
      </w:r>
      <w:r w:rsidR="005E5A71">
        <w:rPr>
          <w:color w:val="002060"/>
          <w:szCs w:val="24"/>
        </w:rPr>
        <w:t>n</w:t>
      </w:r>
      <w:r w:rsidRPr="0090615E">
        <w:rPr>
          <w:color w:val="002060"/>
          <w:szCs w:val="24"/>
        </w:rPr>
        <w:t>zante 2005</w:t>
      </w:r>
      <w:r w:rsidRPr="002565DF">
        <w:rPr>
          <w:rFonts w:eastAsia="Times New Roman"/>
          <w:szCs w:val="20"/>
        </w:rPr>
        <w:t>).</w:t>
      </w:r>
    </w:p>
    <w:p w14:paraId="11837604" w14:textId="31738FAA" w:rsidR="00193062" w:rsidRDefault="00FA149E" w:rsidP="00525D64">
      <w:r>
        <w:rPr>
          <w:rFonts w:eastAsia="Times New Roman"/>
          <w:noProof/>
          <w:szCs w:val="20"/>
        </w:rPr>
        <w:drawing>
          <wp:inline distT="0" distB="0" distL="0" distR="0" wp14:anchorId="4A706C19" wp14:editId="17F28565">
            <wp:extent cx="5768425" cy="3876977"/>
            <wp:effectExtent l="0" t="0" r="381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81985" cy="3886091"/>
                    </a:xfrm>
                    <a:prstGeom prst="rect">
                      <a:avLst/>
                    </a:prstGeom>
                    <a:noFill/>
                  </pic:spPr>
                </pic:pic>
              </a:graphicData>
            </a:graphic>
          </wp:inline>
        </w:drawing>
      </w:r>
    </w:p>
    <w:p w14:paraId="15F134A3" w14:textId="3DEA8946" w:rsidR="00D01699" w:rsidRDefault="00193062" w:rsidP="00193062">
      <w:pPr>
        <w:pStyle w:val="Caption"/>
      </w:pPr>
      <w:bookmarkStart w:id="59" w:name="_Toc58667159"/>
      <w:r w:rsidRPr="00BF4CB1">
        <w:rPr>
          <w:rFonts w:ascii="Arial" w:hAnsi="Arial" w:cs="Times New Roman"/>
          <w:i w:val="0"/>
          <w:iCs w:val="0"/>
          <w:color w:val="000000"/>
          <w:sz w:val="16"/>
          <w:szCs w:val="24"/>
        </w:rPr>
        <w:t xml:space="preserve">Fig. 2. </w:t>
      </w:r>
      <w:r w:rsidRPr="00BF4CB1">
        <w:rPr>
          <w:rFonts w:ascii="Arial" w:hAnsi="Arial" w:cs="Times New Roman"/>
          <w:i w:val="0"/>
          <w:iCs w:val="0"/>
          <w:color w:val="000000"/>
          <w:sz w:val="16"/>
          <w:szCs w:val="24"/>
        </w:rPr>
        <w:fldChar w:fldCharType="begin"/>
      </w:r>
      <w:r w:rsidRPr="00BF4CB1">
        <w:rPr>
          <w:rFonts w:ascii="Arial" w:hAnsi="Arial" w:cs="Times New Roman"/>
          <w:i w:val="0"/>
          <w:iCs w:val="0"/>
          <w:color w:val="000000"/>
          <w:sz w:val="16"/>
          <w:szCs w:val="24"/>
        </w:rPr>
        <w:instrText xml:space="preserve"> SEQ Fig._2. \* ARABIC </w:instrText>
      </w:r>
      <w:r w:rsidRPr="00BF4CB1">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26</w:t>
      </w:r>
      <w:r w:rsidRPr="00BF4CB1">
        <w:rPr>
          <w:rFonts w:ascii="Arial" w:hAnsi="Arial" w:cs="Times New Roman"/>
          <w:i w:val="0"/>
          <w:iCs w:val="0"/>
          <w:color w:val="000000"/>
          <w:sz w:val="16"/>
          <w:szCs w:val="24"/>
        </w:rPr>
        <w:fldChar w:fldCharType="end"/>
      </w:r>
      <w:r w:rsidRPr="00FE1760">
        <w:rPr>
          <w:rFonts w:ascii="Arial" w:hAnsi="Arial" w:cs="Times New Roman"/>
          <w:i w:val="0"/>
          <w:iCs w:val="0"/>
          <w:color w:val="000000"/>
          <w:sz w:val="16"/>
          <w:szCs w:val="24"/>
        </w:rPr>
        <w:t>—</w:t>
      </w:r>
      <w:r w:rsidRPr="006D3248">
        <w:rPr>
          <w:rFonts w:ascii="Arial" w:hAnsi="Arial" w:cs="Times New Roman"/>
          <w:i w:val="0"/>
          <w:iCs w:val="0"/>
          <w:color w:val="000000"/>
          <w:sz w:val="16"/>
          <w:szCs w:val="24"/>
        </w:rPr>
        <w:t xml:space="preserve"> </w:t>
      </w:r>
      <w:r w:rsidRPr="002A11EE">
        <w:rPr>
          <w:rFonts w:ascii="Arial" w:hAnsi="Arial" w:cs="Times New Roman"/>
          <w:i w:val="0"/>
          <w:iCs w:val="0"/>
          <w:color w:val="000000"/>
          <w:sz w:val="16"/>
          <w:szCs w:val="24"/>
        </w:rPr>
        <w:t xml:space="preserve">Bar chart comparing </w:t>
      </w:r>
      <w:r>
        <w:rPr>
          <w:rFonts w:ascii="Arial" w:hAnsi="Arial" w:cs="Times New Roman"/>
          <w:i w:val="0"/>
          <w:iCs w:val="0"/>
          <w:color w:val="000000"/>
          <w:sz w:val="16"/>
          <w:szCs w:val="24"/>
        </w:rPr>
        <w:t xml:space="preserve">360-day cumulative production </w:t>
      </w:r>
      <w:r w:rsidRPr="002A11EE">
        <w:rPr>
          <w:rFonts w:ascii="Arial" w:hAnsi="Arial" w:cs="Times New Roman"/>
          <w:i w:val="0"/>
          <w:iCs w:val="0"/>
          <w:color w:val="000000"/>
          <w:sz w:val="16"/>
          <w:szCs w:val="24"/>
        </w:rPr>
        <w:t xml:space="preserve">normalized </w:t>
      </w:r>
      <w:r>
        <w:rPr>
          <w:rFonts w:ascii="Arial" w:hAnsi="Arial" w:cs="Times New Roman"/>
          <w:i w:val="0"/>
          <w:iCs w:val="0"/>
          <w:color w:val="000000"/>
          <w:sz w:val="16"/>
          <w:szCs w:val="24"/>
        </w:rPr>
        <w:t>to lateral length of</w:t>
      </w:r>
      <w:r w:rsidRPr="002A11EE">
        <w:rPr>
          <w:rFonts w:ascii="Arial" w:hAnsi="Arial" w:cs="Times New Roman"/>
          <w:i w:val="0"/>
          <w:iCs w:val="0"/>
          <w:color w:val="000000"/>
          <w:sz w:val="16"/>
          <w:szCs w:val="24"/>
        </w:rPr>
        <w:t xml:space="preserve"> parent-child well</w:t>
      </w:r>
      <w:r>
        <w:rPr>
          <w:rFonts w:ascii="Arial" w:hAnsi="Arial" w:cs="Times New Roman"/>
          <w:i w:val="0"/>
          <w:iCs w:val="0"/>
          <w:color w:val="000000"/>
          <w:sz w:val="16"/>
          <w:szCs w:val="24"/>
        </w:rPr>
        <w:t xml:space="preserve">s </w:t>
      </w:r>
      <w:r w:rsidRPr="002A11EE">
        <w:rPr>
          <w:rFonts w:ascii="Arial" w:hAnsi="Arial" w:cs="Times New Roman"/>
          <w:i w:val="0"/>
          <w:iCs w:val="0"/>
          <w:color w:val="000000"/>
          <w:sz w:val="16"/>
          <w:szCs w:val="24"/>
        </w:rPr>
        <w:t>and difference estimates for each well spacing option from the routinely used simple average approach</w:t>
      </w:r>
      <w:r>
        <w:rPr>
          <w:rFonts w:ascii="Arial" w:hAnsi="Arial" w:cs="Arial"/>
          <w:b w:val="0"/>
          <w:i w:val="0"/>
          <w:iCs w:val="0"/>
          <w:color w:val="002060"/>
          <w:sz w:val="16"/>
          <w:szCs w:val="16"/>
        </w:rPr>
        <w:t>.</w:t>
      </w:r>
      <w:bookmarkEnd w:id="59"/>
    </w:p>
    <w:p w14:paraId="209A28A9" w14:textId="082DDD29" w:rsidR="007F1BA7" w:rsidRDefault="00FB25F9" w:rsidP="00FB25F9">
      <w:pPr>
        <w:pStyle w:val="Default"/>
        <w:spacing w:line="480" w:lineRule="auto"/>
        <w:ind w:firstLine="288"/>
        <w:jc w:val="both"/>
      </w:pPr>
      <w:r>
        <w:t xml:space="preserve">We can observe that at all spacing values, parent wells </w:t>
      </w:r>
      <w:r w:rsidR="00EC4E56">
        <w:t>appear to be</w:t>
      </w:r>
      <w:r>
        <w:t xml:space="preserve"> doing better than the child wells. This is s</w:t>
      </w:r>
      <w:r w:rsidR="006456F4">
        <w:t>hown</w:t>
      </w:r>
      <w:r>
        <w:t xml:space="preserve"> by the difference in these simple averages of 360-day </w:t>
      </w:r>
      <w:r w:rsidR="007F1BA7">
        <w:t xml:space="preserve">cumulative </w:t>
      </w:r>
      <w:r>
        <w:t xml:space="preserve">production </w:t>
      </w:r>
      <w:r w:rsidR="007F1BA7">
        <w:t xml:space="preserve">normalized to lateral length </w:t>
      </w:r>
      <w:r>
        <w:t xml:space="preserve">(bbl/ft) (the green dots corresponding to the secondary </w:t>
      </w:r>
      <w:r w:rsidR="00150596">
        <w:t>y</w:t>
      </w:r>
      <w:r>
        <w:t>-axis)</w:t>
      </w:r>
      <w:r w:rsidR="00E90DEE">
        <w:t xml:space="preserve"> in </w:t>
      </w:r>
      <w:r w:rsidR="00E90DEE" w:rsidRPr="00172F6D">
        <w:t>Fig.</w:t>
      </w:r>
      <w:r w:rsidR="00574B04" w:rsidRPr="00172F6D">
        <w:t>2.26</w:t>
      </w:r>
      <w:r>
        <w:t xml:space="preserve">. </w:t>
      </w:r>
      <w:r w:rsidR="00EC3E96">
        <w:t xml:space="preserve">However, there is no appreciable difference between the performance of the parent wells at different well spacings nor is there a difference between child well performance at varying spacings. As an example, in </w:t>
      </w:r>
      <w:r w:rsidR="00EC3E96" w:rsidRPr="002E3804">
        <w:rPr>
          <w:b/>
          <w:bCs/>
        </w:rPr>
        <w:t xml:space="preserve">Table </w:t>
      </w:r>
      <w:r w:rsidR="00EC3E96">
        <w:rPr>
          <w:b/>
          <w:bCs/>
        </w:rPr>
        <w:t>2.</w:t>
      </w:r>
      <w:r w:rsidR="00D01699">
        <w:rPr>
          <w:b/>
          <w:bCs/>
        </w:rPr>
        <w:t>8</w:t>
      </w:r>
      <w:r w:rsidR="00EC3E96">
        <w:t xml:space="preserve">, I show the output of a paired t-test conducted between a parent well at 500 ft well spacing and another parent well at 700 ft well spacing. The results show </w:t>
      </w:r>
      <w:r w:rsidR="00EC3E96">
        <w:lastRenderedPageBreak/>
        <w:t>a p-value of more than 0.05 indicating that a simple averages approach does not yield a statistically significant difference between parent well performance at different spacing levels. There is also no statistically meaningful difference in child well performance at less than 500</w:t>
      </w:r>
      <w:r w:rsidR="00A45BF9">
        <w:t xml:space="preserve"> </w:t>
      </w:r>
      <w:r w:rsidR="00EC3E96">
        <w:t>ft spacing and less than 700</w:t>
      </w:r>
      <w:r w:rsidR="00A45BF9">
        <w:t xml:space="preserve"> </w:t>
      </w:r>
      <w:r w:rsidR="00EC3E96">
        <w:t xml:space="preserve">ft spacing either. </w:t>
      </w:r>
    </w:p>
    <w:tbl>
      <w:tblPr>
        <w:tblStyle w:val="TableGrid"/>
        <w:tblW w:w="0" w:type="auto"/>
        <w:jc w:val="center"/>
        <w:tblLook w:val="04A0" w:firstRow="1" w:lastRow="0" w:firstColumn="1" w:lastColumn="0" w:noHBand="0" w:noVBand="1"/>
      </w:tblPr>
      <w:tblGrid>
        <w:gridCol w:w="1615"/>
        <w:gridCol w:w="1070"/>
        <w:gridCol w:w="1333"/>
        <w:gridCol w:w="1334"/>
        <w:gridCol w:w="1334"/>
        <w:gridCol w:w="1506"/>
      </w:tblGrid>
      <w:tr w:rsidR="00597226" w14:paraId="6102EC23" w14:textId="77777777" w:rsidTr="00EF3BE3">
        <w:trPr>
          <w:jc w:val="center"/>
        </w:trPr>
        <w:tc>
          <w:tcPr>
            <w:tcW w:w="1615" w:type="dxa"/>
          </w:tcPr>
          <w:p w14:paraId="2A45E26F" w14:textId="77777777" w:rsidR="00C00EAC" w:rsidRDefault="00C00EAC" w:rsidP="00021951">
            <w:pPr>
              <w:pStyle w:val="NoSpacing"/>
              <w:jc w:val="center"/>
            </w:pPr>
          </w:p>
          <w:p w14:paraId="7A13830E" w14:textId="38DAD422" w:rsidR="00597226" w:rsidRPr="002A11EE" w:rsidRDefault="00C00EAC" w:rsidP="00021951">
            <w:pPr>
              <w:pStyle w:val="NoSpacing"/>
              <w:jc w:val="center"/>
            </w:pPr>
            <w:r>
              <w:t>W</w:t>
            </w:r>
            <w:r w:rsidR="00597226" w:rsidRPr="002A11EE">
              <w:t>ell groups a</w:t>
            </w:r>
            <w:r w:rsidR="0015167E">
              <w:t>t</w:t>
            </w:r>
            <w:r w:rsidR="00597226" w:rsidRPr="002A11EE">
              <w:t xml:space="preserve"> </w:t>
            </w:r>
            <w:r w:rsidR="00DC084A">
              <w:t>360-day cumulative production</w:t>
            </w:r>
            <w:r w:rsidR="00DC084A" w:rsidRPr="002A11EE">
              <w:t xml:space="preserve"> </w:t>
            </w:r>
            <w:r w:rsidR="00DC084A">
              <w:t>normalized to lateral length (bbl/ft)</w:t>
            </w:r>
          </w:p>
        </w:tc>
        <w:tc>
          <w:tcPr>
            <w:tcW w:w="1070" w:type="dxa"/>
          </w:tcPr>
          <w:p w14:paraId="5997A665" w14:textId="77777777" w:rsidR="00597226" w:rsidRPr="002A11EE" w:rsidRDefault="00597226" w:rsidP="00021951">
            <w:pPr>
              <w:pStyle w:val="NoSpacing"/>
              <w:jc w:val="center"/>
            </w:pPr>
          </w:p>
          <w:p w14:paraId="29D769B4" w14:textId="77777777" w:rsidR="00597226" w:rsidRPr="002A11EE" w:rsidRDefault="00597226" w:rsidP="00021951">
            <w:pPr>
              <w:pStyle w:val="NoSpacing"/>
              <w:jc w:val="center"/>
            </w:pPr>
            <w:r w:rsidRPr="002A11EE">
              <w:t>Degrees of Freedom</w:t>
            </w:r>
          </w:p>
        </w:tc>
        <w:tc>
          <w:tcPr>
            <w:tcW w:w="1333" w:type="dxa"/>
          </w:tcPr>
          <w:p w14:paraId="47FEDF47" w14:textId="77777777" w:rsidR="00597226" w:rsidRPr="002A11EE" w:rsidRDefault="00597226" w:rsidP="00021951">
            <w:pPr>
              <w:pStyle w:val="NoSpacing"/>
              <w:jc w:val="center"/>
            </w:pPr>
          </w:p>
          <w:p w14:paraId="17C88C2C" w14:textId="77777777" w:rsidR="00597226" w:rsidRPr="002A11EE" w:rsidRDefault="00597226" w:rsidP="00021951">
            <w:pPr>
              <w:pStyle w:val="NoSpacing"/>
              <w:jc w:val="center"/>
            </w:pPr>
          </w:p>
          <w:p w14:paraId="03B6449C" w14:textId="77777777" w:rsidR="00597226" w:rsidRPr="002A11EE" w:rsidRDefault="00597226" w:rsidP="00021951">
            <w:pPr>
              <w:pStyle w:val="NoSpacing"/>
              <w:jc w:val="center"/>
            </w:pPr>
            <w:r w:rsidRPr="002A11EE">
              <w:t>P-value</w:t>
            </w:r>
          </w:p>
        </w:tc>
        <w:tc>
          <w:tcPr>
            <w:tcW w:w="1334" w:type="dxa"/>
          </w:tcPr>
          <w:p w14:paraId="448C4020" w14:textId="77777777" w:rsidR="00FB0FF9" w:rsidRDefault="00FB0FF9" w:rsidP="00021951">
            <w:pPr>
              <w:pStyle w:val="NoSpacing"/>
              <w:jc w:val="center"/>
            </w:pPr>
          </w:p>
          <w:p w14:paraId="0272D93C" w14:textId="5935357A" w:rsidR="00597226" w:rsidRPr="002A11EE" w:rsidRDefault="00597226" w:rsidP="00021951">
            <w:pPr>
              <w:pStyle w:val="NoSpacing"/>
              <w:jc w:val="center"/>
            </w:pPr>
            <w:r w:rsidRPr="002A11EE">
              <w:t xml:space="preserve">Mean of </w:t>
            </w:r>
            <w:r w:rsidR="0079024B">
              <w:t xml:space="preserve">360-day </w:t>
            </w:r>
            <w:r w:rsidR="00567CD1">
              <w:t xml:space="preserve">cumulative </w:t>
            </w:r>
            <w:r w:rsidR="0079024B">
              <w:t>production</w:t>
            </w:r>
            <w:r w:rsidRPr="002A11EE">
              <w:t xml:space="preserve"> </w:t>
            </w:r>
            <w:r w:rsidR="00567CD1">
              <w:t xml:space="preserve">normalized to lateral length </w:t>
            </w:r>
            <w:r w:rsidR="004D4548">
              <w:t>(bbl/ft)</w:t>
            </w:r>
          </w:p>
        </w:tc>
        <w:tc>
          <w:tcPr>
            <w:tcW w:w="1334" w:type="dxa"/>
          </w:tcPr>
          <w:p w14:paraId="455C6AB6" w14:textId="77777777" w:rsidR="0079024B" w:rsidRDefault="0079024B" w:rsidP="00021951">
            <w:pPr>
              <w:pStyle w:val="NoSpacing"/>
              <w:jc w:val="center"/>
            </w:pPr>
          </w:p>
          <w:p w14:paraId="0B048DFE" w14:textId="137F8157" w:rsidR="004D4548" w:rsidRPr="002A11EE" w:rsidRDefault="00567CD1" w:rsidP="00021951">
            <w:pPr>
              <w:pStyle w:val="NoSpacing"/>
              <w:jc w:val="center"/>
            </w:pPr>
            <w:r w:rsidRPr="002A11EE">
              <w:t xml:space="preserve">Mean of </w:t>
            </w:r>
            <w:r>
              <w:t>360-day cumulative production</w:t>
            </w:r>
            <w:r w:rsidRPr="002A11EE">
              <w:t xml:space="preserve"> </w:t>
            </w:r>
            <w:r>
              <w:t>normalized to lateral length (bbl/ft)</w:t>
            </w:r>
          </w:p>
        </w:tc>
        <w:tc>
          <w:tcPr>
            <w:tcW w:w="1506" w:type="dxa"/>
          </w:tcPr>
          <w:p w14:paraId="48C80FC8" w14:textId="77777777" w:rsidR="00597226" w:rsidRPr="002A11EE" w:rsidRDefault="00597226" w:rsidP="00021951">
            <w:pPr>
              <w:pStyle w:val="NoSpacing"/>
              <w:jc w:val="center"/>
            </w:pPr>
          </w:p>
          <w:p w14:paraId="3E125991" w14:textId="77777777" w:rsidR="00597226" w:rsidRPr="002A11EE" w:rsidRDefault="00597226" w:rsidP="00021951">
            <w:pPr>
              <w:pStyle w:val="NoSpacing"/>
              <w:jc w:val="center"/>
            </w:pPr>
            <w:r w:rsidRPr="002A11EE">
              <w:t>95 % confidence interval</w:t>
            </w:r>
          </w:p>
        </w:tc>
      </w:tr>
      <w:tr w:rsidR="00597226" w14:paraId="5E61B58B" w14:textId="77777777" w:rsidTr="00EF3BE3">
        <w:trPr>
          <w:jc w:val="center"/>
        </w:trPr>
        <w:tc>
          <w:tcPr>
            <w:tcW w:w="1615" w:type="dxa"/>
          </w:tcPr>
          <w:p w14:paraId="4829DA19" w14:textId="1ED89A17" w:rsidR="00597226" w:rsidRDefault="00EF3BE3" w:rsidP="00021951">
            <w:pPr>
              <w:pStyle w:val="NoSpacing"/>
              <w:jc w:val="center"/>
            </w:pPr>
            <w:r>
              <w:t>500 ft parent and 700 ft parent</w:t>
            </w:r>
          </w:p>
        </w:tc>
        <w:tc>
          <w:tcPr>
            <w:tcW w:w="1070" w:type="dxa"/>
          </w:tcPr>
          <w:p w14:paraId="08A0D3B1" w14:textId="6AC6C8B2" w:rsidR="00597226" w:rsidRDefault="00E10F3A" w:rsidP="00021951">
            <w:pPr>
              <w:pStyle w:val="NoSpacing"/>
              <w:jc w:val="center"/>
            </w:pPr>
            <w:r>
              <w:t>638</w:t>
            </w:r>
          </w:p>
        </w:tc>
        <w:tc>
          <w:tcPr>
            <w:tcW w:w="1333" w:type="dxa"/>
          </w:tcPr>
          <w:p w14:paraId="1CE5E247" w14:textId="0D9A5735" w:rsidR="00597226" w:rsidRDefault="00597226" w:rsidP="00021951">
            <w:pPr>
              <w:jc w:val="center"/>
            </w:pPr>
            <w:r>
              <w:t>0</w:t>
            </w:r>
            <w:r w:rsidR="00DC084A">
              <w:t>.21</w:t>
            </w:r>
          </w:p>
        </w:tc>
        <w:tc>
          <w:tcPr>
            <w:tcW w:w="1334" w:type="dxa"/>
          </w:tcPr>
          <w:p w14:paraId="3A268161" w14:textId="64C3A628" w:rsidR="00597226" w:rsidRDefault="00597226" w:rsidP="00021951">
            <w:pPr>
              <w:jc w:val="center"/>
            </w:pPr>
            <w:r>
              <w:t>17.</w:t>
            </w:r>
            <w:r w:rsidR="004B0DEC">
              <w:t>4</w:t>
            </w:r>
          </w:p>
        </w:tc>
        <w:tc>
          <w:tcPr>
            <w:tcW w:w="1334" w:type="dxa"/>
          </w:tcPr>
          <w:p w14:paraId="723E39EE" w14:textId="4532DDB3" w:rsidR="00597226" w:rsidRDefault="00597226" w:rsidP="00021951">
            <w:pPr>
              <w:jc w:val="center"/>
            </w:pPr>
            <w:r>
              <w:t>1</w:t>
            </w:r>
            <w:r w:rsidR="004B0DEC">
              <w:t>7.9</w:t>
            </w:r>
          </w:p>
        </w:tc>
        <w:tc>
          <w:tcPr>
            <w:tcW w:w="1506" w:type="dxa"/>
          </w:tcPr>
          <w:p w14:paraId="58415B8B" w14:textId="154F1EA6" w:rsidR="00597226" w:rsidRDefault="00597226" w:rsidP="00021951">
            <w:pPr>
              <w:pStyle w:val="NoSpacing"/>
              <w:jc w:val="center"/>
            </w:pPr>
            <w:r>
              <w:t>(-</w:t>
            </w:r>
            <w:r w:rsidR="00352364">
              <w:t>1.42</w:t>
            </w:r>
            <w:r>
              <w:t xml:space="preserve">, </w:t>
            </w:r>
            <w:r w:rsidR="00352364">
              <w:t>0.3</w:t>
            </w:r>
            <w:r>
              <w:t>)</w:t>
            </w:r>
          </w:p>
        </w:tc>
      </w:tr>
      <w:tr w:rsidR="00535E18" w14:paraId="7C3B8FDE" w14:textId="77777777" w:rsidTr="00EF3BE3">
        <w:trPr>
          <w:jc w:val="center"/>
        </w:trPr>
        <w:tc>
          <w:tcPr>
            <w:tcW w:w="1615" w:type="dxa"/>
          </w:tcPr>
          <w:p w14:paraId="04640808" w14:textId="5E424CED" w:rsidR="00535E18" w:rsidRDefault="00535E18" w:rsidP="00021951">
            <w:pPr>
              <w:pStyle w:val="NoSpacing"/>
              <w:jc w:val="center"/>
            </w:pPr>
            <w:r>
              <w:t>500 ft child and 700 ft child</w:t>
            </w:r>
          </w:p>
        </w:tc>
        <w:tc>
          <w:tcPr>
            <w:tcW w:w="1070" w:type="dxa"/>
          </w:tcPr>
          <w:p w14:paraId="0C94BB0E" w14:textId="440F0875" w:rsidR="00535E18" w:rsidRDefault="00535E18" w:rsidP="00021951">
            <w:pPr>
              <w:pStyle w:val="NoSpacing"/>
              <w:jc w:val="center"/>
            </w:pPr>
            <w:r>
              <w:t>568</w:t>
            </w:r>
          </w:p>
        </w:tc>
        <w:tc>
          <w:tcPr>
            <w:tcW w:w="1333" w:type="dxa"/>
          </w:tcPr>
          <w:p w14:paraId="40D8B8A4" w14:textId="7AB1C41F" w:rsidR="00535E18" w:rsidRDefault="004D4548" w:rsidP="00021951">
            <w:pPr>
              <w:jc w:val="center"/>
            </w:pPr>
            <w:r>
              <w:t>0.72</w:t>
            </w:r>
          </w:p>
        </w:tc>
        <w:tc>
          <w:tcPr>
            <w:tcW w:w="1334" w:type="dxa"/>
          </w:tcPr>
          <w:p w14:paraId="55303A07" w14:textId="0EE81A82" w:rsidR="00535E18" w:rsidRDefault="004D4548" w:rsidP="00021951">
            <w:pPr>
              <w:jc w:val="center"/>
            </w:pPr>
            <w:r>
              <w:t>16.73</w:t>
            </w:r>
          </w:p>
        </w:tc>
        <w:tc>
          <w:tcPr>
            <w:tcW w:w="1334" w:type="dxa"/>
          </w:tcPr>
          <w:p w14:paraId="362EFF34" w14:textId="1D98015A" w:rsidR="00535E18" w:rsidRDefault="004D4548" w:rsidP="00021951">
            <w:pPr>
              <w:jc w:val="center"/>
            </w:pPr>
            <w:r>
              <w:t>16.57</w:t>
            </w:r>
          </w:p>
        </w:tc>
        <w:tc>
          <w:tcPr>
            <w:tcW w:w="1506" w:type="dxa"/>
          </w:tcPr>
          <w:p w14:paraId="44012D81" w14:textId="31A7FFB1" w:rsidR="00535E18" w:rsidRDefault="00EF3BE3" w:rsidP="00D01699">
            <w:pPr>
              <w:pStyle w:val="NoSpacing"/>
              <w:keepNext/>
              <w:jc w:val="center"/>
            </w:pPr>
            <w:r>
              <w:t>(-0.71,1.3)</w:t>
            </w:r>
          </w:p>
        </w:tc>
      </w:tr>
    </w:tbl>
    <w:p w14:paraId="37A3734C" w14:textId="77777777" w:rsidR="00D01699" w:rsidRDefault="00D01699" w:rsidP="00D01699">
      <w:pPr>
        <w:pStyle w:val="Caption"/>
        <w:rPr>
          <w:rFonts w:ascii="Arial" w:hAnsi="Arial" w:cs="Arial"/>
          <w:i w:val="0"/>
          <w:iCs w:val="0"/>
          <w:sz w:val="16"/>
          <w:szCs w:val="16"/>
        </w:rPr>
      </w:pPr>
    </w:p>
    <w:p w14:paraId="6D33B02A" w14:textId="655A5E5E" w:rsidR="002430C6" w:rsidRDefault="00D01699" w:rsidP="00D01699">
      <w:pPr>
        <w:pStyle w:val="Caption"/>
        <w:rPr>
          <w:rFonts w:ascii="Arial" w:hAnsi="Arial" w:cs="Arial"/>
          <w:sz w:val="16"/>
          <w:szCs w:val="16"/>
        </w:rPr>
      </w:pPr>
      <w:bookmarkStart w:id="60" w:name="_Toc58667122"/>
      <w:r w:rsidRPr="00D01699">
        <w:rPr>
          <w:rFonts w:ascii="Arial" w:hAnsi="Arial" w:cs="Arial"/>
          <w:i w:val="0"/>
          <w:iCs w:val="0"/>
          <w:sz w:val="16"/>
          <w:szCs w:val="16"/>
        </w:rPr>
        <w:t xml:space="preserve">Table 2. </w:t>
      </w:r>
      <w:r w:rsidRPr="00D01699">
        <w:rPr>
          <w:rFonts w:ascii="Arial" w:hAnsi="Arial" w:cs="Arial"/>
          <w:i w:val="0"/>
          <w:iCs w:val="0"/>
          <w:sz w:val="16"/>
          <w:szCs w:val="16"/>
        </w:rPr>
        <w:fldChar w:fldCharType="begin"/>
      </w:r>
      <w:r w:rsidRPr="00D01699">
        <w:rPr>
          <w:rFonts w:ascii="Arial" w:hAnsi="Arial" w:cs="Arial"/>
          <w:i w:val="0"/>
          <w:iCs w:val="0"/>
          <w:sz w:val="16"/>
          <w:szCs w:val="16"/>
        </w:rPr>
        <w:instrText xml:space="preserve"> SEQ Table_2. \* ARABIC </w:instrText>
      </w:r>
      <w:r w:rsidRPr="00D01699">
        <w:rPr>
          <w:rFonts w:ascii="Arial" w:hAnsi="Arial" w:cs="Arial"/>
          <w:i w:val="0"/>
          <w:iCs w:val="0"/>
          <w:sz w:val="16"/>
          <w:szCs w:val="16"/>
        </w:rPr>
        <w:fldChar w:fldCharType="separate"/>
      </w:r>
      <w:r w:rsidR="00D006A5">
        <w:rPr>
          <w:rFonts w:ascii="Arial" w:hAnsi="Arial" w:cs="Arial"/>
          <w:i w:val="0"/>
          <w:iCs w:val="0"/>
          <w:noProof/>
          <w:sz w:val="16"/>
          <w:szCs w:val="16"/>
        </w:rPr>
        <w:t>8</w:t>
      </w:r>
      <w:r w:rsidRPr="00D01699">
        <w:rPr>
          <w:rFonts w:ascii="Arial" w:hAnsi="Arial" w:cs="Arial"/>
          <w:i w:val="0"/>
          <w:iCs w:val="0"/>
          <w:sz w:val="16"/>
          <w:szCs w:val="16"/>
        </w:rPr>
        <w:fldChar w:fldCharType="end"/>
      </w:r>
      <w:r>
        <w:rPr>
          <w:rFonts w:ascii="Arial" w:hAnsi="Arial" w:cs="Arial"/>
          <w:i w:val="0"/>
          <w:iCs w:val="0"/>
          <w:sz w:val="16"/>
          <w:szCs w:val="16"/>
        </w:rPr>
        <w:t>—</w:t>
      </w:r>
      <w:r w:rsidRPr="002430C6">
        <w:rPr>
          <w:rFonts w:ascii="Arial" w:hAnsi="Arial" w:cs="Arial"/>
          <w:i w:val="0"/>
          <w:iCs w:val="0"/>
          <w:sz w:val="16"/>
          <w:szCs w:val="16"/>
        </w:rPr>
        <w:t>Pair</w:t>
      </w:r>
      <w:r>
        <w:rPr>
          <w:rFonts w:ascii="Arial" w:hAnsi="Arial" w:cs="Arial"/>
          <w:i w:val="0"/>
          <w:iCs w:val="0"/>
          <w:sz w:val="16"/>
          <w:szCs w:val="16"/>
        </w:rPr>
        <w:t>ed</w:t>
      </w:r>
      <w:r w:rsidRPr="002430C6">
        <w:rPr>
          <w:rFonts w:ascii="Arial" w:hAnsi="Arial" w:cs="Arial"/>
          <w:i w:val="0"/>
          <w:iCs w:val="0"/>
          <w:sz w:val="16"/>
          <w:szCs w:val="16"/>
        </w:rPr>
        <w:t xml:space="preserve"> t-test output comparing the actual outcomes for 500 ft parent</w:t>
      </w:r>
      <w:r>
        <w:rPr>
          <w:rFonts w:ascii="Arial" w:hAnsi="Arial" w:cs="Arial"/>
          <w:i w:val="0"/>
          <w:iCs w:val="0"/>
          <w:sz w:val="16"/>
          <w:szCs w:val="16"/>
        </w:rPr>
        <w:t xml:space="preserve"> with</w:t>
      </w:r>
      <w:r w:rsidRPr="002430C6">
        <w:rPr>
          <w:rFonts w:ascii="Arial" w:hAnsi="Arial" w:cs="Arial"/>
          <w:i w:val="0"/>
          <w:iCs w:val="0"/>
          <w:sz w:val="16"/>
          <w:szCs w:val="16"/>
        </w:rPr>
        <w:t xml:space="preserve"> 700 ft parent well group </w:t>
      </w:r>
      <w:r>
        <w:rPr>
          <w:rFonts w:ascii="Arial" w:hAnsi="Arial" w:cs="Arial"/>
          <w:i w:val="0"/>
          <w:iCs w:val="0"/>
          <w:sz w:val="16"/>
          <w:szCs w:val="16"/>
        </w:rPr>
        <w:t>and</w:t>
      </w:r>
      <w:r w:rsidRPr="002430C6">
        <w:rPr>
          <w:rFonts w:ascii="Arial" w:hAnsi="Arial" w:cs="Arial"/>
          <w:i w:val="0"/>
          <w:iCs w:val="0"/>
          <w:sz w:val="16"/>
          <w:szCs w:val="16"/>
        </w:rPr>
        <w:t xml:space="preserve"> 500 ft child well </w:t>
      </w:r>
      <w:r>
        <w:rPr>
          <w:rFonts w:ascii="Arial" w:hAnsi="Arial" w:cs="Arial"/>
          <w:i w:val="0"/>
          <w:iCs w:val="0"/>
          <w:sz w:val="16"/>
          <w:szCs w:val="16"/>
        </w:rPr>
        <w:t>with</w:t>
      </w:r>
      <w:r w:rsidRPr="002430C6">
        <w:rPr>
          <w:rFonts w:ascii="Arial" w:hAnsi="Arial" w:cs="Arial"/>
          <w:i w:val="0"/>
          <w:iCs w:val="0"/>
          <w:sz w:val="16"/>
          <w:szCs w:val="16"/>
        </w:rPr>
        <w:t xml:space="preserve"> 700 ft child well group</w:t>
      </w:r>
      <w:r>
        <w:rPr>
          <w:rFonts w:ascii="Arial" w:hAnsi="Arial" w:cs="Arial"/>
          <w:i w:val="0"/>
          <w:iCs w:val="0"/>
          <w:sz w:val="16"/>
          <w:szCs w:val="16"/>
        </w:rPr>
        <w:t xml:space="preserve"> </w:t>
      </w:r>
      <w:r w:rsidRPr="002430C6">
        <w:rPr>
          <w:rFonts w:ascii="Arial" w:hAnsi="Arial" w:cs="Arial"/>
          <w:i w:val="0"/>
          <w:iCs w:val="0"/>
          <w:sz w:val="16"/>
          <w:szCs w:val="16"/>
        </w:rPr>
        <w:t>using simple averages approach</w:t>
      </w:r>
      <w:r>
        <w:rPr>
          <w:rFonts w:ascii="Arial" w:hAnsi="Arial" w:cs="Arial"/>
          <w:i w:val="0"/>
          <w:iCs w:val="0"/>
          <w:sz w:val="16"/>
          <w:szCs w:val="16"/>
        </w:rPr>
        <w:t>.</w:t>
      </w:r>
      <w:bookmarkEnd w:id="60"/>
    </w:p>
    <w:p w14:paraId="3A529B59" w14:textId="77777777" w:rsidR="00A33793" w:rsidRDefault="00A33793" w:rsidP="00A33793">
      <w:pPr>
        <w:pStyle w:val="Default"/>
        <w:spacing w:line="480" w:lineRule="auto"/>
        <w:ind w:firstLine="288"/>
        <w:jc w:val="both"/>
      </w:pPr>
      <w:r>
        <w:t>These results show that the simple averages approach provides counter-intuitive results. We would expect that as well spacing increases, well performance metrics should show a corresponding increase because of the access to more undrained reservoir volume.</w:t>
      </w:r>
    </w:p>
    <w:p w14:paraId="264D3D91" w14:textId="3B125E5D" w:rsidR="00622B92" w:rsidRDefault="00E82969" w:rsidP="00D47BE2">
      <w:pPr>
        <w:pStyle w:val="para1"/>
        <w:spacing w:line="480" w:lineRule="auto"/>
      </w:pPr>
      <w:r>
        <w:t xml:space="preserve">To again illustrate that the naïve, simple averages approach is not an ideal way of calculating well spacing effects, </w:t>
      </w:r>
      <w:r w:rsidRPr="003B216B">
        <w:t xml:space="preserve">consider </w:t>
      </w:r>
      <w:r w:rsidRPr="001115C7">
        <w:rPr>
          <w:b/>
          <w:bCs/>
        </w:rPr>
        <w:t>Fig. 2.2</w:t>
      </w:r>
      <w:r w:rsidR="00212841" w:rsidRPr="001115C7">
        <w:rPr>
          <w:b/>
          <w:bCs/>
        </w:rPr>
        <w:t>7</w:t>
      </w:r>
      <w:r w:rsidRPr="003B216B">
        <w:t>.</w:t>
      </w:r>
      <w:r>
        <w:t xml:space="preserve"> Boxplots for TVD and a scatter plot of 360-day cumulative production normalized to lateral length for the parent (shown in red) and child (shown in blue) wells are shown in </w:t>
      </w:r>
      <w:r w:rsidRPr="003B216B">
        <w:t xml:space="preserve">Fig. </w:t>
      </w:r>
      <w:r w:rsidRPr="001115C7">
        <w:t>2.27a and b.</w:t>
      </w:r>
      <w:r>
        <w:t xml:space="preserve"> respectively. The range of the landing zones for the parent wells is seen to be considerably different from the range for the child wells. Using the simple averages approach, we are considering wells completed in different landing zones. This can be </w:t>
      </w:r>
      <w:r>
        <w:lastRenderedPageBreak/>
        <w:t>significant in multi-bench plays such as the Permian and the Meramec (</w:t>
      </w:r>
      <w:r w:rsidRPr="0090615E">
        <w:rPr>
          <w:rFonts w:eastAsiaTheme="minorHAnsi" w:cstheme="minorBidi"/>
          <w:color w:val="002060"/>
          <w:szCs w:val="24"/>
        </w:rPr>
        <w:t xml:space="preserve">Gaurav et al. 2017; Price </w:t>
      </w:r>
      <w:r w:rsidR="00D0633C">
        <w:rPr>
          <w:rFonts w:eastAsiaTheme="minorHAnsi" w:cstheme="minorBidi"/>
          <w:color w:val="002060"/>
          <w:szCs w:val="24"/>
        </w:rPr>
        <w:t xml:space="preserve">et al. </w:t>
      </w:r>
      <w:r w:rsidRPr="0090615E">
        <w:rPr>
          <w:rFonts w:eastAsiaTheme="minorHAnsi" w:cstheme="minorBidi"/>
          <w:color w:val="002060"/>
          <w:szCs w:val="24"/>
        </w:rPr>
        <w:t>2017</w:t>
      </w:r>
      <w:r>
        <w:t xml:space="preserve">). This is the motivation behind taking a more sophisticated </w:t>
      </w:r>
      <w:r w:rsidR="00E00179">
        <w:t>c</w:t>
      </w:r>
      <w:r>
        <w:t xml:space="preserve">ausal </w:t>
      </w:r>
      <w:r w:rsidR="00E00179">
        <w:t>i</w:t>
      </w:r>
      <w:r>
        <w:t>nference approach where we would control for reservoir and completion variables before estimating the spacing impact.</w:t>
      </w:r>
    </w:p>
    <w:p w14:paraId="313626E8" w14:textId="07A2B574" w:rsidR="00500A0A" w:rsidRDefault="00672352" w:rsidP="00672352">
      <w:pPr>
        <w:pStyle w:val="para1"/>
        <w:spacing w:line="480" w:lineRule="auto"/>
        <w:jc w:val="center"/>
      </w:pPr>
      <w:r>
        <w:rPr>
          <w:noProof/>
        </w:rPr>
        <w:drawing>
          <wp:inline distT="0" distB="0" distL="0" distR="0" wp14:anchorId="2BD89CFF" wp14:editId="5AE62258">
            <wp:extent cx="4461933" cy="2875089"/>
            <wp:effectExtent l="0" t="0" r="0" b="190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471075" cy="2880980"/>
                    </a:xfrm>
                    <a:prstGeom prst="rect">
                      <a:avLst/>
                    </a:prstGeom>
                  </pic:spPr>
                </pic:pic>
              </a:graphicData>
            </a:graphic>
          </wp:inline>
        </w:drawing>
      </w:r>
    </w:p>
    <w:p w14:paraId="313ECA6E" w14:textId="675286DE" w:rsidR="004655FD" w:rsidRDefault="00744271" w:rsidP="00622B92">
      <w:pPr>
        <w:pStyle w:val="FigCaption"/>
        <w:spacing w:line="480" w:lineRule="auto"/>
        <w:jc w:val="center"/>
      </w:pPr>
      <w:r>
        <w:t xml:space="preserve"> </w:t>
      </w:r>
      <w:r w:rsidR="00DC6E33">
        <w:t xml:space="preserve">                 </w:t>
      </w:r>
      <w:r w:rsidR="004655FD">
        <w:t>(a)</w:t>
      </w:r>
    </w:p>
    <w:p w14:paraId="6237ED50" w14:textId="52125C83" w:rsidR="00193062" w:rsidRDefault="009E6C2A" w:rsidP="00DC6E33">
      <w:pPr>
        <w:pStyle w:val="FigCaption"/>
        <w:spacing w:line="480" w:lineRule="auto"/>
        <w:jc w:val="center"/>
      </w:pPr>
      <w:r>
        <w:rPr>
          <w:noProof/>
        </w:rPr>
        <w:drawing>
          <wp:inline distT="0" distB="0" distL="0" distR="0" wp14:anchorId="742DE1CD" wp14:editId="1F3C76E0">
            <wp:extent cx="2266950" cy="22669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266950" cy="2266950"/>
                    </a:xfrm>
                    <a:prstGeom prst="rect">
                      <a:avLst/>
                    </a:prstGeom>
                  </pic:spPr>
                </pic:pic>
              </a:graphicData>
            </a:graphic>
          </wp:inline>
        </w:drawing>
      </w:r>
      <w:r w:rsidR="00DC6E33">
        <w:rPr>
          <w:noProof/>
        </w:rPr>
        <w:drawing>
          <wp:inline distT="0" distB="0" distL="0" distR="0" wp14:anchorId="54D8E7A0" wp14:editId="203ABE11">
            <wp:extent cx="771525" cy="6477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771525" cy="647700"/>
                    </a:xfrm>
                    <a:prstGeom prst="rect">
                      <a:avLst/>
                    </a:prstGeom>
                  </pic:spPr>
                </pic:pic>
              </a:graphicData>
            </a:graphic>
          </wp:inline>
        </w:drawing>
      </w:r>
    </w:p>
    <w:p w14:paraId="14174961" w14:textId="6E80EFFB" w:rsidR="00193062" w:rsidRPr="00DC6E33" w:rsidRDefault="00DC6E33" w:rsidP="00193062">
      <w:pPr>
        <w:pStyle w:val="FigCaption"/>
        <w:spacing w:line="480" w:lineRule="auto"/>
        <w:jc w:val="center"/>
      </w:pPr>
      <w:r>
        <w:t xml:space="preserve">     </w:t>
      </w:r>
      <w:r w:rsidR="004D4D88">
        <w:t xml:space="preserve">          </w:t>
      </w:r>
      <w:r w:rsidR="00193062" w:rsidRPr="00DC6E33">
        <w:t>(b)</w:t>
      </w:r>
    </w:p>
    <w:p w14:paraId="20E87E82" w14:textId="123309FF" w:rsidR="00193062" w:rsidRPr="0069167D" w:rsidRDefault="00193062" w:rsidP="00193062">
      <w:pPr>
        <w:pStyle w:val="FigCaption"/>
        <w:spacing w:line="480" w:lineRule="auto"/>
        <w:jc w:val="center"/>
        <w:rPr>
          <w:rFonts w:eastAsiaTheme="minorHAnsi" w:cstheme="minorBidi"/>
          <w:color w:val="000000"/>
          <w:szCs w:val="24"/>
        </w:rPr>
      </w:pPr>
      <w:bookmarkStart w:id="61" w:name="_Toc58667160"/>
      <w:r w:rsidRPr="00DC6E33">
        <w:t xml:space="preserve">Fig. 2. </w:t>
      </w:r>
      <w:r w:rsidR="002E6043">
        <w:fldChar w:fldCharType="begin"/>
      </w:r>
      <w:r w:rsidR="002E6043">
        <w:instrText xml:space="preserve"> SEQ Fig._2. \* ARABIC </w:instrText>
      </w:r>
      <w:r w:rsidR="002E6043">
        <w:fldChar w:fldCharType="separate"/>
      </w:r>
      <w:r w:rsidR="00D006A5">
        <w:rPr>
          <w:noProof/>
        </w:rPr>
        <w:t>27</w:t>
      </w:r>
      <w:r w:rsidR="002E6043">
        <w:rPr>
          <w:noProof/>
        </w:rPr>
        <w:fldChar w:fldCharType="end"/>
      </w:r>
      <w:r>
        <w:t>—(a) TVD boxplots of parent (0) and child wells (1)  (b) Scatter plot of Cum-360-day production normalized</w:t>
      </w:r>
      <w:r w:rsidRPr="003357F1">
        <w:rPr>
          <w:noProof/>
        </w:rPr>
        <w:t xml:space="preserve"> </w:t>
      </w:r>
      <w:r>
        <w:t>to lateral length (bbl/ft) versus TVD (ft) for parent (0) and child wells (1) at 500 ft</w:t>
      </w:r>
      <w:r w:rsidR="00A45BF9">
        <w:t xml:space="preserve"> </w:t>
      </w:r>
      <w:r w:rsidRPr="0069167D">
        <w:rPr>
          <w:rFonts w:eastAsiaTheme="minorHAnsi" w:cstheme="minorBidi"/>
          <w:color w:val="000000"/>
          <w:szCs w:val="24"/>
        </w:rPr>
        <w:t>spacing (Sakhardande and Devegowda 2021).</w:t>
      </w:r>
      <w:bookmarkEnd w:id="61"/>
    </w:p>
    <w:p w14:paraId="00C86187" w14:textId="1A6F9065" w:rsidR="00944E24" w:rsidRDefault="00DC534B" w:rsidP="001115C7">
      <w:r>
        <w:lastRenderedPageBreak/>
        <w:t>Also,</w:t>
      </w:r>
      <w:r w:rsidR="00542257">
        <w:t xml:space="preserve"> in Fig. 2.27, w</w:t>
      </w:r>
      <w:r w:rsidR="006A164E">
        <w:t>e observe parent wells associated with a much wider TVD range and child wells in a narrower range. This, again, is to be expected. As we gain more knowledge of the reservoir, our well placement becomes more focused and optimized. However, if we were to use a simple-averages approach, we would be comparing wells from different benches/horizons and this can impact our spacing analyses. Although we are controlling for reservoir properties, it is also important to separately consider TVD. Different landing zones may be associated with different frac-barriers. Even if the reservoir properties and completions are similar for a parent and child well in 2 different benches, there may be different levels of fracture growth in both of them, based on the thickness of the zone and presence/absence of frac-barriers.</w:t>
      </w:r>
      <w:r w:rsidDel="00DC534B">
        <w:t xml:space="preserve"> </w:t>
      </w:r>
    </w:p>
    <w:p w14:paraId="1BE61116" w14:textId="7BEBD392" w:rsidR="00944E24" w:rsidRDefault="00944E24" w:rsidP="001115C7">
      <w:pPr>
        <w:pStyle w:val="Default"/>
        <w:spacing w:line="480" w:lineRule="auto"/>
        <w:jc w:val="both"/>
      </w:pPr>
      <w:r>
        <w:rPr>
          <w:i/>
          <w:iCs/>
        </w:rPr>
        <w:t>Causal Inference Approach</w:t>
      </w:r>
      <w:r w:rsidRPr="00AA2028">
        <w:rPr>
          <w:i/>
          <w:iCs/>
        </w:rPr>
        <w:t xml:space="preserve"> for 36</w:t>
      </w:r>
      <w:r>
        <w:rPr>
          <w:i/>
          <w:iCs/>
        </w:rPr>
        <w:t>0</w:t>
      </w:r>
      <w:r w:rsidRPr="00AA2028">
        <w:rPr>
          <w:i/>
          <w:iCs/>
        </w:rPr>
        <w:t xml:space="preserve">-Day Cumulative Production Normalized </w:t>
      </w:r>
      <w:r>
        <w:rPr>
          <w:i/>
          <w:iCs/>
        </w:rPr>
        <w:t>to Lateral Length (bbl/ft)</w:t>
      </w:r>
    </w:p>
    <w:p w14:paraId="2248EF06" w14:textId="253A20A4" w:rsidR="00C45991" w:rsidRDefault="00C45991" w:rsidP="00C45991">
      <w:pPr>
        <w:ind w:firstLine="288"/>
        <w:contextualSpacing/>
        <w:rPr>
          <w:rFonts w:eastAsia="Times New Roman" w:cs="Times New Roman"/>
          <w:szCs w:val="20"/>
        </w:rPr>
      </w:pPr>
      <w:r>
        <w:rPr>
          <w:rFonts w:eastAsia="Times New Roman" w:cs="Times New Roman"/>
          <w:szCs w:val="20"/>
        </w:rPr>
        <w:t xml:space="preserve">Given this background and the potentially compromised interpretations from a simple averages approach, I now show the </w:t>
      </w:r>
      <w:r w:rsidRPr="00BA43CE">
        <w:rPr>
          <w:rFonts w:eastAsia="Times New Roman" w:cs="Times New Roman"/>
          <w:szCs w:val="20"/>
        </w:rPr>
        <w:t>results from the causal inference workflow</w:t>
      </w:r>
      <w:r>
        <w:rPr>
          <w:rFonts w:eastAsia="Times New Roman" w:cs="Times New Roman"/>
          <w:szCs w:val="20"/>
        </w:rPr>
        <w:t xml:space="preserve"> in</w:t>
      </w:r>
      <w:r w:rsidRPr="00BA43CE">
        <w:rPr>
          <w:rFonts w:eastAsia="Times New Roman" w:cs="Times New Roman"/>
          <w:szCs w:val="20"/>
        </w:rPr>
        <w:t xml:space="preserve"> </w:t>
      </w:r>
      <w:r w:rsidRPr="003B216B">
        <w:rPr>
          <w:rFonts w:eastAsia="Times New Roman" w:cs="Times New Roman"/>
          <w:b/>
          <w:bCs/>
          <w:szCs w:val="20"/>
        </w:rPr>
        <w:t xml:space="preserve">Fig. </w:t>
      </w:r>
      <w:r w:rsidRPr="001115C7">
        <w:rPr>
          <w:rFonts w:eastAsia="Times New Roman" w:cs="Times New Roman"/>
          <w:b/>
          <w:bCs/>
          <w:szCs w:val="20"/>
        </w:rPr>
        <w:t>2.</w:t>
      </w:r>
      <w:r w:rsidR="00344B09">
        <w:rPr>
          <w:rFonts w:eastAsia="Times New Roman" w:cs="Times New Roman"/>
          <w:b/>
          <w:bCs/>
          <w:szCs w:val="20"/>
        </w:rPr>
        <w:t>28</w:t>
      </w:r>
      <w:r>
        <w:rPr>
          <w:rFonts w:eastAsia="Times New Roman" w:cs="Times New Roman"/>
          <w:b/>
          <w:bCs/>
          <w:szCs w:val="20"/>
        </w:rPr>
        <w:t xml:space="preserve">. </w:t>
      </w:r>
      <w:r w:rsidR="00A6051E">
        <w:rPr>
          <w:rFonts w:eastAsia="Times New Roman" w:cs="Times New Roman"/>
          <w:szCs w:val="20"/>
        </w:rPr>
        <w:t>T</w:t>
      </w:r>
      <w:r>
        <w:rPr>
          <w:rFonts w:eastAsia="Times New Roman" w:cs="Times New Roman"/>
          <w:szCs w:val="20"/>
        </w:rPr>
        <w:t xml:space="preserve">he </w:t>
      </w:r>
      <w:r w:rsidRPr="00BA43CE">
        <w:rPr>
          <w:rFonts w:eastAsia="Times New Roman" w:cs="Times New Roman"/>
          <w:szCs w:val="20"/>
        </w:rPr>
        <w:t xml:space="preserve">primary </w:t>
      </w:r>
      <w:r>
        <w:rPr>
          <w:rFonts w:eastAsia="Times New Roman" w:cs="Times New Roman"/>
          <w:szCs w:val="20"/>
        </w:rPr>
        <w:t>y-</w:t>
      </w:r>
      <w:r w:rsidRPr="00BA43CE">
        <w:rPr>
          <w:rFonts w:eastAsia="Times New Roman" w:cs="Times New Roman"/>
          <w:szCs w:val="20"/>
        </w:rPr>
        <w:t xml:space="preserve">axis and the </w:t>
      </w:r>
      <w:r>
        <w:rPr>
          <w:rFonts w:eastAsia="Times New Roman" w:cs="Times New Roman"/>
          <w:szCs w:val="20"/>
        </w:rPr>
        <w:t>x</w:t>
      </w:r>
      <w:r w:rsidRPr="00BA43CE">
        <w:rPr>
          <w:rFonts w:eastAsia="Times New Roman" w:cs="Times New Roman"/>
          <w:szCs w:val="20"/>
        </w:rPr>
        <w:t xml:space="preserve">-axis </w:t>
      </w:r>
      <w:r w:rsidR="00B7381A">
        <w:rPr>
          <w:rFonts w:eastAsia="Times New Roman" w:cs="Times New Roman"/>
          <w:szCs w:val="20"/>
        </w:rPr>
        <w:t xml:space="preserve">in Fig. 2.28 </w:t>
      </w:r>
      <w:r w:rsidRPr="00BA43CE">
        <w:rPr>
          <w:rFonts w:eastAsia="Times New Roman" w:cs="Times New Roman"/>
          <w:szCs w:val="20"/>
        </w:rPr>
        <w:t>are same as Fig.</w:t>
      </w:r>
      <w:r>
        <w:rPr>
          <w:rFonts w:eastAsia="Times New Roman" w:cs="Times New Roman"/>
          <w:szCs w:val="20"/>
        </w:rPr>
        <w:t xml:space="preserve"> 2</w:t>
      </w:r>
      <w:r w:rsidR="00A6051E">
        <w:rPr>
          <w:rFonts w:eastAsia="Times New Roman" w:cs="Times New Roman"/>
          <w:szCs w:val="20"/>
        </w:rPr>
        <w:t>6</w:t>
      </w:r>
      <w:r>
        <w:rPr>
          <w:rFonts w:eastAsia="Times New Roman" w:cs="Times New Roman"/>
          <w:szCs w:val="20"/>
        </w:rPr>
        <w:t xml:space="preserve"> shown earlier</w:t>
      </w:r>
      <w:r w:rsidRPr="00BA43CE">
        <w:rPr>
          <w:rFonts w:eastAsia="Times New Roman" w:cs="Times New Roman"/>
          <w:szCs w:val="20"/>
        </w:rPr>
        <w:t xml:space="preserve">. The causal estimate is shown on the secondary </w:t>
      </w:r>
      <w:r>
        <w:rPr>
          <w:rFonts w:eastAsia="Times New Roman" w:cs="Times New Roman"/>
          <w:szCs w:val="20"/>
        </w:rPr>
        <w:t>y</w:t>
      </w:r>
      <w:r w:rsidRPr="00BA43CE">
        <w:rPr>
          <w:rFonts w:eastAsia="Times New Roman" w:cs="Times New Roman"/>
          <w:szCs w:val="20"/>
        </w:rPr>
        <w:t>-axis in bbl/ft.</w:t>
      </w:r>
      <w:r>
        <w:rPr>
          <w:rFonts w:eastAsia="Times New Roman" w:cs="Times New Roman"/>
          <w:szCs w:val="20"/>
        </w:rPr>
        <w:t xml:space="preserve"> The casual estimate is the difference between the potential outcomes of parent and child well groups. Blue bars and red bars show the potential outcome mean values of cumulative 360-day production numbers normalized to lateral length for child wells and parent wells respectively.</w:t>
      </w:r>
      <w:r w:rsidRPr="00DB6F86">
        <w:rPr>
          <w:rFonts w:eastAsia="Times New Roman" w:cs="Times New Roman"/>
          <w:szCs w:val="20"/>
        </w:rPr>
        <w:t xml:space="preserve"> </w:t>
      </w:r>
      <w:r>
        <w:rPr>
          <w:rFonts w:eastAsia="Times New Roman" w:cs="Times New Roman"/>
          <w:szCs w:val="20"/>
        </w:rPr>
        <w:t xml:space="preserve">Standard deviation is shown by black error bars. </w:t>
      </w:r>
    </w:p>
    <w:p w14:paraId="7992E005" w14:textId="4C4C6BD0" w:rsidR="008B65D4" w:rsidRDefault="008B65D4" w:rsidP="008B65D4">
      <w:pPr>
        <w:ind w:firstLine="288"/>
        <w:contextualSpacing/>
        <w:rPr>
          <w:rFonts w:eastAsia="Times New Roman" w:cs="Times New Roman"/>
          <w:szCs w:val="20"/>
        </w:rPr>
      </w:pPr>
      <w:r>
        <w:rPr>
          <w:rFonts w:eastAsia="Times New Roman" w:cs="Times New Roman"/>
          <w:szCs w:val="20"/>
        </w:rPr>
        <w:t xml:space="preserve">Considering the 800 ft well spacing in </w:t>
      </w:r>
      <w:r w:rsidRPr="00D411A1">
        <w:rPr>
          <w:rFonts w:eastAsia="Times New Roman" w:cs="Times New Roman"/>
          <w:szCs w:val="20"/>
        </w:rPr>
        <w:t>Fig.</w:t>
      </w:r>
      <w:r>
        <w:rPr>
          <w:rFonts w:eastAsia="Times New Roman" w:cs="Times New Roman"/>
          <w:szCs w:val="20"/>
        </w:rPr>
        <w:t xml:space="preserve"> 2.28</w:t>
      </w:r>
      <w:r w:rsidR="00131C07">
        <w:rPr>
          <w:rFonts w:eastAsia="Times New Roman" w:cs="Times New Roman"/>
          <w:szCs w:val="20"/>
        </w:rPr>
        <w:t>,</w:t>
      </w:r>
      <w:r>
        <w:rPr>
          <w:rFonts w:eastAsia="Times New Roman" w:cs="Times New Roman"/>
          <w:szCs w:val="20"/>
        </w:rPr>
        <w:t xml:space="preserve"> the mean of the potential outcomes for the parent wells is around 19 bbl/ft and 16 bbl/ft for the child wells. The difference of 2.6 bbl/ft is the causal estimate which is shown by the green circles with the green error bars representing the 95% confidence interval. This implies that the parent well at 800 ft produces 2.6 bbl/ft of oil more than the child well.</w:t>
      </w:r>
      <w:r w:rsidR="00A45BF9">
        <w:rPr>
          <w:rFonts w:eastAsia="Times New Roman" w:cs="Times New Roman"/>
          <w:szCs w:val="20"/>
        </w:rPr>
        <w:t xml:space="preserve"> </w:t>
      </w:r>
      <w:r>
        <w:rPr>
          <w:rFonts w:eastAsia="Times New Roman" w:cs="Times New Roman"/>
          <w:szCs w:val="20"/>
        </w:rPr>
        <w:t xml:space="preserve">The results for all paired t-tests between the parent and child well group potential </w:t>
      </w:r>
      <w:r>
        <w:rPr>
          <w:rFonts w:eastAsia="Times New Roman" w:cs="Times New Roman"/>
          <w:szCs w:val="20"/>
        </w:rPr>
        <w:lastRenderedPageBreak/>
        <w:t>outcomes, that is</w:t>
      </w:r>
      <w:r w:rsidR="00FA0650">
        <w:rPr>
          <w:rFonts w:eastAsia="Times New Roman" w:cs="Times New Roman"/>
          <w:szCs w:val="20"/>
        </w:rPr>
        <w:t>,</w:t>
      </w:r>
      <w:r>
        <w:rPr>
          <w:rFonts w:eastAsia="Times New Roman" w:cs="Times New Roman"/>
          <w:szCs w:val="20"/>
        </w:rPr>
        <w:t xml:space="preserve"> the predicted cumulative 360-day production numbers normalized to lateral length (bbl/ft), at all well spacings (500 ft, 600 ft,700 ft and 800 ft) are summarized in the Appendix </w:t>
      </w:r>
      <w:r w:rsidRPr="00CD7ADE">
        <w:rPr>
          <w:rFonts w:eastAsia="Times New Roman" w:cs="Times New Roman"/>
          <w:b/>
          <w:bCs/>
          <w:szCs w:val="20"/>
        </w:rPr>
        <w:t>Table A2.</w:t>
      </w:r>
      <w:r>
        <w:rPr>
          <w:rFonts w:eastAsia="Times New Roman" w:cs="Times New Roman"/>
          <w:b/>
          <w:bCs/>
          <w:szCs w:val="20"/>
        </w:rPr>
        <w:t xml:space="preserve"> </w:t>
      </w:r>
      <w:r>
        <w:rPr>
          <w:rFonts w:eastAsia="Times New Roman" w:cs="Times New Roman"/>
          <w:szCs w:val="20"/>
        </w:rPr>
        <w:t>All the differences can be seen to be statistically significant.</w:t>
      </w:r>
    </w:p>
    <w:p w14:paraId="0DA0339E" w14:textId="179EBF39" w:rsidR="00193062" w:rsidRDefault="00995104" w:rsidP="00995104">
      <w:pPr>
        <w:ind w:firstLine="288"/>
        <w:contextualSpacing/>
      </w:pPr>
      <w:r>
        <w:rPr>
          <w:rFonts w:eastAsia="Times New Roman" w:cs="Times New Roman"/>
          <w:noProof/>
          <w:szCs w:val="20"/>
        </w:rPr>
        <w:drawing>
          <wp:inline distT="0" distB="0" distL="0" distR="0" wp14:anchorId="02A75571" wp14:editId="5283E2AA">
            <wp:extent cx="5868035" cy="412362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875019" cy="4128532"/>
                    </a:xfrm>
                    <a:prstGeom prst="rect">
                      <a:avLst/>
                    </a:prstGeom>
                    <a:noFill/>
                  </pic:spPr>
                </pic:pic>
              </a:graphicData>
            </a:graphic>
          </wp:inline>
        </w:drawing>
      </w:r>
    </w:p>
    <w:p w14:paraId="13107F43" w14:textId="52436F23" w:rsidR="00D01699" w:rsidRPr="0069167D" w:rsidRDefault="00193062" w:rsidP="00193062">
      <w:pPr>
        <w:pStyle w:val="Caption"/>
        <w:rPr>
          <w:rFonts w:ascii="Arial" w:hAnsi="Arial"/>
          <w:i w:val="0"/>
          <w:iCs w:val="0"/>
          <w:color w:val="000000"/>
          <w:sz w:val="16"/>
          <w:szCs w:val="24"/>
        </w:rPr>
      </w:pPr>
      <w:bookmarkStart w:id="62" w:name="_Toc58667161"/>
      <w:r w:rsidRPr="000D15E1">
        <w:rPr>
          <w:rFonts w:ascii="Arial" w:eastAsia="Times New Roman" w:hAnsi="Arial" w:cs="Arial"/>
          <w:i w:val="0"/>
          <w:iCs w:val="0"/>
          <w:sz w:val="16"/>
          <w:szCs w:val="16"/>
        </w:rPr>
        <w:t xml:space="preserve">Fig. 2. </w:t>
      </w:r>
      <w:r w:rsidRPr="000D15E1">
        <w:rPr>
          <w:rFonts w:ascii="Arial" w:eastAsia="Times New Roman" w:hAnsi="Arial" w:cs="Arial"/>
          <w:i w:val="0"/>
          <w:iCs w:val="0"/>
          <w:sz w:val="16"/>
          <w:szCs w:val="16"/>
        </w:rPr>
        <w:fldChar w:fldCharType="begin"/>
      </w:r>
      <w:r w:rsidRPr="000D15E1">
        <w:rPr>
          <w:rFonts w:ascii="Arial" w:eastAsia="Times New Roman" w:hAnsi="Arial" w:cs="Arial"/>
          <w:i w:val="0"/>
          <w:iCs w:val="0"/>
          <w:sz w:val="16"/>
          <w:szCs w:val="16"/>
        </w:rPr>
        <w:instrText xml:space="preserve"> SEQ Fig._2. \* ARABIC </w:instrText>
      </w:r>
      <w:r w:rsidRPr="000D15E1">
        <w:rPr>
          <w:rFonts w:ascii="Arial" w:eastAsia="Times New Roman" w:hAnsi="Arial" w:cs="Arial"/>
          <w:i w:val="0"/>
          <w:iCs w:val="0"/>
          <w:sz w:val="16"/>
          <w:szCs w:val="16"/>
        </w:rPr>
        <w:fldChar w:fldCharType="separate"/>
      </w:r>
      <w:r w:rsidR="00D006A5">
        <w:rPr>
          <w:rFonts w:ascii="Arial" w:eastAsia="Times New Roman" w:hAnsi="Arial" w:cs="Arial"/>
          <w:i w:val="0"/>
          <w:iCs w:val="0"/>
          <w:noProof/>
          <w:sz w:val="16"/>
          <w:szCs w:val="16"/>
        </w:rPr>
        <w:t>28</w:t>
      </w:r>
      <w:r w:rsidRPr="000D15E1">
        <w:rPr>
          <w:rFonts w:ascii="Arial" w:eastAsia="Times New Roman" w:hAnsi="Arial" w:cs="Arial"/>
          <w:i w:val="0"/>
          <w:iCs w:val="0"/>
          <w:sz w:val="16"/>
          <w:szCs w:val="16"/>
        </w:rPr>
        <w:fldChar w:fldCharType="end"/>
      </w:r>
      <w:r w:rsidRPr="00ED77FE">
        <w:rPr>
          <w:rFonts w:ascii="Arial" w:eastAsia="Times New Roman" w:hAnsi="Arial" w:cs="Arial"/>
          <w:i w:val="0"/>
          <w:iCs w:val="0"/>
          <w:sz w:val="16"/>
          <w:szCs w:val="16"/>
        </w:rPr>
        <w:t xml:space="preserve">—Bar chart comparing potential outcomes for 360-day cumulative production normalized to lateral length (bbl/ft) of parent-child well groups and causal estimates for each well spacing option using causal inference </w:t>
      </w:r>
      <w:r w:rsidRPr="0069167D">
        <w:rPr>
          <w:rFonts w:ascii="Arial" w:hAnsi="Arial"/>
          <w:i w:val="0"/>
          <w:iCs w:val="0"/>
          <w:color w:val="000000"/>
          <w:sz w:val="16"/>
          <w:szCs w:val="24"/>
        </w:rPr>
        <w:t>(Sakhardande and Devegowda 2021).</w:t>
      </w:r>
      <w:bookmarkEnd w:id="62"/>
    </w:p>
    <w:p w14:paraId="25FD4C80" w14:textId="6EA3167E" w:rsidR="00BC30D2" w:rsidRDefault="00BC30D2" w:rsidP="00BC30D2">
      <w:pPr>
        <w:tabs>
          <w:tab w:val="left" w:pos="5673"/>
        </w:tabs>
        <w:ind w:firstLine="288"/>
        <w:contextualSpacing/>
        <w:rPr>
          <w:rFonts w:eastAsia="Times New Roman" w:cs="Times New Roman"/>
          <w:szCs w:val="20"/>
        </w:rPr>
      </w:pPr>
      <w:r>
        <w:rPr>
          <w:rFonts w:eastAsia="Times New Roman" w:cs="Times New Roman"/>
          <w:szCs w:val="20"/>
        </w:rPr>
        <w:t xml:space="preserve">The parent well at 800 ft well spacing in Fig. 2.28 performs the best relative to the child well given that the magnitude of causal estimate is the largest. The difference in the causal estimates at the 500 ft, 600 ft and 700 ft well spacing levels are not as large as 2.6 bbl/ft. </w:t>
      </w:r>
      <w:r>
        <w:t xml:space="preserve">This result is expected because wells spaced farther than 800 ft will likely have more access to virgin reservoir pressure and undrained reservoir volume compared to wells with spacing more than just 500 ft. This </w:t>
      </w:r>
      <w:r>
        <w:lastRenderedPageBreak/>
        <w:t>indicates that at the much tighter spacing levels of 500 ft, 600 ft and 700 ft, the inter-well interference problem is unavoidable even for the parent wells.</w:t>
      </w:r>
    </w:p>
    <w:p w14:paraId="0AEC9AB3" w14:textId="51150B48" w:rsidR="00240D9E" w:rsidRDefault="00BC30D2" w:rsidP="00240D9E">
      <w:pPr>
        <w:tabs>
          <w:tab w:val="left" w:pos="5673"/>
        </w:tabs>
        <w:spacing w:after="0"/>
        <w:ind w:firstLine="288"/>
        <w:contextualSpacing/>
        <w:rPr>
          <w:rFonts w:eastAsia="Times New Roman" w:cs="Times New Roman"/>
          <w:szCs w:val="20"/>
        </w:rPr>
      </w:pPr>
      <w:r>
        <w:rPr>
          <w:rFonts w:eastAsia="Times New Roman" w:cs="Times New Roman"/>
          <w:szCs w:val="20"/>
        </w:rPr>
        <w:t xml:space="preserve">Another paired t-test confirms that the 800 ft parent well performs significantly better than the 500 ft parent well. An example output of this paired t-test comparing the potential outcomes for the parent-parent well groups is shown in </w:t>
      </w:r>
      <w:r w:rsidRPr="0005266A">
        <w:rPr>
          <w:rFonts w:eastAsia="Times New Roman" w:cs="Times New Roman"/>
          <w:b/>
          <w:bCs/>
          <w:szCs w:val="20"/>
        </w:rPr>
        <w:t xml:space="preserve">Table </w:t>
      </w:r>
      <w:r>
        <w:rPr>
          <w:rFonts w:eastAsia="Times New Roman" w:cs="Times New Roman"/>
          <w:b/>
          <w:bCs/>
          <w:szCs w:val="20"/>
        </w:rPr>
        <w:t>2.</w:t>
      </w:r>
      <w:r w:rsidR="00D01699">
        <w:rPr>
          <w:rFonts w:eastAsia="Times New Roman" w:cs="Times New Roman"/>
          <w:b/>
          <w:bCs/>
          <w:szCs w:val="20"/>
        </w:rPr>
        <w:t>9</w:t>
      </w:r>
      <w:r>
        <w:rPr>
          <w:rFonts w:eastAsia="Times New Roman" w:cs="Times New Roman"/>
          <w:szCs w:val="20"/>
        </w:rPr>
        <w:t xml:space="preserve">. </w:t>
      </w:r>
      <w:r>
        <w:t xml:space="preserve">Here we can see that the difference is statistically significant based on the p-value and 95% confidence interval at the 360-day mark potential outcome. </w:t>
      </w:r>
      <w:r>
        <w:rPr>
          <w:rFonts w:eastAsia="Times New Roman" w:cs="Times New Roman"/>
          <w:szCs w:val="20"/>
        </w:rPr>
        <w:t xml:space="preserve">Other comparisons coupled with paired t-test outputs between the 800 ft spacing parent well group with the rest of well spacing parent well groups were also found to be statistically significant and are shown in the Appendix </w:t>
      </w:r>
      <w:r>
        <w:rPr>
          <w:rFonts w:eastAsia="Times New Roman" w:cs="Times New Roman"/>
          <w:b/>
          <w:bCs/>
          <w:szCs w:val="20"/>
        </w:rPr>
        <w:t>Table A4</w:t>
      </w:r>
      <w:r>
        <w:rPr>
          <w:rFonts w:eastAsia="Times New Roman" w:cs="Times New Roman"/>
          <w:szCs w:val="20"/>
        </w:rPr>
        <w:t xml:space="preserve">. </w:t>
      </w:r>
      <w:r>
        <w:t>Given the data in the study, 800 ft well spacing would then be considered to be the optimal spacing where production interference is the least.</w:t>
      </w:r>
    </w:p>
    <w:tbl>
      <w:tblPr>
        <w:tblStyle w:val="TableGrid"/>
        <w:tblW w:w="0" w:type="auto"/>
        <w:jc w:val="center"/>
        <w:tblLook w:val="04A0" w:firstRow="1" w:lastRow="0" w:firstColumn="1" w:lastColumn="0" w:noHBand="0" w:noVBand="1"/>
      </w:tblPr>
      <w:tblGrid>
        <w:gridCol w:w="1615"/>
        <w:gridCol w:w="1070"/>
        <w:gridCol w:w="1333"/>
        <w:gridCol w:w="1647"/>
        <w:gridCol w:w="1890"/>
        <w:gridCol w:w="1530"/>
      </w:tblGrid>
      <w:tr w:rsidR="000E4ED8" w14:paraId="1BA17511" w14:textId="77777777" w:rsidTr="0001463A">
        <w:trPr>
          <w:jc w:val="center"/>
        </w:trPr>
        <w:tc>
          <w:tcPr>
            <w:tcW w:w="1615" w:type="dxa"/>
          </w:tcPr>
          <w:p w14:paraId="50AB091A" w14:textId="77777777" w:rsidR="00AF7A1A" w:rsidRDefault="000E4ED8" w:rsidP="00240D9E">
            <w:pPr>
              <w:pStyle w:val="NoSpacing"/>
              <w:jc w:val="center"/>
            </w:pPr>
            <w:r w:rsidRPr="005A6A44">
              <w:t xml:space="preserve">Parent </w:t>
            </w:r>
          </w:p>
          <w:p w14:paraId="1D6EAD35" w14:textId="21CD00F9" w:rsidR="000E4ED8" w:rsidRPr="005A6A44" w:rsidRDefault="000E4ED8" w:rsidP="00240D9E">
            <w:pPr>
              <w:pStyle w:val="NoSpacing"/>
              <w:jc w:val="center"/>
            </w:pPr>
            <w:r w:rsidRPr="005A6A44">
              <w:t xml:space="preserve">Well groups </w:t>
            </w:r>
            <w:r w:rsidR="001D5408">
              <w:t>at</w:t>
            </w:r>
            <w:r w:rsidR="004A2178">
              <w:t xml:space="preserve"> 360-days</w:t>
            </w:r>
            <w:r w:rsidRPr="005A6A44">
              <w:t xml:space="preserve"> of production</w:t>
            </w:r>
          </w:p>
        </w:tc>
        <w:tc>
          <w:tcPr>
            <w:tcW w:w="1070" w:type="dxa"/>
          </w:tcPr>
          <w:p w14:paraId="2B1DB557" w14:textId="77777777" w:rsidR="000E4ED8" w:rsidRPr="005A6A44" w:rsidRDefault="000E4ED8" w:rsidP="00240D9E">
            <w:pPr>
              <w:pStyle w:val="NoSpacing"/>
              <w:jc w:val="center"/>
            </w:pPr>
            <w:r w:rsidRPr="005A6A44">
              <w:t>Degrees of Freedom</w:t>
            </w:r>
          </w:p>
        </w:tc>
        <w:tc>
          <w:tcPr>
            <w:tcW w:w="1333" w:type="dxa"/>
          </w:tcPr>
          <w:p w14:paraId="2DC29E4D" w14:textId="77777777" w:rsidR="000E4ED8" w:rsidRPr="005A6A44" w:rsidRDefault="000E4ED8" w:rsidP="00240D9E">
            <w:pPr>
              <w:pStyle w:val="NoSpacing"/>
              <w:jc w:val="center"/>
            </w:pPr>
          </w:p>
          <w:p w14:paraId="1E3FC5B1" w14:textId="77777777" w:rsidR="000E4ED8" w:rsidRPr="005A6A44" w:rsidRDefault="000E4ED8" w:rsidP="00240D9E">
            <w:pPr>
              <w:pStyle w:val="NoSpacing"/>
              <w:jc w:val="center"/>
            </w:pPr>
          </w:p>
          <w:p w14:paraId="0F8FE95A" w14:textId="77777777" w:rsidR="000E4ED8" w:rsidRPr="005A6A44" w:rsidRDefault="000E4ED8" w:rsidP="00240D9E">
            <w:pPr>
              <w:pStyle w:val="NoSpacing"/>
              <w:jc w:val="center"/>
            </w:pPr>
            <w:r w:rsidRPr="005A6A44">
              <w:t>P-value</w:t>
            </w:r>
          </w:p>
        </w:tc>
        <w:tc>
          <w:tcPr>
            <w:tcW w:w="1647" w:type="dxa"/>
          </w:tcPr>
          <w:p w14:paraId="5B4F2A8B" w14:textId="77777777" w:rsidR="000E4ED8" w:rsidRDefault="000E4ED8" w:rsidP="00240D9E">
            <w:pPr>
              <w:pStyle w:val="NoSpacing"/>
              <w:jc w:val="center"/>
            </w:pPr>
            <w:r w:rsidRPr="005A6A44">
              <w:t xml:space="preserve">Mean of Parent Wells </w:t>
            </w:r>
            <w:r>
              <w:t xml:space="preserve">Potential Outcome </w:t>
            </w:r>
            <w:r w:rsidRPr="005A6A44">
              <w:t xml:space="preserve">at </w:t>
            </w:r>
            <w:r>
              <w:t>5</w:t>
            </w:r>
            <w:r w:rsidRPr="005A6A44">
              <w:t>00 ft spacing</w:t>
            </w:r>
          </w:p>
          <w:p w14:paraId="1EF7D134" w14:textId="6FD3EDF1" w:rsidR="00AF7A1A" w:rsidRPr="005A6A44" w:rsidRDefault="00AF7A1A" w:rsidP="00240D9E">
            <w:pPr>
              <w:pStyle w:val="NoSpacing"/>
              <w:jc w:val="center"/>
            </w:pPr>
            <w:r>
              <w:t>(bbl/ft)</w:t>
            </w:r>
          </w:p>
        </w:tc>
        <w:tc>
          <w:tcPr>
            <w:tcW w:w="1890" w:type="dxa"/>
          </w:tcPr>
          <w:p w14:paraId="61D775BF" w14:textId="77777777" w:rsidR="00AF7A1A" w:rsidRDefault="000E4ED8" w:rsidP="00240D9E">
            <w:pPr>
              <w:pStyle w:val="NoSpacing"/>
              <w:jc w:val="center"/>
            </w:pPr>
            <w:r w:rsidRPr="005A6A44">
              <w:t xml:space="preserve">Mean of </w:t>
            </w:r>
          </w:p>
          <w:p w14:paraId="58047174" w14:textId="3D00C6CD" w:rsidR="000E4ED8" w:rsidRDefault="000E4ED8" w:rsidP="00240D9E">
            <w:pPr>
              <w:pStyle w:val="NoSpacing"/>
              <w:jc w:val="center"/>
            </w:pPr>
            <w:r w:rsidRPr="005A6A44">
              <w:t xml:space="preserve">Parent Wells </w:t>
            </w:r>
            <w:r>
              <w:t xml:space="preserve">Potential Outcome </w:t>
            </w:r>
            <w:r w:rsidRPr="005A6A44">
              <w:t xml:space="preserve">at </w:t>
            </w:r>
            <w:r>
              <w:t>5</w:t>
            </w:r>
            <w:r w:rsidRPr="005A6A44">
              <w:t>00 ft spacing</w:t>
            </w:r>
          </w:p>
          <w:p w14:paraId="24217183" w14:textId="4E622F9E" w:rsidR="00AF7A1A" w:rsidRPr="005A6A44" w:rsidRDefault="00AF7A1A" w:rsidP="00240D9E">
            <w:pPr>
              <w:pStyle w:val="NoSpacing"/>
              <w:jc w:val="center"/>
            </w:pPr>
            <w:r>
              <w:t>(bbl/ft)</w:t>
            </w:r>
          </w:p>
        </w:tc>
        <w:tc>
          <w:tcPr>
            <w:tcW w:w="1530" w:type="dxa"/>
          </w:tcPr>
          <w:p w14:paraId="24062AB7" w14:textId="77777777" w:rsidR="000E4ED8" w:rsidRPr="005A6A44" w:rsidRDefault="000E4ED8" w:rsidP="00240D9E">
            <w:pPr>
              <w:pStyle w:val="NoSpacing"/>
              <w:jc w:val="center"/>
            </w:pPr>
            <w:r w:rsidRPr="005A6A44">
              <w:t>95 % confidence interval</w:t>
            </w:r>
          </w:p>
        </w:tc>
      </w:tr>
      <w:tr w:rsidR="000E4ED8" w14:paraId="4411E4AD" w14:textId="77777777" w:rsidTr="0001463A">
        <w:trPr>
          <w:jc w:val="center"/>
        </w:trPr>
        <w:tc>
          <w:tcPr>
            <w:tcW w:w="1615" w:type="dxa"/>
          </w:tcPr>
          <w:p w14:paraId="1C14C4B3" w14:textId="509AAB5C" w:rsidR="000E4ED8" w:rsidRDefault="000E4ED8" w:rsidP="000E4ED8">
            <w:pPr>
              <w:pStyle w:val="NoSpacing"/>
              <w:jc w:val="center"/>
            </w:pPr>
            <w:r>
              <w:t>500 ft and 800 ft</w:t>
            </w:r>
          </w:p>
        </w:tc>
        <w:tc>
          <w:tcPr>
            <w:tcW w:w="1070" w:type="dxa"/>
          </w:tcPr>
          <w:p w14:paraId="63CAD15B" w14:textId="72B88A1F" w:rsidR="000E4ED8" w:rsidRDefault="000E4ED8" w:rsidP="000E4ED8">
            <w:pPr>
              <w:pStyle w:val="NoSpacing"/>
              <w:jc w:val="center"/>
            </w:pPr>
            <w:r>
              <w:t>216</w:t>
            </w:r>
          </w:p>
        </w:tc>
        <w:tc>
          <w:tcPr>
            <w:tcW w:w="1333" w:type="dxa"/>
          </w:tcPr>
          <w:p w14:paraId="76CE7116" w14:textId="6B1CF793" w:rsidR="000E4ED8" w:rsidRDefault="000E4ED8" w:rsidP="000E4ED8">
            <w:pPr>
              <w:jc w:val="center"/>
            </w:pPr>
            <w:r>
              <w:t>0.0084</w:t>
            </w:r>
          </w:p>
        </w:tc>
        <w:tc>
          <w:tcPr>
            <w:tcW w:w="1647" w:type="dxa"/>
          </w:tcPr>
          <w:p w14:paraId="68D561CF" w14:textId="063132D1" w:rsidR="000E4ED8" w:rsidRDefault="000E4ED8" w:rsidP="000E4ED8">
            <w:pPr>
              <w:jc w:val="center"/>
            </w:pPr>
            <w:r>
              <w:t>17.39</w:t>
            </w:r>
          </w:p>
        </w:tc>
        <w:tc>
          <w:tcPr>
            <w:tcW w:w="1890" w:type="dxa"/>
          </w:tcPr>
          <w:p w14:paraId="5D16361D" w14:textId="77777777" w:rsidR="000E4ED8" w:rsidRDefault="000E4ED8" w:rsidP="000E4ED8">
            <w:pPr>
              <w:jc w:val="center"/>
            </w:pPr>
            <w:r>
              <w:t>18.7</w:t>
            </w:r>
          </w:p>
        </w:tc>
        <w:tc>
          <w:tcPr>
            <w:tcW w:w="1530" w:type="dxa"/>
          </w:tcPr>
          <w:p w14:paraId="3826D04D" w14:textId="6A302286" w:rsidR="000E4ED8" w:rsidRDefault="000E4ED8" w:rsidP="00D01699">
            <w:pPr>
              <w:pStyle w:val="NoSpacing"/>
              <w:keepNext/>
              <w:jc w:val="center"/>
            </w:pPr>
            <w:r>
              <w:t>(-2.29, -0.34)</w:t>
            </w:r>
          </w:p>
        </w:tc>
      </w:tr>
    </w:tbl>
    <w:p w14:paraId="4CCDC473" w14:textId="77777777" w:rsidR="00D01699" w:rsidRDefault="00D01699" w:rsidP="00D01699">
      <w:pPr>
        <w:tabs>
          <w:tab w:val="left" w:pos="5673"/>
        </w:tabs>
        <w:spacing w:after="0"/>
        <w:ind w:firstLine="288"/>
        <w:contextualSpacing/>
        <w:rPr>
          <w:rFonts w:ascii="Arial" w:eastAsia="Times New Roman" w:hAnsi="Arial" w:cs="Arial"/>
          <w:b/>
          <w:bCs/>
          <w:sz w:val="16"/>
          <w:szCs w:val="16"/>
        </w:rPr>
      </w:pPr>
    </w:p>
    <w:p w14:paraId="4A6583C1" w14:textId="7C05667F" w:rsidR="00CF73D1" w:rsidRDefault="00D01699" w:rsidP="00D01699">
      <w:pPr>
        <w:tabs>
          <w:tab w:val="left" w:pos="5673"/>
        </w:tabs>
        <w:spacing w:after="0"/>
        <w:ind w:firstLine="288"/>
        <w:contextualSpacing/>
        <w:rPr>
          <w:rFonts w:ascii="Arial" w:eastAsia="Times New Roman" w:hAnsi="Arial" w:cs="Arial"/>
          <w:b/>
          <w:bCs/>
          <w:sz w:val="16"/>
          <w:szCs w:val="16"/>
        </w:rPr>
      </w:pPr>
      <w:bookmarkStart w:id="63" w:name="_Toc58667123"/>
      <w:r w:rsidRPr="00D01699">
        <w:rPr>
          <w:rFonts w:ascii="Arial" w:eastAsia="Times New Roman" w:hAnsi="Arial" w:cs="Arial"/>
          <w:b/>
          <w:bCs/>
          <w:sz w:val="16"/>
          <w:szCs w:val="16"/>
        </w:rPr>
        <w:t xml:space="preserve">Table 2. </w:t>
      </w:r>
      <w:r w:rsidRPr="00D01699">
        <w:rPr>
          <w:rFonts w:ascii="Arial" w:eastAsia="Times New Roman" w:hAnsi="Arial" w:cs="Arial"/>
          <w:b/>
          <w:bCs/>
          <w:sz w:val="16"/>
          <w:szCs w:val="16"/>
        </w:rPr>
        <w:fldChar w:fldCharType="begin"/>
      </w:r>
      <w:r w:rsidRPr="00D01699">
        <w:rPr>
          <w:rFonts w:ascii="Arial" w:eastAsia="Times New Roman" w:hAnsi="Arial" w:cs="Arial"/>
          <w:b/>
          <w:bCs/>
          <w:sz w:val="16"/>
          <w:szCs w:val="16"/>
        </w:rPr>
        <w:instrText xml:space="preserve"> SEQ Table_2. \* ARABIC </w:instrText>
      </w:r>
      <w:r w:rsidRPr="00D01699">
        <w:rPr>
          <w:rFonts w:ascii="Arial" w:eastAsia="Times New Roman" w:hAnsi="Arial" w:cs="Arial"/>
          <w:b/>
          <w:bCs/>
          <w:sz w:val="16"/>
          <w:szCs w:val="16"/>
        </w:rPr>
        <w:fldChar w:fldCharType="separate"/>
      </w:r>
      <w:r w:rsidR="00D006A5">
        <w:rPr>
          <w:rFonts w:ascii="Arial" w:eastAsia="Times New Roman" w:hAnsi="Arial" w:cs="Arial"/>
          <w:b/>
          <w:bCs/>
          <w:noProof/>
          <w:sz w:val="16"/>
          <w:szCs w:val="16"/>
        </w:rPr>
        <w:t>9</w:t>
      </w:r>
      <w:r w:rsidRPr="00D01699">
        <w:rPr>
          <w:rFonts w:ascii="Arial" w:eastAsia="Times New Roman" w:hAnsi="Arial" w:cs="Arial"/>
          <w:b/>
          <w:bCs/>
          <w:sz w:val="16"/>
          <w:szCs w:val="16"/>
        </w:rPr>
        <w:fldChar w:fldCharType="end"/>
      </w:r>
      <w:r>
        <w:rPr>
          <w:rFonts w:ascii="Arial" w:eastAsia="Times New Roman" w:hAnsi="Arial" w:cs="Arial"/>
          <w:b/>
          <w:bCs/>
          <w:sz w:val="16"/>
          <w:szCs w:val="16"/>
        </w:rPr>
        <w:t>—</w:t>
      </w:r>
      <w:r w:rsidRPr="00CF73D1">
        <w:rPr>
          <w:rFonts w:ascii="Arial" w:eastAsia="Times New Roman" w:hAnsi="Arial" w:cs="Arial"/>
          <w:b/>
          <w:bCs/>
          <w:sz w:val="16"/>
          <w:szCs w:val="16"/>
        </w:rPr>
        <w:t xml:space="preserve"> </w:t>
      </w:r>
      <w:r w:rsidRPr="00347CF2">
        <w:rPr>
          <w:rFonts w:ascii="Arial" w:eastAsia="Times New Roman" w:hAnsi="Arial" w:cs="Arial"/>
          <w:b/>
          <w:bCs/>
          <w:sz w:val="16"/>
          <w:szCs w:val="16"/>
        </w:rPr>
        <w:t>An example output of a paired t-test between the 500 ft parent well group and 800 ft parent well group with potential outcome</w:t>
      </w:r>
      <w:r>
        <w:rPr>
          <w:rFonts w:ascii="Arial" w:eastAsia="Times New Roman" w:hAnsi="Arial" w:cs="Arial"/>
          <w:b/>
          <w:bCs/>
          <w:sz w:val="16"/>
          <w:szCs w:val="16"/>
        </w:rPr>
        <w:t>s</w:t>
      </w:r>
      <w:r w:rsidRPr="00347CF2">
        <w:rPr>
          <w:rFonts w:ascii="Arial" w:eastAsia="Times New Roman" w:hAnsi="Arial" w:cs="Arial"/>
          <w:b/>
          <w:bCs/>
          <w:sz w:val="16"/>
          <w:szCs w:val="16"/>
        </w:rPr>
        <w:t xml:space="preserve"> </w:t>
      </w:r>
      <w:r>
        <w:rPr>
          <w:rFonts w:ascii="Arial" w:eastAsia="Times New Roman" w:hAnsi="Arial" w:cs="Arial"/>
          <w:b/>
          <w:bCs/>
          <w:sz w:val="16"/>
          <w:szCs w:val="16"/>
        </w:rPr>
        <w:t>for</w:t>
      </w:r>
      <w:r w:rsidRPr="00347CF2">
        <w:rPr>
          <w:rFonts w:ascii="Arial" w:eastAsia="Times New Roman" w:hAnsi="Arial" w:cs="Arial"/>
          <w:b/>
          <w:bCs/>
          <w:sz w:val="16"/>
          <w:szCs w:val="16"/>
        </w:rPr>
        <w:t xml:space="preserve"> 360-day cumulative production normalized to lateral length (bbl/ft).</w:t>
      </w:r>
      <w:bookmarkEnd w:id="63"/>
      <w:r>
        <w:rPr>
          <w:rFonts w:eastAsia="Times New Roman" w:cs="Times New Roman"/>
          <w:szCs w:val="20"/>
        </w:rPr>
        <w:t xml:space="preserve"> </w:t>
      </w:r>
    </w:p>
    <w:p w14:paraId="37277170" w14:textId="2B2955E9" w:rsidR="00327EDA" w:rsidRDefault="00D8402C" w:rsidP="00D8402C">
      <w:pPr>
        <w:ind w:firstLine="288"/>
        <w:contextualSpacing/>
      </w:pPr>
      <w:r>
        <w:t>This is an important result of this work. A simple average-based approach does not work because an analysis of Fig. 2.26 shows no difference in parent well performance across all 4 spacing groups indicating that there is no optimal spacing, which is an extremely counter-intuitive result. Well performance should be better at larger spacing levels (up to a point) given the access to larger, undrained reservoir volumes. This reiterates my assertion in Chapter 1 that the simple, average-based approach can potentially compromise quantitative interpretation.</w:t>
      </w:r>
    </w:p>
    <w:p w14:paraId="0BF42875" w14:textId="77777777" w:rsidR="004C0AE8" w:rsidRDefault="004C0AE8" w:rsidP="004C0AE8">
      <w:pPr>
        <w:pStyle w:val="Default"/>
        <w:spacing w:line="480" w:lineRule="auto"/>
        <w:jc w:val="both"/>
        <w:rPr>
          <w:b/>
          <w:bCs/>
        </w:rPr>
      </w:pPr>
      <w:r>
        <w:rPr>
          <w:i/>
          <w:iCs/>
        </w:rPr>
        <w:lastRenderedPageBreak/>
        <w:t>Causal Inference Approach</w:t>
      </w:r>
      <w:r w:rsidRPr="00AA2028">
        <w:rPr>
          <w:i/>
          <w:iCs/>
        </w:rPr>
        <w:t xml:space="preserve"> for </w:t>
      </w:r>
      <w:r>
        <w:rPr>
          <w:i/>
          <w:iCs/>
        </w:rPr>
        <w:t>180</w:t>
      </w:r>
      <w:r w:rsidRPr="00AA2028">
        <w:rPr>
          <w:i/>
          <w:iCs/>
        </w:rPr>
        <w:t xml:space="preserve">-Day Cumulative Production Normalized </w:t>
      </w:r>
      <w:r>
        <w:rPr>
          <w:i/>
          <w:iCs/>
        </w:rPr>
        <w:t>to Lateral Length (bbl/ft)</w:t>
      </w:r>
    </w:p>
    <w:p w14:paraId="170511DF" w14:textId="062C5D6D" w:rsidR="002F73B4" w:rsidRDefault="00BA2DFF" w:rsidP="00BA2DFF">
      <w:pPr>
        <w:contextualSpacing/>
        <w:rPr>
          <w:b/>
          <w:bCs/>
        </w:rPr>
      </w:pPr>
      <w:r>
        <w:t xml:space="preserve">The same causal inference workflow was carried out with 180-day </w:t>
      </w:r>
      <w:r w:rsidR="003C161A">
        <w:t xml:space="preserve">cumulative </w:t>
      </w:r>
      <w:r>
        <w:t xml:space="preserve">production </w:t>
      </w:r>
      <w:r w:rsidR="003C161A">
        <w:t xml:space="preserve">normalized to the lateral length </w:t>
      </w:r>
      <w:r w:rsidR="00766F7F">
        <w:t xml:space="preserve">(bbl/ft) as </w:t>
      </w:r>
      <w:r>
        <w:t xml:space="preserve">the </w:t>
      </w:r>
      <w:r w:rsidR="00E335D7">
        <w:t xml:space="preserve">potential </w:t>
      </w:r>
      <w:r>
        <w:t xml:space="preserve">outcome and the results are shown in </w:t>
      </w:r>
      <w:r w:rsidRPr="00635E05">
        <w:rPr>
          <w:b/>
          <w:bCs/>
        </w:rPr>
        <w:t xml:space="preserve">Fig. </w:t>
      </w:r>
      <w:r w:rsidR="0074277E">
        <w:rPr>
          <w:b/>
          <w:bCs/>
        </w:rPr>
        <w:t>2.</w:t>
      </w:r>
      <w:r w:rsidR="00227D31">
        <w:rPr>
          <w:b/>
          <w:bCs/>
        </w:rPr>
        <w:t>29</w:t>
      </w:r>
      <w:r>
        <w:rPr>
          <w:b/>
          <w:bCs/>
        </w:rPr>
        <w:t xml:space="preserve">. </w:t>
      </w:r>
      <w:r>
        <w:t xml:space="preserve"> The observation that parent wells do better than child wells is borne out even with the first 180 days of production. The causal comparison of parent to child well performance is shown in green circles and are statistically significant at all 4 spacing options considered. </w:t>
      </w:r>
      <w:r w:rsidRPr="005D068D">
        <w:t xml:space="preserve">The results from all the paired t-tests conducted for the causal estimates </w:t>
      </w:r>
      <w:r w:rsidR="008351A1">
        <w:t xml:space="preserve">of parent-child groups </w:t>
      </w:r>
      <w:r>
        <w:t>with outcome</w:t>
      </w:r>
      <w:r w:rsidR="005A6876">
        <w:t xml:space="preserve"> as</w:t>
      </w:r>
      <w:r>
        <w:t xml:space="preserve"> </w:t>
      </w:r>
      <w:r w:rsidR="005A6876">
        <w:t xml:space="preserve">180-day cumulative production normalized to the lateral length (bbl/ft) </w:t>
      </w:r>
      <w:r w:rsidRPr="005D068D">
        <w:t>are shown in the Appendix</w:t>
      </w:r>
      <w:r>
        <w:t xml:space="preserve"> </w:t>
      </w:r>
      <w:r w:rsidR="003D510D" w:rsidRPr="003D510D">
        <w:rPr>
          <w:b/>
          <w:bCs/>
        </w:rPr>
        <w:t>Table A1</w:t>
      </w:r>
      <w:r w:rsidRPr="00942E5B">
        <w:rPr>
          <w:b/>
          <w:bCs/>
        </w:rPr>
        <w:t>.</w:t>
      </w:r>
    </w:p>
    <w:p w14:paraId="6F08C6D5" w14:textId="3EC0C7F9" w:rsidR="00EA7998" w:rsidRDefault="00EA7998" w:rsidP="00BA2DFF">
      <w:pPr>
        <w:contextualSpacing/>
        <w:rPr>
          <w:b/>
          <w:bCs/>
        </w:rPr>
      </w:pPr>
    </w:p>
    <w:p w14:paraId="79117828" w14:textId="283AFA34" w:rsidR="00193062" w:rsidRDefault="005A4616" w:rsidP="00434344">
      <w:pPr>
        <w:contextualSpacing/>
        <w:jc w:val="center"/>
      </w:pPr>
      <w:r>
        <w:rPr>
          <w:b/>
          <w:bCs/>
          <w:noProof/>
        </w:rPr>
        <w:lastRenderedPageBreak/>
        <w:drawing>
          <wp:inline distT="0" distB="0" distL="0" distR="0" wp14:anchorId="060E0C9B" wp14:editId="30FEB977">
            <wp:extent cx="5834380" cy="4465501"/>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47067" cy="4475211"/>
                    </a:xfrm>
                    <a:prstGeom prst="rect">
                      <a:avLst/>
                    </a:prstGeom>
                    <a:noFill/>
                  </pic:spPr>
                </pic:pic>
              </a:graphicData>
            </a:graphic>
          </wp:inline>
        </w:drawing>
      </w:r>
    </w:p>
    <w:p w14:paraId="51B8B6F2" w14:textId="1234434F" w:rsidR="008307A9" w:rsidRPr="0069167D" w:rsidRDefault="00193062" w:rsidP="00193062">
      <w:pPr>
        <w:pStyle w:val="Caption"/>
        <w:rPr>
          <w:rFonts w:ascii="Arial" w:eastAsia="Times New Roman" w:hAnsi="Arial" w:cs="Arial"/>
          <w:i w:val="0"/>
          <w:iCs w:val="0"/>
          <w:sz w:val="16"/>
          <w:szCs w:val="16"/>
        </w:rPr>
      </w:pPr>
      <w:bookmarkStart w:id="64" w:name="_Toc58667162"/>
      <w:r w:rsidRPr="00434344">
        <w:rPr>
          <w:rFonts w:ascii="Arial" w:eastAsia="Times New Roman" w:hAnsi="Arial" w:cs="Times New Roman"/>
          <w:i w:val="0"/>
          <w:iCs w:val="0"/>
          <w:sz w:val="16"/>
          <w:szCs w:val="20"/>
        </w:rPr>
        <w:t xml:space="preserve">Fig. 2. </w:t>
      </w:r>
      <w:r w:rsidRPr="00434344">
        <w:rPr>
          <w:rFonts w:ascii="Arial" w:eastAsia="Times New Roman" w:hAnsi="Arial" w:cs="Times New Roman"/>
          <w:i w:val="0"/>
          <w:iCs w:val="0"/>
          <w:sz w:val="16"/>
          <w:szCs w:val="20"/>
        </w:rPr>
        <w:fldChar w:fldCharType="begin"/>
      </w:r>
      <w:r w:rsidRPr="00434344">
        <w:rPr>
          <w:rFonts w:ascii="Arial" w:eastAsia="Times New Roman" w:hAnsi="Arial" w:cs="Times New Roman"/>
          <w:i w:val="0"/>
          <w:iCs w:val="0"/>
          <w:sz w:val="16"/>
          <w:szCs w:val="20"/>
        </w:rPr>
        <w:instrText xml:space="preserve"> SEQ Fig._2. \* ARABIC </w:instrText>
      </w:r>
      <w:r w:rsidRPr="00434344">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29</w:t>
      </w:r>
      <w:r w:rsidRPr="00434344">
        <w:rPr>
          <w:rFonts w:ascii="Arial" w:eastAsia="Times New Roman" w:hAnsi="Arial" w:cs="Times New Roman"/>
          <w:i w:val="0"/>
          <w:iCs w:val="0"/>
          <w:sz w:val="16"/>
          <w:szCs w:val="20"/>
        </w:rPr>
        <w:fldChar w:fldCharType="end"/>
      </w:r>
      <w:r w:rsidRPr="00193062">
        <w:rPr>
          <w:rFonts w:ascii="Arial" w:eastAsia="Times New Roman" w:hAnsi="Arial" w:cs="Times New Roman"/>
          <w:i w:val="0"/>
          <w:iCs w:val="0"/>
          <w:sz w:val="16"/>
          <w:szCs w:val="20"/>
        </w:rPr>
        <w:t>—</w:t>
      </w:r>
      <w:r w:rsidRPr="002429A5">
        <w:rPr>
          <w:rFonts w:ascii="Arial" w:eastAsia="Times New Roman" w:hAnsi="Arial" w:cs="Times New Roman"/>
          <w:i w:val="0"/>
          <w:iCs w:val="0"/>
          <w:sz w:val="16"/>
          <w:szCs w:val="20"/>
        </w:rPr>
        <w:t xml:space="preserve">Bar chart comparing potential outcomes for </w:t>
      </w:r>
      <w:r>
        <w:rPr>
          <w:rFonts w:ascii="Arial" w:eastAsia="Times New Roman" w:hAnsi="Arial" w:cs="Times New Roman"/>
          <w:i w:val="0"/>
          <w:iCs w:val="0"/>
          <w:sz w:val="16"/>
          <w:szCs w:val="20"/>
        </w:rPr>
        <w:t>18</w:t>
      </w:r>
      <w:r w:rsidRPr="002429A5">
        <w:rPr>
          <w:rFonts w:ascii="Arial" w:eastAsia="Times New Roman" w:hAnsi="Arial" w:cs="Times New Roman"/>
          <w:i w:val="0"/>
          <w:iCs w:val="0"/>
          <w:sz w:val="16"/>
          <w:szCs w:val="20"/>
        </w:rPr>
        <w:t>0-day cumulative production normalized to lateral length (bbl/ft) of parent-child well groups and causal estimates for each well spacing option using causal inference</w:t>
      </w:r>
      <w:r w:rsidRPr="0074277E">
        <w:rPr>
          <w:rFonts w:ascii="Arial" w:hAnsi="Arial" w:cs="Arial"/>
          <w:b w:val="0"/>
          <w:bCs/>
          <w:i w:val="0"/>
          <w:iCs w:val="0"/>
          <w:color w:val="002060"/>
          <w:sz w:val="16"/>
          <w:szCs w:val="16"/>
        </w:rPr>
        <w:t xml:space="preserve"> </w:t>
      </w:r>
      <w:r w:rsidRPr="0069167D">
        <w:rPr>
          <w:rFonts w:ascii="Arial" w:eastAsia="Times New Roman" w:hAnsi="Arial" w:cs="Arial"/>
          <w:i w:val="0"/>
          <w:iCs w:val="0"/>
          <w:sz w:val="16"/>
          <w:szCs w:val="16"/>
        </w:rPr>
        <w:t>(Sakhardande and Devegowda 2021).</w:t>
      </w:r>
      <w:bookmarkEnd w:id="64"/>
    </w:p>
    <w:p w14:paraId="23D7007B" w14:textId="24E02591" w:rsidR="00F9621F" w:rsidRDefault="008A1A92" w:rsidP="008A1A92">
      <w:pPr>
        <w:ind w:firstLine="288"/>
        <w:contextualSpacing/>
        <w:rPr>
          <w:b/>
          <w:bCs/>
        </w:rPr>
      </w:pPr>
      <w:r>
        <w:t xml:space="preserve">In Fig. </w:t>
      </w:r>
      <w:r w:rsidR="0074277E">
        <w:t>2.</w:t>
      </w:r>
      <w:r w:rsidR="002F6DE4">
        <w:t>29</w:t>
      </w:r>
      <w:r>
        <w:t>, it again appears that 800 ft</w:t>
      </w:r>
      <w:r w:rsidR="00A45BF9">
        <w:t xml:space="preserve"> </w:t>
      </w:r>
      <w:r>
        <w:t>spacing is the optimal spacing value. However, a paired t-test comparison between the 800 ft parent well performance with the 500</w:t>
      </w:r>
      <w:r w:rsidR="00A45BF9">
        <w:t xml:space="preserve"> </w:t>
      </w:r>
      <w:r>
        <w:t>ft, 600</w:t>
      </w:r>
      <w:r w:rsidR="00A45BF9">
        <w:t xml:space="preserve"> </w:t>
      </w:r>
      <w:r>
        <w:t xml:space="preserve">ft and 700 ft parent well performance does not show a statistically meaningful difference. </w:t>
      </w:r>
      <w:r w:rsidR="00F906B7" w:rsidRPr="00BD392A">
        <w:rPr>
          <w:b/>
          <w:bCs/>
        </w:rPr>
        <w:t xml:space="preserve">Table </w:t>
      </w:r>
      <w:r w:rsidR="004837E5">
        <w:rPr>
          <w:b/>
          <w:bCs/>
        </w:rPr>
        <w:t>2</w:t>
      </w:r>
      <w:r w:rsidR="00F906B7" w:rsidRPr="00BD392A">
        <w:rPr>
          <w:b/>
          <w:bCs/>
        </w:rPr>
        <w:t>.</w:t>
      </w:r>
      <w:r w:rsidR="004837E5">
        <w:rPr>
          <w:b/>
          <w:bCs/>
        </w:rPr>
        <w:t>1</w:t>
      </w:r>
      <w:r w:rsidR="008307A9">
        <w:rPr>
          <w:b/>
          <w:bCs/>
        </w:rPr>
        <w:t>0</w:t>
      </w:r>
      <w:r w:rsidR="003121C3">
        <w:t xml:space="preserve"> </w:t>
      </w:r>
      <w:r>
        <w:t>shows the results of the paired t-test for the 700 ft and 800 ft parent groups.  Paired t-tests for all parent</w:t>
      </w:r>
      <w:r w:rsidR="003121C3">
        <w:t>-parent</w:t>
      </w:r>
      <w:r>
        <w:t xml:space="preserve"> well group </w:t>
      </w:r>
      <w:r w:rsidR="00CB5438">
        <w:t>180-day</w:t>
      </w:r>
      <w:r>
        <w:t xml:space="preserve"> performance comparisons are shown in the Appendix </w:t>
      </w:r>
      <w:r w:rsidR="0042651F" w:rsidRPr="00C23577">
        <w:rPr>
          <w:b/>
          <w:bCs/>
        </w:rPr>
        <w:t>Table A</w:t>
      </w:r>
      <w:r w:rsidR="00C23577" w:rsidRPr="00C23577">
        <w:rPr>
          <w:b/>
          <w:bCs/>
        </w:rPr>
        <w:t>3</w:t>
      </w:r>
      <w:r w:rsidRPr="00643370">
        <w:rPr>
          <w:b/>
          <w:bCs/>
        </w:rPr>
        <w:t>.</w:t>
      </w:r>
    </w:p>
    <w:p w14:paraId="0D7CD7EB" w14:textId="0974058D" w:rsidR="00EA3EDA" w:rsidRDefault="00EA3EDA" w:rsidP="008A1A92">
      <w:pPr>
        <w:ind w:firstLine="288"/>
        <w:contextualSpacing/>
        <w:rPr>
          <w:b/>
          <w:bCs/>
        </w:rPr>
      </w:pPr>
    </w:p>
    <w:p w14:paraId="4305A805" w14:textId="4B0BB1B1" w:rsidR="00EA3EDA" w:rsidRDefault="00EA3EDA" w:rsidP="008A1A92">
      <w:pPr>
        <w:ind w:firstLine="288"/>
        <w:contextualSpacing/>
        <w:rPr>
          <w:b/>
          <w:bCs/>
        </w:rPr>
      </w:pPr>
    </w:p>
    <w:p w14:paraId="1AACA008" w14:textId="77777777" w:rsidR="00EA3EDA" w:rsidRDefault="00EA3EDA" w:rsidP="008A1A92">
      <w:pPr>
        <w:ind w:firstLine="288"/>
        <w:contextualSpacing/>
      </w:pPr>
    </w:p>
    <w:tbl>
      <w:tblPr>
        <w:tblStyle w:val="TableGrid"/>
        <w:tblW w:w="0" w:type="auto"/>
        <w:jc w:val="center"/>
        <w:tblLook w:val="04A0" w:firstRow="1" w:lastRow="0" w:firstColumn="1" w:lastColumn="0" w:noHBand="0" w:noVBand="1"/>
      </w:tblPr>
      <w:tblGrid>
        <w:gridCol w:w="1705"/>
        <w:gridCol w:w="1070"/>
        <w:gridCol w:w="1336"/>
        <w:gridCol w:w="1336"/>
        <w:gridCol w:w="1336"/>
        <w:gridCol w:w="1507"/>
      </w:tblGrid>
      <w:tr w:rsidR="00BD392A" w14:paraId="1493B165" w14:textId="77777777" w:rsidTr="00D01699">
        <w:trPr>
          <w:jc w:val="center"/>
        </w:trPr>
        <w:tc>
          <w:tcPr>
            <w:tcW w:w="1705" w:type="dxa"/>
          </w:tcPr>
          <w:p w14:paraId="13D7F29A" w14:textId="2503C29F" w:rsidR="00BD392A" w:rsidRPr="00F9621F" w:rsidRDefault="00BD392A" w:rsidP="002474CC">
            <w:pPr>
              <w:pStyle w:val="NoSpacing"/>
              <w:jc w:val="center"/>
            </w:pPr>
            <w:r w:rsidRPr="00F9621F">
              <w:lastRenderedPageBreak/>
              <w:t>Parent well groups a</w:t>
            </w:r>
            <w:r w:rsidR="00FB1D3B">
              <w:t>t</w:t>
            </w:r>
            <w:r w:rsidRPr="00F9621F">
              <w:t xml:space="preserve"> </w:t>
            </w:r>
            <w:r w:rsidR="00C86E77">
              <w:t>18</w:t>
            </w:r>
            <w:r w:rsidR="00A14E69">
              <w:t>0-day</w:t>
            </w:r>
            <w:r w:rsidRPr="00F9621F">
              <w:t xml:space="preserve"> production</w:t>
            </w:r>
          </w:p>
        </w:tc>
        <w:tc>
          <w:tcPr>
            <w:tcW w:w="980" w:type="dxa"/>
          </w:tcPr>
          <w:p w14:paraId="1A51BBDE" w14:textId="77777777" w:rsidR="00BD392A" w:rsidRPr="00F9621F" w:rsidRDefault="00BD392A" w:rsidP="002474CC">
            <w:pPr>
              <w:pStyle w:val="NoSpacing"/>
              <w:jc w:val="center"/>
            </w:pPr>
            <w:r w:rsidRPr="00F9621F">
              <w:t>Degrees of Freedom</w:t>
            </w:r>
          </w:p>
        </w:tc>
        <w:tc>
          <w:tcPr>
            <w:tcW w:w="1336" w:type="dxa"/>
          </w:tcPr>
          <w:p w14:paraId="4CA0F596" w14:textId="77777777" w:rsidR="00BD392A" w:rsidRPr="00F9621F" w:rsidRDefault="00BD392A" w:rsidP="002474CC">
            <w:pPr>
              <w:pStyle w:val="NoSpacing"/>
              <w:jc w:val="center"/>
            </w:pPr>
          </w:p>
          <w:p w14:paraId="55FA4F56" w14:textId="77777777" w:rsidR="00BD392A" w:rsidRPr="00F9621F" w:rsidRDefault="00BD392A" w:rsidP="002474CC">
            <w:pPr>
              <w:pStyle w:val="NoSpacing"/>
              <w:jc w:val="center"/>
            </w:pPr>
          </w:p>
          <w:p w14:paraId="7EC279E5" w14:textId="77777777" w:rsidR="00BD392A" w:rsidRPr="00F9621F" w:rsidRDefault="00BD392A" w:rsidP="002474CC">
            <w:pPr>
              <w:pStyle w:val="NoSpacing"/>
              <w:jc w:val="center"/>
            </w:pPr>
            <w:r w:rsidRPr="00F9621F">
              <w:t>P-value</w:t>
            </w:r>
          </w:p>
        </w:tc>
        <w:tc>
          <w:tcPr>
            <w:tcW w:w="1336" w:type="dxa"/>
          </w:tcPr>
          <w:p w14:paraId="42EE41BD" w14:textId="77777777" w:rsidR="00BD392A" w:rsidRDefault="00BD392A" w:rsidP="002474CC">
            <w:pPr>
              <w:pStyle w:val="NoSpacing"/>
              <w:jc w:val="center"/>
            </w:pPr>
            <w:r w:rsidRPr="00F9621F">
              <w:t>Mean of Parent Wells at 700 ft</w:t>
            </w:r>
            <w:r w:rsidR="00A45BF9">
              <w:t xml:space="preserve"> </w:t>
            </w:r>
            <w:r w:rsidRPr="00F9621F">
              <w:t>spacing</w:t>
            </w:r>
          </w:p>
          <w:p w14:paraId="05CB365D" w14:textId="5A0503C0" w:rsidR="00AF7A1A" w:rsidRPr="00F9621F" w:rsidRDefault="00AF7A1A" w:rsidP="002474CC">
            <w:pPr>
              <w:pStyle w:val="NoSpacing"/>
              <w:jc w:val="center"/>
            </w:pPr>
            <w:r>
              <w:t>(bbl/ft)</w:t>
            </w:r>
          </w:p>
        </w:tc>
        <w:tc>
          <w:tcPr>
            <w:tcW w:w="1336" w:type="dxa"/>
          </w:tcPr>
          <w:p w14:paraId="4589AA73" w14:textId="77777777" w:rsidR="00BD392A" w:rsidRDefault="00BD392A" w:rsidP="002474CC">
            <w:pPr>
              <w:pStyle w:val="NoSpacing"/>
              <w:jc w:val="center"/>
            </w:pPr>
            <w:r w:rsidRPr="00F9621F">
              <w:t>Mean of Parent Wells at 800 ft spacing</w:t>
            </w:r>
          </w:p>
          <w:p w14:paraId="5FF13E1D" w14:textId="6C735D7C" w:rsidR="00AF7A1A" w:rsidRPr="00F9621F" w:rsidRDefault="00AF7A1A" w:rsidP="002474CC">
            <w:pPr>
              <w:pStyle w:val="NoSpacing"/>
              <w:jc w:val="center"/>
            </w:pPr>
            <w:r>
              <w:t>(bbl/ft)</w:t>
            </w:r>
          </w:p>
        </w:tc>
        <w:tc>
          <w:tcPr>
            <w:tcW w:w="1507" w:type="dxa"/>
          </w:tcPr>
          <w:p w14:paraId="44E8BE72" w14:textId="77777777" w:rsidR="00BD392A" w:rsidRPr="00F9621F" w:rsidRDefault="00BD392A" w:rsidP="002474CC">
            <w:pPr>
              <w:pStyle w:val="NoSpacing"/>
              <w:jc w:val="center"/>
            </w:pPr>
          </w:p>
          <w:p w14:paraId="2FDEE213" w14:textId="77777777" w:rsidR="00BD392A" w:rsidRPr="00F9621F" w:rsidRDefault="00BD392A" w:rsidP="002474CC">
            <w:pPr>
              <w:pStyle w:val="NoSpacing"/>
              <w:jc w:val="center"/>
            </w:pPr>
            <w:r w:rsidRPr="00F9621F">
              <w:t>95 % confidence interval</w:t>
            </w:r>
          </w:p>
        </w:tc>
      </w:tr>
      <w:tr w:rsidR="00BD392A" w14:paraId="6680FD15" w14:textId="77777777" w:rsidTr="00D01699">
        <w:trPr>
          <w:jc w:val="center"/>
        </w:trPr>
        <w:tc>
          <w:tcPr>
            <w:tcW w:w="1705" w:type="dxa"/>
          </w:tcPr>
          <w:p w14:paraId="010935E7" w14:textId="31FF442C" w:rsidR="00BD392A" w:rsidRDefault="00BD392A" w:rsidP="00D01699">
            <w:pPr>
              <w:pStyle w:val="NoSpacing"/>
              <w:jc w:val="center"/>
            </w:pPr>
            <w:r>
              <w:t>700 ft and 800 ft</w:t>
            </w:r>
          </w:p>
        </w:tc>
        <w:tc>
          <w:tcPr>
            <w:tcW w:w="980" w:type="dxa"/>
          </w:tcPr>
          <w:p w14:paraId="596599F6" w14:textId="77777777" w:rsidR="00BD392A" w:rsidRDefault="00BD392A" w:rsidP="00D01699">
            <w:pPr>
              <w:pStyle w:val="NoSpacing"/>
              <w:jc w:val="center"/>
            </w:pPr>
            <w:r>
              <w:t>327</w:t>
            </w:r>
          </w:p>
        </w:tc>
        <w:tc>
          <w:tcPr>
            <w:tcW w:w="1336" w:type="dxa"/>
          </w:tcPr>
          <w:p w14:paraId="29D0514E" w14:textId="77777777" w:rsidR="00BD392A" w:rsidRDefault="00BD392A" w:rsidP="00D01699">
            <w:r>
              <w:t>0.078</w:t>
            </w:r>
          </w:p>
        </w:tc>
        <w:tc>
          <w:tcPr>
            <w:tcW w:w="1336" w:type="dxa"/>
          </w:tcPr>
          <w:p w14:paraId="37CBE199" w14:textId="77777777" w:rsidR="00BD392A" w:rsidRDefault="00BD392A" w:rsidP="00D01699">
            <w:r>
              <w:t>12.35</w:t>
            </w:r>
          </w:p>
        </w:tc>
        <w:tc>
          <w:tcPr>
            <w:tcW w:w="1336" w:type="dxa"/>
          </w:tcPr>
          <w:p w14:paraId="239A7044" w14:textId="77777777" w:rsidR="00BD392A" w:rsidRDefault="00BD392A" w:rsidP="00D01699">
            <w:r>
              <w:t>12.84</w:t>
            </w:r>
          </w:p>
        </w:tc>
        <w:tc>
          <w:tcPr>
            <w:tcW w:w="1507" w:type="dxa"/>
          </w:tcPr>
          <w:p w14:paraId="76D1B7B1" w14:textId="77777777" w:rsidR="00BD392A" w:rsidRDefault="00BD392A" w:rsidP="008307A9">
            <w:pPr>
              <w:pStyle w:val="NoSpacing"/>
              <w:keepNext/>
              <w:jc w:val="left"/>
            </w:pPr>
            <w:r>
              <w:t>(-1.04,0.055)</w:t>
            </w:r>
          </w:p>
        </w:tc>
      </w:tr>
    </w:tbl>
    <w:p w14:paraId="1A7F1428" w14:textId="77777777" w:rsidR="008307A9" w:rsidRDefault="008307A9" w:rsidP="008307A9">
      <w:pPr>
        <w:pStyle w:val="Caption"/>
        <w:spacing w:after="0"/>
        <w:rPr>
          <w:rFonts w:ascii="Arial" w:hAnsi="Arial" w:cs="Times New Roman"/>
          <w:i w:val="0"/>
          <w:iCs w:val="0"/>
          <w:color w:val="000000"/>
          <w:sz w:val="16"/>
          <w:szCs w:val="24"/>
        </w:rPr>
      </w:pPr>
    </w:p>
    <w:p w14:paraId="543059CB" w14:textId="68156C81" w:rsidR="00A14E69" w:rsidRDefault="008307A9" w:rsidP="008307A9">
      <w:pPr>
        <w:pStyle w:val="Caption"/>
        <w:rPr>
          <w:rFonts w:ascii="Arial" w:hAnsi="Arial" w:cs="Times New Roman"/>
          <w:i w:val="0"/>
          <w:iCs w:val="0"/>
          <w:color w:val="000000"/>
          <w:sz w:val="16"/>
          <w:szCs w:val="24"/>
        </w:rPr>
      </w:pPr>
      <w:bookmarkStart w:id="65" w:name="_Toc58667124"/>
      <w:r w:rsidRPr="008307A9">
        <w:rPr>
          <w:rFonts w:ascii="Arial" w:hAnsi="Arial" w:cs="Times New Roman"/>
          <w:i w:val="0"/>
          <w:iCs w:val="0"/>
          <w:color w:val="000000"/>
          <w:sz w:val="16"/>
          <w:szCs w:val="24"/>
        </w:rPr>
        <w:t xml:space="preserve">Table 2. </w:t>
      </w:r>
      <w:r w:rsidRPr="008307A9">
        <w:rPr>
          <w:rFonts w:ascii="Arial" w:hAnsi="Arial" w:cs="Times New Roman"/>
          <w:i w:val="0"/>
          <w:iCs w:val="0"/>
          <w:color w:val="000000"/>
          <w:sz w:val="16"/>
          <w:szCs w:val="24"/>
        </w:rPr>
        <w:fldChar w:fldCharType="begin"/>
      </w:r>
      <w:r w:rsidRPr="008307A9">
        <w:rPr>
          <w:rFonts w:ascii="Arial" w:hAnsi="Arial" w:cs="Times New Roman"/>
          <w:i w:val="0"/>
          <w:iCs w:val="0"/>
          <w:color w:val="000000"/>
          <w:sz w:val="16"/>
          <w:szCs w:val="24"/>
        </w:rPr>
        <w:instrText xml:space="preserve"> SEQ Table_2. \* ARABIC </w:instrText>
      </w:r>
      <w:r w:rsidRPr="008307A9">
        <w:rPr>
          <w:rFonts w:ascii="Arial" w:hAnsi="Arial" w:cs="Times New Roman"/>
          <w:i w:val="0"/>
          <w:iCs w:val="0"/>
          <w:color w:val="000000"/>
          <w:sz w:val="16"/>
          <w:szCs w:val="24"/>
        </w:rPr>
        <w:fldChar w:fldCharType="separate"/>
      </w:r>
      <w:r w:rsidR="00D006A5">
        <w:rPr>
          <w:rFonts w:ascii="Arial" w:hAnsi="Arial" w:cs="Times New Roman"/>
          <w:i w:val="0"/>
          <w:iCs w:val="0"/>
          <w:noProof/>
          <w:color w:val="000000"/>
          <w:sz w:val="16"/>
          <w:szCs w:val="24"/>
        </w:rPr>
        <w:t>10</w:t>
      </w:r>
      <w:r w:rsidRPr="008307A9">
        <w:rPr>
          <w:rFonts w:ascii="Arial" w:hAnsi="Arial" w:cs="Times New Roman"/>
          <w:i w:val="0"/>
          <w:iCs w:val="0"/>
          <w:color w:val="000000"/>
          <w:sz w:val="16"/>
          <w:szCs w:val="24"/>
        </w:rPr>
        <w:fldChar w:fldCharType="end"/>
      </w:r>
      <w:r w:rsidRPr="00A14E69">
        <w:rPr>
          <w:rFonts w:ascii="Arial" w:hAnsi="Arial" w:cs="Times New Roman"/>
          <w:i w:val="0"/>
          <w:iCs w:val="0"/>
          <w:color w:val="000000"/>
          <w:sz w:val="16"/>
          <w:szCs w:val="24"/>
        </w:rPr>
        <w:t xml:space="preserve">— </w:t>
      </w:r>
      <w:r w:rsidRPr="00DC2B34">
        <w:rPr>
          <w:rFonts w:ascii="Arial" w:hAnsi="Arial" w:cs="Times New Roman"/>
          <w:i w:val="0"/>
          <w:iCs w:val="0"/>
          <w:color w:val="000000"/>
          <w:sz w:val="16"/>
          <w:szCs w:val="24"/>
        </w:rPr>
        <w:t xml:space="preserve">Output from a paired t-test </w:t>
      </w:r>
      <w:r>
        <w:rPr>
          <w:rFonts w:ascii="Arial" w:hAnsi="Arial" w:cs="Times New Roman"/>
          <w:i w:val="0"/>
          <w:iCs w:val="0"/>
          <w:color w:val="000000"/>
          <w:sz w:val="16"/>
          <w:szCs w:val="24"/>
        </w:rPr>
        <w:t>comparing</w:t>
      </w:r>
      <w:r w:rsidRPr="00DC2B34">
        <w:rPr>
          <w:rFonts w:ascii="Arial" w:hAnsi="Arial" w:cs="Times New Roman"/>
          <w:i w:val="0"/>
          <w:iCs w:val="0"/>
          <w:color w:val="000000"/>
          <w:sz w:val="16"/>
          <w:szCs w:val="24"/>
        </w:rPr>
        <w:t xml:space="preserve"> 700 ft well spacing </w:t>
      </w:r>
      <w:r>
        <w:rPr>
          <w:rFonts w:ascii="Arial" w:hAnsi="Arial" w:cs="Times New Roman"/>
          <w:i w:val="0"/>
          <w:iCs w:val="0"/>
          <w:color w:val="000000"/>
          <w:sz w:val="16"/>
          <w:szCs w:val="24"/>
        </w:rPr>
        <w:t>parent wells with 800 ft spacing parent wells for the</w:t>
      </w:r>
      <w:r w:rsidRPr="00DC2B34">
        <w:rPr>
          <w:rFonts w:ascii="Arial" w:hAnsi="Arial" w:cs="Times New Roman"/>
          <w:i w:val="0"/>
          <w:iCs w:val="0"/>
          <w:color w:val="000000"/>
          <w:sz w:val="16"/>
          <w:szCs w:val="24"/>
        </w:rPr>
        <w:t xml:space="preserve"> outcome </w:t>
      </w:r>
      <w:r>
        <w:rPr>
          <w:rFonts w:ascii="Arial" w:hAnsi="Arial" w:cs="Times New Roman"/>
          <w:i w:val="0"/>
          <w:iCs w:val="0"/>
          <w:color w:val="000000"/>
          <w:sz w:val="16"/>
          <w:szCs w:val="24"/>
        </w:rPr>
        <w:t xml:space="preserve">180-day </w:t>
      </w:r>
      <w:r w:rsidRPr="00DC2B34">
        <w:rPr>
          <w:rFonts w:ascii="Arial" w:hAnsi="Arial" w:cs="Times New Roman"/>
          <w:i w:val="0"/>
          <w:iCs w:val="0"/>
          <w:color w:val="000000"/>
          <w:sz w:val="16"/>
          <w:szCs w:val="24"/>
        </w:rPr>
        <w:t>cumulative production</w:t>
      </w:r>
      <w:r>
        <w:rPr>
          <w:rFonts w:ascii="Arial" w:hAnsi="Arial" w:cs="Times New Roman"/>
          <w:i w:val="0"/>
          <w:iCs w:val="0"/>
          <w:color w:val="000000"/>
          <w:sz w:val="16"/>
          <w:szCs w:val="24"/>
        </w:rPr>
        <w:t xml:space="preserve"> </w:t>
      </w:r>
      <w:r w:rsidRPr="00DC2B34">
        <w:rPr>
          <w:rFonts w:ascii="Arial" w:hAnsi="Arial" w:cs="Times New Roman"/>
          <w:i w:val="0"/>
          <w:iCs w:val="0"/>
          <w:color w:val="000000"/>
          <w:sz w:val="16"/>
          <w:szCs w:val="24"/>
        </w:rPr>
        <w:t>normalized</w:t>
      </w:r>
      <w:r>
        <w:rPr>
          <w:rFonts w:ascii="Arial" w:hAnsi="Arial" w:cs="Times New Roman"/>
          <w:i w:val="0"/>
          <w:iCs w:val="0"/>
          <w:color w:val="000000"/>
          <w:sz w:val="16"/>
          <w:szCs w:val="24"/>
        </w:rPr>
        <w:t xml:space="preserve"> to lateral length (bbl/ft)</w:t>
      </w:r>
      <w:r w:rsidRPr="00DC2B34">
        <w:rPr>
          <w:rFonts w:ascii="Arial" w:hAnsi="Arial" w:cs="Times New Roman"/>
          <w:i w:val="0"/>
          <w:iCs w:val="0"/>
          <w:color w:val="000000"/>
          <w:sz w:val="16"/>
          <w:szCs w:val="24"/>
        </w:rPr>
        <w:t>.</w:t>
      </w:r>
      <w:bookmarkEnd w:id="65"/>
    </w:p>
    <w:p w14:paraId="0E20D9FE" w14:textId="692B730C" w:rsidR="001D7685" w:rsidRDefault="008A1A92" w:rsidP="001D7685">
      <w:pPr>
        <w:ind w:firstLine="288"/>
        <w:contextualSpacing/>
      </w:pPr>
      <w:r>
        <w:t xml:space="preserve">This is another important conclusion. If </w:t>
      </w:r>
      <w:r w:rsidR="00F268F5">
        <w:t xml:space="preserve">the </w:t>
      </w:r>
      <w:r>
        <w:t>parent well 180-day cumulative production</w:t>
      </w:r>
      <w:r w:rsidR="00F268F5" w:rsidRPr="00F268F5">
        <w:t xml:space="preserve"> </w:t>
      </w:r>
      <w:r w:rsidR="00F268F5">
        <w:t>normalized to lateral length</w:t>
      </w:r>
      <w:r>
        <w:t xml:space="preserve"> at the 500</w:t>
      </w:r>
      <w:r w:rsidR="008A4E27">
        <w:t xml:space="preserve"> </w:t>
      </w:r>
      <w:r>
        <w:t>ft, 600</w:t>
      </w:r>
      <w:r w:rsidR="008A4E27">
        <w:t xml:space="preserve"> </w:t>
      </w:r>
      <w:r>
        <w:t>ft, 700</w:t>
      </w:r>
      <w:r w:rsidR="008A4E27">
        <w:t xml:space="preserve"> </w:t>
      </w:r>
      <w:r>
        <w:t>ft and 800</w:t>
      </w:r>
      <w:r w:rsidR="008A4E27">
        <w:t xml:space="preserve"> </w:t>
      </w:r>
      <w:r>
        <w:t xml:space="preserve">ft spacing levels are not statistically different, then it implies that at the 180-day point, wells spaced 500 ft apart are not seeing any appreciable interference over and above the interference for wells spaced </w:t>
      </w:r>
      <w:r w:rsidR="00852BA2">
        <w:t xml:space="preserve">at </w:t>
      </w:r>
      <w:r>
        <w:t>800 ft apart. Because we now know that the 500 ft spacing</w:t>
      </w:r>
      <w:r w:rsidR="001D7685" w:rsidRPr="001D7685">
        <w:t xml:space="preserve"> </w:t>
      </w:r>
      <w:r w:rsidR="001D7685">
        <w:t xml:space="preserve">is the least optimal when evaluating 360-day cumulative oil production, the interference is likely to begin only after the 6-month point, on average. It also indicates that </w:t>
      </w:r>
      <w:r w:rsidR="00D32B66">
        <w:t>the</w:t>
      </w:r>
      <w:r w:rsidR="001D7685">
        <w:t xml:space="preserve"> assumptions behind placing wells in parent or child well groups are validated by the data.</w:t>
      </w:r>
    </w:p>
    <w:p w14:paraId="238F3741" w14:textId="1F93272E" w:rsidR="0059006D" w:rsidRPr="007828CF" w:rsidRDefault="00DF4F1F" w:rsidP="00E65E16">
      <w:pPr>
        <w:ind w:firstLine="288"/>
        <w:contextualSpacing/>
      </w:pPr>
      <w:r>
        <w:t xml:space="preserve">Therefore, </w:t>
      </w:r>
      <w:r w:rsidR="00072DD8">
        <w:t>I</w:t>
      </w:r>
      <w:r>
        <w:t xml:space="preserve"> cannot confirm that 800 ft spacing is optimal at </w:t>
      </w:r>
      <w:r w:rsidR="005749EC">
        <w:t>180-day mark</w:t>
      </w:r>
      <w:r>
        <w:t xml:space="preserve"> of production. However, at the </w:t>
      </w:r>
      <w:r w:rsidR="00C3747E">
        <w:t>360-day</w:t>
      </w:r>
      <w:r>
        <w:t xml:space="preserve"> mark, the individual paired t-test</w:t>
      </w:r>
      <w:r w:rsidR="005749EC">
        <w:t>s</w:t>
      </w:r>
      <w:r>
        <w:t xml:space="preserve"> comparing the potential outcomes of the 800 ft parent well and the 500 ft, 600 ft and 700 ft parent wells show that the difference in the potential outcome means is statistically significant</w:t>
      </w:r>
      <w:r w:rsidR="00A90E80">
        <w:t xml:space="preserve"> as mentioned earlier</w:t>
      </w:r>
      <w:r>
        <w:t xml:space="preserve">. Thus, from this case study, we can say that 800 ft well spacing indeed is optimal at the </w:t>
      </w:r>
      <w:r w:rsidR="00C3747E">
        <w:t xml:space="preserve">360-day </w:t>
      </w:r>
      <w:r>
        <w:t xml:space="preserve">mark of production among parent and child wells </w:t>
      </w:r>
      <w:r w:rsidR="00C3747E">
        <w:rPr>
          <w:color w:val="002060"/>
        </w:rPr>
        <w:t>(</w:t>
      </w:r>
      <w:r w:rsidRPr="00626A23">
        <w:rPr>
          <w:color w:val="002060"/>
        </w:rPr>
        <w:t>Sakhardande and Devegowda 2021</w:t>
      </w:r>
      <w:r>
        <w:rPr>
          <w:color w:val="002060"/>
        </w:rPr>
        <w:t>).</w:t>
      </w:r>
      <w:r w:rsidR="00E65E16">
        <w:rPr>
          <w:color w:val="002060"/>
        </w:rPr>
        <w:t xml:space="preserve"> </w:t>
      </w:r>
      <w:r w:rsidR="007828CF" w:rsidRPr="007828CF">
        <w:t>Although t</w:t>
      </w:r>
      <w:r w:rsidR="006D0501" w:rsidRPr="007828CF">
        <w:t xml:space="preserve">here may not be enough child wells on production </w:t>
      </w:r>
      <w:r w:rsidR="007828CF">
        <w:t>at the same time when</w:t>
      </w:r>
      <w:r w:rsidR="006D0501" w:rsidRPr="007828CF">
        <w:t xml:space="preserve"> </w:t>
      </w:r>
      <w:r w:rsidR="007532C9">
        <w:t>a parent well is</w:t>
      </w:r>
      <w:r w:rsidR="006D0501" w:rsidRPr="007828CF">
        <w:t xml:space="preserve"> on </w:t>
      </w:r>
      <w:r w:rsidR="007828CF" w:rsidRPr="007828CF">
        <w:t xml:space="preserve">production </w:t>
      </w:r>
      <w:r w:rsidR="0089717F">
        <w:t xml:space="preserve">at </w:t>
      </w:r>
      <w:r w:rsidR="006B75F2">
        <w:t xml:space="preserve">the </w:t>
      </w:r>
      <w:r w:rsidR="0089717F">
        <w:t xml:space="preserve">360-day mark </w:t>
      </w:r>
      <w:r w:rsidR="007828CF" w:rsidRPr="007828CF">
        <w:t xml:space="preserve">but </w:t>
      </w:r>
      <w:r w:rsidR="007532C9">
        <w:t xml:space="preserve">for a parent well, there </w:t>
      </w:r>
      <w:r w:rsidR="00F57576">
        <w:t xml:space="preserve">are enough other parent </w:t>
      </w:r>
      <w:r w:rsidR="006B75F2">
        <w:t xml:space="preserve">wells </w:t>
      </w:r>
      <w:r w:rsidR="00F57576">
        <w:t xml:space="preserve">on </w:t>
      </w:r>
      <w:r w:rsidR="00241BAF">
        <w:t>production. S</w:t>
      </w:r>
      <w:r w:rsidR="00F57576">
        <w:t>o</w:t>
      </w:r>
      <w:r w:rsidR="00241BAF">
        <w:t>,</w:t>
      </w:r>
      <w:r w:rsidR="00F57576">
        <w:t xml:space="preserve"> the </w:t>
      </w:r>
      <w:r w:rsidR="00241BAF">
        <w:t xml:space="preserve">casual inference </w:t>
      </w:r>
      <w:r w:rsidR="00F57576">
        <w:t xml:space="preserve">results with outcome 180-day and </w:t>
      </w:r>
      <w:r w:rsidR="00241BAF">
        <w:t xml:space="preserve">360-day production </w:t>
      </w:r>
      <w:r w:rsidR="00F57576">
        <w:t>are valid for the parent wells.</w:t>
      </w:r>
    </w:p>
    <w:p w14:paraId="41FF189A" w14:textId="3A614110" w:rsidR="00EB4290" w:rsidRDefault="00EB4290" w:rsidP="00A51A89">
      <w:pPr>
        <w:pStyle w:val="Heading2"/>
        <w:ind w:left="180" w:hanging="180"/>
      </w:pPr>
      <w:bookmarkStart w:id="66" w:name="_Toc56427163"/>
      <w:bookmarkStart w:id="67" w:name="_Toc58667106"/>
      <w:r>
        <w:lastRenderedPageBreak/>
        <w:t xml:space="preserve">2.9 </w:t>
      </w:r>
      <w:r w:rsidRPr="00596744">
        <w:t>Conclusion</w:t>
      </w:r>
      <w:r>
        <w:t>s</w:t>
      </w:r>
      <w:bookmarkEnd w:id="66"/>
      <w:bookmarkEnd w:id="67"/>
    </w:p>
    <w:p w14:paraId="1A5D70F7" w14:textId="3F65C75C" w:rsidR="002939D2" w:rsidRDefault="002939D2" w:rsidP="002939D2">
      <w:pPr>
        <w:pStyle w:val="para1"/>
        <w:spacing w:line="480" w:lineRule="auto"/>
        <w:ind w:firstLine="0"/>
      </w:pPr>
      <w:r>
        <w:t xml:space="preserve">In this </w:t>
      </w:r>
      <w:r w:rsidRPr="0066130B">
        <w:t>case</w:t>
      </w:r>
      <w:r>
        <w:t xml:space="preserve"> study, I have shown how the routinely used spreadsheet-based approaches of simple averages can lead to counter-intuitive results for estimating well spacing effects. The main reason is that the simple averages approach control for the complex interplay of reservoir properties, well completion designs and well landing zones. This study introduces a new, promising workflow known as causal inference which provides a more appropriate method to assess the well spacing effect on well performance. Through the casual inference workflow, one can control for the complex variations seen in all the measured variables known as covariates which influence the spacing decision as well as impact the parent and child well production performance. The conclusions from this chapter can be summarized as follows:</w:t>
      </w:r>
    </w:p>
    <w:p w14:paraId="0DC3737F" w14:textId="5239151E" w:rsidR="002939D2" w:rsidRDefault="002939D2" w:rsidP="002939D2">
      <w:pPr>
        <w:pStyle w:val="para1"/>
        <w:numPr>
          <w:ilvl w:val="0"/>
          <w:numId w:val="6"/>
        </w:numPr>
        <w:spacing w:line="480" w:lineRule="auto"/>
      </w:pPr>
      <w:r>
        <w:t>The parent well at 800 ft spacing is considered as optimal. This is confirmed by paired t-tests production performance comparisons between 800 ft spacing parent well and the rest of the spacing options considered.</w:t>
      </w:r>
    </w:p>
    <w:p w14:paraId="1E3298B8" w14:textId="77777777" w:rsidR="002939D2" w:rsidRDefault="002939D2" w:rsidP="002939D2">
      <w:pPr>
        <w:pStyle w:val="para1"/>
        <w:numPr>
          <w:ilvl w:val="0"/>
          <w:numId w:val="6"/>
        </w:numPr>
        <w:spacing w:line="480" w:lineRule="auto"/>
      </w:pPr>
      <w:r>
        <w:t>The statistically significant causal estimates at 180-day mark and 360-day mark of production confirm that parent wells perform better than the child wells with respect to normalized cumulative production numbers at all four well spacing options considered.</w:t>
      </w:r>
    </w:p>
    <w:p w14:paraId="6D3208E3" w14:textId="77777777" w:rsidR="002939D2" w:rsidRPr="009E3749" w:rsidRDefault="002939D2" w:rsidP="002939D2">
      <w:pPr>
        <w:pStyle w:val="ListParagraph"/>
        <w:numPr>
          <w:ilvl w:val="0"/>
          <w:numId w:val="6"/>
        </w:numPr>
        <w:rPr>
          <w:rFonts w:eastAsia="Times New Roman" w:cs="Times New Roman"/>
          <w:szCs w:val="20"/>
        </w:rPr>
      </w:pPr>
      <w:r>
        <w:t xml:space="preserve">The search and selection of wells, into the parent and child well groups, is subjective yet very crucial for the causal inference workflow </w:t>
      </w:r>
      <w:r>
        <w:rPr>
          <w:color w:val="002060"/>
        </w:rPr>
        <w:t>(</w:t>
      </w:r>
      <w:r w:rsidRPr="0044694E">
        <w:rPr>
          <w:color w:val="002060"/>
        </w:rPr>
        <w:t>Sakhardande and Devegowda 2021</w:t>
      </w:r>
      <w:r>
        <w:rPr>
          <w:color w:val="002060"/>
        </w:rPr>
        <w:t>).</w:t>
      </w:r>
    </w:p>
    <w:p w14:paraId="338BDC7C" w14:textId="77777777" w:rsidR="002939D2" w:rsidRPr="00F85259" w:rsidRDefault="002939D2" w:rsidP="002939D2">
      <w:pPr>
        <w:pStyle w:val="ListParagraph"/>
        <w:numPr>
          <w:ilvl w:val="0"/>
          <w:numId w:val="6"/>
        </w:numPr>
      </w:pPr>
      <w:r w:rsidRPr="00F85259">
        <w:t>T</w:t>
      </w:r>
      <w:r>
        <w:t>rue vertical depth</w:t>
      </w:r>
      <w:r w:rsidRPr="00F85259">
        <w:t xml:space="preserve"> is </w:t>
      </w:r>
      <w:r>
        <w:t>found to be very important</w:t>
      </w:r>
      <w:r w:rsidRPr="00F85259">
        <w:t xml:space="preserve"> as a covariate for the finding causal effects </w:t>
      </w:r>
      <w:r>
        <w:t xml:space="preserve">of well spacing on well performance </w:t>
      </w:r>
      <w:r w:rsidRPr="00F85259">
        <w:t>for this specific multi-bench shale play.</w:t>
      </w:r>
    </w:p>
    <w:p w14:paraId="0E7FDBE0" w14:textId="5A22DD11" w:rsidR="00BD392A" w:rsidRDefault="00BD392A" w:rsidP="001D7685">
      <w:pPr>
        <w:ind w:firstLine="288"/>
        <w:contextualSpacing/>
      </w:pPr>
    </w:p>
    <w:p w14:paraId="0687B3F7" w14:textId="77777777" w:rsidR="00BD392A" w:rsidRDefault="00BD392A" w:rsidP="001D7685">
      <w:pPr>
        <w:ind w:firstLine="288"/>
        <w:contextualSpacing/>
      </w:pPr>
    </w:p>
    <w:p w14:paraId="3DB1CFD5" w14:textId="1D57941B" w:rsidR="00015D58" w:rsidRDefault="00015D58" w:rsidP="008A1A92">
      <w:pPr>
        <w:tabs>
          <w:tab w:val="left" w:pos="5673"/>
        </w:tabs>
        <w:contextualSpacing/>
        <w:rPr>
          <w:rFonts w:eastAsia="Times New Roman" w:cs="Times New Roman"/>
          <w:szCs w:val="20"/>
        </w:rPr>
      </w:pPr>
    </w:p>
    <w:p w14:paraId="0F3B5F9D" w14:textId="7A710255" w:rsidR="0025348E" w:rsidRDefault="0025348E" w:rsidP="00293EA6">
      <w:pPr>
        <w:pStyle w:val="Heading1"/>
      </w:pPr>
      <w:bookmarkStart w:id="68" w:name="_Toc58667107"/>
      <w:r w:rsidRPr="00217F68">
        <w:lastRenderedPageBreak/>
        <w:t>Chapter 3: Anomaly Detection in Sucker Rod Pumps</w:t>
      </w:r>
      <w:bookmarkEnd w:id="68"/>
    </w:p>
    <w:p w14:paraId="1461F063" w14:textId="77777777" w:rsidR="006665BC" w:rsidRPr="00217F68" w:rsidRDefault="006665BC" w:rsidP="00720BA0">
      <w:pPr>
        <w:pStyle w:val="Heading2"/>
        <w:ind w:left="0" w:firstLine="0"/>
      </w:pPr>
      <w:bookmarkStart w:id="69" w:name="_Toc56427165"/>
      <w:bookmarkStart w:id="70" w:name="_Toc58667108"/>
      <w:r>
        <w:t>3.1 Introduction</w:t>
      </w:r>
      <w:bookmarkEnd w:id="69"/>
      <w:bookmarkEnd w:id="70"/>
    </w:p>
    <w:p w14:paraId="0C4FB9AB" w14:textId="30751A2B" w:rsidR="006665BC" w:rsidRDefault="006665BC" w:rsidP="00720BA0">
      <w:pPr>
        <w:pStyle w:val="Default"/>
        <w:spacing w:line="480" w:lineRule="auto"/>
        <w:jc w:val="both"/>
      </w:pPr>
      <w:r>
        <w:t xml:space="preserve">Wells tend to flow naturally when the reservoir pressure is sufficient to overcome hydrostatic and frictional losses in the production piping. As reservoir pressure declines due to depletion, the natural drive of the well must be supplemented with additional energy to sustain production and/or prevent liquid loading. </w:t>
      </w:r>
      <w:r w:rsidRPr="00E5695B">
        <w:t>Artificial lift systems are</w:t>
      </w:r>
      <w:r>
        <w:t xml:space="preserve"> designed to provide this </w:t>
      </w:r>
      <w:r w:rsidRPr="00E5695B">
        <w:t xml:space="preserve">additional energy </w:t>
      </w:r>
      <w:r>
        <w:t xml:space="preserve">in order </w:t>
      </w:r>
      <w:r w:rsidRPr="00E5695B">
        <w:t xml:space="preserve">to lift the fluids to the surface </w:t>
      </w:r>
      <w:r>
        <w:t xml:space="preserve">and maintain economically viable production rates. </w:t>
      </w:r>
    </w:p>
    <w:p w14:paraId="69929555" w14:textId="62D3A328" w:rsidR="006665BC" w:rsidRDefault="006665BC" w:rsidP="00720BA0">
      <w:pPr>
        <w:pStyle w:val="Default"/>
        <w:spacing w:line="480" w:lineRule="auto"/>
        <w:ind w:firstLine="288"/>
        <w:jc w:val="both"/>
      </w:pPr>
      <w:r>
        <w:t xml:space="preserve">Of the over 2 million producing oil wells around the world, more than 50% are operated on artificial lifts </w:t>
      </w:r>
      <w:r w:rsidR="007A6C6F">
        <w:rPr>
          <w:rFonts w:cstheme="minorBidi"/>
          <w:color w:val="002060"/>
          <w:szCs w:val="22"/>
        </w:rPr>
        <w:t>(</w:t>
      </w:r>
      <w:r w:rsidRPr="00AB7C49">
        <w:rPr>
          <w:rFonts w:cstheme="minorBidi"/>
          <w:color w:val="002060"/>
          <w:szCs w:val="22"/>
        </w:rPr>
        <w:t>Lea 2007</w:t>
      </w:r>
      <w:r>
        <w:rPr>
          <w:rFonts w:cstheme="minorBidi"/>
          <w:color w:val="002060"/>
          <w:szCs w:val="22"/>
        </w:rPr>
        <w:t>)</w:t>
      </w:r>
      <w:r>
        <w:t xml:space="preserve">. This underscores the significance of artificial lift in the industry. The oldest and most widely used artificial lift method is the Sucker Rod Pumps (SRP). SRP’s are typically used for onshore wells with depths ranging from 1000 ft to 16000 ft with a moderate lifting capacity ranging anywhere between </w:t>
      </w:r>
      <w:r w:rsidR="0091128E">
        <w:t>1</w:t>
      </w:r>
      <w:r>
        <w:t xml:space="preserve"> to </w:t>
      </w:r>
      <w:r w:rsidR="0091128E">
        <w:t>1</w:t>
      </w:r>
      <w:r>
        <w:t>000 bbl/day. This chapter is focused on discussion of SRP’s basic working principle along with its major components, use of dynamometer pump cards and the application of various anomaly detection techniques to SRP failure modes.</w:t>
      </w:r>
    </w:p>
    <w:p w14:paraId="3777D145" w14:textId="433AB45C" w:rsidR="006665BC" w:rsidRDefault="006665BC" w:rsidP="00720BA0">
      <w:pPr>
        <w:autoSpaceDE w:val="0"/>
        <w:autoSpaceDN w:val="0"/>
        <w:adjustRightInd w:val="0"/>
        <w:spacing w:after="0"/>
        <w:ind w:firstLine="288"/>
        <w:rPr>
          <w:rFonts w:cs="Times New Roman"/>
          <w:color w:val="000000"/>
          <w:szCs w:val="24"/>
        </w:rPr>
      </w:pPr>
      <w:r w:rsidRPr="005D3E70">
        <w:rPr>
          <w:rFonts w:cs="Times New Roman"/>
          <w:b/>
          <w:bCs/>
          <w:color w:val="000000"/>
          <w:szCs w:val="24"/>
        </w:rPr>
        <w:t xml:space="preserve">Fig. </w:t>
      </w:r>
      <w:r w:rsidR="007A6C6F">
        <w:rPr>
          <w:rFonts w:cs="Times New Roman"/>
          <w:b/>
          <w:bCs/>
          <w:color w:val="000000"/>
          <w:szCs w:val="24"/>
        </w:rPr>
        <w:t>3.1</w:t>
      </w:r>
      <w:r w:rsidRPr="00EE1E25">
        <w:rPr>
          <w:rFonts w:cs="Times New Roman"/>
          <w:color w:val="000000"/>
          <w:szCs w:val="24"/>
        </w:rPr>
        <w:t xml:space="preserve"> show</w:t>
      </w:r>
      <w:r>
        <w:rPr>
          <w:rFonts w:cs="Times New Roman"/>
          <w:color w:val="000000"/>
          <w:szCs w:val="24"/>
        </w:rPr>
        <w:t>s a schematic of</w:t>
      </w:r>
      <w:r w:rsidRPr="00EE1E25">
        <w:rPr>
          <w:rFonts w:cs="Times New Roman"/>
          <w:color w:val="000000"/>
          <w:szCs w:val="24"/>
        </w:rPr>
        <w:t xml:space="preserve"> the basic components of a Sucker Rod Pump system. The surface equipment consists of a prime mover system, gear reducers, pumping unit and a polished rod. The prime mover system provides the driving force through an electric motor or combustion gas engine. The gear reducers enable the reduction of rotational motor speed of the prime mover and </w:t>
      </w:r>
      <w:r>
        <w:rPr>
          <w:rFonts w:cs="Times New Roman"/>
          <w:color w:val="000000"/>
          <w:szCs w:val="24"/>
        </w:rPr>
        <w:t xml:space="preserve">simultaneously </w:t>
      </w:r>
      <w:r w:rsidRPr="00EE1E25">
        <w:rPr>
          <w:rFonts w:cs="Times New Roman"/>
          <w:color w:val="000000"/>
          <w:szCs w:val="24"/>
        </w:rPr>
        <w:t>increase</w:t>
      </w:r>
      <w:r>
        <w:rPr>
          <w:rFonts w:cs="Times New Roman"/>
          <w:color w:val="000000"/>
          <w:szCs w:val="24"/>
        </w:rPr>
        <w:t xml:space="preserve"> </w:t>
      </w:r>
      <w:r w:rsidRPr="00EE1E25">
        <w:rPr>
          <w:rFonts w:cs="Times New Roman"/>
          <w:color w:val="000000"/>
          <w:szCs w:val="24"/>
        </w:rPr>
        <w:t xml:space="preserve">the torque at </w:t>
      </w:r>
      <w:r>
        <w:rPr>
          <w:rFonts w:cs="Times New Roman"/>
          <w:color w:val="000000"/>
          <w:szCs w:val="24"/>
        </w:rPr>
        <w:t xml:space="preserve">the </w:t>
      </w:r>
      <w:r w:rsidRPr="00EE1E25">
        <w:rPr>
          <w:rFonts w:cs="Times New Roman"/>
          <w:color w:val="000000"/>
          <w:szCs w:val="24"/>
        </w:rPr>
        <w:t xml:space="preserve">shaft. </w:t>
      </w:r>
      <w:r>
        <w:rPr>
          <w:rFonts w:cs="Times New Roman"/>
          <w:color w:val="000000"/>
          <w:szCs w:val="24"/>
        </w:rPr>
        <w:t xml:space="preserve">The </w:t>
      </w:r>
      <w:r w:rsidR="0033434F" w:rsidRPr="003673CE">
        <w:rPr>
          <w:rFonts w:cs="Times New Roman"/>
          <w:color w:val="000000"/>
          <w:szCs w:val="24"/>
        </w:rPr>
        <w:t>pitman</w:t>
      </w:r>
      <w:r w:rsidR="008B3F10" w:rsidRPr="003673CE">
        <w:rPr>
          <w:rFonts w:cs="Times New Roman"/>
          <w:color w:val="000000"/>
          <w:szCs w:val="24"/>
        </w:rPr>
        <w:t xml:space="preserve"> arm</w:t>
      </w:r>
      <w:r w:rsidRPr="009E48D9">
        <w:rPr>
          <w:rFonts w:cs="Times New Roman"/>
          <w:color w:val="FF0000"/>
          <w:szCs w:val="24"/>
        </w:rPr>
        <w:t xml:space="preserve"> </w:t>
      </w:r>
      <w:r>
        <w:rPr>
          <w:rFonts w:cs="Times New Roman"/>
          <w:color w:val="000000"/>
          <w:szCs w:val="24"/>
        </w:rPr>
        <w:t xml:space="preserve">coverts the rotational energy from the gear reducers into a reciprocating movement needed for the pump operation. </w:t>
      </w:r>
    </w:p>
    <w:p w14:paraId="0AA4136B" w14:textId="2891911F" w:rsidR="006665BC" w:rsidRDefault="006665BC" w:rsidP="00720BA0">
      <w:pPr>
        <w:autoSpaceDE w:val="0"/>
        <w:autoSpaceDN w:val="0"/>
        <w:adjustRightInd w:val="0"/>
        <w:spacing w:after="0"/>
        <w:ind w:firstLine="288"/>
        <w:rPr>
          <w:rFonts w:cs="Times New Roman"/>
          <w:color w:val="000000"/>
          <w:szCs w:val="24"/>
        </w:rPr>
      </w:pPr>
      <w:r>
        <w:rPr>
          <w:rFonts w:cs="Times New Roman"/>
          <w:color w:val="000000"/>
          <w:szCs w:val="24"/>
        </w:rPr>
        <w:t xml:space="preserve">The polished rod connects the walking beam, which is a mechanical lever of the pumping unit, to the sucker rod string and provides a sealing surface at the wellhead. The equipment downhole are the rod string and plunger pump. The rod string which is enclosed inside the tubing transmits </w:t>
      </w:r>
      <w:r>
        <w:rPr>
          <w:rFonts w:cs="Times New Roman"/>
          <w:color w:val="000000"/>
          <w:szCs w:val="24"/>
        </w:rPr>
        <w:lastRenderedPageBreak/>
        <w:t xml:space="preserve">the reciprocating motion from the polished rod to the pump. Main components of the subsurface pump are travelling valve, standing valve, working barrel (stationary part) and the plunger (moving part). The positive displacement pump allows fluids to move from the well to the working barrel which is connected to the bottom end of the </w:t>
      </w:r>
      <w:r w:rsidRPr="003673CE">
        <w:rPr>
          <w:rFonts w:cs="Times New Roman"/>
          <w:color w:val="000000"/>
          <w:szCs w:val="24"/>
        </w:rPr>
        <w:t>rod</w:t>
      </w:r>
      <w:r w:rsidR="009E48D9" w:rsidRPr="003673CE">
        <w:rPr>
          <w:rFonts w:cs="Times New Roman"/>
          <w:color w:val="000000"/>
          <w:szCs w:val="24"/>
        </w:rPr>
        <w:t xml:space="preserve"> string</w:t>
      </w:r>
      <w:r>
        <w:rPr>
          <w:rFonts w:cs="Times New Roman"/>
          <w:color w:val="000000"/>
          <w:szCs w:val="24"/>
        </w:rPr>
        <w:t>.</w:t>
      </w:r>
    </w:p>
    <w:p w14:paraId="16F72B0A" w14:textId="77777777" w:rsidR="00FD341E" w:rsidRDefault="006665BC" w:rsidP="00FD341E">
      <w:pPr>
        <w:pStyle w:val="Default"/>
        <w:keepNext/>
        <w:spacing w:line="480" w:lineRule="auto"/>
        <w:jc w:val="center"/>
      </w:pPr>
      <w:r>
        <w:rPr>
          <w:noProof/>
        </w:rPr>
        <w:drawing>
          <wp:inline distT="0" distB="0" distL="0" distR="0" wp14:anchorId="55AEC9F7" wp14:editId="184758BA">
            <wp:extent cx="4876800" cy="5859947"/>
            <wp:effectExtent l="0" t="0" r="0" b="762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888921" cy="5874511"/>
                    </a:xfrm>
                    <a:prstGeom prst="rect">
                      <a:avLst/>
                    </a:prstGeom>
                  </pic:spPr>
                </pic:pic>
              </a:graphicData>
            </a:graphic>
          </wp:inline>
        </w:drawing>
      </w:r>
    </w:p>
    <w:p w14:paraId="5389B10F" w14:textId="286EE716" w:rsidR="006665BC" w:rsidRPr="0069167D" w:rsidRDefault="00FD341E" w:rsidP="00FD341E">
      <w:pPr>
        <w:pStyle w:val="Caption"/>
        <w:rPr>
          <w:rFonts w:ascii="Arial" w:eastAsia="Times New Roman" w:hAnsi="Arial" w:cs="Arial"/>
          <w:i w:val="0"/>
          <w:iCs w:val="0"/>
          <w:sz w:val="16"/>
          <w:szCs w:val="16"/>
        </w:rPr>
      </w:pPr>
      <w:bookmarkStart w:id="71" w:name="_Toc58667163"/>
      <w:r w:rsidRPr="00B91116">
        <w:rPr>
          <w:rFonts w:ascii="Arial" w:eastAsia="Times New Roman" w:hAnsi="Arial" w:cs="Times New Roman"/>
          <w:i w:val="0"/>
          <w:iCs w:val="0"/>
          <w:sz w:val="16"/>
          <w:szCs w:val="20"/>
        </w:rPr>
        <w:t xml:space="preserve">Fig. 3. </w:t>
      </w:r>
      <w:r w:rsidRPr="00B91116">
        <w:rPr>
          <w:rFonts w:ascii="Arial" w:eastAsia="Times New Roman" w:hAnsi="Arial" w:cs="Times New Roman"/>
          <w:i w:val="0"/>
          <w:iCs w:val="0"/>
          <w:sz w:val="16"/>
          <w:szCs w:val="20"/>
        </w:rPr>
        <w:fldChar w:fldCharType="begin"/>
      </w:r>
      <w:r w:rsidRPr="00B91116">
        <w:rPr>
          <w:rFonts w:ascii="Arial" w:eastAsia="Times New Roman" w:hAnsi="Arial" w:cs="Times New Roman"/>
          <w:i w:val="0"/>
          <w:iCs w:val="0"/>
          <w:sz w:val="16"/>
          <w:szCs w:val="20"/>
        </w:rPr>
        <w:instrText xml:space="preserve"> SEQ Fig._3. \* ARABIC </w:instrText>
      </w:r>
      <w:r w:rsidRPr="00B91116">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1</w:t>
      </w:r>
      <w:r w:rsidRPr="00B91116">
        <w:rPr>
          <w:rFonts w:ascii="Arial" w:eastAsia="Times New Roman" w:hAnsi="Arial" w:cs="Times New Roman"/>
          <w:i w:val="0"/>
          <w:iCs w:val="0"/>
          <w:sz w:val="16"/>
          <w:szCs w:val="20"/>
        </w:rPr>
        <w:fldChar w:fldCharType="end"/>
      </w:r>
      <w:r w:rsidR="00B91116" w:rsidRPr="00B91116">
        <w:rPr>
          <w:rFonts w:ascii="Arial" w:eastAsia="Times New Roman" w:hAnsi="Arial" w:cs="Times New Roman"/>
          <w:i w:val="0"/>
          <w:iCs w:val="0"/>
          <w:sz w:val="16"/>
          <w:szCs w:val="20"/>
        </w:rPr>
        <w:t xml:space="preserve">— Components of a Sucker Rod Pump </w:t>
      </w:r>
      <w:r w:rsidR="00B91116" w:rsidRPr="0069167D">
        <w:rPr>
          <w:rFonts w:ascii="Arial" w:eastAsia="Times New Roman" w:hAnsi="Arial" w:cs="Arial"/>
          <w:i w:val="0"/>
          <w:iCs w:val="0"/>
          <w:sz w:val="16"/>
          <w:szCs w:val="16"/>
        </w:rPr>
        <w:t>(Golan and Whitson 1991; Takacs 2015).</w:t>
      </w:r>
      <w:bookmarkEnd w:id="71"/>
    </w:p>
    <w:p w14:paraId="645A6756" w14:textId="77777777" w:rsidR="006665BC" w:rsidRDefault="006665BC" w:rsidP="006665BC">
      <w:pPr>
        <w:tabs>
          <w:tab w:val="num" w:pos="720"/>
          <w:tab w:val="left" w:pos="1763"/>
        </w:tabs>
        <w:jc w:val="left"/>
        <w:rPr>
          <w:rFonts w:ascii="Arial" w:eastAsia="Times New Roman" w:hAnsi="Arial" w:cs="Times New Roman"/>
          <w:b/>
          <w:sz w:val="16"/>
          <w:szCs w:val="20"/>
        </w:rPr>
      </w:pPr>
    </w:p>
    <w:p w14:paraId="29634972" w14:textId="04F7A95E" w:rsidR="006665BC" w:rsidRDefault="006665BC" w:rsidP="00720BA0">
      <w:pPr>
        <w:pStyle w:val="Default"/>
        <w:spacing w:line="480" w:lineRule="auto"/>
        <w:ind w:firstLine="288"/>
        <w:jc w:val="both"/>
      </w:pPr>
      <w:r>
        <w:lastRenderedPageBreak/>
        <w:t xml:space="preserve">A typical downhole pump cycle is as shown in </w:t>
      </w:r>
      <w:r w:rsidRPr="005D3E70">
        <w:rPr>
          <w:b/>
          <w:bCs/>
        </w:rPr>
        <w:t xml:space="preserve">Fig. </w:t>
      </w:r>
      <w:r>
        <w:rPr>
          <w:b/>
          <w:bCs/>
        </w:rPr>
        <w:t>3</w:t>
      </w:r>
      <w:r w:rsidR="00B91116">
        <w:rPr>
          <w:b/>
          <w:bCs/>
        </w:rPr>
        <w:t>.2</w:t>
      </w:r>
      <w:r>
        <w:t>. This cycle consists of an upstroke and downstroke corresponding to the direction of rod string movement and the position of the plunger. The traveling and standing valve are two ball valves</w:t>
      </w:r>
      <w:r w:rsidR="00B91116">
        <w:t xml:space="preserve"> </w:t>
      </w:r>
      <w:r w:rsidR="00A90658">
        <w:t>and the</w:t>
      </w:r>
      <w:r>
        <w:t xml:space="preserve"> alternating opening and closing events of these valves along with the reciprocating movement of the plunger enable the lifting of reservoir fluids up to the surface. </w:t>
      </w:r>
    </w:p>
    <w:p w14:paraId="61056DF5" w14:textId="12D481AB" w:rsidR="006665BC" w:rsidRDefault="006665BC" w:rsidP="00720BA0">
      <w:pPr>
        <w:pStyle w:val="Default"/>
        <w:spacing w:line="480" w:lineRule="auto"/>
        <w:ind w:firstLine="288"/>
        <w:jc w:val="both"/>
      </w:pPr>
      <w:r w:rsidRPr="00E57627">
        <w:t xml:space="preserve">Assuming an incompressible fluid, </w:t>
      </w:r>
      <w:r>
        <w:t>t</w:t>
      </w:r>
      <w:r w:rsidRPr="00F60429">
        <w:t xml:space="preserve">he </w:t>
      </w:r>
      <w:r>
        <w:t xml:space="preserve">plunger which is the </w:t>
      </w:r>
      <w:r w:rsidRPr="00F60429">
        <w:t xml:space="preserve">moving part of the pump assembly reaches the bottom of the pump and the upstroke cycle begins. Owing to the hydrostatic pressure in the tubing above the plunger, the traveling valve closes and the reservoir fluids in the tubing above the traveling valve are carried up to the surface with </w:t>
      </w:r>
      <w:r>
        <w:t xml:space="preserve">the </w:t>
      </w:r>
      <w:r w:rsidRPr="00F60429">
        <w:t>plunger moving up. There is a pressure drop between the standing and the traveling valve positions at this stage which keeps the standing valve open as the plunger goes to its topmost position. Due to the pressure differential between the bottomhole flowing pressure and area between the two valves, fluids from the formation enter through the standing valve into the working barrel. The formation fluids fill up the barrel until the upstroke cycle is completed. The fluid column weight is carried by the plunger and the rod string</w:t>
      </w:r>
      <w:r>
        <w:t xml:space="preserve"> when the traveling valve is closed</w:t>
      </w:r>
      <w:r w:rsidRPr="00F60429">
        <w:t>.</w:t>
      </w:r>
      <w:r>
        <w:t xml:space="preserve"> This creates tension in the rod string causing it to </w:t>
      </w:r>
      <w:r w:rsidRPr="00C30F85">
        <w:t xml:space="preserve">stretch </w:t>
      </w:r>
      <w:r w:rsidR="00A90658">
        <w:rPr>
          <w:rFonts w:cstheme="minorBidi"/>
          <w:color w:val="002060"/>
          <w:szCs w:val="22"/>
        </w:rPr>
        <w:t>(</w:t>
      </w:r>
      <w:r w:rsidRPr="00AB7C49">
        <w:rPr>
          <w:rFonts w:cstheme="minorBidi"/>
          <w:color w:val="002060"/>
          <w:szCs w:val="22"/>
        </w:rPr>
        <w:t xml:space="preserve">Takacs </w:t>
      </w:r>
      <w:r w:rsidRPr="00836370">
        <w:rPr>
          <w:rFonts w:cstheme="minorBidi"/>
          <w:color w:val="002060"/>
          <w:szCs w:val="22"/>
        </w:rPr>
        <w:t>2015</w:t>
      </w:r>
      <w:r>
        <w:rPr>
          <w:rFonts w:cstheme="minorBidi"/>
          <w:color w:val="002060"/>
          <w:szCs w:val="22"/>
        </w:rPr>
        <w:t>)</w:t>
      </w:r>
      <w:r w:rsidRPr="00C30F85">
        <w:t>.</w:t>
      </w:r>
      <w:r w:rsidRPr="00C419CA">
        <w:t xml:space="preserve"> </w:t>
      </w:r>
    </w:p>
    <w:p w14:paraId="28583E26" w14:textId="3FB19CA5" w:rsidR="006665BC" w:rsidRDefault="006665BC" w:rsidP="00720BA0">
      <w:pPr>
        <w:tabs>
          <w:tab w:val="left" w:pos="2834"/>
        </w:tabs>
        <w:spacing w:after="0"/>
        <w:ind w:firstLine="288"/>
        <w:rPr>
          <w:rFonts w:cs="Times New Roman"/>
          <w:color w:val="000000"/>
          <w:szCs w:val="24"/>
        </w:rPr>
      </w:pPr>
      <w:r w:rsidRPr="00791DD9">
        <w:rPr>
          <w:rFonts w:cs="Times New Roman"/>
          <w:color w:val="000000"/>
          <w:szCs w:val="24"/>
        </w:rPr>
        <w:t xml:space="preserve">At the beginning of downstroke, the plunger is at the top of the pump. As the rod string begins its movement downwards, the traveling </w:t>
      </w:r>
      <w:r w:rsidRPr="000D1E97">
        <w:rPr>
          <w:rFonts w:cs="Times New Roman"/>
          <w:color w:val="000000"/>
          <w:szCs w:val="24"/>
        </w:rPr>
        <w:t>valve</w:t>
      </w:r>
      <w:r w:rsidRPr="00791DD9">
        <w:rPr>
          <w:rFonts w:cs="Times New Roman"/>
          <w:color w:val="000000"/>
          <w:szCs w:val="24"/>
        </w:rPr>
        <w:t xml:space="preserve"> opens and standing valve closes. The weight of the fluid column is transferred to the standing valve from the plunger. This means the load shifts to the tubing string during the downstroke while the traveling valve is still open. During the downstroke cycle, the pump barrel is filled with the formation fluid and as soon as the cycle ends, the direction of </w:t>
      </w:r>
      <w:r>
        <w:rPr>
          <w:rFonts w:cs="Times New Roman"/>
          <w:color w:val="000000"/>
          <w:szCs w:val="24"/>
        </w:rPr>
        <w:t xml:space="preserve">motion of </w:t>
      </w:r>
      <w:r w:rsidRPr="00791DD9">
        <w:rPr>
          <w:rFonts w:cs="Times New Roman"/>
          <w:color w:val="000000"/>
          <w:szCs w:val="24"/>
        </w:rPr>
        <w:t>the rod strin</w:t>
      </w:r>
      <w:r>
        <w:rPr>
          <w:rFonts w:cs="Times New Roman"/>
          <w:color w:val="000000"/>
          <w:szCs w:val="24"/>
        </w:rPr>
        <w:t>g</w:t>
      </w:r>
      <w:r w:rsidRPr="00791DD9">
        <w:rPr>
          <w:rFonts w:cs="Times New Roman"/>
          <w:color w:val="000000"/>
          <w:szCs w:val="24"/>
        </w:rPr>
        <w:t xml:space="preserve"> is reversed. The fluid column weight is again transferred </w:t>
      </w:r>
      <w:r w:rsidRPr="00791DD9">
        <w:rPr>
          <w:rFonts w:cs="Times New Roman"/>
          <w:color w:val="000000"/>
          <w:szCs w:val="24"/>
        </w:rPr>
        <w:lastRenderedPageBreak/>
        <w:t xml:space="preserve">back to the plunger. This stretches the rod string and releases the tension on the tubing string marking the beginning of another upstroke cycle </w:t>
      </w:r>
      <w:r w:rsidR="00045833">
        <w:rPr>
          <w:color w:val="002060"/>
        </w:rPr>
        <w:t>(</w:t>
      </w:r>
      <w:r w:rsidRPr="00836370">
        <w:rPr>
          <w:color w:val="002060"/>
        </w:rPr>
        <w:t>Takacs 2015</w:t>
      </w:r>
      <w:r>
        <w:rPr>
          <w:color w:val="002060"/>
        </w:rPr>
        <w:t>)</w:t>
      </w:r>
      <w:r w:rsidRPr="00791DD9">
        <w:rPr>
          <w:rFonts w:cs="Times New Roman"/>
          <w:color w:val="000000"/>
          <w:szCs w:val="24"/>
        </w:rPr>
        <w:t>.</w:t>
      </w:r>
    </w:p>
    <w:p w14:paraId="0D1139E6" w14:textId="77777777" w:rsidR="004E3299" w:rsidRDefault="004E3299" w:rsidP="00720BA0">
      <w:pPr>
        <w:keepNext/>
        <w:tabs>
          <w:tab w:val="left" w:pos="2834"/>
        </w:tabs>
        <w:spacing w:after="0"/>
        <w:ind w:firstLine="288"/>
        <w:jc w:val="center"/>
      </w:pPr>
      <w:r>
        <w:rPr>
          <w:noProof/>
        </w:rPr>
        <w:drawing>
          <wp:inline distT="0" distB="0" distL="0" distR="0" wp14:anchorId="1F2EF385" wp14:editId="4441467C">
            <wp:extent cx="5943600" cy="4240530"/>
            <wp:effectExtent l="0" t="0" r="0"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43600" cy="4240530"/>
                    </a:xfrm>
                    <a:prstGeom prst="rect">
                      <a:avLst/>
                    </a:prstGeom>
                  </pic:spPr>
                </pic:pic>
              </a:graphicData>
            </a:graphic>
          </wp:inline>
        </w:drawing>
      </w:r>
    </w:p>
    <w:p w14:paraId="46A3F7D6" w14:textId="327FDC60" w:rsidR="006665BC" w:rsidRDefault="004E3299" w:rsidP="00720BA0">
      <w:pPr>
        <w:pStyle w:val="Caption"/>
        <w:spacing w:after="0"/>
        <w:rPr>
          <w:rFonts w:ascii="AdvPSA88A" w:hAnsi="AdvPSA88A" w:cs="AdvPSA88A"/>
          <w:sz w:val="20"/>
          <w:szCs w:val="20"/>
        </w:rPr>
      </w:pPr>
      <w:bookmarkStart w:id="72" w:name="_Toc58667164"/>
      <w:r w:rsidRPr="00513808">
        <w:rPr>
          <w:rFonts w:ascii="Arial" w:eastAsia="Times New Roman" w:hAnsi="Arial" w:cs="Times New Roman"/>
          <w:i w:val="0"/>
          <w:iCs w:val="0"/>
          <w:sz w:val="16"/>
          <w:szCs w:val="20"/>
        </w:rPr>
        <w:t xml:space="preserve">Fig. 3. </w:t>
      </w:r>
      <w:r w:rsidRPr="00513808">
        <w:rPr>
          <w:rFonts w:ascii="Arial" w:eastAsia="Times New Roman" w:hAnsi="Arial" w:cs="Times New Roman"/>
          <w:i w:val="0"/>
          <w:iCs w:val="0"/>
          <w:sz w:val="16"/>
          <w:szCs w:val="20"/>
        </w:rPr>
        <w:fldChar w:fldCharType="begin"/>
      </w:r>
      <w:r w:rsidRPr="00513808">
        <w:rPr>
          <w:rFonts w:ascii="Arial" w:eastAsia="Times New Roman" w:hAnsi="Arial" w:cs="Times New Roman"/>
          <w:i w:val="0"/>
          <w:iCs w:val="0"/>
          <w:sz w:val="16"/>
          <w:szCs w:val="20"/>
        </w:rPr>
        <w:instrText xml:space="preserve"> SEQ Fig._3. \* ARABIC </w:instrText>
      </w:r>
      <w:r w:rsidRPr="00513808">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2</w:t>
      </w:r>
      <w:r w:rsidRPr="00513808">
        <w:rPr>
          <w:rFonts w:ascii="Arial" w:eastAsia="Times New Roman" w:hAnsi="Arial" w:cs="Times New Roman"/>
          <w:i w:val="0"/>
          <w:iCs w:val="0"/>
          <w:sz w:val="16"/>
          <w:szCs w:val="20"/>
        </w:rPr>
        <w:fldChar w:fldCharType="end"/>
      </w:r>
      <w:r w:rsidR="00513808">
        <w:rPr>
          <w:rFonts w:ascii="Arial" w:eastAsia="Times New Roman" w:hAnsi="Arial" w:cs="Times New Roman"/>
          <w:i w:val="0"/>
          <w:iCs w:val="0"/>
          <w:sz w:val="16"/>
          <w:szCs w:val="20"/>
        </w:rPr>
        <w:t>—</w:t>
      </w:r>
      <w:r w:rsidR="00513808" w:rsidRPr="005D5718">
        <w:rPr>
          <w:rFonts w:ascii="Arial" w:eastAsia="Times New Roman" w:hAnsi="Arial" w:cs="Times New Roman"/>
          <w:i w:val="0"/>
          <w:iCs w:val="0"/>
          <w:sz w:val="16"/>
          <w:szCs w:val="20"/>
        </w:rPr>
        <w:t xml:space="preserve">Typical Sucker Rod Pump cycle </w:t>
      </w:r>
      <w:r w:rsidR="00513808" w:rsidRPr="0069167D">
        <w:rPr>
          <w:rFonts w:ascii="Arial" w:eastAsia="Times New Roman" w:hAnsi="Arial" w:cs="Times New Roman"/>
          <w:i w:val="0"/>
          <w:iCs w:val="0"/>
          <w:sz w:val="16"/>
          <w:szCs w:val="20"/>
        </w:rPr>
        <w:t>(Brown 1980; Apergy 2019).</w:t>
      </w:r>
      <w:bookmarkEnd w:id="72"/>
      <w:r w:rsidR="006665BC">
        <w:rPr>
          <w:rFonts w:ascii="AdvPSA88A" w:hAnsi="AdvPSA88A" w:cs="AdvPSA88A"/>
          <w:sz w:val="20"/>
          <w:szCs w:val="20"/>
        </w:rPr>
        <w:t xml:space="preserve">                              </w:t>
      </w:r>
    </w:p>
    <w:p w14:paraId="57B03228" w14:textId="2E074E86" w:rsidR="006665BC" w:rsidRDefault="006665BC" w:rsidP="00720BA0">
      <w:pPr>
        <w:pStyle w:val="Default"/>
        <w:spacing w:line="480" w:lineRule="auto"/>
        <w:ind w:firstLine="288"/>
        <w:jc w:val="both"/>
      </w:pPr>
      <w:r>
        <w:t xml:space="preserve">Complete filling of the pump barrel for a single-phase fluid during the upstroke signifies an ideal pump condition. In the ideal condition, the plunger travels its full length and valves open and close instantaneously. The pump dynagraph or </w:t>
      </w:r>
      <w:r w:rsidRPr="00B51050">
        <w:t>dynamometer card</w:t>
      </w:r>
      <w:r>
        <w:t xml:space="preserve"> is derived from the surface dynamometer card. </w:t>
      </w:r>
      <w:r w:rsidRPr="00DC6C25">
        <w:t>The surface dynamometer</w:t>
      </w:r>
      <w:r>
        <w:t>,</w:t>
      </w:r>
      <w:r w:rsidRPr="00DC6C25">
        <w:t xml:space="preserve"> </w:t>
      </w:r>
      <w:r>
        <w:t xml:space="preserve">which are basically load cells or strain gauges, </w:t>
      </w:r>
      <w:r w:rsidRPr="00DC6C25">
        <w:t xml:space="preserve">record the variations </w:t>
      </w:r>
      <w:r>
        <w:t xml:space="preserve">in the </w:t>
      </w:r>
      <w:r w:rsidRPr="00DC6C25">
        <w:t xml:space="preserve">polished rod </w:t>
      </w:r>
      <w:r>
        <w:t xml:space="preserve">loads </w:t>
      </w:r>
      <w:r w:rsidRPr="00DC6C25">
        <w:t xml:space="preserve">during a </w:t>
      </w:r>
      <w:r>
        <w:t xml:space="preserve">pump </w:t>
      </w:r>
      <w:r w:rsidRPr="00DC6C25">
        <w:t>cycle</w:t>
      </w:r>
      <w:r>
        <w:t xml:space="preserve"> </w:t>
      </w:r>
      <w:r w:rsidR="00CB6F62">
        <w:rPr>
          <w:rFonts w:cstheme="minorBidi"/>
          <w:color w:val="002060"/>
          <w:szCs w:val="22"/>
        </w:rPr>
        <w:t>(</w:t>
      </w:r>
      <w:r w:rsidRPr="00836370">
        <w:rPr>
          <w:rFonts w:cstheme="minorBidi"/>
          <w:color w:val="002060"/>
          <w:szCs w:val="22"/>
        </w:rPr>
        <w:t>Guo 2017</w:t>
      </w:r>
      <w:r>
        <w:rPr>
          <w:rFonts w:cstheme="minorBidi"/>
          <w:color w:val="002060"/>
          <w:szCs w:val="22"/>
        </w:rPr>
        <w:t>)</w:t>
      </w:r>
      <w:r>
        <w:t xml:space="preserve">. The surface card generated then is a plot of the polished rod load versus its position. However, the polished load is a function of all system components in the sucker rod pump system and the surface plots generated </w:t>
      </w:r>
      <w:r>
        <w:lastRenderedPageBreak/>
        <w:t xml:space="preserve">are complex due to its non-standardized behavior. Therefore, it becomes very difficult to interpret for the production engineers. </w:t>
      </w:r>
    </w:p>
    <w:p w14:paraId="7944C82E" w14:textId="2C292B8E" w:rsidR="006665BC" w:rsidRDefault="006665BC" w:rsidP="00720BA0">
      <w:pPr>
        <w:pStyle w:val="Default"/>
        <w:spacing w:line="480" w:lineRule="auto"/>
        <w:ind w:firstLine="288"/>
        <w:jc w:val="both"/>
        <w:rPr>
          <w:b/>
          <w:bCs/>
        </w:rPr>
      </w:pPr>
      <w:r>
        <w:t xml:space="preserve">Fortunately, this problem was solved by </w:t>
      </w:r>
      <w:r w:rsidRPr="00567F17">
        <w:rPr>
          <w:rFonts w:cstheme="minorBidi"/>
          <w:color w:val="002060"/>
          <w:szCs w:val="22"/>
        </w:rPr>
        <w:t>Gibbs</w:t>
      </w:r>
      <w:r w:rsidR="00567F17" w:rsidRPr="00567F17">
        <w:rPr>
          <w:rFonts w:cstheme="minorBidi"/>
          <w:color w:val="002060"/>
          <w:szCs w:val="22"/>
        </w:rPr>
        <w:t xml:space="preserve"> (</w:t>
      </w:r>
      <w:r w:rsidRPr="00567F17">
        <w:rPr>
          <w:rFonts w:cstheme="minorBidi"/>
          <w:color w:val="002060"/>
          <w:szCs w:val="22"/>
        </w:rPr>
        <w:t>1963</w:t>
      </w:r>
      <w:r w:rsidR="00567F17" w:rsidRPr="00567F17">
        <w:rPr>
          <w:rFonts w:cstheme="minorBidi"/>
          <w:color w:val="002060"/>
          <w:szCs w:val="22"/>
        </w:rPr>
        <w:t>)</w:t>
      </w:r>
      <w:r w:rsidRPr="00567F17">
        <w:t>.</w:t>
      </w:r>
      <w:r w:rsidR="00567F17">
        <w:t xml:space="preserve"> Dr. Sam Gibbs</w:t>
      </w:r>
      <w:r>
        <w:t xml:space="preserve"> provided a linear second order hyperbolic partial differential equation which when solved numerically, using finite difference equations, mathematically models the elastic nature of the rod string and the forces that act on it during a pump cycle. Gibb’s equation </w:t>
      </w:r>
      <w:r w:rsidR="0014162E">
        <w:t xml:space="preserve">shown in Eq. 3.1 </w:t>
      </w:r>
      <w:r>
        <w:t xml:space="preserve">is popularly known as the Wave Equation. It is used to convert the surface conditions to downhole pump conditions. Hence, these downhole dynamometer cards are also referred as pump cards </w:t>
      </w:r>
      <w:r w:rsidR="00CB6F62">
        <w:rPr>
          <w:rFonts w:cstheme="minorBidi"/>
          <w:color w:val="002060"/>
          <w:szCs w:val="22"/>
        </w:rPr>
        <w:t>(</w:t>
      </w:r>
      <w:r w:rsidRPr="00836370">
        <w:rPr>
          <w:rFonts w:cstheme="minorBidi"/>
          <w:color w:val="002060"/>
          <w:szCs w:val="22"/>
        </w:rPr>
        <w:t>Takacs 2015</w:t>
      </w:r>
      <w:r>
        <w:rPr>
          <w:rFonts w:cstheme="minorBidi"/>
          <w:color w:val="002060"/>
          <w:szCs w:val="22"/>
        </w:rPr>
        <w:t>)</w:t>
      </w:r>
      <w:r>
        <w:t xml:space="preserve">. The pump cards exhibit a standardized behavior for each downhole pump condition and are used for pump diagnostics. </w:t>
      </w:r>
    </w:p>
    <w:p w14:paraId="1BD97F88" w14:textId="4278A719" w:rsidR="006665BC" w:rsidRDefault="00E23025" w:rsidP="00720BA0">
      <w:pPr>
        <w:pStyle w:val="Default"/>
        <w:spacing w:line="480" w:lineRule="auto"/>
        <w:ind w:firstLine="288"/>
        <w:jc w:val="both"/>
        <w:rPr>
          <w:rFonts w:eastAsiaTheme="minorEastAsia"/>
        </w:rPr>
      </w:pPr>
      <w:r>
        <w:t>The</w:t>
      </w:r>
      <w:r w:rsidR="006665BC" w:rsidRPr="00463CA8">
        <w:t xml:space="preserve"> expression</w:t>
      </w:r>
      <w:r>
        <w:t xml:space="preserve"> in Eq. 3.1</w:t>
      </w:r>
      <w:r w:rsidR="006665BC" w:rsidRPr="00463CA8">
        <w:t xml:space="preserve"> is the wave equation.</w:t>
      </w:r>
    </w:p>
    <w:p w14:paraId="01FE5722" w14:textId="7A4526D3" w:rsidR="006665BC" w:rsidRPr="00620D5A" w:rsidRDefault="002E6043" w:rsidP="00720BA0">
      <w:pPr>
        <w:pStyle w:val="Default"/>
        <w:spacing w:line="480" w:lineRule="auto"/>
        <w:ind w:firstLine="288"/>
        <w:jc w:val="both"/>
        <w:rPr>
          <w:rFonts w:eastAsiaTheme="minorEastAsia"/>
        </w:rPr>
      </w:pPr>
      <m:oMath>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t</m:t>
                </m:r>
              </m:e>
              <m:sup>
                <m:r>
                  <w:rPr>
                    <w:rFonts w:ascii="Cambria Math" w:hAnsi="Cambria Math"/>
                  </w:rPr>
                  <m:t>2</m:t>
                </m:r>
              </m:sup>
            </m:sSup>
          </m:den>
        </m:f>
        <m:r>
          <w:rPr>
            <w:rFonts w:ascii="Cambria Math" w:hAnsi="Cambria Math"/>
          </w:rPr>
          <m:t>u</m:t>
        </m:r>
        <m:d>
          <m:dPr>
            <m:ctrlPr>
              <w:rPr>
                <w:rFonts w:ascii="Cambria Math" w:hAnsi="Cambria Math"/>
                <w:i/>
              </w:rPr>
            </m:ctrlPr>
          </m:dPr>
          <m:e>
            <m:r>
              <w:rPr>
                <w:rFonts w:ascii="Cambria Math" w:hAnsi="Cambria Math"/>
              </w:rPr>
              <m:t>x,t</m:t>
            </m:r>
          </m:e>
        </m:d>
        <m:r>
          <w:rPr>
            <w:rFonts w:ascii="Cambria Math" w:hAnsi="Cambria Math"/>
          </w:rPr>
          <m:t>=</m:t>
        </m:r>
        <m:sSup>
          <m:sSupPr>
            <m:ctrlPr>
              <w:rPr>
                <w:rFonts w:ascii="Cambria Math" w:hAnsi="Cambria Math"/>
              </w:rPr>
            </m:ctrlPr>
          </m:sSupPr>
          <m:e>
            <m:sSub>
              <m:sSubPr>
                <m:ctrlPr>
                  <w:rPr>
                    <w:rFonts w:ascii="Cambria Math" w:hAnsi="Cambria Math"/>
                    <w:i/>
                  </w:rPr>
                </m:ctrlPr>
              </m:sSubPr>
              <m:e>
                <m:r>
                  <w:rPr>
                    <w:rFonts w:ascii="Cambria Math" w:hAnsi="Cambria Math"/>
                  </w:rPr>
                  <m:t>v</m:t>
                </m:r>
              </m:e>
              <m:sub>
                <m:r>
                  <w:rPr>
                    <w:rFonts w:ascii="Cambria Math" w:hAnsi="Cambria Math"/>
                  </w:rPr>
                  <m:t>s</m:t>
                </m:r>
              </m:sub>
            </m:sSub>
          </m:e>
          <m:sup>
            <m:r>
              <w:rPr>
                <w:rFonts w:ascii="Cambria Math" w:hAnsi="Cambria Math"/>
              </w:rPr>
              <m:t>2</m:t>
            </m:r>
          </m:sup>
        </m:sSup>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num>
          <m:den>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den>
        </m:f>
        <m:r>
          <w:rPr>
            <w:rFonts w:ascii="Cambria Math" w:hAnsi="Cambria Math"/>
          </w:rPr>
          <m:t>u</m:t>
        </m:r>
        <m:d>
          <m:dPr>
            <m:ctrlPr>
              <w:rPr>
                <w:rFonts w:ascii="Cambria Math" w:hAnsi="Cambria Math"/>
                <w:i/>
              </w:rPr>
            </m:ctrlPr>
          </m:dPr>
          <m:e>
            <m:r>
              <w:rPr>
                <w:rFonts w:ascii="Cambria Math" w:hAnsi="Cambria Math"/>
              </w:rPr>
              <m:t>x,t</m:t>
            </m:r>
          </m:e>
        </m:d>
        <m:r>
          <w:rPr>
            <w:rFonts w:ascii="Cambria Math" w:hAnsi="Cambria Math"/>
          </w:rPr>
          <m:t>-c</m:t>
        </m:r>
        <m:f>
          <m:fPr>
            <m:ctrlPr>
              <w:rPr>
                <w:rFonts w:ascii="Cambria Math" w:hAnsi="Cambria Math"/>
                <w:i/>
              </w:rPr>
            </m:ctrlPr>
          </m:fPr>
          <m:num>
            <m:r>
              <w:rPr>
                <w:rFonts w:ascii="Cambria Math" w:hAnsi="Cambria Math"/>
              </w:rPr>
              <m:t>∂u(x,t)</m:t>
            </m:r>
          </m:num>
          <m:den>
            <m:r>
              <w:rPr>
                <w:rFonts w:ascii="Cambria Math" w:hAnsi="Cambria Math"/>
              </w:rPr>
              <m:t>∂t</m:t>
            </m:r>
          </m:den>
        </m:f>
      </m:oMath>
      <w:r w:rsidR="00620D5A">
        <w:rPr>
          <w:rFonts w:eastAsiaTheme="minorEastAsia"/>
        </w:rPr>
        <w:t>………………………………………………………3.1</w:t>
      </w:r>
    </w:p>
    <w:p w14:paraId="5200C3BA" w14:textId="77777777" w:rsidR="006665BC" w:rsidRPr="00A62C75" w:rsidRDefault="006665BC" w:rsidP="00720BA0">
      <w:pPr>
        <w:pStyle w:val="Default"/>
        <w:spacing w:line="480" w:lineRule="auto"/>
        <w:ind w:firstLine="288"/>
        <w:jc w:val="both"/>
        <w:rPr>
          <w:rFonts w:eastAsiaTheme="minorEastAsia"/>
        </w:rPr>
      </w:pPr>
      <w:r>
        <w:rPr>
          <w:rFonts w:eastAsiaTheme="minorEastAsia"/>
        </w:rPr>
        <w:t>w</w:t>
      </w:r>
      <w:r w:rsidRPr="00A62C75">
        <w:rPr>
          <w:rFonts w:eastAsiaTheme="minorEastAsia"/>
        </w:rPr>
        <w:t xml:space="preserve">here </w:t>
      </w:r>
      <m:oMath>
        <m:r>
          <w:rPr>
            <w:rFonts w:ascii="Cambria Math" w:hAnsi="Cambria Math"/>
          </w:rPr>
          <m:t>u</m:t>
        </m:r>
        <m:d>
          <m:dPr>
            <m:ctrlPr>
              <w:rPr>
                <w:rFonts w:ascii="Cambria Math" w:hAnsi="Cambria Math"/>
                <w:i/>
              </w:rPr>
            </m:ctrlPr>
          </m:dPr>
          <m:e>
            <m:r>
              <w:rPr>
                <w:rFonts w:ascii="Cambria Math" w:hAnsi="Cambria Math"/>
              </w:rPr>
              <m:t>x,t</m:t>
            </m:r>
          </m:e>
        </m:d>
      </m:oMath>
      <w:r w:rsidRPr="00A62C75">
        <w:rPr>
          <w:rFonts w:eastAsiaTheme="minorEastAsia"/>
        </w:rPr>
        <w:t xml:space="preserve">= rod displacement, ft. </w:t>
      </w:r>
    </w:p>
    <w:p w14:paraId="02619E93" w14:textId="77777777" w:rsidR="006665BC" w:rsidRPr="00A62C75" w:rsidRDefault="006665BC" w:rsidP="00720BA0">
      <w:pPr>
        <w:pStyle w:val="Default"/>
        <w:spacing w:line="480" w:lineRule="auto"/>
        <w:ind w:firstLine="288"/>
        <w:jc w:val="both"/>
        <w:rPr>
          <w:rFonts w:eastAsiaTheme="minorEastAsia"/>
        </w:rPr>
      </w:pPr>
      <w:r w:rsidRPr="00A62C75">
        <w:rPr>
          <w:rFonts w:eastAsiaTheme="minorEastAsia"/>
        </w:rPr>
        <w:t xml:space="preserve">c=viscous damping factor, 1/s. </w:t>
      </w:r>
    </w:p>
    <w:p w14:paraId="760D255F" w14:textId="77777777" w:rsidR="006665BC" w:rsidRPr="00A62C75" w:rsidRDefault="002E6043" w:rsidP="00720BA0">
      <w:pPr>
        <w:pStyle w:val="Default"/>
        <w:spacing w:line="480" w:lineRule="auto"/>
        <w:ind w:firstLine="288"/>
        <w:jc w:val="both"/>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s</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144</m:t>
                </m:r>
                <m:sSub>
                  <m:sSubPr>
                    <m:ctrlPr>
                      <w:rPr>
                        <w:rFonts w:ascii="Cambria Math" w:hAnsi="Cambria Math"/>
                        <w:i/>
                      </w:rPr>
                    </m:ctrlPr>
                  </m:sSubPr>
                  <m:e>
                    <m:r>
                      <w:rPr>
                        <w:rFonts w:ascii="Cambria Math" w:hAnsi="Cambria Math"/>
                      </w:rPr>
                      <m:t>g</m:t>
                    </m:r>
                  </m:e>
                  <m:sub>
                    <m:r>
                      <w:rPr>
                        <w:rFonts w:ascii="Cambria Math" w:hAnsi="Cambria Math"/>
                      </w:rPr>
                      <m:t>c</m:t>
                    </m:r>
                  </m:sub>
                </m:sSub>
                <m:r>
                  <w:rPr>
                    <w:rFonts w:ascii="Cambria Math" w:hAnsi="Cambria Math"/>
                  </w:rPr>
                  <m:t>E</m:t>
                </m:r>
              </m:num>
              <m:den>
                <m:r>
                  <w:rPr>
                    <w:rFonts w:ascii="Cambria Math" w:hAnsi="Cambria Math"/>
                  </w:rPr>
                  <m:t>ρ</m:t>
                </m:r>
              </m:den>
            </m:f>
          </m:e>
        </m:rad>
      </m:oMath>
      <w:r w:rsidR="006665BC" w:rsidRPr="00A62C75">
        <w:rPr>
          <w:rFonts w:eastAsiaTheme="minorEastAsia"/>
        </w:rPr>
        <w:t>= velocity of sound in the rod material, ft/s.</w:t>
      </w:r>
    </w:p>
    <w:p w14:paraId="715FA1A6" w14:textId="77777777" w:rsidR="006665BC" w:rsidRPr="00A62C75" w:rsidRDefault="006665BC" w:rsidP="00720BA0">
      <w:pPr>
        <w:pStyle w:val="Default"/>
        <w:spacing w:line="480" w:lineRule="auto"/>
        <w:ind w:firstLine="288"/>
        <w:jc w:val="both"/>
        <w:rPr>
          <w:rFonts w:eastAsiaTheme="minorEastAsia"/>
        </w:rPr>
      </w:pPr>
      <m:oMath>
        <m:r>
          <w:rPr>
            <w:rFonts w:ascii="Cambria Math" w:hAnsi="Cambria Math"/>
          </w:rPr>
          <m:t xml:space="preserve">x </m:t>
        </m:r>
      </m:oMath>
      <w:r w:rsidRPr="00A62C75">
        <w:rPr>
          <w:rFonts w:eastAsiaTheme="minorEastAsia"/>
        </w:rPr>
        <w:t xml:space="preserve">  = position of rods, ft.</w:t>
      </w:r>
    </w:p>
    <w:p w14:paraId="7CC9630C" w14:textId="00A69F17" w:rsidR="006665BC" w:rsidRDefault="006665BC" w:rsidP="00720BA0">
      <w:pPr>
        <w:pStyle w:val="Default"/>
        <w:spacing w:line="480" w:lineRule="auto"/>
        <w:ind w:firstLine="288"/>
        <w:jc w:val="both"/>
        <w:rPr>
          <w:rFonts w:eastAsiaTheme="minorEastAsia"/>
        </w:rPr>
      </w:pPr>
      <w:r w:rsidRPr="00A62C75">
        <w:rPr>
          <w:rFonts w:eastAsiaTheme="minorEastAsia"/>
        </w:rPr>
        <w:t>t = time, s.</w:t>
      </w:r>
    </w:p>
    <w:p w14:paraId="1331D341" w14:textId="15993704" w:rsidR="00A83B3E" w:rsidRDefault="00A83B3E" w:rsidP="00720BA0">
      <w:pPr>
        <w:pStyle w:val="Default"/>
        <w:spacing w:line="480" w:lineRule="auto"/>
        <w:ind w:firstLine="288"/>
        <w:jc w:val="both"/>
        <w:rPr>
          <w:rFonts w:eastAsiaTheme="minorEastAsia"/>
        </w:rPr>
      </w:pPr>
    </w:p>
    <w:p w14:paraId="31E052A5" w14:textId="05CF54A5" w:rsidR="00475A81" w:rsidRDefault="00475A81" w:rsidP="00720BA0">
      <w:pPr>
        <w:pStyle w:val="Default"/>
        <w:spacing w:line="480" w:lineRule="auto"/>
        <w:ind w:firstLine="288"/>
        <w:jc w:val="both"/>
        <w:rPr>
          <w:rFonts w:eastAsiaTheme="minorEastAsia"/>
        </w:rPr>
      </w:pPr>
    </w:p>
    <w:p w14:paraId="7DEEE31A" w14:textId="77777777" w:rsidR="00475A81" w:rsidRDefault="00475A81" w:rsidP="00720BA0">
      <w:pPr>
        <w:pStyle w:val="Default"/>
        <w:spacing w:line="480" w:lineRule="auto"/>
        <w:ind w:firstLine="288"/>
        <w:jc w:val="both"/>
        <w:rPr>
          <w:rFonts w:eastAsiaTheme="minorEastAsia"/>
        </w:rPr>
      </w:pPr>
    </w:p>
    <w:p w14:paraId="1F1F6200" w14:textId="77777777" w:rsidR="003E769E" w:rsidRDefault="003E769E" w:rsidP="00720BA0">
      <w:pPr>
        <w:pStyle w:val="Default"/>
        <w:spacing w:line="480" w:lineRule="auto"/>
        <w:ind w:firstLine="288"/>
        <w:jc w:val="both"/>
        <w:rPr>
          <w:rFonts w:eastAsiaTheme="minorEastAsia"/>
        </w:rPr>
      </w:pPr>
    </w:p>
    <w:p w14:paraId="119D881B" w14:textId="17001552" w:rsidR="00A83B3E" w:rsidRDefault="00A83B3E" w:rsidP="00720BA0">
      <w:pPr>
        <w:pStyle w:val="Default"/>
        <w:spacing w:line="480" w:lineRule="auto"/>
        <w:ind w:firstLine="288"/>
        <w:jc w:val="both"/>
        <w:rPr>
          <w:rFonts w:eastAsiaTheme="minorEastAsia"/>
        </w:rPr>
      </w:pPr>
    </w:p>
    <w:p w14:paraId="793EA9CD" w14:textId="77777777" w:rsidR="003E769E" w:rsidRDefault="003E769E" w:rsidP="00720BA0">
      <w:pPr>
        <w:pStyle w:val="Default"/>
        <w:spacing w:line="480" w:lineRule="auto"/>
        <w:ind w:firstLine="288"/>
        <w:jc w:val="both"/>
        <w:rPr>
          <w:rFonts w:eastAsiaTheme="minorEastAsia"/>
        </w:rPr>
      </w:pPr>
    </w:p>
    <w:p w14:paraId="27E63875" w14:textId="46D6731A" w:rsidR="00EB468D" w:rsidRDefault="00A83B3E" w:rsidP="006665BC">
      <w:pPr>
        <w:pStyle w:val="Default"/>
        <w:spacing w:line="480" w:lineRule="auto"/>
        <w:ind w:firstLine="288"/>
        <w:jc w:val="both"/>
        <w:rPr>
          <w:rFonts w:eastAsiaTheme="minorEastAsia"/>
        </w:rPr>
      </w:pPr>
      <w:r>
        <w:lastRenderedPageBreak/>
        <w:t xml:space="preserve">An example of a pump card and surface card at normal operating conditions is shown in </w:t>
      </w:r>
      <w:r w:rsidRPr="005D3E70">
        <w:rPr>
          <w:b/>
          <w:bCs/>
        </w:rPr>
        <w:t xml:space="preserve">Fig. </w:t>
      </w:r>
      <w:r>
        <w:rPr>
          <w:b/>
          <w:bCs/>
        </w:rPr>
        <w:t xml:space="preserve">3.3. </w:t>
      </w:r>
      <w:r w:rsidR="003E769E">
        <w:t xml:space="preserve">The pump card plot shows the rod string load </w:t>
      </w:r>
      <w:r w:rsidR="006E52E1">
        <w:t xml:space="preserve">(lbs) </w:t>
      </w:r>
      <w:r w:rsidR="003E769E">
        <w:t>on the y-axis plotted versus the</w:t>
      </w:r>
      <w:r w:rsidR="003E769E">
        <w:rPr>
          <w:rFonts w:eastAsiaTheme="minorEastAsia"/>
        </w:rPr>
        <w:t xml:space="preserve"> </w:t>
      </w:r>
      <w:r w:rsidR="003E769E">
        <w:t xml:space="preserve">rod displacement </w:t>
      </w:r>
      <w:r w:rsidR="003853FC">
        <w:t xml:space="preserve">(inch) </w:t>
      </w:r>
      <w:r w:rsidR="003E769E">
        <w:t xml:space="preserve">on the x-axis. </w:t>
      </w:r>
    </w:p>
    <w:p w14:paraId="065466FD" w14:textId="6EFF9D5F" w:rsidR="00EB468D" w:rsidRDefault="00EB468D" w:rsidP="006665BC">
      <w:pPr>
        <w:pStyle w:val="Default"/>
        <w:spacing w:line="480" w:lineRule="auto"/>
        <w:ind w:firstLine="288"/>
        <w:jc w:val="both"/>
        <w:rPr>
          <w:rFonts w:eastAsiaTheme="minorEastAsia"/>
        </w:rPr>
      </w:pPr>
    </w:p>
    <w:p w14:paraId="30980BCC" w14:textId="77777777" w:rsidR="00EB468D" w:rsidRDefault="00EB468D" w:rsidP="00EB468D">
      <w:pPr>
        <w:pStyle w:val="Default"/>
        <w:keepNext/>
        <w:spacing w:line="480" w:lineRule="auto"/>
        <w:ind w:firstLine="288"/>
        <w:jc w:val="center"/>
      </w:pPr>
      <w:r w:rsidRPr="00EB468D">
        <w:rPr>
          <w:rFonts w:eastAsiaTheme="minorEastAsia"/>
          <w:noProof/>
        </w:rPr>
        <w:drawing>
          <wp:inline distT="0" distB="0" distL="0" distR="0" wp14:anchorId="19AD2790" wp14:editId="582628EC">
            <wp:extent cx="5275252" cy="2997200"/>
            <wp:effectExtent l="0" t="0" r="190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283118" cy="3001669"/>
                    </a:xfrm>
                    <a:prstGeom prst="rect">
                      <a:avLst/>
                    </a:prstGeom>
                    <a:noFill/>
                    <a:ln>
                      <a:noFill/>
                    </a:ln>
                  </pic:spPr>
                </pic:pic>
              </a:graphicData>
            </a:graphic>
          </wp:inline>
        </w:drawing>
      </w:r>
    </w:p>
    <w:p w14:paraId="5F453ED2" w14:textId="4897A72A" w:rsidR="00EB468D" w:rsidRPr="0069167D" w:rsidRDefault="00EB468D" w:rsidP="00EB468D">
      <w:pPr>
        <w:pStyle w:val="Caption"/>
        <w:rPr>
          <w:rFonts w:ascii="Arial" w:eastAsia="Times New Roman" w:hAnsi="Arial" w:cs="Times New Roman"/>
          <w:i w:val="0"/>
          <w:iCs w:val="0"/>
          <w:sz w:val="16"/>
          <w:szCs w:val="20"/>
        </w:rPr>
      </w:pPr>
      <w:bookmarkStart w:id="73" w:name="_Toc58667165"/>
      <w:r w:rsidRPr="00A309BF">
        <w:rPr>
          <w:rFonts w:ascii="Arial" w:hAnsi="Arial" w:cs="Arial"/>
          <w:i w:val="0"/>
          <w:iCs w:val="0"/>
          <w:sz w:val="16"/>
          <w:szCs w:val="16"/>
        </w:rPr>
        <w:t xml:space="preserve">Fig. 3. </w:t>
      </w:r>
      <w:r w:rsidRPr="00A309BF">
        <w:rPr>
          <w:rFonts w:ascii="Arial" w:hAnsi="Arial" w:cs="Arial"/>
          <w:i w:val="0"/>
          <w:iCs w:val="0"/>
          <w:sz w:val="16"/>
          <w:szCs w:val="16"/>
        </w:rPr>
        <w:fldChar w:fldCharType="begin"/>
      </w:r>
      <w:r w:rsidRPr="00A309BF">
        <w:rPr>
          <w:rFonts w:ascii="Arial" w:hAnsi="Arial" w:cs="Arial"/>
          <w:i w:val="0"/>
          <w:iCs w:val="0"/>
          <w:sz w:val="16"/>
          <w:szCs w:val="16"/>
        </w:rPr>
        <w:instrText xml:space="preserve"> SEQ Fig._3. \* ARABIC </w:instrText>
      </w:r>
      <w:r w:rsidRPr="00A309BF">
        <w:rPr>
          <w:rFonts w:ascii="Arial" w:hAnsi="Arial" w:cs="Arial"/>
          <w:i w:val="0"/>
          <w:iCs w:val="0"/>
          <w:sz w:val="16"/>
          <w:szCs w:val="16"/>
        </w:rPr>
        <w:fldChar w:fldCharType="separate"/>
      </w:r>
      <w:r w:rsidR="00D006A5">
        <w:rPr>
          <w:rFonts w:ascii="Arial" w:hAnsi="Arial" w:cs="Arial"/>
          <w:i w:val="0"/>
          <w:iCs w:val="0"/>
          <w:noProof/>
          <w:sz w:val="16"/>
          <w:szCs w:val="16"/>
        </w:rPr>
        <w:t>3</w:t>
      </w:r>
      <w:r w:rsidRPr="00A309BF">
        <w:rPr>
          <w:rFonts w:ascii="Arial" w:hAnsi="Arial" w:cs="Arial"/>
          <w:i w:val="0"/>
          <w:iCs w:val="0"/>
          <w:sz w:val="16"/>
          <w:szCs w:val="16"/>
        </w:rPr>
        <w:fldChar w:fldCharType="end"/>
      </w:r>
      <w:r w:rsidR="00AA6D7C">
        <w:rPr>
          <w:rFonts w:ascii="Arial" w:hAnsi="Arial" w:cs="Arial"/>
          <w:i w:val="0"/>
          <w:iCs w:val="0"/>
          <w:sz w:val="16"/>
          <w:szCs w:val="16"/>
        </w:rPr>
        <w:t>—</w:t>
      </w:r>
      <w:r w:rsidRPr="00A309BF">
        <w:rPr>
          <w:rFonts w:ascii="Arial" w:hAnsi="Arial" w:cs="Arial"/>
          <w:i w:val="0"/>
          <w:iCs w:val="0"/>
          <w:sz w:val="16"/>
          <w:szCs w:val="16"/>
        </w:rPr>
        <w:t>Pump card (bottom)</w:t>
      </w:r>
      <w:r w:rsidR="00B85857" w:rsidRPr="00A309BF">
        <w:rPr>
          <w:rFonts w:ascii="Arial" w:hAnsi="Arial" w:cs="Arial"/>
          <w:i w:val="0"/>
          <w:iCs w:val="0"/>
          <w:sz w:val="16"/>
          <w:szCs w:val="16"/>
        </w:rPr>
        <w:t xml:space="preserve"> and surface card (top) for a normal operating </w:t>
      </w:r>
      <w:r w:rsidR="00B85857" w:rsidRPr="0069167D">
        <w:rPr>
          <w:rFonts w:ascii="Arial" w:eastAsia="Times New Roman" w:hAnsi="Arial" w:cs="Times New Roman"/>
          <w:i w:val="0"/>
          <w:iCs w:val="0"/>
          <w:sz w:val="16"/>
          <w:szCs w:val="20"/>
        </w:rPr>
        <w:t>condition (</w:t>
      </w:r>
      <w:r w:rsidR="00BF7549" w:rsidRPr="0069167D">
        <w:rPr>
          <w:rFonts w:ascii="Arial" w:eastAsia="Times New Roman" w:hAnsi="Arial" w:cs="Times New Roman"/>
          <w:i w:val="0"/>
          <w:iCs w:val="0"/>
          <w:sz w:val="16"/>
          <w:szCs w:val="20"/>
        </w:rPr>
        <w:t>Sharaf et al. 2019)</w:t>
      </w:r>
      <w:r w:rsidR="00A309BF" w:rsidRPr="0069167D">
        <w:rPr>
          <w:rFonts w:ascii="Arial" w:eastAsia="Times New Roman" w:hAnsi="Arial" w:cs="Times New Roman"/>
          <w:i w:val="0"/>
          <w:iCs w:val="0"/>
          <w:sz w:val="16"/>
          <w:szCs w:val="20"/>
        </w:rPr>
        <w:t>.</w:t>
      </w:r>
      <w:bookmarkEnd w:id="73"/>
    </w:p>
    <w:p w14:paraId="39B9525B" w14:textId="7962DB49" w:rsidR="00475A81" w:rsidRDefault="00475A81" w:rsidP="00543EC7">
      <w:pPr>
        <w:rPr>
          <w:noProof/>
        </w:rPr>
      </w:pPr>
    </w:p>
    <w:p w14:paraId="60836B6A" w14:textId="68395B43" w:rsidR="00AE4E34" w:rsidRDefault="00AE4E34" w:rsidP="00543EC7">
      <w:pPr>
        <w:rPr>
          <w:noProof/>
        </w:rPr>
      </w:pPr>
    </w:p>
    <w:p w14:paraId="7B6F06BB" w14:textId="6D623BA0" w:rsidR="00AE4E34" w:rsidRDefault="00AE4E34" w:rsidP="00543EC7">
      <w:pPr>
        <w:rPr>
          <w:noProof/>
        </w:rPr>
      </w:pPr>
    </w:p>
    <w:p w14:paraId="6C966787" w14:textId="610E905D" w:rsidR="00AE4E34" w:rsidRDefault="00AE4E34" w:rsidP="00543EC7">
      <w:pPr>
        <w:rPr>
          <w:noProof/>
        </w:rPr>
      </w:pPr>
    </w:p>
    <w:p w14:paraId="06C53667" w14:textId="56C4AF22" w:rsidR="00AE4E34" w:rsidRDefault="00AE4E34" w:rsidP="00543EC7">
      <w:pPr>
        <w:rPr>
          <w:noProof/>
        </w:rPr>
      </w:pPr>
    </w:p>
    <w:p w14:paraId="527FA183" w14:textId="77777777" w:rsidR="00AE4E34" w:rsidRDefault="00AE4E34" w:rsidP="00543EC7"/>
    <w:p w14:paraId="0E8F2236" w14:textId="77777777" w:rsidR="00346B57" w:rsidRDefault="0027196A" w:rsidP="00720BA0">
      <w:pPr>
        <w:tabs>
          <w:tab w:val="left" w:pos="960"/>
        </w:tabs>
        <w:spacing w:after="0"/>
      </w:pPr>
      <w:r>
        <w:lastRenderedPageBreak/>
        <w:tab/>
      </w:r>
      <w:r w:rsidR="00346B57">
        <w:rPr>
          <w:noProof/>
        </w:rPr>
        <w:drawing>
          <wp:inline distT="0" distB="0" distL="0" distR="0" wp14:anchorId="707B8814" wp14:editId="4E206033">
            <wp:extent cx="4781550" cy="7524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781550" cy="752475"/>
                    </a:xfrm>
                    <a:prstGeom prst="rect">
                      <a:avLst/>
                    </a:prstGeom>
                  </pic:spPr>
                </pic:pic>
              </a:graphicData>
            </a:graphic>
          </wp:inline>
        </w:drawing>
      </w:r>
    </w:p>
    <w:p w14:paraId="2E5913A9" w14:textId="08EC0C76" w:rsidR="00665395" w:rsidRDefault="00346B57" w:rsidP="00720BA0">
      <w:pPr>
        <w:tabs>
          <w:tab w:val="left" w:pos="960"/>
        </w:tabs>
        <w:spacing w:after="0"/>
      </w:pPr>
      <w:r>
        <w:t xml:space="preserve">                                              </w:t>
      </w:r>
      <w:r w:rsidR="00665395" w:rsidRPr="00D03983">
        <w:rPr>
          <w:rFonts w:ascii="Arial" w:hAnsi="Arial" w:cs="Arial"/>
          <w:b/>
          <w:bCs/>
          <w:sz w:val="16"/>
          <w:szCs w:val="16"/>
        </w:rPr>
        <w:t>(a)</w:t>
      </w:r>
      <w:r w:rsidR="00665395">
        <w:t xml:space="preserve">                                                </w:t>
      </w:r>
      <w:r>
        <w:t xml:space="preserve"> </w:t>
      </w:r>
      <w:r w:rsidR="00665395" w:rsidRPr="00D03983">
        <w:rPr>
          <w:rFonts w:ascii="Arial" w:hAnsi="Arial" w:cs="Arial"/>
          <w:b/>
          <w:bCs/>
          <w:sz w:val="16"/>
          <w:szCs w:val="16"/>
        </w:rPr>
        <w:t>(b)</w:t>
      </w:r>
    </w:p>
    <w:p w14:paraId="22EEB8D2" w14:textId="7F6E0981" w:rsidR="0027196A" w:rsidRDefault="00325BE4" w:rsidP="00720BA0">
      <w:pPr>
        <w:tabs>
          <w:tab w:val="left" w:pos="960"/>
        </w:tabs>
        <w:spacing w:after="0"/>
        <w:jc w:val="center"/>
      </w:pPr>
      <w:r>
        <w:rPr>
          <w:noProof/>
        </w:rPr>
        <w:drawing>
          <wp:inline distT="0" distB="0" distL="0" distR="0" wp14:anchorId="3F6A3FC0" wp14:editId="6A1C91B9">
            <wp:extent cx="4800600" cy="8191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800600" cy="819150"/>
                    </a:xfrm>
                    <a:prstGeom prst="rect">
                      <a:avLst/>
                    </a:prstGeom>
                  </pic:spPr>
                </pic:pic>
              </a:graphicData>
            </a:graphic>
          </wp:inline>
        </w:drawing>
      </w:r>
    </w:p>
    <w:p w14:paraId="3B6F9D83" w14:textId="6CB7DE6C" w:rsidR="00325BE4" w:rsidRDefault="00D03983" w:rsidP="00720BA0">
      <w:pPr>
        <w:tabs>
          <w:tab w:val="left" w:pos="960"/>
        </w:tabs>
        <w:spacing w:after="0"/>
        <w:rPr>
          <w:rFonts w:ascii="Arial" w:hAnsi="Arial" w:cs="Arial"/>
          <w:b/>
          <w:bCs/>
          <w:sz w:val="16"/>
          <w:szCs w:val="16"/>
        </w:rPr>
      </w:pPr>
      <w:r>
        <w:rPr>
          <w:rFonts w:ascii="Arial" w:hAnsi="Arial" w:cs="Arial"/>
          <w:b/>
          <w:bCs/>
          <w:sz w:val="16"/>
          <w:szCs w:val="16"/>
        </w:rPr>
        <w:t xml:space="preserve">                                                             </w:t>
      </w:r>
      <w:r w:rsidRPr="00D03983">
        <w:rPr>
          <w:rFonts w:ascii="Arial" w:hAnsi="Arial" w:cs="Arial"/>
          <w:b/>
          <w:bCs/>
          <w:sz w:val="16"/>
          <w:szCs w:val="16"/>
        </w:rPr>
        <w:t>(c)</w:t>
      </w:r>
      <w:r>
        <w:rPr>
          <w:rFonts w:ascii="Arial" w:hAnsi="Arial" w:cs="Arial"/>
          <w:b/>
          <w:bCs/>
          <w:sz w:val="16"/>
          <w:szCs w:val="16"/>
        </w:rPr>
        <w:t xml:space="preserve">                                                                    (d)</w:t>
      </w:r>
    </w:p>
    <w:p w14:paraId="261F21AF" w14:textId="77777777" w:rsidR="00543EC7" w:rsidRDefault="00223064" w:rsidP="00720BA0">
      <w:pPr>
        <w:keepNext/>
        <w:tabs>
          <w:tab w:val="left" w:pos="960"/>
        </w:tabs>
        <w:spacing w:after="0"/>
        <w:jc w:val="center"/>
      </w:pPr>
      <w:r>
        <w:rPr>
          <w:noProof/>
        </w:rPr>
        <w:drawing>
          <wp:inline distT="0" distB="0" distL="0" distR="0" wp14:anchorId="2DDC2996" wp14:editId="72343A14">
            <wp:extent cx="4867275" cy="80962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867275" cy="809625"/>
                    </a:xfrm>
                    <a:prstGeom prst="rect">
                      <a:avLst/>
                    </a:prstGeom>
                  </pic:spPr>
                </pic:pic>
              </a:graphicData>
            </a:graphic>
          </wp:inline>
        </w:drawing>
      </w:r>
    </w:p>
    <w:p w14:paraId="4A691995" w14:textId="1B3EB685" w:rsidR="00223064" w:rsidRDefault="00223064" w:rsidP="00720BA0">
      <w:pPr>
        <w:tabs>
          <w:tab w:val="left" w:pos="2693"/>
        </w:tabs>
        <w:spacing w:after="0"/>
        <w:rPr>
          <w:rFonts w:ascii="Arial" w:hAnsi="Arial" w:cs="Arial"/>
          <w:b/>
          <w:bCs/>
          <w:sz w:val="16"/>
          <w:szCs w:val="16"/>
        </w:rPr>
      </w:pPr>
      <w:r>
        <w:rPr>
          <w:rFonts w:ascii="Arial" w:hAnsi="Arial" w:cs="Arial"/>
          <w:sz w:val="16"/>
          <w:szCs w:val="16"/>
        </w:rPr>
        <w:tab/>
      </w:r>
      <w:r w:rsidRPr="00223064">
        <w:rPr>
          <w:rFonts w:ascii="Arial" w:hAnsi="Arial" w:cs="Arial"/>
          <w:b/>
          <w:bCs/>
          <w:sz w:val="16"/>
          <w:szCs w:val="16"/>
        </w:rPr>
        <w:t>(e)                                                                    (f)</w:t>
      </w:r>
    </w:p>
    <w:p w14:paraId="07076FA7" w14:textId="279346E9" w:rsidR="006665BC" w:rsidRPr="0069167D" w:rsidRDefault="00543EC7" w:rsidP="009F27DE">
      <w:pPr>
        <w:tabs>
          <w:tab w:val="num" w:pos="720"/>
          <w:tab w:val="left" w:pos="1763"/>
        </w:tabs>
        <w:spacing w:after="0"/>
        <w:jc w:val="center"/>
        <w:rPr>
          <w:rFonts w:ascii="Arial" w:eastAsia="Times New Roman" w:hAnsi="Arial" w:cs="Times New Roman"/>
          <w:b/>
          <w:sz w:val="16"/>
          <w:szCs w:val="20"/>
        </w:rPr>
      </w:pPr>
      <w:bookmarkStart w:id="74" w:name="_Toc58667166"/>
      <w:r w:rsidRPr="00D55549">
        <w:rPr>
          <w:rFonts w:ascii="Arial" w:eastAsia="Times New Roman" w:hAnsi="Arial" w:cs="Times New Roman"/>
          <w:b/>
          <w:sz w:val="16"/>
          <w:szCs w:val="20"/>
        </w:rPr>
        <w:t xml:space="preserve">Fig. 3. </w:t>
      </w:r>
      <w:r w:rsidRPr="00D55549">
        <w:rPr>
          <w:rFonts w:ascii="Arial" w:eastAsia="Times New Roman" w:hAnsi="Arial" w:cs="Times New Roman"/>
          <w:b/>
          <w:sz w:val="16"/>
          <w:szCs w:val="20"/>
        </w:rPr>
        <w:fldChar w:fldCharType="begin"/>
      </w:r>
      <w:r w:rsidRPr="00D55549">
        <w:rPr>
          <w:rFonts w:ascii="Arial" w:eastAsia="Times New Roman" w:hAnsi="Arial" w:cs="Times New Roman"/>
          <w:b/>
          <w:sz w:val="16"/>
          <w:szCs w:val="20"/>
        </w:rPr>
        <w:instrText xml:space="preserve"> SEQ Fig._3. \* ARABIC </w:instrText>
      </w:r>
      <w:r w:rsidRPr="00D55549">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4</w:t>
      </w:r>
      <w:r w:rsidRPr="00D55549">
        <w:rPr>
          <w:rFonts w:ascii="Arial" w:eastAsia="Times New Roman" w:hAnsi="Arial" w:cs="Times New Roman"/>
          <w:b/>
          <w:sz w:val="16"/>
          <w:szCs w:val="20"/>
        </w:rPr>
        <w:fldChar w:fldCharType="end"/>
      </w:r>
      <w:r w:rsidR="00D55549">
        <w:rPr>
          <w:rFonts w:ascii="Arial" w:eastAsia="Times New Roman" w:hAnsi="Arial" w:cs="Times New Roman"/>
          <w:b/>
          <w:sz w:val="16"/>
          <w:szCs w:val="20"/>
        </w:rPr>
        <w:t>—</w:t>
      </w:r>
      <w:r w:rsidR="00D55549" w:rsidRPr="00525000">
        <w:rPr>
          <w:rFonts w:ascii="Arial" w:eastAsia="Times New Roman" w:hAnsi="Arial" w:cs="Times New Roman"/>
          <w:b/>
          <w:sz w:val="16"/>
          <w:szCs w:val="20"/>
        </w:rPr>
        <w:t>Pump Dynamometer cards (</w:t>
      </w:r>
      <w:r w:rsidR="00C74D20">
        <w:rPr>
          <w:rFonts w:ascii="Arial" w:eastAsia="Times New Roman" w:hAnsi="Arial" w:cs="Times New Roman"/>
          <w:b/>
          <w:sz w:val="16"/>
          <w:szCs w:val="20"/>
        </w:rPr>
        <w:t>a</w:t>
      </w:r>
      <w:r w:rsidR="00D55549" w:rsidRPr="00525000">
        <w:rPr>
          <w:rFonts w:ascii="Arial" w:eastAsia="Times New Roman" w:hAnsi="Arial" w:cs="Times New Roman"/>
          <w:b/>
          <w:sz w:val="16"/>
          <w:szCs w:val="20"/>
        </w:rPr>
        <w:t xml:space="preserve">) Ideal Pump Card </w:t>
      </w:r>
      <w:r w:rsidR="00980AE3" w:rsidRPr="00525000">
        <w:rPr>
          <w:rFonts w:ascii="Arial" w:eastAsia="Times New Roman" w:hAnsi="Arial" w:cs="Times New Roman"/>
          <w:b/>
          <w:sz w:val="16"/>
          <w:szCs w:val="20"/>
        </w:rPr>
        <w:t>(</w:t>
      </w:r>
      <w:r w:rsidR="00980AE3">
        <w:rPr>
          <w:rFonts w:ascii="Arial" w:eastAsia="Times New Roman" w:hAnsi="Arial" w:cs="Times New Roman"/>
          <w:b/>
          <w:sz w:val="16"/>
          <w:szCs w:val="20"/>
        </w:rPr>
        <w:t>b</w:t>
      </w:r>
      <w:r w:rsidR="00980AE3" w:rsidRPr="00525000">
        <w:rPr>
          <w:rFonts w:ascii="Arial" w:eastAsia="Times New Roman" w:hAnsi="Arial" w:cs="Times New Roman"/>
          <w:b/>
          <w:sz w:val="16"/>
          <w:szCs w:val="20"/>
        </w:rPr>
        <w:t xml:space="preserve">) Fluid Pound </w:t>
      </w:r>
      <w:r w:rsidR="00D55549" w:rsidRPr="00525000">
        <w:rPr>
          <w:rFonts w:ascii="Arial" w:eastAsia="Times New Roman" w:hAnsi="Arial" w:cs="Times New Roman"/>
          <w:b/>
          <w:sz w:val="16"/>
          <w:szCs w:val="20"/>
        </w:rPr>
        <w:t>(</w:t>
      </w:r>
      <w:r w:rsidR="00980AE3">
        <w:rPr>
          <w:rFonts w:ascii="Arial" w:eastAsia="Times New Roman" w:hAnsi="Arial" w:cs="Times New Roman"/>
          <w:b/>
          <w:sz w:val="16"/>
          <w:szCs w:val="20"/>
        </w:rPr>
        <w:t>c</w:t>
      </w:r>
      <w:r w:rsidR="00D55549" w:rsidRPr="00525000">
        <w:rPr>
          <w:rFonts w:ascii="Arial" w:eastAsia="Times New Roman" w:hAnsi="Arial" w:cs="Times New Roman"/>
          <w:b/>
          <w:sz w:val="16"/>
          <w:szCs w:val="20"/>
        </w:rPr>
        <w:t xml:space="preserve">) Gas Compression </w:t>
      </w:r>
      <w:r w:rsidR="006B3F96">
        <w:rPr>
          <w:rFonts w:ascii="Arial" w:eastAsia="Times New Roman" w:hAnsi="Arial" w:cs="Times New Roman"/>
          <w:b/>
          <w:sz w:val="16"/>
          <w:szCs w:val="20"/>
        </w:rPr>
        <w:t>on</w:t>
      </w:r>
      <w:r w:rsidR="00D55549" w:rsidRPr="00525000">
        <w:rPr>
          <w:rFonts w:ascii="Arial" w:eastAsia="Times New Roman" w:hAnsi="Arial" w:cs="Times New Roman"/>
          <w:b/>
          <w:sz w:val="16"/>
          <w:szCs w:val="20"/>
        </w:rPr>
        <w:t xml:space="preserve"> </w:t>
      </w:r>
      <w:r w:rsidR="00AE4E34">
        <w:rPr>
          <w:rFonts w:ascii="Arial" w:eastAsia="Times New Roman" w:hAnsi="Arial" w:cs="Times New Roman"/>
          <w:b/>
          <w:sz w:val="16"/>
          <w:szCs w:val="20"/>
        </w:rPr>
        <w:t>D</w:t>
      </w:r>
      <w:r w:rsidR="00D55549" w:rsidRPr="00525000">
        <w:rPr>
          <w:rFonts w:ascii="Arial" w:eastAsia="Times New Roman" w:hAnsi="Arial" w:cs="Times New Roman"/>
          <w:b/>
          <w:sz w:val="16"/>
          <w:szCs w:val="20"/>
        </w:rPr>
        <w:t xml:space="preserve">ownstroke </w:t>
      </w:r>
      <w:r w:rsidR="0019010E">
        <w:rPr>
          <w:rFonts w:ascii="Arial" w:eastAsia="Times New Roman" w:hAnsi="Arial" w:cs="Times New Roman"/>
          <w:b/>
          <w:sz w:val="16"/>
          <w:szCs w:val="20"/>
        </w:rPr>
        <w:t xml:space="preserve">                         </w:t>
      </w:r>
      <w:r w:rsidR="00D55549" w:rsidRPr="00525000">
        <w:rPr>
          <w:rFonts w:ascii="Arial" w:eastAsia="Times New Roman" w:hAnsi="Arial" w:cs="Times New Roman"/>
          <w:b/>
          <w:sz w:val="16"/>
          <w:szCs w:val="20"/>
        </w:rPr>
        <w:t>(</w:t>
      </w:r>
      <w:r w:rsidR="004F52D9">
        <w:rPr>
          <w:rFonts w:ascii="Arial" w:eastAsia="Times New Roman" w:hAnsi="Arial" w:cs="Times New Roman"/>
          <w:b/>
          <w:sz w:val="16"/>
          <w:szCs w:val="20"/>
        </w:rPr>
        <w:t>d</w:t>
      </w:r>
      <w:r w:rsidR="00D55549" w:rsidRPr="00525000">
        <w:rPr>
          <w:rFonts w:ascii="Arial" w:eastAsia="Times New Roman" w:hAnsi="Arial" w:cs="Times New Roman"/>
          <w:b/>
          <w:sz w:val="16"/>
          <w:szCs w:val="20"/>
        </w:rPr>
        <w:t xml:space="preserve">) Vibration during Fluid Pound </w:t>
      </w:r>
      <w:r w:rsidR="00980AE3" w:rsidRPr="00525000">
        <w:rPr>
          <w:rFonts w:ascii="Arial" w:eastAsia="Times New Roman" w:hAnsi="Arial" w:cs="Times New Roman"/>
          <w:b/>
          <w:sz w:val="16"/>
          <w:szCs w:val="20"/>
        </w:rPr>
        <w:t>(</w:t>
      </w:r>
      <w:r w:rsidR="00980AE3">
        <w:rPr>
          <w:rFonts w:ascii="Arial" w:eastAsia="Times New Roman" w:hAnsi="Arial" w:cs="Times New Roman"/>
          <w:b/>
          <w:sz w:val="16"/>
          <w:szCs w:val="20"/>
        </w:rPr>
        <w:t>e</w:t>
      </w:r>
      <w:r w:rsidR="00980AE3" w:rsidRPr="00525000">
        <w:rPr>
          <w:rFonts w:ascii="Arial" w:eastAsia="Times New Roman" w:hAnsi="Arial" w:cs="Times New Roman"/>
          <w:b/>
          <w:sz w:val="16"/>
          <w:szCs w:val="20"/>
        </w:rPr>
        <w:t xml:space="preserve">) Gas Expansion </w:t>
      </w:r>
      <w:r w:rsidR="006B3F96">
        <w:rPr>
          <w:rFonts w:ascii="Arial" w:eastAsia="Times New Roman" w:hAnsi="Arial" w:cs="Times New Roman"/>
          <w:b/>
          <w:sz w:val="16"/>
          <w:szCs w:val="20"/>
        </w:rPr>
        <w:t>on</w:t>
      </w:r>
      <w:r w:rsidR="00980AE3" w:rsidRPr="00525000">
        <w:rPr>
          <w:rFonts w:ascii="Arial" w:eastAsia="Times New Roman" w:hAnsi="Arial" w:cs="Times New Roman"/>
          <w:b/>
          <w:sz w:val="16"/>
          <w:szCs w:val="20"/>
        </w:rPr>
        <w:t xml:space="preserve"> </w:t>
      </w:r>
      <w:r w:rsidR="00AE4E34">
        <w:rPr>
          <w:rFonts w:ascii="Arial" w:eastAsia="Times New Roman" w:hAnsi="Arial" w:cs="Times New Roman"/>
          <w:b/>
          <w:sz w:val="16"/>
          <w:szCs w:val="20"/>
        </w:rPr>
        <w:t>U</w:t>
      </w:r>
      <w:r w:rsidR="00980AE3" w:rsidRPr="00525000">
        <w:rPr>
          <w:rFonts w:ascii="Arial" w:eastAsia="Times New Roman" w:hAnsi="Arial" w:cs="Times New Roman"/>
          <w:b/>
          <w:sz w:val="16"/>
          <w:szCs w:val="20"/>
        </w:rPr>
        <w:t xml:space="preserve">pstroke </w:t>
      </w:r>
      <w:r w:rsidR="00D55549" w:rsidRPr="00525000">
        <w:rPr>
          <w:rFonts w:ascii="Arial" w:eastAsia="Times New Roman" w:hAnsi="Arial" w:cs="Times New Roman"/>
          <w:b/>
          <w:sz w:val="16"/>
          <w:szCs w:val="20"/>
        </w:rPr>
        <w:t>(</w:t>
      </w:r>
      <w:r w:rsidR="00C74D20">
        <w:rPr>
          <w:rFonts w:ascii="Arial" w:eastAsia="Times New Roman" w:hAnsi="Arial" w:cs="Times New Roman"/>
          <w:b/>
          <w:sz w:val="16"/>
          <w:szCs w:val="20"/>
        </w:rPr>
        <w:t>f</w:t>
      </w:r>
      <w:r w:rsidR="00D55549" w:rsidRPr="00525000">
        <w:rPr>
          <w:rFonts w:ascii="Arial" w:eastAsia="Times New Roman" w:hAnsi="Arial" w:cs="Times New Roman"/>
          <w:b/>
          <w:sz w:val="16"/>
          <w:szCs w:val="20"/>
        </w:rPr>
        <w:t xml:space="preserve">) Gas Lock </w:t>
      </w:r>
      <w:r w:rsidR="00F92BEE" w:rsidRPr="0069167D">
        <w:rPr>
          <w:rFonts w:ascii="Arial" w:eastAsia="Times New Roman" w:hAnsi="Arial" w:cs="Times New Roman"/>
          <w:b/>
          <w:sz w:val="16"/>
          <w:szCs w:val="20"/>
        </w:rPr>
        <w:t>(</w:t>
      </w:r>
      <w:r w:rsidR="00D55549" w:rsidRPr="0069167D">
        <w:rPr>
          <w:rFonts w:ascii="Arial" w:eastAsia="Times New Roman" w:hAnsi="Arial" w:cs="Times New Roman"/>
          <w:b/>
          <w:sz w:val="16"/>
          <w:szCs w:val="20"/>
        </w:rPr>
        <w:t>Nind</w:t>
      </w:r>
      <w:r w:rsidR="00F92BEE" w:rsidRPr="0069167D">
        <w:rPr>
          <w:rFonts w:ascii="Arial" w:eastAsia="Times New Roman" w:hAnsi="Arial" w:cs="Times New Roman"/>
          <w:b/>
          <w:sz w:val="16"/>
          <w:szCs w:val="20"/>
        </w:rPr>
        <w:t xml:space="preserve"> </w:t>
      </w:r>
      <w:r w:rsidR="00AA6D7C">
        <w:rPr>
          <w:rFonts w:ascii="Arial" w:eastAsia="Times New Roman" w:hAnsi="Arial" w:cs="Times New Roman"/>
          <w:b/>
          <w:sz w:val="16"/>
          <w:szCs w:val="20"/>
        </w:rPr>
        <w:t>1</w:t>
      </w:r>
      <w:r w:rsidR="00D55549" w:rsidRPr="0069167D">
        <w:rPr>
          <w:rFonts w:ascii="Arial" w:eastAsia="Times New Roman" w:hAnsi="Arial" w:cs="Times New Roman"/>
          <w:b/>
          <w:sz w:val="16"/>
          <w:szCs w:val="20"/>
        </w:rPr>
        <w:t>964).</w:t>
      </w:r>
      <w:bookmarkEnd w:id="74"/>
    </w:p>
    <w:p w14:paraId="64379598" w14:textId="0A121EAC" w:rsidR="006665BC" w:rsidRDefault="006665BC" w:rsidP="00720BA0">
      <w:pPr>
        <w:tabs>
          <w:tab w:val="left" w:pos="1763"/>
        </w:tabs>
        <w:spacing w:after="0"/>
        <w:ind w:firstLine="288"/>
        <w:rPr>
          <w:rFonts w:cs="Times New Roman"/>
          <w:szCs w:val="24"/>
        </w:rPr>
      </w:pPr>
      <w:r w:rsidRPr="0042041C">
        <w:rPr>
          <w:rFonts w:cs="Times New Roman"/>
          <w:szCs w:val="24"/>
        </w:rPr>
        <w:t xml:space="preserve">A normal pump cycle is indicated by a pump dynamometer card in </w:t>
      </w:r>
      <w:r w:rsidRPr="005D3E70">
        <w:rPr>
          <w:rFonts w:cs="Times New Roman"/>
          <w:b/>
          <w:bCs/>
          <w:color w:val="000000"/>
          <w:szCs w:val="24"/>
        </w:rPr>
        <w:t xml:space="preserve">Fig. </w:t>
      </w:r>
      <w:r w:rsidR="00C74D20">
        <w:rPr>
          <w:b/>
          <w:bCs/>
        </w:rPr>
        <w:t>3.4</w:t>
      </w:r>
      <w:r w:rsidR="005E5807">
        <w:rPr>
          <w:b/>
          <w:bCs/>
        </w:rPr>
        <w:t>a</w:t>
      </w:r>
      <w:r w:rsidRPr="000B2293">
        <w:rPr>
          <w:rFonts w:cs="Times New Roman"/>
          <w:szCs w:val="24"/>
        </w:rPr>
        <w:t>.</w:t>
      </w:r>
      <w:r w:rsidRPr="0042041C">
        <w:rPr>
          <w:rFonts w:cs="Times New Roman"/>
          <w:szCs w:val="24"/>
        </w:rPr>
        <w:t xml:space="preserve"> </w:t>
      </w:r>
      <w:r>
        <w:rPr>
          <w:rFonts w:cs="Times New Roman"/>
          <w:szCs w:val="24"/>
        </w:rPr>
        <w:t xml:space="preserve">The rest of the figures in </w:t>
      </w:r>
      <w:r w:rsidRPr="004A0DA0">
        <w:rPr>
          <w:rFonts w:cs="Times New Roman"/>
          <w:color w:val="000000"/>
          <w:szCs w:val="24"/>
        </w:rPr>
        <w:t>Fig.</w:t>
      </w:r>
      <w:r w:rsidR="005E5807">
        <w:rPr>
          <w:rFonts w:cs="Times New Roman"/>
          <w:color w:val="000000"/>
          <w:szCs w:val="24"/>
        </w:rPr>
        <w:t xml:space="preserve"> 3.4</w:t>
      </w:r>
      <w:r>
        <w:rPr>
          <w:rFonts w:cs="Times New Roman"/>
          <w:szCs w:val="24"/>
        </w:rPr>
        <w:t xml:space="preserve"> highlight a </w:t>
      </w:r>
      <w:r w:rsidR="005E5807">
        <w:rPr>
          <w:rFonts w:cs="Times New Roman"/>
          <w:szCs w:val="24"/>
        </w:rPr>
        <w:t>few of</w:t>
      </w:r>
      <w:r>
        <w:rPr>
          <w:rFonts w:cs="Times New Roman"/>
          <w:szCs w:val="24"/>
        </w:rPr>
        <w:t xml:space="preserve"> the non-ideal downhole pump conditions. For example, </w:t>
      </w:r>
      <w:r w:rsidRPr="004A0DA0">
        <w:rPr>
          <w:rFonts w:cs="Times New Roman"/>
          <w:color w:val="000000"/>
          <w:szCs w:val="24"/>
        </w:rPr>
        <w:t>Fig.</w:t>
      </w:r>
      <w:r w:rsidRPr="005D3E70">
        <w:rPr>
          <w:rFonts w:cs="Times New Roman"/>
          <w:b/>
          <w:bCs/>
          <w:color w:val="000000"/>
          <w:szCs w:val="24"/>
        </w:rPr>
        <w:t xml:space="preserve"> </w:t>
      </w:r>
      <w:r w:rsidR="005E5807">
        <w:t>3.4</w:t>
      </w:r>
      <w:r w:rsidR="00E43511">
        <w:t>c</w:t>
      </w:r>
      <w:r>
        <w:rPr>
          <w:rFonts w:cs="Times New Roman"/>
          <w:szCs w:val="24"/>
        </w:rPr>
        <w:t xml:space="preserve"> shows a case of gas compression during the downstroke of the plunger. This typically occurs when there is free gas present in the pump during the upstroke. During the downstroke, this free gas undergoes compression and the traveling valve is closed temporarily. This is indicated by slight drop in the rod displacement. Here the pump performance stays erratic until the gas is completely displaced out to the surface. </w:t>
      </w:r>
    </w:p>
    <w:p w14:paraId="72A6C059" w14:textId="58CECE8C" w:rsidR="005664E0" w:rsidRDefault="006665BC" w:rsidP="003F5F01">
      <w:pPr>
        <w:tabs>
          <w:tab w:val="left" w:pos="1763"/>
        </w:tabs>
        <w:spacing w:after="0"/>
        <w:ind w:firstLine="288"/>
        <w:rPr>
          <w:rFonts w:cs="Times New Roman"/>
          <w:szCs w:val="24"/>
        </w:rPr>
      </w:pPr>
      <w:r>
        <w:rPr>
          <w:rFonts w:cs="Times New Roman"/>
          <w:szCs w:val="24"/>
        </w:rPr>
        <w:t xml:space="preserve">A much more severe case of gas interference is shown in </w:t>
      </w:r>
      <w:r w:rsidRPr="004A0DA0">
        <w:rPr>
          <w:rFonts w:cs="Times New Roman"/>
          <w:color w:val="000000"/>
          <w:szCs w:val="24"/>
        </w:rPr>
        <w:t xml:space="preserve">Fig. </w:t>
      </w:r>
      <w:r w:rsidR="000D5D50">
        <w:t>3.4f</w:t>
      </w:r>
      <w:r>
        <w:rPr>
          <w:rFonts w:cs="Times New Roman"/>
          <w:szCs w:val="24"/>
        </w:rPr>
        <w:t xml:space="preserve"> which is called a gas lock. Here the pump efficiency drops significantly as most of the energy is spent in compressing and expanding the gas phase and hardly any liquid is pumped up to the surface. Another non-ideal case is indicated in </w:t>
      </w:r>
      <w:r w:rsidRPr="004A0DA0">
        <w:rPr>
          <w:rFonts w:cs="Times New Roman"/>
          <w:color w:val="000000"/>
          <w:szCs w:val="24"/>
        </w:rPr>
        <w:t xml:space="preserve">Fig. </w:t>
      </w:r>
      <w:r w:rsidR="000D5D50">
        <w:t>3.4</w:t>
      </w:r>
      <w:r w:rsidR="00E43511">
        <w:rPr>
          <w:rFonts w:cs="Times New Roman"/>
          <w:szCs w:val="24"/>
        </w:rPr>
        <w:t>b</w:t>
      </w:r>
      <w:r>
        <w:rPr>
          <w:rFonts w:cs="Times New Roman"/>
          <w:szCs w:val="24"/>
        </w:rPr>
        <w:t xml:space="preserve"> where there is a pumped-off condition when the pump displacement is greater than the bottomhole fluid intake. This may result in the rod string hitting the bottom of the </w:t>
      </w:r>
      <w:r>
        <w:rPr>
          <w:rFonts w:cs="Times New Roman"/>
          <w:szCs w:val="24"/>
        </w:rPr>
        <w:lastRenderedPageBreak/>
        <w:t xml:space="preserve">pump barrel and damaging the traveling valve, rod string and the tubing due to the collision impact </w:t>
      </w:r>
      <w:r w:rsidR="003E769E">
        <w:rPr>
          <w:rFonts w:cs="Times New Roman"/>
        </w:rPr>
        <w:t>(</w:t>
      </w:r>
      <w:r w:rsidRPr="00836370">
        <w:rPr>
          <w:color w:val="002060"/>
        </w:rPr>
        <w:t>Takacs</w:t>
      </w:r>
      <w:r>
        <w:rPr>
          <w:rFonts w:cs="Times New Roman"/>
        </w:rPr>
        <w:t xml:space="preserve"> </w:t>
      </w:r>
      <w:r w:rsidRPr="00836370">
        <w:rPr>
          <w:color w:val="002060"/>
        </w:rPr>
        <w:t>2015</w:t>
      </w:r>
      <w:r>
        <w:rPr>
          <w:color w:val="002060"/>
        </w:rPr>
        <w:t>)</w:t>
      </w:r>
      <w:r>
        <w:rPr>
          <w:rFonts w:cs="Times New Roman"/>
          <w:szCs w:val="24"/>
        </w:rPr>
        <w:t xml:space="preserve">. </w:t>
      </w:r>
    </w:p>
    <w:p w14:paraId="27C1A623" w14:textId="2C0A7AAC" w:rsidR="006665BC" w:rsidRDefault="006665BC" w:rsidP="003F5F01">
      <w:pPr>
        <w:tabs>
          <w:tab w:val="left" w:pos="1763"/>
        </w:tabs>
        <w:spacing w:after="0"/>
        <w:ind w:firstLine="288"/>
        <w:rPr>
          <w:rFonts w:cs="Times New Roman"/>
          <w:szCs w:val="24"/>
        </w:rPr>
      </w:pPr>
      <w:r>
        <w:rPr>
          <w:rFonts w:cs="Times New Roman"/>
          <w:szCs w:val="24"/>
        </w:rPr>
        <w:t>There are several other undesirable downhole pump operating conditions. These cases require immediate attention, diagnosis and remedial actions to prevent equipment damage or loss in production. These malfunctions can be viewed as anomalies in the SRP system. It is imperative that the production engineer immediately identify these anomalies in day-to-day operations. With hundreds or even thousands of wells, tracking or monitoring dyno cards in real-time becomes tedious and even impossible. Additionally, human-based anomaly detection owes a lot to the experience of the operator and therefore can be subjective. This underscores</w:t>
      </w:r>
      <w:r w:rsidR="003F5F01">
        <w:rPr>
          <w:rFonts w:cs="Times New Roman"/>
          <w:szCs w:val="24"/>
        </w:rPr>
        <w:t xml:space="preserve"> </w:t>
      </w:r>
      <w:r>
        <w:rPr>
          <w:rFonts w:cs="Times New Roman"/>
          <w:szCs w:val="24"/>
        </w:rPr>
        <w:t>the need for efficient and automated anomaly detection algorithms</w:t>
      </w:r>
      <w:r w:rsidR="00E66C5E">
        <w:rPr>
          <w:rFonts w:cs="Times New Roman"/>
          <w:szCs w:val="24"/>
        </w:rPr>
        <w:t xml:space="preserve">. </w:t>
      </w:r>
      <w:r w:rsidR="007E7F95">
        <w:rPr>
          <w:rFonts w:cs="Times New Roman"/>
          <w:szCs w:val="24"/>
        </w:rPr>
        <w:t>Here</w:t>
      </w:r>
      <w:r>
        <w:rPr>
          <w:rFonts w:cs="Times New Roman"/>
          <w:szCs w:val="24"/>
        </w:rPr>
        <w:t>, I discuss some of the work done by researchers in terms of anomaly detection specifically applied to SRP systems.</w:t>
      </w:r>
    </w:p>
    <w:p w14:paraId="4B0F4A61" w14:textId="1587191F" w:rsidR="006665BC" w:rsidRDefault="006665BC" w:rsidP="00720BA0">
      <w:pPr>
        <w:tabs>
          <w:tab w:val="left" w:pos="1763"/>
        </w:tabs>
        <w:spacing w:after="0"/>
        <w:ind w:firstLine="288"/>
        <w:rPr>
          <w:rFonts w:ascii="TimesNewRomanPSMT" w:hAnsi="TimesNewRomanPSMT" w:cs="TimesNewRomanPSMT"/>
          <w:color w:val="231F20"/>
          <w:szCs w:val="24"/>
        </w:rPr>
      </w:pPr>
      <w:r w:rsidRPr="00836370">
        <w:rPr>
          <w:color w:val="002060"/>
        </w:rPr>
        <w:t xml:space="preserve">Bangert </w:t>
      </w:r>
      <w:r>
        <w:rPr>
          <w:color w:val="002060"/>
        </w:rPr>
        <w:t>(</w:t>
      </w:r>
      <w:r w:rsidRPr="00836370">
        <w:rPr>
          <w:color w:val="002060"/>
        </w:rPr>
        <w:t>2019</w:t>
      </w:r>
      <w:r>
        <w:rPr>
          <w:color w:val="002060"/>
        </w:rPr>
        <w:t>)</w:t>
      </w:r>
      <w:r>
        <w:rPr>
          <w:rFonts w:cs="Times New Roman"/>
          <w:szCs w:val="24"/>
        </w:rPr>
        <w:t xml:space="preserve"> discusses and groups the methods for sucker rod pump failure identification into three categories – library-based, model-based and segment-based methods. Library</w:t>
      </w:r>
      <w:r w:rsidR="00821934">
        <w:rPr>
          <w:rFonts w:cs="Times New Roman"/>
          <w:szCs w:val="24"/>
        </w:rPr>
        <w:t>-</w:t>
      </w:r>
      <w:r>
        <w:rPr>
          <w:rFonts w:cs="Times New Roman"/>
          <w:szCs w:val="24"/>
        </w:rPr>
        <w:t xml:space="preserve">based methods use a set of pump cards labelled by experts. Then a distance measure is computed between the card to be classified and the labelled pump cards. The choice of distance metric can vary. For example, </w:t>
      </w:r>
      <w:r w:rsidRPr="00836370">
        <w:rPr>
          <w:color w:val="002060"/>
        </w:rPr>
        <w:t xml:space="preserve">Keating et al. </w:t>
      </w:r>
      <w:r>
        <w:rPr>
          <w:color w:val="002060"/>
        </w:rPr>
        <w:t>(</w:t>
      </w:r>
      <w:r w:rsidRPr="00836370">
        <w:rPr>
          <w:color w:val="002060"/>
        </w:rPr>
        <w:t>1991</w:t>
      </w:r>
      <w:r>
        <w:rPr>
          <w:color w:val="002060"/>
        </w:rPr>
        <w:t>)</w:t>
      </w:r>
      <w:r>
        <w:rPr>
          <w:rFonts w:cs="Times New Roman"/>
          <w:szCs w:val="24"/>
        </w:rPr>
        <w:t xml:space="preserve"> compare two cards taking </w:t>
      </w:r>
      <w:r>
        <w:rPr>
          <w:rFonts w:ascii="TimesNewRomanPSMT" w:hAnsi="TimesNewRomanPSMT" w:cs="TimesNewRomanPSMT"/>
          <w:color w:val="231F20"/>
          <w:szCs w:val="24"/>
        </w:rPr>
        <w:t xml:space="preserve">the sum of differences between the rod string load and displacement measurement. Another metric given by </w:t>
      </w:r>
      <w:r w:rsidRPr="00836370">
        <w:rPr>
          <w:color w:val="002060"/>
        </w:rPr>
        <w:t xml:space="preserve">Dickinson and Jennings </w:t>
      </w:r>
      <w:r>
        <w:rPr>
          <w:color w:val="002060"/>
        </w:rPr>
        <w:t>(</w:t>
      </w:r>
      <w:r w:rsidRPr="00836370">
        <w:rPr>
          <w:color w:val="002060"/>
        </w:rPr>
        <w:t>1990</w:t>
      </w:r>
      <w:r>
        <w:rPr>
          <w:color w:val="002060"/>
        </w:rPr>
        <w:t>)</w:t>
      </w:r>
      <w:r>
        <w:rPr>
          <w:rFonts w:ascii="TimesNewRomanPSMT" w:hAnsi="TimesNewRomanPSMT" w:cs="TimesNewRomanPSMT"/>
          <w:color w:val="231F20"/>
          <w:szCs w:val="24"/>
        </w:rPr>
        <w:t xml:space="preserve"> describe a pattern matching technique using differences in Fourier series representation between the pump cards. </w:t>
      </w:r>
    </w:p>
    <w:p w14:paraId="24A557E3" w14:textId="5DCCD41F" w:rsidR="006665BC" w:rsidRDefault="006665BC" w:rsidP="00720BA0">
      <w:pPr>
        <w:tabs>
          <w:tab w:val="left" w:pos="1763"/>
        </w:tabs>
        <w:spacing w:after="0"/>
        <w:ind w:firstLine="288"/>
        <w:rPr>
          <w:rFonts w:ascii="TimesNewRomanPSMT" w:hAnsi="TimesNewRomanPSMT" w:cs="TimesNewRomanPSMT"/>
          <w:color w:val="231F20"/>
          <w:szCs w:val="24"/>
        </w:rPr>
      </w:pPr>
      <w:r>
        <w:rPr>
          <w:rFonts w:ascii="TimesNewRomanPSMT" w:hAnsi="TimesNewRomanPSMT" w:cs="TimesNewRomanPSMT"/>
          <w:color w:val="231F20"/>
          <w:szCs w:val="24"/>
        </w:rPr>
        <w:t>Model</w:t>
      </w:r>
      <w:r w:rsidR="00821934">
        <w:rPr>
          <w:rFonts w:ascii="TimesNewRomanPSMT" w:hAnsi="TimesNewRomanPSMT" w:cs="TimesNewRomanPSMT"/>
          <w:color w:val="231F20"/>
          <w:szCs w:val="24"/>
        </w:rPr>
        <w:t>-</w:t>
      </w:r>
      <w:r>
        <w:rPr>
          <w:rFonts w:ascii="TimesNewRomanPSMT" w:hAnsi="TimesNewRomanPSMT" w:cs="TimesNewRomanPSMT"/>
          <w:color w:val="231F20"/>
          <w:szCs w:val="24"/>
        </w:rPr>
        <w:t>based methods are used when simple features of the card are extracted using geometry</w:t>
      </w:r>
      <w:r w:rsidR="00F93E72">
        <w:rPr>
          <w:rFonts w:ascii="TimesNewRomanPSMT" w:hAnsi="TimesNewRomanPSMT" w:cs="TimesNewRomanPSMT"/>
          <w:color w:val="231F20"/>
          <w:szCs w:val="24"/>
        </w:rPr>
        <w:t xml:space="preserve"> like </w:t>
      </w:r>
      <w:r w:rsidR="002D56E3">
        <w:rPr>
          <w:rFonts w:ascii="TimesNewRomanPSMT" w:hAnsi="TimesNewRomanPSMT" w:cs="TimesNewRomanPSMT"/>
          <w:color w:val="231F20"/>
          <w:szCs w:val="24"/>
        </w:rPr>
        <w:t>finding centroids</w:t>
      </w:r>
      <w:r w:rsidR="000658DC">
        <w:rPr>
          <w:rFonts w:ascii="TimesNewRomanPSMT" w:hAnsi="TimesNewRomanPSMT" w:cs="TimesNewRomanPSMT"/>
          <w:color w:val="231F20"/>
          <w:szCs w:val="24"/>
        </w:rPr>
        <w:t xml:space="preserve"> from the card </w:t>
      </w:r>
      <w:r w:rsidR="00FE6469">
        <w:rPr>
          <w:rFonts w:ascii="TimesNewRomanPSMT" w:hAnsi="TimesNewRomanPSMT" w:cs="TimesNewRomanPSMT"/>
          <w:color w:val="231F20"/>
          <w:szCs w:val="24"/>
        </w:rPr>
        <w:t xml:space="preserve">load and </w:t>
      </w:r>
      <w:r w:rsidR="00091E63">
        <w:rPr>
          <w:rFonts w:ascii="TimesNewRomanPSMT" w:hAnsi="TimesNewRomanPSMT" w:cs="TimesNewRomanPSMT"/>
          <w:color w:val="231F20"/>
          <w:szCs w:val="24"/>
        </w:rPr>
        <w:t xml:space="preserve">displacement </w:t>
      </w:r>
      <w:r w:rsidR="000658DC">
        <w:rPr>
          <w:rFonts w:ascii="TimesNewRomanPSMT" w:hAnsi="TimesNewRomanPSMT" w:cs="TimesNewRomanPSMT"/>
          <w:color w:val="231F20"/>
          <w:szCs w:val="24"/>
        </w:rPr>
        <w:t>coordinates</w:t>
      </w:r>
      <w:r w:rsidR="002D56E3">
        <w:rPr>
          <w:rFonts w:ascii="TimesNewRomanPSMT" w:hAnsi="TimesNewRomanPSMT" w:cs="TimesNewRomanPSMT"/>
          <w:color w:val="231F20"/>
          <w:szCs w:val="24"/>
        </w:rPr>
        <w:t>, area over segments</w:t>
      </w:r>
      <w:r w:rsidR="000658DC">
        <w:rPr>
          <w:rFonts w:ascii="TimesNewRomanPSMT" w:hAnsi="TimesNewRomanPSMT" w:cs="TimesNewRomanPSMT"/>
          <w:color w:val="231F20"/>
          <w:szCs w:val="24"/>
        </w:rPr>
        <w:t xml:space="preserve"> of </w:t>
      </w:r>
      <w:r w:rsidR="00091E63">
        <w:rPr>
          <w:rFonts w:ascii="TimesNewRomanPSMT" w:hAnsi="TimesNewRomanPSMT" w:cs="TimesNewRomanPSMT"/>
          <w:color w:val="231F20"/>
          <w:szCs w:val="24"/>
        </w:rPr>
        <w:t xml:space="preserve">the pump </w:t>
      </w:r>
      <w:r w:rsidR="000658DC">
        <w:rPr>
          <w:rFonts w:ascii="TimesNewRomanPSMT" w:hAnsi="TimesNewRomanPSMT" w:cs="TimesNewRomanPSMT"/>
          <w:color w:val="231F20"/>
          <w:szCs w:val="24"/>
        </w:rPr>
        <w:t>card</w:t>
      </w:r>
      <w:r>
        <w:rPr>
          <w:rFonts w:ascii="TimesNewRomanPSMT" w:hAnsi="TimesNewRomanPSMT" w:cs="TimesNewRomanPSMT"/>
          <w:color w:val="231F20"/>
          <w:szCs w:val="24"/>
        </w:rPr>
        <w:t xml:space="preserve"> </w:t>
      </w:r>
      <w:r w:rsidR="00391868">
        <w:rPr>
          <w:rFonts w:ascii="TimesNewRomanPSMT" w:hAnsi="TimesNewRomanPSMT" w:cs="TimesNewRomanPSMT"/>
          <w:color w:val="231F20"/>
          <w:szCs w:val="24"/>
        </w:rPr>
        <w:t xml:space="preserve">etc. </w:t>
      </w:r>
      <w:r>
        <w:rPr>
          <w:rFonts w:ascii="TimesNewRomanPSMT" w:hAnsi="TimesNewRomanPSMT" w:cs="TimesNewRomanPSMT"/>
          <w:color w:val="231F20"/>
          <w:szCs w:val="24"/>
        </w:rPr>
        <w:t xml:space="preserve">to diagnose failures. Examples of this method are given by </w:t>
      </w:r>
      <w:r w:rsidRPr="00836370">
        <w:rPr>
          <w:color w:val="002060"/>
        </w:rPr>
        <w:t xml:space="preserve">Bezerra et al. </w:t>
      </w:r>
      <w:r>
        <w:rPr>
          <w:color w:val="002060"/>
        </w:rPr>
        <w:t>(</w:t>
      </w:r>
      <w:r w:rsidRPr="00836370">
        <w:rPr>
          <w:color w:val="002060"/>
        </w:rPr>
        <w:t>2009</w:t>
      </w:r>
      <w:r>
        <w:rPr>
          <w:color w:val="002060"/>
        </w:rPr>
        <w:t>)</w:t>
      </w:r>
      <w:r>
        <w:rPr>
          <w:rFonts w:ascii="TimesNewRomanPSMT" w:hAnsi="TimesNewRomanPSMT" w:cs="TimesNewRomanPSMT"/>
          <w:color w:val="231F20"/>
          <w:szCs w:val="24"/>
        </w:rPr>
        <w:t xml:space="preserve"> and </w:t>
      </w:r>
      <w:r w:rsidRPr="00836370">
        <w:rPr>
          <w:color w:val="002060"/>
        </w:rPr>
        <w:t xml:space="preserve">Gao et al. </w:t>
      </w:r>
      <w:r>
        <w:rPr>
          <w:color w:val="002060"/>
        </w:rPr>
        <w:t>(</w:t>
      </w:r>
      <w:r w:rsidRPr="00836370">
        <w:rPr>
          <w:color w:val="002060"/>
        </w:rPr>
        <w:t>2015</w:t>
      </w:r>
      <w:r>
        <w:rPr>
          <w:color w:val="002060"/>
        </w:rPr>
        <w:t>)</w:t>
      </w:r>
      <w:r>
        <w:rPr>
          <w:rFonts w:ascii="TimesNewRomanPSMT" w:hAnsi="TimesNewRomanPSMT" w:cs="TimesNewRomanPSMT"/>
          <w:color w:val="231F20"/>
          <w:szCs w:val="24"/>
        </w:rPr>
        <w:t xml:space="preserve">. </w:t>
      </w:r>
    </w:p>
    <w:p w14:paraId="76296179" w14:textId="748F8617" w:rsidR="006665BC" w:rsidRDefault="006665BC" w:rsidP="00720BA0">
      <w:pPr>
        <w:tabs>
          <w:tab w:val="left" w:pos="1763"/>
        </w:tabs>
        <w:spacing w:after="0"/>
        <w:ind w:firstLine="288"/>
        <w:rPr>
          <w:rFonts w:cs="Times New Roman"/>
          <w:szCs w:val="24"/>
        </w:rPr>
      </w:pPr>
      <w:r>
        <w:rPr>
          <w:rFonts w:ascii="TimesNewRomanPSMT" w:hAnsi="TimesNewRomanPSMT" w:cs="TimesNewRomanPSMT"/>
          <w:color w:val="231F20"/>
          <w:szCs w:val="24"/>
        </w:rPr>
        <w:lastRenderedPageBreak/>
        <w:t>Segment</w:t>
      </w:r>
      <w:r w:rsidR="00821934">
        <w:rPr>
          <w:rFonts w:ascii="TimesNewRomanPSMT" w:hAnsi="TimesNewRomanPSMT" w:cs="TimesNewRomanPSMT"/>
          <w:color w:val="231F20"/>
          <w:szCs w:val="24"/>
        </w:rPr>
        <w:t>-</w:t>
      </w:r>
      <w:r>
        <w:rPr>
          <w:rFonts w:ascii="TimesNewRomanPSMT" w:hAnsi="TimesNewRomanPSMT" w:cs="TimesNewRomanPSMT"/>
          <w:color w:val="231F20"/>
          <w:szCs w:val="24"/>
        </w:rPr>
        <w:t>based methods rely on the ability to detect changes within segments of the pump card.</w:t>
      </w:r>
      <w:r w:rsidRPr="00F0045B">
        <w:rPr>
          <w:rFonts w:cs="Times New Roman"/>
          <w:szCs w:val="24"/>
        </w:rPr>
        <w:t xml:space="preserve"> </w:t>
      </w:r>
      <w:r>
        <w:rPr>
          <w:rFonts w:cs="Times New Roman"/>
          <w:szCs w:val="24"/>
        </w:rPr>
        <w:t xml:space="preserve">A good example of segmenting method is given </w:t>
      </w:r>
      <w:r w:rsidR="001D24FE">
        <w:rPr>
          <w:rFonts w:cs="Times New Roman"/>
          <w:szCs w:val="24"/>
        </w:rPr>
        <w:t xml:space="preserve">by </w:t>
      </w:r>
      <w:r w:rsidRPr="00836370">
        <w:rPr>
          <w:color w:val="002060"/>
        </w:rPr>
        <w:t>Rege</w:t>
      </w:r>
      <w:r w:rsidR="00386313">
        <w:rPr>
          <w:color w:val="002060"/>
        </w:rPr>
        <w:t>s</w:t>
      </w:r>
      <w:r w:rsidRPr="00836370">
        <w:rPr>
          <w:color w:val="002060"/>
        </w:rPr>
        <w:t xml:space="preserve"> et al. </w:t>
      </w:r>
      <w:r>
        <w:rPr>
          <w:color w:val="002060"/>
        </w:rPr>
        <w:t>(</w:t>
      </w:r>
      <w:r w:rsidRPr="00836370">
        <w:rPr>
          <w:color w:val="002060"/>
        </w:rPr>
        <w:t>2015</w:t>
      </w:r>
      <w:r>
        <w:rPr>
          <w:color w:val="002060"/>
        </w:rPr>
        <w:t>)</w:t>
      </w:r>
      <w:r>
        <w:rPr>
          <w:rFonts w:cs="Times New Roman"/>
          <w:szCs w:val="24"/>
        </w:rPr>
        <w:t xml:space="preserve"> who use downhole dynamometer cards (DDC) from real field data and artificially generated DDCs from the literature to form a total of 16 pumping downhole conditions as classification labels. They identify anomalies in the pumping conditions using segmentation features related to the points between the opening and closing of traveling and standing valves on the DDC. Extracted features statistics from each segment of the DDC are given as input to a fuzzy logic model for the classification of failure modes on the new, incoming DDCs. </w:t>
      </w:r>
    </w:p>
    <w:p w14:paraId="2C8D6023" w14:textId="469B6F64" w:rsidR="006665BC" w:rsidRDefault="006665BC" w:rsidP="00720BA0">
      <w:pPr>
        <w:tabs>
          <w:tab w:val="left" w:pos="1763"/>
        </w:tabs>
        <w:spacing w:after="0"/>
        <w:ind w:firstLine="288"/>
        <w:rPr>
          <w:rFonts w:cs="Times New Roman"/>
          <w:szCs w:val="24"/>
        </w:rPr>
      </w:pPr>
      <w:r>
        <w:rPr>
          <w:rFonts w:cs="Times New Roman"/>
          <w:szCs w:val="24"/>
        </w:rPr>
        <w:t xml:space="preserve">Several of the more recent approaches in literature have adopted either a machine learning approach which have the capability of handling large real-time datasets combined with accurate classification of pump failures modes. </w:t>
      </w:r>
      <w:r w:rsidRPr="00FF7BB4">
        <w:rPr>
          <w:color w:val="002060"/>
        </w:rPr>
        <w:t>Liu et al. (2011)</w:t>
      </w:r>
      <w:r>
        <w:rPr>
          <w:rFonts w:cs="Times New Roman"/>
          <w:szCs w:val="24"/>
        </w:rPr>
        <w:t xml:space="preserve"> describe a supervised machine learning model using 14 different measured parameters from Sucker Rod Pump surface data available from 12 wells. Their model is based on two classification algorithms known as AdaBNet (</w:t>
      </w:r>
      <w:r w:rsidRPr="001E395C">
        <w:rPr>
          <w:rFonts w:cs="Times New Roman"/>
          <w:szCs w:val="24"/>
        </w:rPr>
        <w:t>AdaBoost and Bayesian Network)</w:t>
      </w:r>
      <w:r>
        <w:rPr>
          <w:rFonts w:cs="Times New Roman"/>
          <w:szCs w:val="24"/>
        </w:rPr>
        <w:t xml:space="preserve"> and AdaDT (</w:t>
      </w:r>
      <w:r w:rsidRPr="001E395C">
        <w:rPr>
          <w:rFonts w:cs="Times New Roman"/>
          <w:szCs w:val="24"/>
        </w:rPr>
        <w:t xml:space="preserve">AdaBoost and Decision Trees) </w:t>
      </w:r>
      <w:r>
        <w:rPr>
          <w:rFonts w:cs="Times New Roman"/>
          <w:szCs w:val="24"/>
        </w:rPr>
        <w:t xml:space="preserve">which learn from the training data. This model is then tested on 456 new wells and is shown to provide more than 90% accuracy in terms of detecting failures. </w:t>
      </w:r>
    </w:p>
    <w:p w14:paraId="46ADD7E3" w14:textId="65F07DE7" w:rsidR="006665BC" w:rsidRDefault="006665BC" w:rsidP="00720BA0">
      <w:pPr>
        <w:tabs>
          <w:tab w:val="left" w:pos="1763"/>
        </w:tabs>
        <w:spacing w:after="0"/>
        <w:ind w:firstLine="288"/>
        <w:rPr>
          <w:rFonts w:cs="Times New Roman"/>
          <w:szCs w:val="24"/>
        </w:rPr>
      </w:pPr>
      <w:r>
        <w:rPr>
          <w:rFonts w:cs="Times New Roman"/>
          <w:szCs w:val="24"/>
        </w:rPr>
        <w:t xml:space="preserve">In another work by </w:t>
      </w:r>
      <w:r w:rsidRPr="00836370">
        <w:rPr>
          <w:color w:val="002060"/>
        </w:rPr>
        <w:t xml:space="preserve">Liu et al. </w:t>
      </w:r>
      <w:r>
        <w:rPr>
          <w:color w:val="002060"/>
        </w:rPr>
        <w:t>(</w:t>
      </w:r>
      <w:r w:rsidRPr="00836370">
        <w:rPr>
          <w:color w:val="002060"/>
        </w:rPr>
        <w:t>2013</w:t>
      </w:r>
      <w:r>
        <w:rPr>
          <w:color w:val="002060"/>
        </w:rPr>
        <w:t>)</w:t>
      </w:r>
      <w:r>
        <w:rPr>
          <w:rFonts w:cs="Times New Roman"/>
          <w:szCs w:val="24"/>
        </w:rPr>
        <w:t>, well data from 2000 rod pump pump-off controllers in 5 different oil fields</w:t>
      </w:r>
      <w:r w:rsidR="003B386E">
        <w:rPr>
          <w:rFonts w:cs="Times New Roman"/>
          <w:szCs w:val="24"/>
        </w:rPr>
        <w:t xml:space="preserve"> is used</w:t>
      </w:r>
      <w:r>
        <w:rPr>
          <w:rFonts w:cs="Times New Roman"/>
          <w:szCs w:val="24"/>
        </w:rPr>
        <w:t xml:space="preserve">. The data includes surface card area, maximum surface load, minimum surface load and daily runtime ratio. Using historical data, the normal and failure modes of the pump are labelled using an automated clustering and rule-based filtering process. This labelled data is then fed to a Support Vector Machines classifier for training and then to predict failures for new well data from other oil fields. </w:t>
      </w:r>
    </w:p>
    <w:p w14:paraId="163FE9A6" w14:textId="33859E3E" w:rsidR="006665BC" w:rsidRDefault="006665BC" w:rsidP="00720BA0">
      <w:pPr>
        <w:tabs>
          <w:tab w:val="left" w:pos="1763"/>
        </w:tabs>
        <w:spacing w:after="0"/>
        <w:ind w:firstLine="288"/>
        <w:rPr>
          <w:rFonts w:cs="Times New Roman"/>
          <w:szCs w:val="24"/>
        </w:rPr>
      </w:pPr>
      <w:r w:rsidRPr="00836370">
        <w:rPr>
          <w:color w:val="002060"/>
        </w:rPr>
        <w:lastRenderedPageBreak/>
        <w:t>Bogusl</w:t>
      </w:r>
      <w:r w:rsidR="00FE3D4D">
        <w:rPr>
          <w:color w:val="002060"/>
        </w:rPr>
        <w:t>a</w:t>
      </w:r>
      <w:r w:rsidRPr="00836370">
        <w:rPr>
          <w:color w:val="002060"/>
        </w:rPr>
        <w:t xml:space="preserve">wski et al. </w:t>
      </w:r>
      <w:r>
        <w:rPr>
          <w:color w:val="002060"/>
        </w:rPr>
        <w:t>(</w:t>
      </w:r>
      <w:r w:rsidRPr="00836370">
        <w:rPr>
          <w:color w:val="002060"/>
        </w:rPr>
        <w:t>2018</w:t>
      </w:r>
      <w:r>
        <w:rPr>
          <w:color w:val="002060"/>
        </w:rPr>
        <w:t>)</w:t>
      </w:r>
      <w:r>
        <w:rPr>
          <w:rFonts w:cs="Times New Roman"/>
          <w:szCs w:val="24"/>
        </w:rPr>
        <w:t xml:space="preserve"> build an ensemble model comprising of 4 sub-models including supervised Convolutional Neural Network (CNN), supervised Siamese Neural Network (SNN), a self-supervised Autoencoder Neural Network and a histogram of oriented gradients (HOG). Images from the downhole pump cards serve as inputs for each sub-model. The authors mention a data augmentation technique to generate more labeled input card data from few manually labelled ones. The ensemble model employs a stacking technique that takes the weighted outputs from each sub-model as its input to combine the probability distributions from all the model output predictions to correctly identify failure mode. </w:t>
      </w:r>
      <w:r w:rsidRPr="005D3E70">
        <w:rPr>
          <w:rFonts w:cs="Times New Roman"/>
          <w:b/>
          <w:bCs/>
          <w:color w:val="000000"/>
          <w:szCs w:val="24"/>
        </w:rPr>
        <w:t xml:space="preserve">Fig. </w:t>
      </w:r>
      <w:r w:rsidR="007C7309">
        <w:rPr>
          <w:b/>
          <w:bCs/>
        </w:rPr>
        <w:t>3.5</w:t>
      </w:r>
      <w:r>
        <w:rPr>
          <w:rFonts w:cs="Times New Roman"/>
          <w:szCs w:val="24"/>
        </w:rPr>
        <w:t xml:space="preserve"> shows the process behind their ensemble model.</w:t>
      </w:r>
    </w:p>
    <w:p w14:paraId="3174D9C4" w14:textId="77777777" w:rsidR="002B6030" w:rsidRDefault="006665BC" w:rsidP="002B6030">
      <w:pPr>
        <w:keepNext/>
        <w:tabs>
          <w:tab w:val="left" w:pos="1763"/>
        </w:tabs>
        <w:spacing w:after="0"/>
        <w:jc w:val="center"/>
      </w:pPr>
      <w:r>
        <w:rPr>
          <w:noProof/>
        </w:rPr>
        <w:drawing>
          <wp:inline distT="0" distB="0" distL="0" distR="0" wp14:anchorId="22D07238" wp14:editId="31BA9D3F">
            <wp:extent cx="6025662" cy="1872719"/>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6069694" cy="1886404"/>
                    </a:xfrm>
                    <a:prstGeom prst="rect">
                      <a:avLst/>
                    </a:prstGeom>
                  </pic:spPr>
                </pic:pic>
              </a:graphicData>
            </a:graphic>
          </wp:inline>
        </w:drawing>
      </w:r>
    </w:p>
    <w:p w14:paraId="4D37B7F7" w14:textId="0A9E2399" w:rsidR="007C7309" w:rsidRDefault="002B6030" w:rsidP="007C7309">
      <w:pPr>
        <w:tabs>
          <w:tab w:val="num" w:pos="720"/>
          <w:tab w:val="left" w:pos="1763"/>
        </w:tabs>
        <w:jc w:val="center"/>
        <w:rPr>
          <w:color w:val="002060"/>
        </w:rPr>
      </w:pPr>
      <w:bookmarkStart w:id="75" w:name="_Toc58667167"/>
      <w:r w:rsidRPr="007C7309">
        <w:rPr>
          <w:rFonts w:ascii="Arial" w:eastAsia="Times New Roman" w:hAnsi="Arial" w:cs="Times New Roman"/>
          <w:b/>
          <w:sz w:val="16"/>
          <w:szCs w:val="20"/>
        </w:rPr>
        <w:t xml:space="preserve">Fig. 3. </w:t>
      </w:r>
      <w:r w:rsidRPr="007C7309">
        <w:rPr>
          <w:rFonts w:ascii="Arial" w:eastAsia="Times New Roman" w:hAnsi="Arial" w:cs="Times New Roman"/>
          <w:b/>
          <w:sz w:val="16"/>
          <w:szCs w:val="20"/>
        </w:rPr>
        <w:fldChar w:fldCharType="begin"/>
      </w:r>
      <w:r w:rsidRPr="007C7309">
        <w:rPr>
          <w:rFonts w:ascii="Arial" w:eastAsia="Times New Roman" w:hAnsi="Arial" w:cs="Times New Roman"/>
          <w:b/>
          <w:sz w:val="16"/>
          <w:szCs w:val="20"/>
        </w:rPr>
        <w:instrText xml:space="preserve"> SEQ Fig._3. \* ARABIC </w:instrText>
      </w:r>
      <w:r w:rsidRPr="007C7309">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5</w:t>
      </w:r>
      <w:r w:rsidRPr="007C7309">
        <w:rPr>
          <w:rFonts w:ascii="Arial" w:eastAsia="Times New Roman" w:hAnsi="Arial" w:cs="Times New Roman"/>
          <w:b/>
          <w:sz w:val="16"/>
          <w:szCs w:val="20"/>
        </w:rPr>
        <w:fldChar w:fldCharType="end"/>
      </w:r>
      <w:r w:rsidR="007C7309">
        <w:rPr>
          <w:rFonts w:ascii="Arial" w:eastAsia="Times New Roman" w:hAnsi="Arial" w:cs="Times New Roman"/>
          <w:b/>
          <w:sz w:val="16"/>
          <w:szCs w:val="20"/>
        </w:rPr>
        <w:t>—</w:t>
      </w:r>
      <w:r w:rsidR="007C7309" w:rsidRPr="00A50F42">
        <w:rPr>
          <w:rFonts w:ascii="Arial" w:eastAsia="Times New Roman" w:hAnsi="Arial" w:cs="Times New Roman"/>
          <w:b/>
          <w:sz w:val="16"/>
          <w:szCs w:val="20"/>
        </w:rPr>
        <w:t xml:space="preserve">Ensemble of 4 machine learning models </w:t>
      </w:r>
      <w:r w:rsidR="007C7309" w:rsidRPr="0069167D">
        <w:rPr>
          <w:rFonts w:ascii="Arial" w:eastAsia="Times New Roman" w:hAnsi="Arial" w:cs="Times New Roman"/>
          <w:b/>
          <w:sz w:val="16"/>
          <w:szCs w:val="20"/>
        </w:rPr>
        <w:t>(Bogusl</w:t>
      </w:r>
      <w:r w:rsidR="00E34250">
        <w:rPr>
          <w:rFonts w:ascii="Arial" w:eastAsia="Times New Roman" w:hAnsi="Arial" w:cs="Times New Roman"/>
          <w:b/>
          <w:sz w:val="16"/>
          <w:szCs w:val="20"/>
        </w:rPr>
        <w:t>a</w:t>
      </w:r>
      <w:r w:rsidR="007C7309" w:rsidRPr="0069167D">
        <w:rPr>
          <w:rFonts w:ascii="Arial" w:eastAsia="Times New Roman" w:hAnsi="Arial" w:cs="Times New Roman"/>
          <w:b/>
          <w:sz w:val="16"/>
          <w:szCs w:val="20"/>
        </w:rPr>
        <w:t>wski et al. 201</w:t>
      </w:r>
      <w:r w:rsidR="007758CC">
        <w:rPr>
          <w:rFonts w:ascii="Arial" w:eastAsia="Times New Roman" w:hAnsi="Arial" w:cs="Times New Roman"/>
          <w:b/>
          <w:sz w:val="16"/>
          <w:szCs w:val="20"/>
        </w:rPr>
        <w:t>8</w:t>
      </w:r>
      <w:r w:rsidR="007C7309" w:rsidRPr="0069167D">
        <w:rPr>
          <w:rFonts w:ascii="Arial" w:eastAsia="Times New Roman" w:hAnsi="Arial" w:cs="Times New Roman"/>
          <w:b/>
          <w:sz w:val="16"/>
          <w:szCs w:val="20"/>
        </w:rPr>
        <w:t>).</w:t>
      </w:r>
      <w:bookmarkEnd w:id="75"/>
    </w:p>
    <w:p w14:paraId="322E8FBF" w14:textId="1336CCD2" w:rsidR="006665BC" w:rsidRDefault="006665BC" w:rsidP="00720BA0">
      <w:pPr>
        <w:tabs>
          <w:tab w:val="left" w:pos="1763"/>
        </w:tabs>
        <w:spacing w:after="0"/>
        <w:ind w:firstLine="288"/>
        <w:rPr>
          <w:rFonts w:cs="Times New Roman"/>
          <w:szCs w:val="24"/>
        </w:rPr>
      </w:pPr>
      <w:r w:rsidRPr="00836370">
        <w:rPr>
          <w:color w:val="002060"/>
        </w:rPr>
        <w:t xml:space="preserve">Pennel et al. </w:t>
      </w:r>
      <w:r>
        <w:rPr>
          <w:color w:val="002060"/>
        </w:rPr>
        <w:t>(</w:t>
      </w:r>
      <w:r w:rsidRPr="00836370">
        <w:rPr>
          <w:color w:val="002060"/>
        </w:rPr>
        <w:t>2018</w:t>
      </w:r>
      <w:r>
        <w:rPr>
          <w:color w:val="002060"/>
        </w:rPr>
        <w:t>)</w:t>
      </w:r>
      <w:r>
        <w:rPr>
          <w:rFonts w:cs="Times New Roman"/>
          <w:szCs w:val="24"/>
        </w:rPr>
        <w:t xml:space="preserve"> use signal data from 800 wells in the Bakken where subject matter experts assign rule-based labels on pump failures. Signal data includes time-series pressure data in the tubing and casing, fluid load, minimum and peak loads, stroke cycle time and others. Labels are attached to those instances where pump dysfunction is seen.  The multivariate, time-series data along with the labels given as training data to machine learning models such as random forests, gradient boosted trees and neural networks</w:t>
      </w:r>
      <w:r w:rsidR="009F27DE">
        <w:rPr>
          <w:rFonts w:cs="Times New Roman"/>
          <w:szCs w:val="24"/>
        </w:rPr>
        <w:t xml:space="preserve"> </w:t>
      </w:r>
      <w:r>
        <w:rPr>
          <w:rFonts w:cs="Times New Roman"/>
          <w:szCs w:val="24"/>
        </w:rPr>
        <w:t xml:space="preserve">are shown to provide high degree of accuracy in classification of failure. </w:t>
      </w:r>
    </w:p>
    <w:p w14:paraId="3F4D6542" w14:textId="0641539A" w:rsidR="006665BC" w:rsidRDefault="006665BC" w:rsidP="00720BA0">
      <w:pPr>
        <w:tabs>
          <w:tab w:val="left" w:pos="1763"/>
        </w:tabs>
        <w:spacing w:after="0"/>
        <w:ind w:firstLine="288"/>
        <w:rPr>
          <w:rFonts w:cs="Times New Roman"/>
          <w:szCs w:val="24"/>
        </w:rPr>
      </w:pPr>
      <w:r>
        <w:rPr>
          <w:rFonts w:cs="Times New Roman"/>
          <w:szCs w:val="24"/>
        </w:rPr>
        <w:lastRenderedPageBreak/>
        <w:t xml:space="preserve">Another pump card classification study by </w:t>
      </w:r>
      <w:r w:rsidRPr="00836370">
        <w:rPr>
          <w:color w:val="002060"/>
        </w:rPr>
        <w:t xml:space="preserve">Sharaf et al. </w:t>
      </w:r>
      <w:r>
        <w:rPr>
          <w:color w:val="002060"/>
        </w:rPr>
        <w:t>(</w:t>
      </w:r>
      <w:r w:rsidRPr="00836370">
        <w:rPr>
          <w:color w:val="002060"/>
        </w:rPr>
        <w:t>2019</w:t>
      </w:r>
      <w:r>
        <w:rPr>
          <w:color w:val="002060"/>
        </w:rPr>
        <w:t xml:space="preserve">) </w:t>
      </w:r>
      <w:r w:rsidRPr="009F27DE">
        <w:rPr>
          <w:rFonts w:cs="Times New Roman"/>
          <w:szCs w:val="24"/>
        </w:rPr>
        <w:t>use data from</w:t>
      </w:r>
      <w:r>
        <w:rPr>
          <w:color w:val="002060"/>
        </w:rPr>
        <w:t xml:space="preserve"> a </w:t>
      </w:r>
      <w:r>
        <w:rPr>
          <w:rFonts w:cs="Times New Roman"/>
          <w:szCs w:val="24"/>
        </w:rPr>
        <w:t xml:space="preserve">Supervisory Control and Data Acquisition (SCADA) system to acquire 5.3 million downhole pump cards from 297 wells in a Bahrain oilfield. </w:t>
      </w:r>
      <w:r w:rsidRPr="005D3E70">
        <w:rPr>
          <w:rFonts w:cs="Times New Roman"/>
          <w:b/>
          <w:bCs/>
          <w:color w:val="000000"/>
          <w:szCs w:val="24"/>
        </w:rPr>
        <w:t xml:space="preserve">Fig. </w:t>
      </w:r>
      <w:r w:rsidR="009F27DE">
        <w:rPr>
          <w:b/>
          <w:bCs/>
        </w:rPr>
        <w:t>3.6</w:t>
      </w:r>
      <w:r>
        <w:rPr>
          <w:b/>
          <w:bCs/>
        </w:rPr>
        <w:t xml:space="preserve"> </w:t>
      </w:r>
      <w:r>
        <w:rPr>
          <w:rFonts w:cs="Times New Roman"/>
          <w:szCs w:val="24"/>
        </w:rPr>
        <w:t xml:space="preserve">shows an example of the instrumentation needed for a sucker rod pump. For this study, around 35,000 cards were manually labelled into 12 different pump conditions corresponding to normal as well as abnormal cases. 80% of the data is used for training 8 different machine learning algorithms and the remaining 20% of the data is used for the testing. They also report high accuracies of over 99% in the classification of failure modes.  </w:t>
      </w:r>
    </w:p>
    <w:p w14:paraId="17326AC6" w14:textId="05DED9E7" w:rsidR="006665BC" w:rsidRDefault="006665BC" w:rsidP="00720BA0">
      <w:pPr>
        <w:tabs>
          <w:tab w:val="left" w:pos="1763"/>
        </w:tabs>
        <w:spacing w:after="0"/>
        <w:ind w:firstLine="288"/>
        <w:rPr>
          <w:rFonts w:cs="Times New Roman"/>
          <w:szCs w:val="24"/>
        </w:rPr>
      </w:pPr>
      <w:r>
        <w:rPr>
          <w:rFonts w:cs="Times New Roman"/>
          <w:szCs w:val="24"/>
        </w:rPr>
        <w:t xml:space="preserve">In another work, </w:t>
      </w:r>
      <w:r w:rsidRPr="00836370">
        <w:rPr>
          <w:color w:val="002060"/>
        </w:rPr>
        <w:t xml:space="preserve">Abdalla et al. </w:t>
      </w:r>
      <w:r>
        <w:rPr>
          <w:color w:val="002060"/>
        </w:rPr>
        <w:t>(</w:t>
      </w:r>
      <w:r w:rsidRPr="00836370">
        <w:rPr>
          <w:color w:val="002060"/>
        </w:rPr>
        <w:t>2020</w:t>
      </w:r>
      <w:r>
        <w:rPr>
          <w:color w:val="002060"/>
        </w:rPr>
        <w:t>)</w:t>
      </w:r>
      <w:r>
        <w:rPr>
          <w:rFonts w:cs="Times New Roman"/>
          <w:szCs w:val="24"/>
        </w:rPr>
        <w:t xml:space="preserve"> train artificial neural networks (ANN) along with a genetic algorithm using over 4400 dynamometer cards. 30% of these cards are operating in the normal pump conditions and 70% showing abnormal pump conditions. The model is tested on 1915 new cards not seen by the ANN and achieves more than 99% accuracy. </w:t>
      </w:r>
    </w:p>
    <w:p w14:paraId="0436E096" w14:textId="77777777" w:rsidR="006665BC" w:rsidRDefault="006665BC" w:rsidP="006665BC">
      <w:pPr>
        <w:tabs>
          <w:tab w:val="left" w:pos="1763"/>
        </w:tabs>
        <w:rPr>
          <w:rFonts w:cs="Times New Roman"/>
          <w:szCs w:val="24"/>
        </w:rPr>
      </w:pPr>
    </w:p>
    <w:p w14:paraId="2D0A9EBA" w14:textId="77777777" w:rsidR="009F27DE" w:rsidRDefault="006665BC" w:rsidP="009F27DE">
      <w:pPr>
        <w:keepNext/>
        <w:tabs>
          <w:tab w:val="left" w:pos="1763"/>
        </w:tabs>
        <w:spacing w:after="0"/>
        <w:jc w:val="center"/>
      </w:pPr>
      <w:r>
        <w:rPr>
          <w:noProof/>
        </w:rPr>
        <w:lastRenderedPageBreak/>
        <w:drawing>
          <wp:inline distT="0" distB="0" distL="0" distR="0" wp14:anchorId="5F2F37A0" wp14:editId="3175E8BE">
            <wp:extent cx="5943600" cy="67837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43600" cy="6783705"/>
                    </a:xfrm>
                    <a:prstGeom prst="rect">
                      <a:avLst/>
                    </a:prstGeom>
                  </pic:spPr>
                </pic:pic>
              </a:graphicData>
            </a:graphic>
          </wp:inline>
        </w:drawing>
      </w:r>
    </w:p>
    <w:p w14:paraId="485285E0" w14:textId="5C7259EB" w:rsidR="006665BC" w:rsidRPr="0069167D" w:rsidRDefault="009F27DE" w:rsidP="009F27DE">
      <w:pPr>
        <w:pStyle w:val="Caption"/>
        <w:rPr>
          <w:rFonts w:ascii="Arial" w:eastAsia="Times New Roman" w:hAnsi="Arial" w:cs="Times New Roman"/>
          <w:i w:val="0"/>
          <w:iCs w:val="0"/>
          <w:sz w:val="16"/>
          <w:szCs w:val="20"/>
        </w:rPr>
      </w:pPr>
      <w:bookmarkStart w:id="76" w:name="_Toc58667168"/>
      <w:r w:rsidRPr="009F27DE">
        <w:rPr>
          <w:rFonts w:ascii="Arial" w:eastAsia="Times New Roman" w:hAnsi="Arial" w:cs="Times New Roman"/>
          <w:i w:val="0"/>
          <w:iCs w:val="0"/>
          <w:sz w:val="16"/>
          <w:szCs w:val="20"/>
        </w:rPr>
        <w:t xml:space="preserve">Fig. 3. </w:t>
      </w:r>
      <w:r w:rsidRPr="009F27DE">
        <w:rPr>
          <w:rFonts w:ascii="Arial" w:eastAsia="Times New Roman" w:hAnsi="Arial" w:cs="Times New Roman"/>
          <w:i w:val="0"/>
          <w:iCs w:val="0"/>
          <w:sz w:val="16"/>
          <w:szCs w:val="20"/>
        </w:rPr>
        <w:fldChar w:fldCharType="begin"/>
      </w:r>
      <w:r w:rsidRPr="009F27DE">
        <w:rPr>
          <w:rFonts w:ascii="Arial" w:eastAsia="Times New Roman" w:hAnsi="Arial" w:cs="Times New Roman"/>
          <w:i w:val="0"/>
          <w:iCs w:val="0"/>
          <w:sz w:val="16"/>
          <w:szCs w:val="20"/>
        </w:rPr>
        <w:instrText xml:space="preserve"> SEQ Fig._3. \* ARABIC </w:instrText>
      </w:r>
      <w:r w:rsidRPr="009F27DE">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6</w:t>
      </w:r>
      <w:r w:rsidRPr="009F27DE">
        <w:rPr>
          <w:rFonts w:ascii="Arial" w:eastAsia="Times New Roman" w:hAnsi="Arial" w:cs="Times New Roman"/>
          <w:i w:val="0"/>
          <w:iCs w:val="0"/>
          <w:sz w:val="16"/>
          <w:szCs w:val="20"/>
        </w:rPr>
        <w:fldChar w:fldCharType="end"/>
      </w:r>
      <w:r w:rsidRPr="009F27DE">
        <w:rPr>
          <w:rFonts w:ascii="Arial" w:eastAsia="Times New Roman" w:hAnsi="Arial" w:cs="Times New Roman"/>
          <w:i w:val="0"/>
          <w:iCs w:val="0"/>
          <w:sz w:val="16"/>
          <w:szCs w:val="20"/>
        </w:rPr>
        <w:t>—</w:t>
      </w:r>
      <w:r w:rsidRPr="009F27DE">
        <w:rPr>
          <w:rFonts w:ascii="Arial" w:eastAsia="Times New Roman" w:hAnsi="Arial" w:cs="Times New Roman"/>
          <w:sz w:val="16"/>
          <w:szCs w:val="20"/>
        </w:rPr>
        <w:t xml:space="preserve"> </w:t>
      </w:r>
      <w:r w:rsidRPr="009F27DE">
        <w:rPr>
          <w:rFonts w:ascii="Arial" w:eastAsia="Times New Roman" w:hAnsi="Arial" w:cs="Times New Roman"/>
          <w:i w:val="0"/>
          <w:iCs w:val="0"/>
          <w:sz w:val="16"/>
          <w:szCs w:val="20"/>
        </w:rPr>
        <w:t xml:space="preserve">Instrumentation for data acquisition and control on the Sucker Rod </w:t>
      </w:r>
      <w:r w:rsidR="00307F44" w:rsidRPr="009F27DE">
        <w:rPr>
          <w:rFonts w:ascii="Arial" w:eastAsia="Times New Roman" w:hAnsi="Arial" w:cs="Times New Roman"/>
          <w:i w:val="0"/>
          <w:iCs w:val="0"/>
          <w:sz w:val="16"/>
          <w:szCs w:val="20"/>
        </w:rPr>
        <w:t xml:space="preserve">Pump </w:t>
      </w:r>
      <w:r w:rsidR="00307F44" w:rsidRPr="0069167D">
        <w:rPr>
          <w:rFonts w:ascii="Arial" w:eastAsia="Times New Roman" w:hAnsi="Arial" w:cs="Times New Roman"/>
          <w:i w:val="0"/>
          <w:iCs w:val="0"/>
          <w:sz w:val="16"/>
          <w:szCs w:val="20"/>
        </w:rPr>
        <w:t>(</w:t>
      </w:r>
      <w:r w:rsidRPr="0069167D">
        <w:rPr>
          <w:rFonts w:ascii="Arial" w:eastAsia="Times New Roman" w:hAnsi="Arial" w:cs="Times New Roman"/>
          <w:i w:val="0"/>
          <w:iCs w:val="0"/>
          <w:sz w:val="16"/>
          <w:szCs w:val="20"/>
        </w:rPr>
        <w:t>Bogusl</w:t>
      </w:r>
      <w:r w:rsidR="00EA2B9C">
        <w:rPr>
          <w:rFonts w:ascii="Arial" w:eastAsia="Times New Roman" w:hAnsi="Arial" w:cs="Times New Roman"/>
          <w:i w:val="0"/>
          <w:iCs w:val="0"/>
          <w:sz w:val="16"/>
          <w:szCs w:val="20"/>
        </w:rPr>
        <w:t>a</w:t>
      </w:r>
      <w:r w:rsidRPr="0069167D">
        <w:rPr>
          <w:rFonts w:ascii="Arial" w:eastAsia="Times New Roman" w:hAnsi="Arial" w:cs="Times New Roman"/>
          <w:i w:val="0"/>
          <w:iCs w:val="0"/>
          <w:sz w:val="16"/>
          <w:szCs w:val="20"/>
        </w:rPr>
        <w:t>wski et al. 201</w:t>
      </w:r>
      <w:r w:rsidR="0039072C">
        <w:rPr>
          <w:rFonts w:ascii="Arial" w:eastAsia="Times New Roman" w:hAnsi="Arial" w:cs="Times New Roman"/>
          <w:i w:val="0"/>
          <w:iCs w:val="0"/>
          <w:sz w:val="16"/>
          <w:szCs w:val="20"/>
        </w:rPr>
        <w:t>8</w:t>
      </w:r>
      <w:r w:rsidRPr="0069167D">
        <w:rPr>
          <w:rFonts w:ascii="Arial" w:eastAsia="Times New Roman" w:hAnsi="Arial" w:cs="Times New Roman"/>
          <w:i w:val="0"/>
          <w:iCs w:val="0"/>
          <w:sz w:val="16"/>
          <w:szCs w:val="20"/>
        </w:rPr>
        <w:t>).</w:t>
      </w:r>
      <w:bookmarkEnd w:id="76"/>
    </w:p>
    <w:p w14:paraId="4FC97066" w14:textId="77777777" w:rsidR="006665BC" w:rsidRDefault="006665BC" w:rsidP="006665BC">
      <w:pPr>
        <w:tabs>
          <w:tab w:val="left" w:pos="1763"/>
        </w:tabs>
        <w:rPr>
          <w:rFonts w:cs="Times New Roman"/>
          <w:szCs w:val="24"/>
        </w:rPr>
      </w:pPr>
    </w:p>
    <w:p w14:paraId="7DE9EB8B" w14:textId="77777777" w:rsidR="006665BC" w:rsidRDefault="006665BC" w:rsidP="006665BC">
      <w:pPr>
        <w:tabs>
          <w:tab w:val="left" w:pos="1763"/>
        </w:tabs>
        <w:rPr>
          <w:rFonts w:cs="Times New Roman"/>
          <w:szCs w:val="24"/>
        </w:rPr>
      </w:pPr>
    </w:p>
    <w:p w14:paraId="11FE2251" w14:textId="77777777" w:rsidR="006665BC" w:rsidRDefault="006665BC" w:rsidP="00720BA0">
      <w:pPr>
        <w:tabs>
          <w:tab w:val="left" w:pos="1763"/>
        </w:tabs>
        <w:spacing w:after="0"/>
        <w:ind w:firstLine="288"/>
        <w:rPr>
          <w:rFonts w:cs="Times New Roman"/>
          <w:szCs w:val="24"/>
        </w:rPr>
      </w:pPr>
      <w:r>
        <w:rPr>
          <w:rFonts w:cs="Times New Roman"/>
          <w:szCs w:val="24"/>
        </w:rPr>
        <w:lastRenderedPageBreak/>
        <w:t xml:space="preserve">It is evident that the oil industry and academia are leveraging the power of high-level computing coupled with machine learning and artificial intelligence models. This has enabled solving complex problems where human intervention is not always feasible. Every well which is supported or lifted by a sucker rod pump generates hundreds of pump cards daily. Assuming there are more than 100 wells in an oil field, the number of pump cards generated can easily become overwhelming for manual inspection.  Therefore, the need for machine learning models, which can process a large number of cards in an efficient manner and correctly identify failure modes with low rates of false positives and false negatives. </w:t>
      </w:r>
    </w:p>
    <w:p w14:paraId="5D7749C7" w14:textId="566B6016" w:rsidR="006665BC" w:rsidRDefault="006665BC" w:rsidP="00720BA0">
      <w:pPr>
        <w:tabs>
          <w:tab w:val="left" w:pos="1763"/>
        </w:tabs>
        <w:spacing w:after="0"/>
        <w:ind w:firstLine="288"/>
        <w:rPr>
          <w:rFonts w:cs="Times New Roman"/>
          <w:szCs w:val="24"/>
        </w:rPr>
      </w:pPr>
      <w:r>
        <w:rPr>
          <w:rFonts w:cs="Times New Roman"/>
          <w:szCs w:val="24"/>
        </w:rPr>
        <w:t xml:space="preserve">In this chapter, I describe the use of </w:t>
      </w:r>
      <w:r w:rsidRPr="00CC04F4">
        <w:rPr>
          <w:rFonts w:cs="Times New Roman"/>
          <w:szCs w:val="24"/>
        </w:rPr>
        <w:t xml:space="preserve">Convolutional Neural Networks (CNN’s) </w:t>
      </w:r>
      <w:r>
        <w:rPr>
          <w:rFonts w:cs="Times New Roman"/>
          <w:szCs w:val="24"/>
        </w:rPr>
        <w:t xml:space="preserve">to </w:t>
      </w:r>
      <w:r w:rsidRPr="00CC04F4">
        <w:rPr>
          <w:rFonts w:cs="Times New Roman"/>
          <w:szCs w:val="24"/>
        </w:rPr>
        <w:t xml:space="preserve">predict </w:t>
      </w:r>
      <w:r>
        <w:rPr>
          <w:rFonts w:cs="Times New Roman"/>
          <w:szCs w:val="24"/>
        </w:rPr>
        <w:t xml:space="preserve">pump </w:t>
      </w:r>
      <w:r w:rsidRPr="00CC04F4">
        <w:rPr>
          <w:rFonts w:cs="Times New Roman"/>
          <w:szCs w:val="24"/>
        </w:rPr>
        <w:t>malfunctions from pump dynamometer cards.</w:t>
      </w:r>
      <w:r>
        <w:rPr>
          <w:rFonts w:cs="Times New Roman"/>
          <w:szCs w:val="24"/>
        </w:rPr>
        <w:t xml:space="preserve"> CNNs are a relatively new development and belong to the class of deep learning algorithms because of their multi-layer architecture. The first reported work using CNN’s was done by </w:t>
      </w:r>
      <w:r w:rsidRPr="00836370">
        <w:rPr>
          <w:color w:val="002060"/>
        </w:rPr>
        <w:t xml:space="preserve">Lecun et al. </w:t>
      </w:r>
      <w:r>
        <w:rPr>
          <w:color w:val="002060"/>
        </w:rPr>
        <w:t>(</w:t>
      </w:r>
      <w:r w:rsidRPr="00836370">
        <w:rPr>
          <w:color w:val="002060"/>
        </w:rPr>
        <w:t>1998</w:t>
      </w:r>
      <w:r>
        <w:rPr>
          <w:color w:val="002060"/>
        </w:rPr>
        <w:t>)</w:t>
      </w:r>
      <w:r>
        <w:rPr>
          <w:rFonts w:cs="Times New Roman"/>
          <w:szCs w:val="24"/>
        </w:rPr>
        <w:t xml:space="preserve"> at Bell Labs to classify hand-written digits from 0 to 9 from the MNIST database. Their network is shown in </w:t>
      </w:r>
      <w:r w:rsidRPr="005D3E70">
        <w:rPr>
          <w:rFonts w:cs="Times New Roman"/>
          <w:b/>
          <w:bCs/>
          <w:color w:val="000000"/>
          <w:szCs w:val="24"/>
        </w:rPr>
        <w:t xml:space="preserve">Fig. </w:t>
      </w:r>
      <w:r w:rsidR="00B53F33">
        <w:rPr>
          <w:b/>
          <w:bCs/>
        </w:rPr>
        <w:t>3.7</w:t>
      </w:r>
      <w:r>
        <w:rPr>
          <w:rFonts w:cs="Times New Roman"/>
          <w:szCs w:val="24"/>
        </w:rPr>
        <w:t xml:space="preserve"> and it was used by the US Postal Services for recognizing digits in zip codes. Since then, the use of CNNs has rapidly grown to include visual image or face recognition, classification problems, self-driving cars and anomaly detection. </w:t>
      </w:r>
    </w:p>
    <w:p w14:paraId="50539FC4" w14:textId="77777777" w:rsidR="00B53F33" w:rsidRDefault="006665BC" w:rsidP="00B53F33">
      <w:pPr>
        <w:keepNext/>
        <w:tabs>
          <w:tab w:val="left" w:pos="2949"/>
        </w:tabs>
        <w:spacing w:after="0"/>
        <w:ind w:firstLine="288"/>
        <w:jc w:val="center"/>
      </w:pPr>
      <w:r>
        <w:rPr>
          <w:noProof/>
        </w:rPr>
        <w:drawing>
          <wp:inline distT="0" distB="0" distL="0" distR="0" wp14:anchorId="136E7EEB" wp14:editId="1107B233">
            <wp:extent cx="5403712" cy="1647093"/>
            <wp:effectExtent l="0" t="0" r="698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435559" cy="1656800"/>
                    </a:xfrm>
                    <a:prstGeom prst="rect">
                      <a:avLst/>
                    </a:prstGeom>
                  </pic:spPr>
                </pic:pic>
              </a:graphicData>
            </a:graphic>
          </wp:inline>
        </w:drawing>
      </w:r>
    </w:p>
    <w:p w14:paraId="36308B29" w14:textId="1DB9E808" w:rsidR="00B53F33" w:rsidRPr="0069167D" w:rsidRDefault="00B53F33" w:rsidP="00B53F33">
      <w:pPr>
        <w:tabs>
          <w:tab w:val="num" w:pos="720"/>
          <w:tab w:val="left" w:pos="1763"/>
        </w:tabs>
        <w:spacing w:after="0"/>
        <w:jc w:val="center"/>
        <w:rPr>
          <w:rFonts w:ascii="Arial" w:eastAsia="Times New Roman" w:hAnsi="Arial" w:cs="Times New Roman"/>
          <w:b/>
          <w:sz w:val="16"/>
          <w:szCs w:val="20"/>
        </w:rPr>
      </w:pPr>
      <w:bookmarkStart w:id="77" w:name="_Toc58667169"/>
      <w:r w:rsidRPr="00B53F33">
        <w:rPr>
          <w:rFonts w:ascii="Arial" w:eastAsia="Times New Roman" w:hAnsi="Arial" w:cs="Times New Roman"/>
          <w:b/>
          <w:sz w:val="16"/>
          <w:szCs w:val="20"/>
        </w:rPr>
        <w:t xml:space="preserve">Fig. 3. </w:t>
      </w:r>
      <w:r w:rsidRPr="00B53F33">
        <w:rPr>
          <w:rFonts w:ascii="Arial" w:eastAsia="Times New Roman" w:hAnsi="Arial" w:cs="Times New Roman"/>
          <w:b/>
          <w:sz w:val="16"/>
          <w:szCs w:val="20"/>
        </w:rPr>
        <w:fldChar w:fldCharType="begin"/>
      </w:r>
      <w:r w:rsidRPr="00B53F33">
        <w:rPr>
          <w:rFonts w:ascii="Arial" w:eastAsia="Times New Roman" w:hAnsi="Arial" w:cs="Times New Roman"/>
          <w:b/>
          <w:sz w:val="16"/>
          <w:szCs w:val="20"/>
        </w:rPr>
        <w:instrText xml:space="preserve"> SEQ Fig._3. \* ARABIC </w:instrText>
      </w:r>
      <w:r w:rsidRPr="00B53F33">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7</w:t>
      </w:r>
      <w:r w:rsidRPr="00B53F33">
        <w:rPr>
          <w:rFonts w:ascii="Arial" w:eastAsia="Times New Roman" w:hAnsi="Arial" w:cs="Times New Roman"/>
          <w:b/>
          <w:sz w:val="16"/>
          <w:szCs w:val="20"/>
        </w:rPr>
        <w:fldChar w:fldCharType="end"/>
      </w:r>
      <w:r>
        <w:rPr>
          <w:rFonts w:ascii="Arial" w:eastAsia="Times New Roman" w:hAnsi="Arial" w:cs="Times New Roman"/>
          <w:b/>
          <w:sz w:val="16"/>
          <w:szCs w:val="20"/>
        </w:rPr>
        <w:t>—</w:t>
      </w:r>
      <w:r w:rsidRPr="00ED775D">
        <w:rPr>
          <w:rFonts w:ascii="Arial" w:eastAsia="Times New Roman" w:hAnsi="Arial" w:cs="Times New Roman"/>
          <w:b/>
          <w:sz w:val="16"/>
          <w:szCs w:val="20"/>
        </w:rPr>
        <w:t xml:space="preserve">Illustration of a Convolutional Neural Network </w:t>
      </w:r>
      <w:r w:rsidRPr="0069167D">
        <w:rPr>
          <w:rFonts w:ascii="Arial" w:eastAsia="Times New Roman" w:hAnsi="Arial" w:cs="Times New Roman"/>
          <w:b/>
          <w:sz w:val="16"/>
          <w:szCs w:val="20"/>
        </w:rPr>
        <w:t>(Lecun et al. 1998).</w:t>
      </w:r>
      <w:bookmarkEnd w:id="77"/>
    </w:p>
    <w:p w14:paraId="445634A7" w14:textId="7F57763D" w:rsidR="006665BC" w:rsidRDefault="006665BC" w:rsidP="00B53F33">
      <w:pPr>
        <w:pStyle w:val="Caption"/>
      </w:pPr>
    </w:p>
    <w:p w14:paraId="3112AB6E" w14:textId="19400551" w:rsidR="006665BC" w:rsidRPr="00BE604C" w:rsidRDefault="006665BC" w:rsidP="004753B5">
      <w:pPr>
        <w:spacing w:after="0"/>
        <w:ind w:firstLine="288"/>
        <w:rPr>
          <w:szCs w:val="24"/>
        </w:rPr>
      </w:pPr>
      <w:r>
        <w:rPr>
          <w:rFonts w:cs="Times New Roman"/>
          <w:szCs w:val="24"/>
        </w:rPr>
        <w:lastRenderedPageBreak/>
        <w:t xml:space="preserve">In 2012, image recognition in very large datasets experienced a breakthrough. AlexNET from </w:t>
      </w:r>
      <w:r w:rsidRPr="004753B5">
        <w:rPr>
          <w:rFonts w:cs="Times New Roman"/>
          <w:szCs w:val="24"/>
        </w:rPr>
        <w:t>Krizhevsky et al. (2012)</w:t>
      </w:r>
      <w:r>
        <w:rPr>
          <w:rFonts w:cs="Times New Roman"/>
          <w:szCs w:val="24"/>
        </w:rPr>
        <w:t xml:space="preserve"> was the first large scale CNN model to outperform all other non-deep learning models in the ImageNet </w:t>
      </w:r>
      <w:hyperlink r:id="rId71" w:tgtFrame="_blank" w:history="1">
        <w:r w:rsidRPr="003B1D0E">
          <w:rPr>
            <w:rFonts w:cs="Times New Roman"/>
            <w:szCs w:val="24"/>
          </w:rPr>
          <w:t>Large Scale Visual Recognition Challenge</w:t>
        </w:r>
      </w:hyperlink>
      <w:r>
        <w:rPr>
          <w:rFonts w:cs="Times New Roman"/>
          <w:szCs w:val="24"/>
        </w:rPr>
        <w:t xml:space="preserve"> competition (ILSVRC). ImageNet </w:t>
      </w:r>
      <w:r w:rsidRPr="00684190">
        <w:rPr>
          <w:rFonts w:cs="Times New Roman"/>
          <w:szCs w:val="24"/>
        </w:rPr>
        <w:t>is a</w:t>
      </w:r>
      <w:r>
        <w:rPr>
          <w:rFonts w:cs="Times New Roman"/>
          <w:szCs w:val="24"/>
        </w:rPr>
        <w:t>n</w:t>
      </w:r>
      <w:r w:rsidRPr="00684190">
        <w:rPr>
          <w:rFonts w:cs="Times New Roman"/>
          <w:szCs w:val="24"/>
        </w:rPr>
        <w:t xml:space="preserve"> </w:t>
      </w:r>
      <w:r>
        <w:rPr>
          <w:rFonts w:cs="Times New Roman"/>
          <w:szCs w:val="24"/>
        </w:rPr>
        <w:t xml:space="preserve">image database with over 14 </w:t>
      </w:r>
      <w:r w:rsidRPr="00684190">
        <w:rPr>
          <w:rFonts w:cs="Times New Roman"/>
          <w:szCs w:val="24"/>
        </w:rPr>
        <w:t>million images from 22,000 categories</w:t>
      </w:r>
      <w:r>
        <w:rPr>
          <w:rFonts w:cs="Times New Roman"/>
          <w:szCs w:val="24"/>
        </w:rPr>
        <w:t xml:space="preserve"> labelled by</w:t>
      </w:r>
      <w:r w:rsidRPr="00684190">
        <w:rPr>
          <w:rFonts w:cs="Times New Roman"/>
          <w:szCs w:val="24"/>
        </w:rPr>
        <w:t xml:space="preserve"> huma</w:t>
      </w:r>
      <w:r>
        <w:rPr>
          <w:rFonts w:cs="Times New Roman"/>
          <w:szCs w:val="24"/>
        </w:rPr>
        <w:t xml:space="preserve">ns. </w:t>
      </w:r>
      <w:r w:rsidRPr="00684190">
        <w:rPr>
          <w:rFonts w:cs="Times New Roman"/>
          <w:szCs w:val="24"/>
        </w:rPr>
        <w:t>For the competition, a subset of ImageNet was used and A</w:t>
      </w:r>
      <w:r>
        <w:rPr>
          <w:rFonts w:cs="Times New Roman"/>
          <w:szCs w:val="24"/>
        </w:rPr>
        <w:t>l</w:t>
      </w:r>
      <w:r w:rsidRPr="00684190">
        <w:rPr>
          <w:rFonts w:cs="Times New Roman"/>
          <w:szCs w:val="24"/>
        </w:rPr>
        <w:t xml:space="preserve">exNet </w:t>
      </w:r>
      <w:r>
        <w:rPr>
          <w:rFonts w:cs="Times New Roman"/>
          <w:szCs w:val="24"/>
        </w:rPr>
        <w:t xml:space="preserve">correctly </w:t>
      </w:r>
      <w:r w:rsidRPr="00684190">
        <w:rPr>
          <w:rFonts w:cs="Times New Roman"/>
          <w:szCs w:val="24"/>
        </w:rPr>
        <w:t>classif</w:t>
      </w:r>
      <w:r>
        <w:rPr>
          <w:rFonts w:cs="Times New Roman"/>
          <w:szCs w:val="24"/>
        </w:rPr>
        <w:t>ied</w:t>
      </w:r>
      <w:r w:rsidRPr="00684190">
        <w:rPr>
          <w:rFonts w:cs="Times New Roman"/>
          <w:szCs w:val="24"/>
        </w:rPr>
        <w:t xml:space="preserve"> 1.2 million images with a low</w:t>
      </w:r>
      <w:r>
        <w:rPr>
          <w:rFonts w:cs="Times New Roman"/>
          <w:szCs w:val="24"/>
        </w:rPr>
        <w:t>er</w:t>
      </w:r>
      <w:r w:rsidRPr="00684190">
        <w:rPr>
          <w:rFonts w:cs="Times New Roman"/>
          <w:szCs w:val="24"/>
        </w:rPr>
        <w:t xml:space="preserve"> error rate compared to other models.</w:t>
      </w:r>
      <w:r>
        <w:rPr>
          <w:rFonts w:cs="Times New Roman"/>
          <w:szCs w:val="24"/>
        </w:rPr>
        <w:t xml:space="preserve"> After 2012, there has been ever growing interest in the area of deep learning CNN models for image recognition and many high-performance CNN models have won the ImageNet challenge</w:t>
      </w:r>
      <w:r w:rsidR="00E82EF4">
        <w:rPr>
          <w:rFonts w:cs="Times New Roman"/>
          <w:szCs w:val="24"/>
        </w:rPr>
        <w:t xml:space="preserve"> </w:t>
      </w:r>
      <w:r w:rsidR="00E82EF4" w:rsidRPr="00005697">
        <w:rPr>
          <w:color w:val="002060"/>
        </w:rPr>
        <w:t>(</w:t>
      </w:r>
      <w:r w:rsidR="00BE604C" w:rsidRPr="00005697">
        <w:rPr>
          <w:color w:val="002060"/>
        </w:rPr>
        <w:t>Russakovsky et al.</w:t>
      </w:r>
      <w:r w:rsidR="00BE604C">
        <w:rPr>
          <w:rFonts w:cs="Times New Roman"/>
        </w:rPr>
        <w:t xml:space="preserve"> </w:t>
      </w:r>
      <w:r w:rsidR="00BE604C" w:rsidRPr="00005697">
        <w:rPr>
          <w:color w:val="002060"/>
        </w:rPr>
        <w:t>2015)</w:t>
      </w:r>
      <w:r w:rsidR="00E82EF4" w:rsidRPr="005E0019">
        <w:rPr>
          <w:rFonts w:ascii="Arial" w:hAnsi="Arial" w:cs="Arial"/>
          <w:color w:val="002060"/>
          <w:sz w:val="16"/>
          <w:szCs w:val="16"/>
        </w:rPr>
        <w:t>.</w:t>
      </w:r>
      <w:r w:rsidR="00BE604C">
        <w:rPr>
          <w:szCs w:val="24"/>
        </w:rPr>
        <w:t xml:space="preserve"> </w:t>
      </w:r>
      <w:r w:rsidRPr="005D3E70">
        <w:rPr>
          <w:rFonts w:cs="Times New Roman"/>
          <w:b/>
          <w:bCs/>
          <w:color w:val="000000"/>
          <w:szCs w:val="24"/>
        </w:rPr>
        <w:t>Fig.</w:t>
      </w:r>
      <w:r>
        <w:rPr>
          <w:rFonts w:cs="Times New Roman"/>
          <w:b/>
          <w:bCs/>
          <w:color w:val="000000"/>
          <w:szCs w:val="24"/>
        </w:rPr>
        <w:t xml:space="preserve"> </w:t>
      </w:r>
      <w:r w:rsidR="00BE604C">
        <w:rPr>
          <w:rFonts w:cs="Times New Roman"/>
          <w:b/>
          <w:bCs/>
          <w:color w:val="000000"/>
          <w:szCs w:val="24"/>
        </w:rPr>
        <w:t>3.8</w:t>
      </w:r>
      <w:r>
        <w:rPr>
          <w:rFonts w:cs="Times New Roman"/>
          <w:szCs w:val="24"/>
        </w:rPr>
        <w:t xml:space="preserve"> show the winners of ILSVRC comparing their percent error rates (shown by numbers on the % error rate bars) </w:t>
      </w:r>
      <w:r w:rsidR="002111CE">
        <w:rPr>
          <w:rFonts w:cs="Times New Roman"/>
          <w:szCs w:val="24"/>
        </w:rPr>
        <w:t xml:space="preserve">by </w:t>
      </w:r>
      <w:r>
        <w:rPr>
          <w:rFonts w:cs="Times New Roman"/>
          <w:szCs w:val="24"/>
        </w:rPr>
        <w:t xml:space="preserve">the corresponding number of layers. The figure shows that CNNs have dramatically increased in complexity with a corresponding decrease in error rates. </w:t>
      </w:r>
    </w:p>
    <w:p w14:paraId="59572D0D" w14:textId="77777777" w:rsidR="00BE604C" w:rsidRPr="008865D3" w:rsidRDefault="006665BC" w:rsidP="008865D3">
      <w:pPr>
        <w:spacing w:after="0"/>
        <w:jc w:val="left"/>
        <w:rPr>
          <w:rFonts w:ascii="Arial" w:hAnsi="Arial" w:cs="Arial"/>
          <w:b/>
          <w:bCs/>
          <w:i/>
          <w:iCs/>
          <w:sz w:val="16"/>
          <w:szCs w:val="16"/>
        </w:rPr>
      </w:pPr>
      <w:r w:rsidRPr="008865D3">
        <w:rPr>
          <w:rFonts w:ascii="Arial" w:hAnsi="Arial" w:cs="Arial"/>
          <w:b/>
          <w:bCs/>
          <w:i/>
          <w:iCs/>
          <w:noProof/>
          <w:sz w:val="16"/>
          <w:szCs w:val="16"/>
        </w:rPr>
        <w:drawing>
          <wp:inline distT="0" distB="0" distL="0" distR="0" wp14:anchorId="6F4C042C" wp14:editId="52490E49">
            <wp:extent cx="5943600" cy="3181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943600" cy="3181350"/>
                    </a:xfrm>
                    <a:prstGeom prst="rect">
                      <a:avLst/>
                    </a:prstGeom>
                  </pic:spPr>
                </pic:pic>
              </a:graphicData>
            </a:graphic>
          </wp:inline>
        </w:drawing>
      </w:r>
    </w:p>
    <w:p w14:paraId="10C2B81A" w14:textId="696F8FD3" w:rsidR="008865D3" w:rsidRPr="0069167D" w:rsidRDefault="00BE604C" w:rsidP="008865D3">
      <w:pPr>
        <w:spacing w:after="0"/>
        <w:jc w:val="center"/>
        <w:rPr>
          <w:rFonts w:ascii="Arial" w:eastAsia="Times New Roman" w:hAnsi="Arial" w:cs="Times New Roman"/>
          <w:b/>
          <w:sz w:val="16"/>
          <w:szCs w:val="20"/>
        </w:rPr>
      </w:pPr>
      <w:bookmarkStart w:id="78" w:name="_Toc58667170"/>
      <w:r w:rsidRPr="008865D3">
        <w:rPr>
          <w:rFonts w:ascii="Arial" w:hAnsi="Arial" w:cs="Arial"/>
          <w:b/>
          <w:bCs/>
          <w:sz w:val="16"/>
          <w:szCs w:val="16"/>
        </w:rPr>
        <w:t xml:space="preserve">Fig. 3. </w:t>
      </w:r>
      <w:r w:rsidRPr="008865D3">
        <w:rPr>
          <w:rFonts w:ascii="Arial" w:hAnsi="Arial" w:cs="Arial"/>
          <w:b/>
          <w:bCs/>
          <w:sz w:val="16"/>
          <w:szCs w:val="16"/>
        </w:rPr>
        <w:fldChar w:fldCharType="begin"/>
      </w:r>
      <w:r w:rsidRPr="008865D3">
        <w:rPr>
          <w:rFonts w:ascii="Arial" w:hAnsi="Arial" w:cs="Arial"/>
          <w:b/>
          <w:bCs/>
          <w:sz w:val="16"/>
          <w:szCs w:val="16"/>
        </w:rPr>
        <w:instrText xml:space="preserve"> SEQ Fig._3. \* ARABIC </w:instrText>
      </w:r>
      <w:r w:rsidRPr="008865D3">
        <w:rPr>
          <w:rFonts w:ascii="Arial" w:hAnsi="Arial" w:cs="Arial"/>
          <w:b/>
          <w:bCs/>
          <w:sz w:val="16"/>
          <w:szCs w:val="16"/>
        </w:rPr>
        <w:fldChar w:fldCharType="separate"/>
      </w:r>
      <w:r w:rsidR="00D006A5">
        <w:rPr>
          <w:rFonts w:ascii="Arial" w:hAnsi="Arial" w:cs="Arial"/>
          <w:b/>
          <w:bCs/>
          <w:noProof/>
          <w:sz w:val="16"/>
          <w:szCs w:val="16"/>
        </w:rPr>
        <w:t>8</w:t>
      </w:r>
      <w:r w:rsidRPr="008865D3">
        <w:rPr>
          <w:rFonts w:ascii="Arial" w:hAnsi="Arial" w:cs="Arial"/>
          <w:b/>
          <w:bCs/>
          <w:sz w:val="16"/>
          <w:szCs w:val="16"/>
        </w:rPr>
        <w:fldChar w:fldCharType="end"/>
      </w:r>
      <w:r w:rsidR="008865D3" w:rsidRPr="008865D3">
        <w:rPr>
          <w:rFonts w:ascii="Arial" w:hAnsi="Arial" w:cs="Arial"/>
          <w:b/>
          <w:bCs/>
          <w:sz w:val="16"/>
          <w:szCs w:val="16"/>
        </w:rPr>
        <w:t>—</w:t>
      </w:r>
      <w:r w:rsidRPr="008865D3">
        <w:rPr>
          <w:rFonts w:ascii="Arial" w:hAnsi="Arial" w:cs="Arial"/>
          <w:b/>
          <w:bCs/>
          <w:sz w:val="16"/>
          <w:szCs w:val="16"/>
        </w:rPr>
        <w:t xml:space="preserve"> Revolution of depth in CNN models between years 2010 and 2015</w:t>
      </w:r>
      <w:r w:rsidR="008865D3" w:rsidRPr="008865D3">
        <w:rPr>
          <w:rFonts w:ascii="Arial" w:hAnsi="Arial" w:cs="Arial"/>
          <w:b/>
          <w:bCs/>
          <w:sz w:val="16"/>
          <w:szCs w:val="16"/>
        </w:rPr>
        <w:t xml:space="preserve"> </w:t>
      </w:r>
      <w:bookmarkStart w:id="79" w:name="_Toc56427232"/>
      <w:r w:rsidR="008865D3" w:rsidRPr="0069167D">
        <w:rPr>
          <w:rFonts w:ascii="Arial" w:eastAsia="Times New Roman" w:hAnsi="Arial" w:cs="Times New Roman"/>
          <w:b/>
          <w:sz w:val="16"/>
          <w:szCs w:val="20"/>
        </w:rPr>
        <w:t>(He et al. 201</w:t>
      </w:r>
      <w:r w:rsidR="007951DB">
        <w:rPr>
          <w:rFonts w:ascii="Arial" w:eastAsia="Times New Roman" w:hAnsi="Arial" w:cs="Times New Roman"/>
          <w:b/>
          <w:sz w:val="16"/>
          <w:szCs w:val="20"/>
        </w:rPr>
        <w:t>6</w:t>
      </w:r>
      <w:r w:rsidR="008865D3" w:rsidRPr="0069167D">
        <w:rPr>
          <w:rFonts w:ascii="Arial" w:eastAsia="Times New Roman" w:hAnsi="Arial" w:cs="Times New Roman"/>
          <w:b/>
          <w:sz w:val="16"/>
          <w:szCs w:val="20"/>
        </w:rPr>
        <w:t>).</w:t>
      </w:r>
      <w:bookmarkEnd w:id="78"/>
      <w:bookmarkEnd w:id="79"/>
    </w:p>
    <w:p w14:paraId="34477ACC" w14:textId="191D8202" w:rsidR="006665BC" w:rsidRPr="008865D3" w:rsidRDefault="006665BC" w:rsidP="00BE604C">
      <w:pPr>
        <w:pStyle w:val="Caption"/>
        <w:jc w:val="both"/>
        <w:rPr>
          <w:rFonts w:ascii="Arial" w:hAnsi="Arial" w:cs="Arial"/>
          <w:bCs/>
          <w:i w:val="0"/>
          <w:iCs w:val="0"/>
          <w:sz w:val="16"/>
          <w:szCs w:val="16"/>
        </w:rPr>
      </w:pPr>
    </w:p>
    <w:p w14:paraId="05670A46" w14:textId="50951CE8" w:rsidR="00720BA0" w:rsidRPr="0085099D" w:rsidRDefault="006665BC" w:rsidP="00720BA0">
      <w:pPr>
        <w:tabs>
          <w:tab w:val="left" w:pos="1763"/>
        </w:tabs>
        <w:spacing w:after="0"/>
        <w:ind w:firstLine="288"/>
        <w:rPr>
          <w:rFonts w:cs="Times New Roman"/>
          <w:szCs w:val="24"/>
        </w:rPr>
      </w:pPr>
      <w:r>
        <w:rPr>
          <w:rFonts w:cs="Times New Roman"/>
          <w:szCs w:val="24"/>
        </w:rPr>
        <w:lastRenderedPageBreak/>
        <w:t>In this thesis, I use a convolutional neural network (CNN) model known as VGG16, which won the 2014 ILSVRC, to identify and diagnose various cases of sucker rod pump failures. In the next section, I describe the architecture of VGG16 and explain its use for classification problems.</w:t>
      </w:r>
    </w:p>
    <w:p w14:paraId="17A2BBD4" w14:textId="77777777" w:rsidR="006665BC" w:rsidRDefault="006665BC" w:rsidP="00E97455">
      <w:pPr>
        <w:pStyle w:val="Heading2"/>
        <w:ind w:left="0" w:firstLine="0"/>
        <w:rPr>
          <w:szCs w:val="24"/>
        </w:rPr>
      </w:pPr>
      <w:bookmarkStart w:id="80" w:name="_Toc56427166"/>
      <w:bookmarkStart w:id="81" w:name="_Toc58667109"/>
      <w:r w:rsidRPr="00D168B9">
        <w:t>3.2 Architecture of the VGG16 model</w:t>
      </w:r>
      <w:bookmarkEnd w:id="80"/>
      <w:bookmarkEnd w:id="81"/>
    </w:p>
    <w:p w14:paraId="590C7294" w14:textId="13E91A30" w:rsidR="006665BC" w:rsidRDefault="006665BC" w:rsidP="00720BA0">
      <w:pPr>
        <w:tabs>
          <w:tab w:val="num" w:pos="720"/>
          <w:tab w:val="left" w:pos="1763"/>
        </w:tabs>
        <w:spacing w:after="0"/>
        <w:rPr>
          <w:rFonts w:cs="Times New Roman"/>
          <w:szCs w:val="24"/>
        </w:rPr>
      </w:pPr>
      <w:r>
        <w:rPr>
          <w:rFonts w:cs="Times New Roman"/>
          <w:szCs w:val="24"/>
        </w:rPr>
        <w:t xml:space="preserve">The </w:t>
      </w:r>
      <w:r w:rsidRPr="00DC4863">
        <w:rPr>
          <w:rFonts w:cs="Times New Roman"/>
          <w:szCs w:val="24"/>
        </w:rPr>
        <w:t xml:space="preserve">VGG16 </w:t>
      </w:r>
      <w:r>
        <w:rPr>
          <w:rFonts w:cs="Times New Roman"/>
          <w:szCs w:val="24"/>
        </w:rPr>
        <w:t xml:space="preserve">model </w:t>
      </w:r>
      <w:r w:rsidRPr="00DC4863">
        <w:rPr>
          <w:rFonts w:cs="Times New Roman"/>
          <w:szCs w:val="24"/>
        </w:rPr>
        <w:t xml:space="preserve">is a </w:t>
      </w:r>
      <w:r>
        <w:rPr>
          <w:rFonts w:cs="Times New Roman"/>
          <w:szCs w:val="24"/>
        </w:rPr>
        <w:t xml:space="preserve">CNN </w:t>
      </w:r>
      <w:r w:rsidRPr="00DC4863">
        <w:rPr>
          <w:rFonts w:cs="Times New Roman"/>
          <w:szCs w:val="24"/>
        </w:rPr>
        <w:t xml:space="preserve">model </w:t>
      </w:r>
      <w:r>
        <w:rPr>
          <w:rFonts w:cs="Times New Roman"/>
          <w:szCs w:val="24"/>
        </w:rPr>
        <w:t xml:space="preserve">by </w:t>
      </w:r>
      <w:r w:rsidRPr="00836370">
        <w:rPr>
          <w:color w:val="002060"/>
        </w:rPr>
        <w:t xml:space="preserve">Simonyan and Zisserman </w:t>
      </w:r>
      <w:r>
        <w:rPr>
          <w:color w:val="002060"/>
        </w:rPr>
        <w:t>(</w:t>
      </w:r>
      <w:r w:rsidRPr="00836370">
        <w:rPr>
          <w:color w:val="002060"/>
        </w:rPr>
        <w:t>201</w:t>
      </w:r>
      <w:r w:rsidR="00F25EB8">
        <w:rPr>
          <w:color w:val="002060"/>
        </w:rPr>
        <w:t>5</w:t>
      </w:r>
      <w:r>
        <w:rPr>
          <w:color w:val="002060"/>
        </w:rPr>
        <w:t>)</w:t>
      </w:r>
      <w:r w:rsidRPr="00DC4863">
        <w:rPr>
          <w:rFonts w:cs="Times New Roman"/>
          <w:szCs w:val="24"/>
        </w:rPr>
        <w:t xml:space="preserve"> </w:t>
      </w:r>
      <w:r>
        <w:rPr>
          <w:rFonts w:cs="Times New Roman"/>
          <w:szCs w:val="24"/>
        </w:rPr>
        <w:t>which won the first place in object localization and the second place for image classification for the 2014 ILSVRC. Object localization is a task of detecting objects inside images, while image classification is the task of identifying unseen test images. VGG16</w:t>
      </w:r>
      <w:r w:rsidRPr="00DC4863">
        <w:rPr>
          <w:rFonts w:cs="Times New Roman"/>
          <w:szCs w:val="24"/>
        </w:rPr>
        <w:t xml:space="preserve"> achieve</w:t>
      </w:r>
      <w:r>
        <w:rPr>
          <w:rFonts w:cs="Times New Roman"/>
          <w:szCs w:val="24"/>
        </w:rPr>
        <w:t>d</w:t>
      </w:r>
      <w:r w:rsidRPr="00DC4863">
        <w:rPr>
          <w:rFonts w:cs="Times New Roman"/>
          <w:szCs w:val="24"/>
        </w:rPr>
        <w:t xml:space="preserve"> 92.7% top-5 </w:t>
      </w:r>
      <w:r>
        <w:rPr>
          <w:rFonts w:cs="Times New Roman"/>
          <w:szCs w:val="24"/>
        </w:rPr>
        <w:t xml:space="preserve">image classification </w:t>
      </w:r>
      <w:r w:rsidRPr="00DC4863">
        <w:rPr>
          <w:rFonts w:cs="Times New Roman"/>
          <w:szCs w:val="24"/>
        </w:rPr>
        <w:t>test accuracy in ImageNet</w:t>
      </w:r>
      <w:r>
        <w:rPr>
          <w:rFonts w:cs="Times New Roman"/>
          <w:szCs w:val="24"/>
        </w:rPr>
        <w:t>, an improvement over AlexNet in 2012.</w:t>
      </w:r>
      <w:r w:rsidRPr="00DC4863">
        <w:rPr>
          <w:rFonts w:cs="Times New Roman"/>
          <w:szCs w:val="24"/>
        </w:rPr>
        <w:t> </w:t>
      </w:r>
      <w:r>
        <w:rPr>
          <w:rFonts w:cs="Times New Roman"/>
          <w:szCs w:val="24"/>
        </w:rPr>
        <w:t xml:space="preserve"> Two of the key features of the model are its relatively smaller filter sizes and the depth of the network. The number 16 in VGG16 indicates the number of layers in the model as shown in </w:t>
      </w:r>
      <w:r w:rsidRPr="005D3E70">
        <w:rPr>
          <w:rFonts w:cs="Times New Roman"/>
          <w:b/>
          <w:bCs/>
          <w:color w:val="000000"/>
          <w:szCs w:val="24"/>
        </w:rPr>
        <w:t xml:space="preserve">Fig. </w:t>
      </w:r>
      <w:r w:rsidR="0063080C">
        <w:rPr>
          <w:b/>
          <w:bCs/>
        </w:rPr>
        <w:t>3.9</w:t>
      </w:r>
      <w:r>
        <w:rPr>
          <w:rFonts w:cs="Times New Roman"/>
          <w:szCs w:val="24"/>
        </w:rPr>
        <w:t xml:space="preserve">. </w:t>
      </w:r>
    </w:p>
    <w:p w14:paraId="540921D8" w14:textId="77777777" w:rsidR="00B1254A" w:rsidRDefault="006665BC" w:rsidP="002D3208">
      <w:pPr>
        <w:keepNext/>
        <w:tabs>
          <w:tab w:val="num" w:pos="720"/>
          <w:tab w:val="left" w:pos="1763"/>
        </w:tabs>
        <w:spacing w:after="0"/>
        <w:ind w:firstLine="288"/>
        <w:jc w:val="center"/>
      </w:pPr>
      <w:r>
        <w:rPr>
          <w:noProof/>
        </w:rPr>
        <w:drawing>
          <wp:inline distT="0" distB="0" distL="0" distR="0" wp14:anchorId="57B5DB90" wp14:editId="41852C0F">
            <wp:extent cx="5524500" cy="3574989"/>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548259" cy="3590364"/>
                    </a:xfrm>
                    <a:prstGeom prst="rect">
                      <a:avLst/>
                    </a:prstGeom>
                  </pic:spPr>
                </pic:pic>
              </a:graphicData>
            </a:graphic>
          </wp:inline>
        </w:drawing>
      </w:r>
    </w:p>
    <w:p w14:paraId="7A928E6E" w14:textId="0720A5DC" w:rsidR="0063080C" w:rsidRDefault="00B1254A" w:rsidP="0063080C">
      <w:pPr>
        <w:tabs>
          <w:tab w:val="num" w:pos="720"/>
          <w:tab w:val="left" w:pos="1763"/>
        </w:tabs>
        <w:jc w:val="center"/>
        <w:rPr>
          <w:rFonts w:ascii="Arial" w:hAnsi="Arial" w:cs="Arial"/>
          <w:color w:val="002060"/>
          <w:sz w:val="16"/>
          <w:szCs w:val="16"/>
        </w:rPr>
      </w:pPr>
      <w:bookmarkStart w:id="82" w:name="_Toc58667171"/>
      <w:r w:rsidRPr="0063080C">
        <w:rPr>
          <w:rFonts w:ascii="Arial" w:eastAsia="Times New Roman" w:hAnsi="Arial" w:cs="Times New Roman"/>
          <w:b/>
          <w:sz w:val="16"/>
          <w:szCs w:val="20"/>
        </w:rPr>
        <w:t xml:space="preserve">Fig. 3. </w:t>
      </w:r>
      <w:r w:rsidRPr="0063080C">
        <w:rPr>
          <w:rFonts w:ascii="Arial" w:eastAsia="Times New Roman" w:hAnsi="Arial" w:cs="Times New Roman"/>
          <w:b/>
          <w:sz w:val="16"/>
          <w:szCs w:val="20"/>
        </w:rPr>
        <w:fldChar w:fldCharType="begin"/>
      </w:r>
      <w:r w:rsidRPr="0063080C">
        <w:rPr>
          <w:rFonts w:ascii="Arial" w:eastAsia="Times New Roman" w:hAnsi="Arial" w:cs="Times New Roman"/>
          <w:b/>
          <w:sz w:val="16"/>
          <w:szCs w:val="20"/>
        </w:rPr>
        <w:instrText xml:space="preserve"> SEQ Fig._3. \* ARABIC </w:instrText>
      </w:r>
      <w:r w:rsidRPr="0063080C">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9</w:t>
      </w:r>
      <w:r w:rsidRPr="0063080C">
        <w:rPr>
          <w:rFonts w:ascii="Arial" w:eastAsia="Times New Roman" w:hAnsi="Arial" w:cs="Times New Roman"/>
          <w:b/>
          <w:sz w:val="16"/>
          <w:szCs w:val="20"/>
        </w:rPr>
        <w:fldChar w:fldCharType="end"/>
      </w:r>
      <w:bookmarkStart w:id="83" w:name="_Toc56358424"/>
      <w:bookmarkStart w:id="84" w:name="_Toc56673326"/>
      <w:r w:rsidR="0063080C" w:rsidRPr="0063080C">
        <w:rPr>
          <w:rFonts w:ascii="Arial" w:eastAsia="Times New Roman" w:hAnsi="Arial" w:cs="Times New Roman"/>
          <w:b/>
          <w:sz w:val="16"/>
          <w:szCs w:val="20"/>
        </w:rPr>
        <w:t xml:space="preserve"> </w:t>
      </w:r>
      <w:r w:rsidR="0063080C">
        <w:rPr>
          <w:rFonts w:ascii="Arial" w:eastAsia="Times New Roman" w:hAnsi="Arial" w:cs="Times New Roman"/>
          <w:b/>
          <w:sz w:val="16"/>
          <w:szCs w:val="20"/>
        </w:rPr>
        <w:t>—</w:t>
      </w:r>
      <w:r w:rsidR="0063080C" w:rsidRPr="000257B9">
        <w:rPr>
          <w:rFonts w:ascii="Arial" w:eastAsia="Times New Roman" w:hAnsi="Arial" w:cs="Times New Roman"/>
          <w:b/>
          <w:sz w:val="16"/>
          <w:szCs w:val="20"/>
        </w:rPr>
        <w:t xml:space="preserve">VGG16 Architecture </w:t>
      </w:r>
      <w:r w:rsidR="0063080C" w:rsidRPr="007D132B">
        <w:rPr>
          <w:rFonts w:ascii="Arial" w:eastAsia="Times New Roman" w:hAnsi="Arial" w:cs="Times New Roman"/>
          <w:b/>
          <w:sz w:val="16"/>
          <w:szCs w:val="20"/>
        </w:rPr>
        <w:t>https://medium.com/towards-artificial-intelligence/the-architecture-and-implementation-of-vgg-16-b050e5a5920b</w:t>
      </w:r>
      <w:r w:rsidR="0063080C" w:rsidRPr="007D132B" w:rsidDel="007D132B">
        <w:rPr>
          <w:rFonts w:ascii="Arial" w:eastAsia="Times New Roman" w:hAnsi="Arial" w:cs="Times New Roman"/>
          <w:b/>
          <w:sz w:val="16"/>
          <w:szCs w:val="20"/>
        </w:rPr>
        <w:t xml:space="preserve"> </w:t>
      </w:r>
      <w:r w:rsidR="0063080C">
        <w:rPr>
          <w:rFonts w:ascii="Arial" w:eastAsia="Times New Roman" w:hAnsi="Arial" w:cs="Times New Roman"/>
          <w:b/>
          <w:sz w:val="16"/>
          <w:szCs w:val="20"/>
        </w:rPr>
        <w:t xml:space="preserve">(accessed 15 September 2020) </w:t>
      </w:r>
      <w:r w:rsidR="0063080C" w:rsidRPr="0069167D">
        <w:rPr>
          <w:rFonts w:ascii="Arial" w:eastAsia="Times New Roman" w:hAnsi="Arial" w:cs="Times New Roman"/>
          <w:b/>
          <w:sz w:val="16"/>
          <w:szCs w:val="20"/>
        </w:rPr>
        <w:t>(Khandelwal 2020).</w:t>
      </w:r>
      <w:bookmarkEnd w:id="82"/>
      <w:bookmarkEnd w:id="83"/>
      <w:bookmarkEnd w:id="84"/>
    </w:p>
    <w:p w14:paraId="613E0F12" w14:textId="77777777" w:rsidR="006665BC" w:rsidRPr="00AC4724" w:rsidRDefault="006665BC" w:rsidP="00720BA0">
      <w:pPr>
        <w:pStyle w:val="ListParagraph"/>
        <w:numPr>
          <w:ilvl w:val="0"/>
          <w:numId w:val="7"/>
        </w:numPr>
        <w:tabs>
          <w:tab w:val="left" w:pos="1763"/>
        </w:tabs>
        <w:spacing w:after="0"/>
        <w:rPr>
          <w:rFonts w:cs="Times New Roman"/>
          <w:b/>
          <w:bCs/>
          <w:szCs w:val="24"/>
        </w:rPr>
      </w:pPr>
      <w:r w:rsidRPr="00AC4724">
        <w:rPr>
          <w:rFonts w:cs="Times New Roman"/>
          <w:b/>
          <w:bCs/>
          <w:szCs w:val="24"/>
        </w:rPr>
        <w:lastRenderedPageBreak/>
        <w:t>Convolution Layers</w:t>
      </w:r>
    </w:p>
    <w:p w14:paraId="24D5012E" w14:textId="75CE5080" w:rsidR="006665BC" w:rsidRDefault="006665BC" w:rsidP="00720BA0">
      <w:pPr>
        <w:tabs>
          <w:tab w:val="left" w:pos="1763"/>
        </w:tabs>
        <w:spacing w:after="0"/>
        <w:ind w:firstLine="288"/>
        <w:rPr>
          <w:rFonts w:cs="Times New Roman"/>
          <w:szCs w:val="24"/>
        </w:rPr>
      </w:pPr>
      <w:r>
        <w:rPr>
          <w:rFonts w:cs="Times New Roman"/>
          <w:szCs w:val="24"/>
        </w:rPr>
        <w:t xml:space="preserve">VGG16 has 13 convolution layers as shown by the blue cuboids in the </w:t>
      </w:r>
      <w:r w:rsidR="00CE3966">
        <w:rPr>
          <w:rFonts w:cs="Times New Roman"/>
          <w:szCs w:val="24"/>
        </w:rPr>
        <w:t>Fig 3.9</w:t>
      </w:r>
      <w:r>
        <w:rPr>
          <w:rFonts w:cs="Times New Roman"/>
          <w:szCs w:val="24"/>
        </w:rPr>
        <w:t xml:space="preserve">. The idea behind convolution is much like multiplying two signals elementwise (signal and filter) and then summing the </w:t>
      </w:r>
      <w:r w:rsidR="00E170F4">
        <w:rPr>
          <w:rFonts w:cs="Times New Roman"/>
          <w:szCs w:val="24"/>
        </w:rPr>
        <w:t>result.</w:t>
      </w:r>
      <w:r>
        <w:rPr>
          <w:rFonts w:cs="Times New Roman"/>
          <w:szCs w:val="24"/>
        </w:rPr>
        <w:t xml:space="preserve"> For VGG16, we have the input image (signal) that needs to be of dimensions 224 x 224 x 3 pixels.</w:t>
      </w:r>
    </w:p>
    <w:p w14:paraId="1A9AFACF" w14:textId="3A7A6B01" w:rsidR="006665BC" w:rsidRDefault="006665BC" w:rsidP="00720BA0">
      <w:pPr>
        <w:tabs>
          <w:tab w:val="left" w:pos="1763"/>
        </w:tabs>
        <w:spacing w:after="0"/>
        <w:ind w:firstLine="288"/>
        <w:rPr>
          <w:rFonts w:cs="Times New Roman"/>
          <w:szCs w:val="24"/>
        </w:rPr>
      </w:pPr>
      <w:r w:rsidRPr="005D3E70">
        <w:rPr>
          <w:rFonts w:cs="Times New Roman"/>
          <w:b/>
          <w:bCs/>
          <w:color w:val="000000"/>
          <w:szCs w:val="24"/>
        </w:rPr>
        <w:t xml:space="preserve">Fig. </w:t>
      </w:r>
      <w:r w:rsidR="00266FDC">
        <w:rPr>
          <w:b/>
          <w:bCs/>
        </w:rPr>
        <w:t>3.10</w:t>
      </w:r>
      <w:r>
        <w:rPr>
          <w:rFonts w:cs="Times New Roman"/>
          <w:szCs w:val="24"/>
        </w:rPr>
        <w:t xml:space="preserve"> shows an example of </w:t>
      </w:r>
      <w:r w:rsidR="008D2C0D">
        <w:rPr>
          <w:rFonts w:cs="Times New Roman"/>
          <w:szCs w:val="24"/>
        </w:rPr>
        <w:t>co</w:t>
      </w:r>
      <w:r>
        <w:rPr>
          <w:rFonts w:cs="Times New Roman"/>
          <w:szCs w:val="24"/>
        </w:rPr>
        <w:t>nvolution. If the input image has dimensions 32 x 32 x 3 and we apply a filter of dimension 5 x 5 x 3, then convolving the filter over the image is the action of sliding the filter over</w:t>
      </w:r>
      <w:r w:rsidR="003E1386">
        <w:rPr>
          <w:rFonts w:cs="Times New Roman"/>
          <w:szCs w:val="24"/>
        </w:rPr>
        <w:t xml:space="preserve"> </w:t>
      </w:r>
      <w:r>
        <w:rPr>
          <w:rFonts w:cs="Times New Roman"/>
          <w:szCs w:val="24"/>
        </w:rPr>
        <w:t xml:space="preserve">every possible spatial location on the image, taking the dot product between the filter and the image where they overlap. Every convolution over the entire image then results in an activation map. Here in this example, the dimensions of the activation map become 28 x 28 x 1. </w:t>
      </w:r>
    </w:p>
    <w:p w14:paraId="06A171CA" w14:textId="77777777" w:rsidR="00E170F4" w:rsidRDefault="006665BC" w:rsidP="00E170F4">
      <w:pPr>
        <w:keepNext/>
        <w:tabs>
          <w:tab w:val="left" w:pos="1763"/>
        </w:tabs>
        <w:spacing w:after="0"/>
        <w:ind w:firstLine="288"/>
        <w:jc w:val="center"/>
      </w:pPr>
      <w:r>
        <w:rPr>
          <w:noProof/>
        </w:rPr>
        <w:drawing>
          <wp:inline distT="0" distB="0" distL="0" distR="0" wp14:anchorId="194F281C" wp14:editId="0CC27080">
            <wp:extent cx="4445716" cy="2077517"/>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467999" cy="2087930"/>
                    </a:xfrm>
                    <a:prstGeom prst="rect">
                      <a:avLst/>
                    </a:prstGeom>
                  </pic:spPr>
                </pic:pic>
              </a:graphicData>
            </a:graphic>
          </wp:inline>
        </w:drawing>
      </w:r>
    </w:p>
    <w:p w14:paraId="38AD04BF" w14:textId="133CFB19" w:rsidR="006665BC" w:rsidRPr="0069167D" w:rsidRDefault="00E170F4" w:rsidP="007E0D3A">
      <w:pPr>
        <w:pStyle w:val="Caption"/>
        <w:rPr>
          <w:rFonts w:ascii="Arial" w:eastAsia="Times New Roman" w:hAnsi="Arial" w:cs="Times New Roman"/>
          <w:i w:val="0"/>
          <w:iCs w:val="0"/>
          <w:sz w:val="16"/>
          <w:szCs w:val="20"/>
        </w:rPr>
      </w:pPr>
      <w:bookmarkStart w:id="85" w:name="_Toc58667172"/>
      <w:r w:rsidRPr="00CD4CEB">
        <w:rPr>
          <w:rFonts w:ascii="Arial" w:eastAsia="Times New Roman" w:hAnsi="Arial" w:cs="Times New Roman"/>
          <w:i w:val="0"/>
          <w:iCs w:val="0"/>
          <w:sz w:val="16"/>
          <w:szCs w:val="20"/>
        </w:rPr>
        <w:t xml:space="preserve">Fig. 3. </w:t>
      </w:r>
      <w:r w:rsidRPr="00CD4CEB">
        <w:rPr>
          <w:rFonts w:ascii="Arial" w:eastAsia="Times New Roman" w:hAnsi="Arial" w:cs="Times New Roman"/>
          <w:i w:val="0"/>
          <w:iCs w:val="0"/>
          <w:sz w:val="16"/>
          <w:szCs w:val="20"/>
        </w:rPr>
        <w:fldChar w:fldCharType="begin"/>
      </w:r>
      <w:r w:rsidRPr="00CD4CEB">
        <w:rPr>
          <w:rFonts w:ascii="Arial" w:eastAsia="Times New Roman" w:hAnsi="Arial" w:cs="Times New Roman"/>
          <w:i w:val="0"/>
          <w:iCs w:val="0"/>
          <w:sz w:val="16"/>
          <w:szCs w:val="20"/>
        </w:rPr>
        <w:instrText xml:space="preserve"> SEQ Fig._3. \* ARABIC </w:instrText>
      </w:r>
      <w:r w:rsidRPr="00CD4CEB">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10</w:t>
      </w:r>
      <w:r w:rsidRPr="00CD4CEB">
        <w:rPr>
          <w:rFonts w:ascii="Arial" w:eastAsia="Times New Roman" w:hAnsi="Arial" w:cs="Times New Roman"/>
          <w:i w:val="0"/>
          <w:iCs w:val="0"/>
          <w:sz w:val="16"/>
          <w:szCs w:val="20"/>
        </w:rPr>
        <w:fldChar w:fldCharType="end"/>
      </w:r>
      <w:r w:rsidR="00CD4CEB" w:rsidRPr="00CD4CEB">
        <w:rPr>
          <w:rFonts w:ascii="Arial" w:eastAsia="Times New Roman" w:hAnsi="Arial" w:cs="Times New Roman"/>
          <w:i w:val="0"/>
          <w:iCs w:val="0"/>
          <w:sz w:val="16"/>
          <w:szCs w:val="20"/>
        </w:rPr>
        <w:t xml:space="preserve">— Example of Convolution </w:t>
      </w:r>
      <w:hyperlink r:id="rId75" w:history="1">
        <w:r w:rsidR="00CD4CEB" w:rsidRPr="00CD4CEB">
          <w:rPr>
            <w:rFonts w:ascii="Arial" w:eastAsia="Times New Roman" w:hAnsi="Arial" w:cs="Times New Roman"/>
            <w:i w:val="0"/>
            <w:iCs w:val="0"/>
            <w:sz w:val="16"/>
            <w:szCs w:val="20"/>
          </w:rPr>
          <w:t>https://cs231n.github.io/convolutional-networks</w:t>
        </w:r>
      </w:hyperlink>
      <w:r w:rsidR="00CD4CEB" w:rsidRPr="00CD4CEB">
        <w:rPr>
          <w:rFonts w:ascii="Arial" w:eastAsia="Times New Roman" w:hAnsi="Arial" w:cs="Times New Roman"/>
          <w:i w:val="0"/>
          <w:iCs w:val="0"/>
          <w:sz w:val="16"/>
          <w:szCs w:val="20"/>
        </w:rPr>
        <w:t xml:space="preserve"> (accessed 21 September 2020)</w:t>
      </w:r>
      <w:r w:rsidR="00CD4CEB" w:rsidRPr="00CD4CEB">
        <w:rPr>
          <w:rFonts w:ascii="Arial" w:eastAsia="Times New Roman" w:hAnsi="Arial" w:cs="Times New Roman"/>
          <w:b w:val="0"/>
          <w:bCs/>
          <w:i w:val="0"/>
          <w:iCs w:val="0"/>
          <w:sz w:val="16"/>
          <w:szCs w:val="20"/>
        </w:rPr>
        <w:t xml:space="preserve"> </w:t>
      </w:r>
      <w:r w:rsidR="00CD4CEB" w:rsidRPr="0069167D">
        <w:rPr>
          <w:rFonts w:ascii="Arial" w:eastAsia="Times New Roman" w:hAnsi="Arial" w:cs="Times New Roman"/>
          <w:i w:val="0"/>
          <w:iCs w:val="0"/>
          <w:sz w:val="16"/>
          <w:szCs w:val="20"/>
        </w:rPr>
        <w:t>(Li et al. 2017).</w:t>
      </w:r>
      <w:bookmarkEnd w:id="85"/>
    </w:p>
    <w:p w14:paraId="609BE38F" w14:textId="0567D1F2" w:rsidR="006665BC" w:rsidRDefault="006665BC" w:rsidP="00720BA0">
      <w:pPr>
        <w:tabs>
          <w:tab w:val="left" w:pos="1763"/>
        </w:tabs>
        <w:spacing w:after="0"/>
        <w:ind w:firstLine="288"/>
        <w:rPr>
          <w:rFonts w:cs="Times New Roman"/>
          <w:szCs w:val="24"/>
        </w:rPr>
      </w:pPr>
      <w:r>
        <w:rPr>
          <w:rFonts w:cs="Times New Roman"/>
          <w:szCs w:val="24"/>
        </w:rPr>
        <w:t xml:space="preserve">There are however a few other details. </w:t>
      </w:r>
      <w:r w:rsidRPr="005D3E70">
        <w:rPr>
          <w:rFonts w:cs="Times New Roman"/>
          <w:b/>
          <w:bCs/>
          <w:color w:val="000000"/>
          <w:szCs w:val="24"/>
        </w:rPr>
        <w:t xml:space="preserve">Fig. </w:t>
      </w:r>
      <w:r w:rsidR="00266FDC">
        <w:rPr>
          <w:b/>
          <w:bCs/>
        </w:rPr>
        <w:t>3.11</w:t>
      </w:r>
      <w:r>
        <w:rPr>
          <w:rFonts w:cs="Times New Roman"/>
          <w:szCs w:val="24"/>
        </w:rPr>
        <w:t xml:space="preserve"> shows convolution with a stride. The stride refers to the number of locations skipped at each successive translation of the filter. Strides typically happen in the column- and row-direction. In </w:t>
      </w:r>
      <w:r w:rsidRPr="000801DF">
        <w:rPr>
          <w:rFonts w:cs="Times New Roman"/>
          <w:b/>
          <w:bCs/>
          <w:szCs w:val="24"/>
        </w:rPr>
        <w:t xml:space="preserve">Fig. </w:t>
      </w:r>
      <w:r w:rsidR="000801DF" w:rsidRPr="000801DF">
        <w:rPr>
          <w:rFonts w:cs="Times New Roman"/>
          <w:b/>
          <w:bCs/>
          <w:szCs w:val="24"/>
        </w:rPr>
        <w:t>3.12</w:t>
      </w:r>
      <w:r>
        <w:rPr>
          <w:rFonts w:cs="Times New Roman"/>
          <w:szCs w:val="24"/>
        </w:rPr>
        <w:t xml:space="preserve">, the stride length is seen to be 2. The formula for the output is given by (N-F+P)/S +1 where N is the dimension of input, F is size </w:t>
      </w:r>
      <w:r>
        <w:rPr>
          <w:rFonts w:cs="Times New Roman"/>
          <w:szCs w:val="24"/>
        </w:rPr>
        <w:lastRenderedPageBreak/>
        <w:t>of filter, S is the number of strides used and P is the number of rows or columns added after padding. It is common practice to pad the first row, first column, last row and last column of the input with zeros during convolution. Padding allows us to capture the details surrounding the edges or corners of an input.</w:t>
      </w:r>
      <w:r w:rsidRPr="00DA6648">
        <w:rPr>
          <w:rFonts w:cs="Times New Roman"/>
          <w:szCs w:val="24"/>
        </w:rPr>
        <w:t xml:space="preserve"> </w:t>
      </w:r>
      <w:r>
        <w:rPr>
          <w:rFonts w:cs="Times New Roman"/>
          <w:szCs w:val="24"/>
        </w:rPr>
        <w:t xml:space="preserve">In this case, the output size by taking the dot products between the input and the filter without any padding is 3 x 3.  </w:t>
      </w:r>
    </w:p>
    <w:p w14:paraId="048856BE" w14:textId="036E0E31" w:rsidR="0013357E" w:rsidRDefault="006665BC" w:rsidP="007E0D3A">
      <w:pPr>
        <w:keepNext/>
        <w:tabs>
          <w:tab w:val="left" w:pos="1763"/>
        </w:tabs>
        <w:spacing w:after="0"/>
        <w:ind w:firstLine="288"/>
        <w:jc w:val="center"/>
      </w:pPr>
      <w:r>
        <w:rPr>
          <w:noProof/>
        </w:rPr>
        <w:drawing>
          <wp:inline distT="0" distB="0" distL="0" distR="0" wp14:anchorId="1A628611" wp14:editId="50BDEA0E">
            <wp:extent cx="1821485" cy="1917813"/>
            <wp:effectExtent l="0" t="0" r="7620" b="635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1843534" cy="1941028"/>
                    </a:xfrm>
                    <a:prstGeom prst="rect">
                      <a:avLst/>
                    </a:prstGeom>
                  </pic:spPr>
                </pic:pic>
              </a:graphicData>
            </a:graphic>
          </wp:inline>
        </w:drawing>
      </w:r>
      <w:r>
        <w:rPr>
          <w:noProof/>
        </w:rPr>
        <w:drawing>
          <wp:inline distT="0" distB="0" distL="0" distR="0" wp14:anchorId="20C8F78D" wp14:editId="58CD953E">
            <wp:extent cx="1841835" cy="1945843"/>
            <wp:effectExtent l="0" t="0" r="635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841835" cy="1945843"/>
                    </a:xfrm>
                    <a:prstGeom prst="rect">
                      <a:avLst/>
                    </a:prstGeom>
                  </pic:spPr>
                </pic:pic>
              </a:graphicData>
            </a:graphic>
          </wp:inline>
        </w:drawing>
      </w:r>
      <w:r>
        <w:rPr>
          <w:noProof/>
        </w:rPr>
        <w:drawing>
          <wp:inline distT="0" distB="0" distL="0" distR="0" wp14:anchorId="61E34E21" wp14:editId="68392353">
            <wp:extent cx="1850390" cy="196521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1899049" cy="2016890"/>
                    </a:xfrm>
                    <a:prstGeom prst="rect">
                      <a:avLst/>
                    </a:prstGeom>
                  </pic:spPr>
                </pic:pic>
              </a:graphicData>
            </a:graphic>
          </wp:inline>
        </w:drawing>
      </w:r>
    </w:p>
    <w:p w14:paraId="5775CC6D" w14:textId="200125FA" w:rsidR="006665BC" w:rsidRPr="0069167D" w:rsidRDefault="0013357E" w:rsidP="00677FF7">
      <w:pPr>
        <w:contextualSpacing/>
        <w:jc w:val="center"/>
        <w:rPr>
          <w:rFonts w:ascii="Arial" w:eastAsia="Times New Roman" w:hAnsi="Arial" w:cs="Times New Roman"/>
          <w:b/>
          <w:sz w:val="16"/>
          <w:szCs w:val="20"/>
        </w:rPr>
      </w:pPr>
      <w:bookmarkStart w:id="86" w:name="_Toc58667173"/>
      <w:r w:rsidRPr="00677FF7">
        <w:rPr>
          <w:rFonts w:ascii="Arial" w:eastAsia="Times New Roman" w:hAnsi="Arial" w:cs="Times New Roman"/>
          <w:b/>
          <w:sz w:val="16"/>
          <w:szCs w:val="20"/>
        </w:rPr>
        <w:t xml:space="preserve">Fig. 3. </w:t>
      </w:r>
      <w:r w:rsidRPr="00677FF7">
        <w:rPr>
          <w:rFonts w:ascii="Arial" w:eastAsia="Times New Roman" w:hAnsi="Arial" w:cs="Times New Roman"/>
          <w:b/>
          <w:sz w:val="16"/>
          <w:szCs w:val="20"/>
        </w:rPr>
        <w:fldChar w:fldCharType="begin"/>
      </w:r>
      <w:r w:rsidRPr="00677FF7">
        <w:rPr>
          <w:rFonts w:ascii="Arial" w:eastAsia="Times New Roman" w:hAnsi="Arial" w:cs="Times New Roman"/>
          <w:b/>
          <w:sz w:val="16"/>
          <w:szCs w:val="20"/>
        </w:rPr>
        <w:instrText xml:space="preserve"> SEQ Fig._3. \* ARABIC </w:instrText>
      </w:r>
      <w:r w:rsidRPr="00677FF7">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11</w:t>
      </w:r>
      <w:r w:rsidRPr="00677FF7">
        <w:rPr>
          <w:rFonts w:ascii="Arial" w:eastAsia="Times New Roman" w:hAnsi="Arial" w:cs="Times New Roman"/>
          <w:b/>
          <w:sz w:val="16"/>
          <w:szCs w:val="20"/>
        </w:rPr>
        <w:fldChar w:fldCharType="end"/>
      </w:r>
      <w:r w:rsidR="00677FF7" w:rsidRPr="00677FF7">
        <w:rPr>
          <w:rFonts w:ascii="Arial" w:eastAsia="Times New Roman" w:hAnsi="Arial" w:cs="Times New Roman"/>
          <w:b/>
          <w:sz w:val="16"/>
          <w:szCs w:val="20"/>
        </w:rPr>
        <w:t>—</w:t>
      </w:r>
      <w:r w:rsidR="00677FF7" w:rsidRPr="000257B9">
        <w:rPr>
          <w:rFonts w:ascii="Arial" w:eastAsia="Times New Roman" w:hAnsi="Arial" w:cs="Times New Roman"/>
          <w:b/>
          <w:sz w:val="16"/>
          <w:szCs w:val="20"/>
        </w:rPr>
        <w:t xml:space="preserve">An illustration of a 2-dimensional input convolved with a 3 x 3 filter with a stride of 2 </w:t>
      </w:r>
      <w:hyperlink r:id="rId79" w:history="1">
        <w:r w:rsidR="00677FF7" w:rsidRPr="00DC2B34">
          <w:rPr>
            <w:rFonts w:ascii="Arial" w:eastAsia="Times New Roman" w:hAnsi="Arial" w:cs="Times New Roman"/>
            <w:b/>
            <w:sz w:val="16"/>
            <w:szCs w:val="20"/>
          </w:rPr>
          <w:t>https://cs231n.github.io/convolutional-networks</w:t>
        </w:r>
      </w:hyperlink>
      <w:r w:rsidR="00677FF7">
        <w:rPr>
          <w:rFonts w:ascii="Arial" w:eastAsia="Times New Roman" w:hAnsi="Arial" w:cs="Times New Roman"/>
          <w:b/>
          <w:sz w:val="16"/>
          <w:szCs w:val="20"/>
        </w:rPr>
        <w:t xml:space="preserve"> (</w:t>
      </w:r>
      <w:r w:rsidR="00677FF7" w:rsidRPr="00DC2B34">
        <w:rPr>
          <w:rFonts w:ascii="Arial" w:eastAsia="Times New Roman" w:hAnsi="Arial" w:cs="Times New Roman"/>
          <w:b/>
          <w:sz w:val="16"/>
          <w:szCs w:val="20"/>
        </w:rPr>
        <w:t xml:space="preserve">accessed 21 September 2020) </w:t>
      </w:r>
      <w:r w:rsidR="00677FF7" w:rsidRPr="0069167D">
        <w:rPr>
          <w:rFonts w:ascii="Arial" w:eastAsia="Times New Roman" w:hAnsi="Arial" w:cs="Times New Roman"/>
          <w:b/>
          <w:sz w:val="16"/>
          <w:szCs w:val="20"/>
        </w:rPr>
        <w:t>(Li et al. 2017).</w:t>
      </w:r>
      <w:bookmarkEnd w:id="86"/>
    </w:p>
    <w:p w14:paraId="1FE7C394" w14:textId="23108202" w:rsidR="006665BC" w:rsidRDefault="006665BC" w:rsidP="00720BA0">
      <w:pPr>
        <w:tabs>
          <w:tab w:val="left" w:pos="1763"/>
        </w:tabs>
        <w:spacing w:after="0"/>
        <w:ind w:firstLine="288"/>
        <w:rPr>
          <w:rFonts w:cs="Times New Roman"/>
          <w:szCs w:val="24"/>
        </w:rPr>
      </w:pPr>
      <w:r>
        <w:rPr>
          <w:rFonts w:cs="Times New Roman"/>
          <w:szCs w:val="24"/>
        </w:rPr>
        <w:t>Because VGG16 takes a 3-dimensional input, the filters used are extended to the full breadth of the input image and are also 3-dimensional in size. There are 64 filters in the 1</w:t>
      </w:r>
      <w:r w:rsidRPr="00D85E0A">
        <w:rPr>
          <w:rFonts w:cs="Times New Roman"/>
          <w:szCs w:val="24"/>
          <w:vertAlign w:val="superscript"/>
        </w:rPr>
        <w:t>st</w:t>
      </w:r>
      <w:r>
        <w:rPr>
          <w:rFonts w:cs="Times New Roman"/>
          <w:szCs w:val="24"/>
        </w:rPr>
        <w:t xml:space="preserve"> convolutional layer with dimensions 3 x 3 with stride and padding of 1. Output size = (N-F+P)/S +1 = (224-3+2)/1+1=224. Therefore, the output dimension from the 1</w:t>
      </w:r>
      <w:r w:rsidRPr="003D70C8">
        <w:rPr>
          <w:rFonts w:cs="Times New Roman"/>
          <w:szCs w:val="24"/>
          <w:vertAlign w:val="superscript"/>
        </w:rPr>
        <w:t>st</w:t>
      </w:r>
      <w:r>
        <w:rPr>
          <w:rFonts w:cs="Times New Roman"/>
          <w:szCs w:val="24"/>
        </w:rPr>
        <w:t xml:space="preserve"> convolution is again 224 x 224 x 3. The output with all 3 channels is then 224 x 224 x 64.</w:t>
      </w:r>
    </w:p>
    <w:p w14:paraId="1946CA74" w14:textId="7AEDD673" w:rsidR="006665BC" w:rsidRDefault="006665BC" w:rsidP="00720BA0">
      <w:pPr>
        <w:tabs>
          <w:tab w:val="left" w:pos="1763"/>
        </w:tabs>
        <w:spacing w:after="0"/>
        <w:ind w:firstLine="288"/>
        <w:rPr>
          <w:rFonts w:cs="Times New Roman"/>
          <w:szCs w:val="24"/>
        </w:rPr>
      </w:pPr>
      <w:r w:rsidRPr="005D3E70">
        <w:rPr>
          <w:rFonts w:cs="Times New Roman"/>
          <w:b/>
          <w:bCs/>
          <w:color w:val="000000"/>
          <w:szCs w:val="24"/>
        </w:rPr>
        <w:t xml:space="preserve">Fig. </w:t>
      </w:r>
      <w:r w:rsidR="00DB6F64">
        <w:rPr>
          <w:b/>
          <w:bCs/>
        </w:rPr>
        <w:t>3.12</w:t>
      </w:r>
      <w:r>
        <w:rPr>
          <w:rFonts w:cs="Times New Roman"/>
          <w:szCs w:val="24"/>
        </w:rPr>
        <w:t xml:space="preserve"> shows another example of </w:t>
      </w:r>
      <w:r w:rsidR="009F2968">
        <w:rPr>
          <w:rFonts w:cs="Times New Roman"/>
          <w:szCs w:val="24"/>
        </w:rPr>
        <w:t>two</w:t>
      </w:r>
      <w:r>
        <w:rPr>
          <w:rFonts w:cs="Times New Roman"/>
          <w:szCs w:val="24"/>
        </w:rPr>
        <w:t xml:space="preserve"> 3 x 3 x 3 filters working through a convolution on a 7 x 7 x 3 size image. In terms of image recognition, the earlier convolution layers learn the low-level features like edges or curved areas on the image and as we go deeper into the network, the complexity of abstraction increases thereby enabling the model to learn high-level features within the image.</w:t>
      </w:r>
    </w:p>
    <w:p w14:paraId="4BD174C5" w14:textId="77777777" w:rsidR="006665BC" w:rsidRDefault="006665BC" w:rsidP="006665BC">
      <w:pPr>
        <w:tabs>
          <w:tab w:val="left" w:pos="1763"/>
        </w:tabs>
        <w:ind w:firstLine="288"/>
        <w:rPr>
          <w:rFonts w:cs="Times New Roman"/>
          <w:szCs w:val="24"/>
        </w:rPr>
      </w:pPr>
    </w:p>
    <w:p w14:paraId="0189C634" w14:textId="77777777" w:rsidR="00DB6F64" w:rsidRDefault="006665BC" w:rsidP="00667254">
      <w:pPr>
        <w:keepNext/>
        <w:tabs>
          <w:tab w:val="num" w:pos="720"/>
          <w:tab w:val="left" w:pos="1763"/>
        </w:tabs>
        <w:spacing w:after="0"/>
        <w:ind w:firstLine="288"/>
        <w:jc w:val="center"/>
      </w:pPr>
      <w:r>
        <w:rPr>
          <w:noProof/>
        </w:rPr>
        <w:lastRenderedPageBreak/>
        <w:drawing>
          <wp:inline distT="0" distB="0" distL="0" distR="0" wp14:anchorId="730D1119" wp14:editId="5755E624">
            <wp:extent cx="5943600" cy="5251450"/>
            <wp:effectExtent l="0" t="0" r="0" b="635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943600" cy="5251450"/>
                    </a:xfrm>
                    <a:prstGeom prst="rect">
                      <a:avLst/>
                    </a:prstGeom>
                  </pic:spPr>
                </pic:pic>
              </a:graphicData>
            </a:graphic>
          </wp:inline>
        </w:drawing>
      </w:r>
    </w:p>
    <w:p w14:paraId="228687A2" w14:textId="1BD33749" w:rsidR="007C49D1" w:rsidRPr="0069167D" w:rsidRDefault="00DB6F64" w:rsidP="00BD72AC">
      <w:pPr>
        <w:contextualSpacing/>
        <w:jc w:val="center"/>
        <w:rPr>
          <w:rFonts w:ascii="Arial" w:eastAsia="Times New Roman" w:hAnsi="Arial" w:cs="Times New Roman"/>
          <w:b/>
          <w:sz w:val="16"/>
          <w:szCs w:val="20"/>
        </w:rPr>
      </w:pPr>
      <w:bookmarkStart w:id="87" w:name="_Toc58667174"/>
      <w:r w:rsidRPr="007C49D1">
        <w:rPr>
          <w:rFonts w:ascii="Arial" w:eastAsia="Times New Roman" w:hAnsi="Arial" w:cs="Times New Roman"/>
          <w:b/>
          <w:sz w:val="16"/>
          <w:szCs w:val="20"/>
        </w:rPr>
        <w:t xml:space="preserve">Fig. 3. </w:t>
      </w:r>
      <w:r w:rsidRPr="007C49D1">
        <w:rPr>
          <w:rFonts w:ascii="Arial" w:eastAsia="Times New Roman" w:hAnsi="Arial" w:cs="Times New Roman"/>
          <w:b/>
          <w:sz w:val="16"/>
          <w:szCs w:val="20"/>
        </w:rPr>
        <w:fldChar w:fldCharType="begin"/>
      </w:r>
      <w:r w:rsidRPr="007C49D1">
        <w:rPr>
          <w:rFonts w:ascii="Arial" w:eastAsia="Times New Roman" w:hAnsi="Arial" w:cs="Times New Roman"/>
          <w:b/>
          <w:sz w:val="16"/>
          <w:szCs w:val="20"/>
        </w:rPr>
        <w:instrText xml:space="preserve"> SEQ Fig._3. \* ARABIC </w:instrText>
      </w:r>
      <w:r w:rsidRPr="007C49D1">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12</w:t>
      </w:r>
      <w:r w:rsidRPr="007C49D1">
        <w:rPr>
          <w:rFonts w:ascii="Arial" w:eastAsia="Times New Roman" w:hAnsi="Arial" w:cs="Times New Roman"/>
          <w:b/>
          <w:sz w:val="16"/>
          <w:szCs w:val="20"/>
        </w:rPr>
        <w:fldChar w:fldCharType="end"/>
      </w:r>
      <w:r w:rsidR="007C49D1" w:rsidRPr="007C49D1">
        <w:rPr>
          <w:rFonts w:ascii="Arial" w:eastAsia="Times New Roman" w:hAnsi="Arial" w:cs="Times New Roman"/>
          <w:b/>
          <w:sz w:val="16"/>
          <w:szCs w:val="20"/>
        </w:rPr>
        <w:t>—</w:t>
      </w:r>
      <w:r w:rsidR="007C49D1" w:rsidRPr="00067777">
        <w:rPr>
          <w:rFonts w:ascii="Arial" w:eastAsia="Times New Roman" w:hAnsi="Arial" w:cs="Times New Roman"/>
          <w:b/>
          <w:sz w:val="16"/>
          <w:szCs w:val="20"/>
        </w:rPr>
        <w:t xml:space="preserve">Example of a 3-dimensional input image convolved with 3-dimensional filter                                                                               </w:t>
      </w:r>
      <w:r w:rsidR="007C49D1">
        <w:rPr>
          <w:rFonts w:ascii="Arial" w:eastAsia="Times New Roman" w:hAnsi="Arial" w:cs="Times New Roman"/>
          <w:b/>
          <w:sz w:val="16"/>
          <w:szCs w:val="20"/>
        </w:rPr>
        <w:t xml:space="preserve">   </w:t>
      </w:r>
      <w:r w:rsidR="007C49D1">
        <w:rPr>
          <w:rFonts w:ascii="Arial" w:hAnsi="Arial" w:cs="Arial"/>
          <w:color w:val="002060"/>
          <w:sz w:val="16"/>
          <w:szCs w:val="16"/>
        </w:rPr>
        <w:t xml:space="preserve"> </w:t>
      </w:r>
      <w:hyperlink r:id="rId81" w:history="1">
        <w:r w:rsidR="007C49D1" w:rsidRPr="00DC2B34">
          <w:rPr>
            <w:rFonts w:ascii="Arial" w:eastAsia="Times New Roman" w:hAnsi="Arial" w:cs="Times New Roman"/>
            <w:b/>
            <w:sz w:val="16"/>
            <w:szCs w:val="20"/>
          </w:rPr>
          <w:t>https://cs231n.github.io/convolutional-networks</w:t>
        </w:r>
      </w:hyperlink>
      <w:r w:rsidR="007C49D1">
        <w:rPr>
          <w:rFonts w:ascii="Arial" w:eastAsia="Times New Roman" w:hAnsi="Arial" w:cs="Times New Roman"/>
          <w:b/>
          <w:sz w:val="16"/>
          <w:szCs w:val="20"/>
        </w:rPr>
        <w:t xml:space="preserve"> (</w:t>
      </w:r>
      <w:r w:rsidR="007C49D1" w:rsidRPr="00DC2B34">
        <w:rPr>
          <w:rFonts w:ascii="Arial" w:eastAsia="Times New Roman" w:hAnsi="Arial" w:cs="Times New Roman"/>
          <w:b/>
          <w:sz w:val="16"/>
          <w:szCs w:val="20"/>
        </w:rPr>
        <w:t xml:space="preserve">accessed 21 September 2020) </w:t>
      </w:r>
      <w:r w:rsidR="007C49D1" w:rsidRPr="0069167D">
        <w:rPr>
          <w:rFonts w:ascii="Arial" w:eastAsia="Times New Roman" w:hAnsi="Arial" w:cs="Times New Roman"/>
          <w:b/>
          <w:sz w:val="16"/>
          <w:szCs w:val="20"/>
        </w:rPr>
        <w:t>(Li et al. 2017).</w:t>
      </w:r>
      <w:bookmarkEnd w:id="87"/>
    </w:p>
    <w:p w14:paraId="51547F21" w14:textId="77777777" w:rsidR="006665BC" w:rsidRPr="00AC4724" w:rsidRDefault="006665BC" w:rsidP="00720BA0">
      <w:pPr>
        <w:pStyle w:val="ListParagraph"/>
        <w:numPr>
          <w:ilvl w:val="0"/>
          <w:numId w:val="7"/>
        </w:numPr>
        <w:tabs>
          <w:tab w:val="left" w:pos="1763"/>
        </w:tabs>
        <w:spacing w:after="0"/>
        <w:rPr>
          <w:rFonts w:cs="Times New Roman"/>
          <w:b/>
          <w:bCs/>
          <w:szCs w:val="24"/>
        </w:rPr>
      </w:pPr>
      <w:r w:rsidRPr="00AC4724">
        <w:rPr>
          <w:rFonts w:cs="Times New Roman"/>
          <w:b/>
          <w:bCs/>
          <w:szCs w:val="24"/>
        </w:rPr>
        <w:t>Activation or the Rectified Linear Unit (ReLU) Layer</w:t>
      </w:r>
    </w:p>
    <w:p w14:paraId="319E042F" w14:textId="37ADC3BA" w:rsidR="006665BC" w:rsidRDefault="006665BC" w:rsidP="003B0BAA">
      <w:pPr>
        <w:tabs>
          <w:tab w:val="left" w:pos="1763"/>
        </w:tabs>
        <w:spacing w:after="0"/>
        <w:ind w:firstLine="288"/>
        <w:rPr>
          <w:rFonts w:cs="Times New Roman"/>
          <w:szCs w:val="24"/>
        </w:rPr>
      </w:pPr>
      <w:r>
        <w:rPr>
          <w:rFonts w:cs="Times New Roman"/>
          <w:szCs w:val="24"/>
        </w:rPr>
        <w:t xml:space="preserve">Every convolution layer in VGG16 is supplemented with a Rectified Linear Unit whose main function is to introduce non-linearity in the convolved output. The ReLU function is </w:t>
      </w:r>
      <w:r w:rsidR="009A33EA">
        <w:rPr>
          <w:rFonts w:cs="Times New Roman"/>
          <w:szCs w:val="24"/>
        </w:rPr>
        <w:t>given by Eq. 3.2 and a</w:t>
      </w:r>
      <w:r w:rsidR="004113A9">
        <w:rPr>
          <w:rFonts w:cs="Times New Roman"/>
          <w:szCs w:val="24"/>
        </w:rPr>
        <w:t xml:space="preserve">n example is </w:t>
      </w:r>
      <w:r>
        <w:rPr>
          <w:rFonts w:cs="Times New Roman"/>
          <w:szCs w:val="24"/>
        </w:rPr>
        <w:t xml:space="preserve">shown in </w:t>
      </w:r>
      <w:r w:rsidRPr="005D3E70">
        <w:rPr>
          <w:rFonts w:cs="Times New Roman"/>
          <w:b/>
          <w:bCs/>
          <w:color w:val="000000"/>
          <w:szCs w:val="24"/>
        </w:rPr>
        <w:t xml:space="preserve">Fig. </w:t>
      </w:r>
      <w:r w:rsidR="0095458F">
        <w:rPr>
          <w:b/>
          <w:bCs/>
        </w:rPr>
        <w:t>3.13</w:t>
      </w:r>
      <w:r w:rsidRPr="00290BA0">
        <w:t>.</w:t>
      </w:r>
    </w:p>
    <w:p w14:paraId="110D01D6" w14:textId="77777777" w:rsidR="0095458F" w:rsidRDefault="006665BC" w:rsidP="0095458F">
      <w:pPr>
        <w:keepNext/>
        <w:tabs>
          <w:tab w:val="left" w:pos="1763"/>
        </w:tabs>
        <w:spacing w:after="0"/>
        <w:ind w:firstLine="288"/>
        <w:jc w:val="center"/>
      </w:pPr>
      <w:r>
        <w:rPr>
          <w:noProof/>
        </w:rPr>
        <w:lastRenderedPageBreak/>
        <w:drawing>
          <wp:inline distT="0" distB="0" distL="0" distR="0" wp14:anchorId="156AC8E0" wp14:editId="3CA8EC07">
            <wp:extent cx="2725615" cy="2083232"/>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30272" cy="2086792"/>
                    </a:xfrm>
                    <a:prstGeom prst="rect">
                      <a:avLst/>
                    </a:prstGeom>
                  </pic:spPr>
                </pic:pic>
              </a:graphicData>
            </a:graphic>
          </wp:inline>
        </w:drawing>
      </w:r>
    </w:p>
    <w:p w14:paraId="161347D5" w14:textId="37A7C13A" w:rsidR="006665BC" w:rsidRPr="0069167D" w:rsidRDefault="0095458F" w:rsidP="003B0BAA">
      <w:pPr>
        <w:spacing w:after="0"/>
        <w:jc w:val="center"/>
        <w:rPr>
          <w:rFonts w:ascii="Arial" w:eastAsia="Times New Roman" w:hAnsi="Arial" w:cs="Times New Roman"/>
          <w:b/>
          <w:sz w:val="16"/>
          <w:szCs w:val="20"/>
        </w:rPr>
      </w:pPr>
      <w:bookmarkStart w:id="88" w:name="_Toc58667175"/>
      <w:r w:rsidRPr="003B0BAA">
        <w:rPr>
          <w:rFonts w:ascii="Arial" w:eastAsia="Times New Roman" w:hAnsi="Arial" w:cs="Times New Roman"/>
          <w:b/>
          <w:sz w:val="16"/>
          <w:szCs w:val="20"/>
        </w:rPr>
        <w:t xml:space="preserve">Fig. 3. </w:t>
      </w:r>
      <w:r w:rsidRPr="003B0BAA">
        <w:rPr>
          <w:rFonts w:ascii="Arial" w:eastAsia="Times New Roman" w:hAnsi="Arial" w:cs="Times New Roman"/>
          <w:b/>
          <w:sz w:val="16"/>
          <w:szCs w:val="20"/>
        </w:rPr>
        <w:fldChar w:fldCharType="begin"/>
      </w:r>
      <w:r w:rsidRPr="003B0BAA">
        <w:rPr>
          <w:rFonts w:ascii="Arial" w:eastAsia="Times New Roman" w:hAnsi="Arial" w:cs="Times New Roman"/>
          <w:b/>
          <w:sz w:val="16"/>
          <w:szCs w:val="20"/>
        </w:rPr>
        <w:instrText xml:space="preserve"> SEQ Fig._3. \* ARABIC </w:instrText>
      </w:r>
      <w:r w:rsidRPr="003B0BA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13</w:t>
      </w:r>
      <w:r w:rsidRPr="003B0BAA">
        <w:rPr>
          <w:rFonts w:ascii="Arial" w:eastAsia="Times New Roman" w:hAnsi="Arial" w:cs="Times New Roman"/>
          <w:b/>
          <w:sz w:val="16"/>
          <w:szCs w:val="20"/>
        </w:rPr>
        <w:fldChar w:fldCharType="end"/>
      </w:r>
      <w:r w:rsidR="003B0BAA" w:rsidRPr="003B0BAA">
        <w:rPr>
          <w:rFonts w:ascii="Arial" w:eastAsia="Times New Roman" w:hAnsi="Arial" w:cs="Times New Roman"/>
          <w:b/>
          <w:sz w:val="16"/>
          <w:szCs w:val="20"/>
        </w:rPr>
        <w:t>—</w:t>
      </w:r>
      <w:r w:rsidR="003B0BAA" w:rsidRPr="00600D36">
        <w:rPr>
          <w:rFonts w:ascii="Arial" w:eastAsia="Times New Roman" w:hAnsi="Arial" w:cs="Times New Roman"/>
          <w:b/>
          <w:sz w:val="16"/>
          <w:szCs w:val="20"/>
        </w:rPr>
        <w:t xml:space="preserve">Example of Rectified Linear Activation Function                                                                                                     </w:t>
      </w:r>
      <w:r w:rsidR="003B0BAA" w:rsidRPr="00600D36">
        <w:rPr>
          <w:rFonts w:ascii="Arial" w:hAnsi="Arial" w:cs="Arial"/>
          <w:color w:val="002060"/>
          <w:sz w:val="16"/>
          <w:szCs w:val="16"/>
        </w:rPr>
        <w:t xml:space="preserve"> </w:t>
      </w:r>
      <w:hyperlink r:id="rId83" w:history="1">
        <w:r w:rsidR="003B0BAA" w:rsidRPr="003B0BAA">
          <w:rPr>
            <w:rFonts w:ascii="Arial" w:eastAsia="Times New Roman" w:hAnsi="Arial" w:cs="Times New Roman"/>
            <w:b/>
            <w:sz w:val="16"/>
            <w:szCs w:val="20"/>
          </w:rPr>
          <w:t>https://machinelearningmastery.com/rectified-linear-activation-function-for-deep-learning-neural-networks</w:t>
        </w:r>
      </w:hyperlink>
      <w:r w:rsidR="003B0BAA">
        <w:rPr>
          <w:rFonts w:ascii="Arial" w:eastAsia="Times New Roman" w:hAnsi="Arial" w:cs="Times New Roman"/>
          <w:b/>
          <w:sz w:val="16"/>
          <w:szCs w:val="20"/>
        </w:rPr>
        <w:t xml:space="preserve"> (accessed September 21 2020) </w:t>
      </w:r>
      <w:r w:rsidR="003B0BAA" w:rsidRPr="0069167D">
        <w:rPr>
          <w:rFonts w:ascii="Arial" w:eastAsia="Times New Roman" w:hAnsi="Arial" w:cs="Times New Roman"/>
          <w:b/>
          <w:sz w:val="16"/>
          <w:szCs w:val="20"/>
        </w:rPr>
        <w:t>(Brownlee 2017).</w:t>
      </w:r>
      <w:bookmarkEnd w:id="88"/>
      <w:r w:rsidR="003B0BAA" w:rsidRPr="00905EA4">
        <w:rPr>
          <w:rFonts w:ascii="Arial" w:eastAsia="Times New Roman" w:hAnsi="Arial" w:cs="Times New Roman"/>
          <w:b/>
          <w:sz w:val="16"/>
          <w:szCs w:val="20"/>
        </w:rPr>
        <w:t xml:space="preserve"> </w:t>
      </w:r>
    </w:p>
    <w:p w14:paraId="2589CF88" w14:textId="77777777" w:rsidR="006665BC" w:rsidRDefault="006665BC" w:rsidP="00720BA0">
      <w:pPr>
        <w:spacing w:after="0"/>
        <w:ind w:right="4320"/>
        <w:jc w:val="left"/>
        <w:rPr>
          <w:rFonts w:ascii="Arial" w:hAnsi="Arial" w:cs="Arial"/>
          <w:color w:val="002060"/>
          <w:sz w:val="16"/>
          <w:szCs w:val="16"/>
        </w:rPr>
      </w:pPr>
    </w:p>
    <w:p w14:paraId="7B7129D2" w14:textId="5622CBFD" w:rsidR="003B0BAA" w:rsidRDefault="00D652BB" w:rsidP="00A924C3">
      <w:pPr>
        <w:tabs>
          <w:tab w:val="left" w:pos="1763"/>
        </w:tabs>
        <w:spacing w:after="0"/>
        <w:ind w:firstLine="288"/>
        <w:rPr>
          <w:rFonts w:cs="Times New Roman"/>
          <w:szCs w:val="24"/>
        </w:rPr>
      </w:pPr>
      <w:r>
        <w:rPr>
          <w:rFonts w:cs="Times New Roman"/>
          <w:szCs w:val="24"/>
        </w:rPr>
        <w:t>f</w:t>
      </w:r>
      <w:r w:rsidR="006665BC">
        <w:rPr>
          <w:rFonts w:cs="Times New Roman"/>
          <w:szCs w:val="24"/>
        </w:rPr>
        <w:t>(</w:t>
      </w:r>
      <w:r w:rsidR="00053936">
        <w:rPr>
          <w:rFonts w:cs="Times New Roman"/>
          <w:szCs w:val="24"/>
        </w:rPr>
        <w:t>z</w:t>
      </w:r>
      <w:r w:rsidR="006665BC">
        <w:rPr>
          <w:rFonts w:cs="Times New Roman"/>
          <w:szCs w:val="24"/>
        </w:rPr>
        <w:t xml:space="preserve">)= max (0, z) </w:t>
      </w:r>
      <w:r w:rsidR="00E30399">
        <w:rPr>
          <w:rFonts w:cs="Times New Roman"/>
          <w:szCs w:val="24"/>
        </w:rPr>
        <w:t>……………………………………………………………………………...</w:t>
      </w:r>
      <w:r w:rsidR="007C6E23">
        <w:rPr>
          <w:rFonts w:cs="Times New Roman"/>
          <w:szCs w:val="24"/>
        </w:rPr>
        <w:t>3.2</w:t>
      </w:r>
    </w:p>
    <w:p w14:paraId="32EB5A04" w14:textId="203A8BD7" w:rsidR="006665BC" w:rsidRDefault="006665BC" w:rsidP="00A924C3">
      <w:pPr>
        <w:tabs>
          <w:tab w:val="left" w:pos="1763"/>
        </w:tabs>
        <w:spacing w:after="0"/>
        <w:ind w:firstLine="288"/>
        <w:rPr>
          <w:rFonts w:cs="Times New Roman"/>
          <w:szCs w:val="24"/>
        </w:rPr>
      </w:pPr>
      <w:r>
        <w:rPr>
          <w:rFonts w:cs="Times New Roman"/>
          <w:szCs w:val="24"/>
        </w:rPr>
        <w:t xml:space="preserve">where z is the input image or in our case, z is the convolved output from the convolution layer. In other words, this is a normalization step where each negative value on the activation map generated after convolution becomes zero. This operation is illustrated in </w:t>
      </w:r>
      <w:r w:rsidRPr="005D3E70">
        <w:rPr>
          <w:rFonts w:cs="Times New Roman"/>
          <w:b/>
          <w:bCs/>
          <w:color w:val="000000"/>
          <w:szCs w:val="24"/>
        </w:rPr>
        <w:t xml:space="preserve">Fig. </w:t>
      </w:r>
      <w:r w:rsidR="002D06E1">
        <w:rPr>
          <w:b/>
          <w:bCs/>
        </w:rPr>
        <w:t>3.14</w:t>
      </w:r>
      <w:r>
        <w:rPr>
          <w:rFonts w:cs="Times New Roman"/>
          <w:szCs w:val="24"/>
        </w:rPr>
        <w:t>. This helps to keep the memory usage down while still maintaining and taking the vital information from the initial image forward.</w:t>
      </w:r>
    </w:p>
    <w:p w14:paraId="09E91B7B" w14:textId="77777777" w:rsidR="006665BC" w:rsidRPr="00600D36" w:rsidRDefault="006665BC" w:rsidP="00720BA0">
      <w:pPr>
        <w:spacing w:after="0"/>
        <w:ind w:right="4320"/>
        <w:jc w:val="left"/>
        <w:rPr>
          <w:rFonts w:ascii="Arial" w:hAnsi="Arial" w:cs="Arial"/>
          <w:color w:val="002060"/>
          <w:sz w:val="16"/>
          <w:szCs w:val="16"/>
        </w:rPr>
      </w:pPr>
    </w:p>
    <w:p w14:paraId="4ECFF0DC" w14:textId="77777777" w:rsidR="006665BC" w:rsidRPr="00547887" w:rsidRDefault="006665BC" w:rsidP="006665BC">
      <w:pPr>
        <w:pStyle w:val="NoSpacing"/>
        <w:spacing w:line="480" w:lineRule="auto"/>
        <w:jc w:val="left"/>
        <w:rPr>
          <w:rFonts w:ascii="Arial" w:hAnsi="Arial" w:cs="Arial"/>
          <w:color w:val="002060"/>
          <w:sz w:val="16"/>
          <w:szCs w:val="16"/>
        </w:rPr>
      </w:pPr>
    </w:p>
    <w:p w14:paraId="6B17F9F2" w14:textId="77777777" w:rsidR="002D06E1" w:rsidRDefault="006665BC" w:rsidP="00667254">
      <w:pPr>
        <w:keepNext/>
        <w:tabs>
          <w:tab w:val="left" w:pos="1763"/>
        </w:tabs>
        <w:spacing w:after="0"/>
        <w:ind w:firstLine="288"/>
        <w:jc w:val="center"/>
      </w:pPr>
      <w:r>
        <w:rPr>
          <w:noProof/>
        </w:rPr>
        <w:lastRenderedPageBreak/>
        <w:drawing>
          <wp:inline distT="0" distB="0" distL="0" distR="0" wp14:anchorId="37739A4A" wp14:editId="68F2E93D">
            <wp:extent cx="5943600" cy="242379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943600" cy="2423795"/>
                    </a:xfrm>
                    <a:prstGeom prst="rect">
                      <a:avLst/>
                    </a:prstGeom>
                  </pic:spPr>
                </pic:pic>
              </a:graphicData>
            </a:graphic>
          </wp:inline>
        </w:drawing>
      </w:r>
    </w:p>
    <w:p w14:paraId="1A580416" w14:textId="73A5E36E" w:rsidR="006665BC" w:rsidRPr="0069167D" w:rsidRDefault="002D06E1" w:rsidP="00667254">
      <w:pPr>
        <w:pStyle w:val="Caption"/>
        <w:spacing w:after="0"/>
        <w:rPr>
          <w:rFonts w:ascii="Arial" w:eastAsia="Times New Roman" w:hAnsi="Arial" w:cs="Times New Roman"/>
          <w:i w:val="0"/>
          <w:iCs w:val="0"/>
          <w:sz w:val="16"/>
          <w:szCs w:val="20"/>
        </w:rPr>
      </w:pPr>
      <w:bookmarkStart w:id="89" w:name="_Toc58667176"/>
      <w:r w:rsidRPr="00D12EEF">
        <w:rPr>
          <w:rFonts w:ascii="Arial" w:eastAsia="Times New Roman" w:hAnsi="Arial" w:cs="Times New Roman"/>
          <w:i w:val="0"/>
          <w:iCs w:val="0"/>
          <w:sz w:val="16"/>
          <w:szCs w:val="20"/>
        </w:rPr>
        <w:t>Fig.3.</w:t>
      </w:r>
      <w:r w:rsidRPr="00D12EEF">
        <w:rPr>
          <w:rFonts w:ascii="Arial" w:eastAsia="Times New Roman" w:hAnsi="Arial" w:cs="Times New Roman"/>
          <w:i w:val="0"/>
          <w:iCs w:val="0"/>
          <w:sz w:val="16"/>
          <w:szCs w:val="20"/>
        </w:rPr>
        <w:fldChar w:fldCharType="begin"/>
      </w:r>
      <w:r w:rsidRPr="00D12EEF">
        <w:rPr>
          <w:rFonts w:ascii="Arial" w:eastAsia="Times New Roman" w:hAnsi="Arial" w:cs="Times New Roman"/>
          <w:i w:val="0"/>
          <w:iCs w:val="0"/>
          <w:sz w:val="16"/>
          <w:szCs w:val="20"/>
        </w:rPr>
        <w:instrText xml:space="preserve"> SEQ Fig._3. \* ARABIC </w:instrText>
      </w:r>
      <w:r w:rsidRPr="00D12EEF">
        <w:rPr>
          <w:rFonts w:ascii="Arial" w:eastAsia="Times New Roman" w:hAnsi="Arial" w:cs="Times New Roman"/>
          <w:i w:val="0"/>
          <w:iCs w:val="0"/>
          <w:sz w:val="16"/>
          <w:szCs w:val="20"/>
        </w:rPr>
        <w:fldChar w:fldCharType="separate"/>
      </w:r>
      <w:r w:rsidR="00D006A5">
        <w:rPr>
          <w:rFonts w:ascii="Arial" w:eastAsia="Times New Roman" w:hAnsi="Arial" w:cs="Times New Roman"/>
          <w:i w:val="0"/>
          <w:iCs w:val="0"/>
          <w:noProof/>
          <w:sz w:val="16"/>
          <w:szCs w:val="20"/>
        </w:rPr>
        <w:t>14</w:t>
      </w:r>
      <w:r w:rsidRPr="00D12EEF">
        <w:rPr>
          <w:rFonts w:ascii="Arial" w:eastAsia="Times New Roman" w:hAnsi="Arial" w:cs="Times New Roman"/>
          <w:i w:val="0"/>
          <w:iCs w:val="0"/>
          <w:sz w:val="16"/>
          <w:szCs w:val="20"/>
        </w:rPr>
        <w:fldChar w:fldCharType="end"/>
      </w:r>
      <w:r w:rsidR="00322D5A" w:rsidRPr="00D12EEF">
        <w:rPr>
          <w:rFonts w:ascii="Arial" w:eastAsia="Times New Roman" w:hAnsi="Arial" w:cs="Times New Roman"/>
          <w:i w:val="0"/>
          <w:iCs w:val="0"/>
          <w:sz w:val="16"/>
          <w:szCs w:val="20"/>
        </w:rPr>
        <w:t>—</w:t>
      </w:r>
      <w:r w:rsidR="00322D5A" w:rsidRPr="00322D5A">
        <w:rPr>
          <w:rFonts w:ascii="Arial" w:eastAsia="Times New Roman" w:hAnsi="Arial" w:cs="Times New Roman"/>
          <w:i w:val="0"/>
          <w:iCs w:val="0"/>
          <w:sz w:val="16"/>
          <w:szCs w:val="20"/>
        </w:rPr>
        <w:t xml:space="preserve">Example of ReLU function indicated by the circled operator applied on an activation map  </w:t>
      </w:r>
      <w:hyperlink r:id="rId85" w:history="1">
        <w:r w:rsidR="00322D5A" w:rsidRPr="00322D5A">
          <w:rPr>
            <w:rStyle w:val="Hyperlink"/>
            <w:rFonts w:ascii="Arial" w:hAnsi="Arial" w:cs="Arial"/>
            <w:i w:val="0"/>
            <w:iCs w:val="0"/>
            <w:sz w:val="16"/>
            <w:szCs w:val="16"/>
          </w:rPr>
          <w:t>https://e2eml.school/how_convolutional_neural_networks_work.html</w:t>
        </w:r>
      </w:hyperlink>
      <w:r w:rsidR="00322D5A">
        <w:rPr>
          <w:rStyle w:val="Hyperlink"/>
          <w:rFonts w:ascii="Arial" w:hAnsi="Arial" w:cs="Arial"/>
          <w:sz w:val="16"/>
          <w:szCs w:val="16"/>
        </w:rPr>
        <w:t xml:space="preserve"> </w:t>
      </w:r>
      <w:r w:rsidR="00322D5A" w:rsidRPr="00322D5A">
        <w:rPr>
          <w:rFonts w:ascii="Arial" w:eastAsia="Times New Roman" w:hAnsi="Arial" w:cs="Times New Roman"/>
          <w:i w:val="0"/>
          <w:iCs w:val="0"/>
          <w:sz w:val="16"/>
          <w:szCs w:val="20"/>
        </w:rPr>
        <w:t>(accessed 15 September 2020)</w:t>
      </w:r>
      <w:r w:rsidR="00322D5A">
        <w:rPr>
          <w:rFonts w:ascii="Arial" w:eastAsia="Times New Roman" w:hAnsi="Arial" w:cs="Times New Roman"/>
          <w:sz w:val="16"/>
          <w:szCs w:val="20"/>
        </w:rPr>
        <w:t xml:space="preserve"> </w:t>
      </w:r>
      <w:r w:rsidR="00322D5A" w:rsidRPr="0069167D">
        <w:rPr>
          <w:rFonts w:ascii="Arial" w:eastAsia="Times New Roman" w:hAnsi="Arial" w:cs="Times New Roman"/>
          <w:i w:val="0"/>
          <w:iCs w:val="0"/>
          <w:sz w:val="16"/>
          <w:szCs w:val="20"/>
        </w:rPr>
        <w:t>(Rohrer 2019).</w:t>
      </w:r>
      <w:bookmarkEnd w:id="89"/>
    </w:p>
    <w:p w14:paraId="193C52B2" w14:textId="77777777" w:rsidR="006665BC" w:rsidRPr="00AC4724" w:rsidRDefault="006665BC" w:rsidP="002936FC">
      <w:pPr>
        <w:pStyle w:val="ListParagraph"/>
        <w:numPr>
          <w:ilvl w:val="0"/>
          <w:numId w:val="7"/>
        </w:numPr>
        <w:tabs>
          <w:tab w:val="left" w:pos="1763"/>
        </w:tabs>
        <w:spacing w:after="0"/>
        <w:rPr>
          <w:rFonts w:cs="Times New Roman"/>
          <w:b/>
          <w:bCs/>
          <w:szCs w:val="24"/>
        </w:rPr>
      </w:pPr>
      <w:r w:rsidRPr="00AC4724">
        <w:rPr>
          <w:rFonts w:cs="Times New Roman"/>
          <w:b/>
          <w:bCs/>
          <w:szCs w:val="24"/>
        </w:rPr>
        <w:t>Pooling Layer</w:t>
      </w:r>
    </w:p>
    <w:p w14:paraId="3A3D4869" w14:textId="64FD38FC" w:rsidR="006665BC" w:rsidRDefault="006665BC" w:rsidP="002936FC">
      <w:pPr>
        <w:tabs>
          <w:tab w:val="left" w:pos="1763"/>
        </w:tabs>
        <w:spacing w:after="0"/>
        <w:ind w:firstLine="288"/>
        <w:rPr>
          <w:rFonts w:cs="Times New Roman"/>
          <w:szCs w:val="24"/>
        </w:rPr>
      </w:pPr>
      <w:r>
        <w:rPr>
          <w:rFonts w:cs="Times New Roman"/>
          <w:szCs w:val="24"/>
        </w:rPr>
        <w:t xml:space="preserve">The output from the </w:t>
      </w:r>
      <w:r w:rsidRPr="005C79AE">
        <w:rPr>
          <w:rFonts w:cs="Times New Roman"/>
          <w:szCs w:val="24"/>
        </w:rPr>
        <w:t>ReLU activation maps are now shrunk down to a smaller dimension</w:t>
      </w:r>
      <w:r>
        <w:rPr>
          <w:rFonts w:cs="Times New Roman"/>
          <w:szCs w:val="24"/>
        </w:rPr>
        <w:t xml:space="preserve"> of maps</w:t>
      </w:r>
      <w:r w:rsidRPr="005C79AE">
        <w:rPr>
          <w:rFonts w:cs="Times New Roman"/>
          <w:szCs w:val="24"/>
        </w:rPr>
        <w:t xml:space="preserve"> </w:t>
      </w:r>
      <w:r>
        <w:rPr>
          <w:rFonts w:cs="Times New Roman"/>
          <w:szCs w:val="24"/>
        </w:rPr>
        <w:t>using</w:t>
      </w:r>
      <w:r w:rsidRPr="005C79AE">
        <w:rPr>
          <w:rFonts w:cs="Times New Roman"/>
          <w:szCs w:val="24"/>
        </w:rPr>
        <w:t xml:space="preserve"> max pooling.</w:t>
      </w:r>
      <w:r w:rsidRPr="00771B97">
        <w:rPr>
          <w:rFonts w:cs="Times New Roman"/>
          <w:szCs w:val="24"/>
        </w:rPr>
        <w:t xml:space="preserve"> </w:t>
      </w:r>
      <w:r>
        <w:rPr>
          <w:rFonts w:cs="Times New Roman"/>
          <w:szCs w:val="24"/>
        </w:rPr>
        <w:t xml:space="preserve">VGG16 uses max pooling of size 2 x 2 with a stride of 2. Max pooling takes the maximum value within the region of filter overlap on the image. This filter window is spatially moved along the output from the previous layer and a maximum value of each window is stored. </w:t>
      </w:r>
      <w:r w:rsidRPr="005D3E70">
        <w:rPr>
          <w:rFonts w:cs="Times New Roman"/>
          <w:b/>
          <w:bCs/>
          <w:color w:val="000000"/>
          <w:szCs w:val="24"/>
        </w:rPr>
        <w:t xml:space="preserve">Fig. </w:t>
      </w:r>
      <w:r w:rsidR="000F2F47">
        <w:rPr>
          <w:b/>
          <w:bCs/>
        </w:rPr>
        <w:t>3.15</w:t>
      </w:r>
      <w:r>
        <w:rPr>
          <w:rFonts w:cs="Times New Roman"/>
          <w:szCs w:val="24"/>
        </w:rPr>
        <w:t xml:space="preserve"> shows an example of an image of size 224 x 224 x 64 which is spatially downsampled to a smaller size of 112 x 112 x 64 using a </w:t>
      </w:r>
      <w:r w:rsidR="00A5536A">
        <w:rPr>
          <w:rFonts w:cs="Times New Roman"/>
          <w:szCs w:val="24"/>
        </w:rPr>
        <w:t>p</w:t>
      </w:r>
      <w:r>
        <w:rPr>
          <w:rFonts w:cs="Times New Roman"/>
          <w:szCs w:val="24"/>
        </w:rPr>
        <w:t xml:space="preserve">ooling layer. </w:t>
      </w:r>
      <w:r w:rsidRPr="005D3E70">
        <w:rPr>
          <w:rFonts w:cs="Times New Roman"/>
          <w:b/>
          <w:bCs/>
          <w:color w:val="000000"/>
          <w:szCs w:val="24"/>
        </w:rPr>
        <w:t xml:space="preserve">Fig. </w:t>
      </w:r>
      <w:r w:rsidR="00ED79C5">
        <w:rPr>
          <w:b/>
          <w:bCs/>
        </w:rPr>
        <w:t>3.1</w:t>
      </w:r>
      <w:r w:rsidR="000F2F47">
        <w:rPr>
          <w:b/>
          <w:bCs/>
        </w:rPr>
        <w:t>6</w:t>
      </w:r>
      <w:r>
        <w:rPr>
          <w:rFonts w:cs="Times New Roman"/>
          <w:szCs w:val="24"/>
        </w:rPr>
        <w:t xml:space="preserve"> shows the </w:t>
      </w:r>
      <w:r w:rsidR="00CA3C92">
        <w:rPr>
          <w:rFonts w:cs="Times New Roman"/>
          <w:szCs w:val="24"/>
        </w:rPr>
        <w:t>m</w:t>
      </w:r>
      <w:r>
        <w:rPr>
          <w:rFonts w:cs="Times New Roman"/>
          <w:szCs w:val="24"/>
        </w:rPr>
        <w:t xml:space="preserve">ax </w:t>
      </w:r>
      <w:r w:rsidR="00CA3C92">
        <w:rPr>
          <w:rFonts w:cs="Times New Roman"/>
          <w:szCs w:val="24"/>
        </w:rPr>
        <w:t>p</w:t>
      </w:r>
      <w:r>
        <w:rPr>
          <w:rFonts w:cs="Times New Roman"/>
          <w:szCs w:val="24"/>
        </w:rPr>
        <w:t>ooling filter in action. The pooling layer therefore helps in shrinking down the size of stack of filtered images and yet manages to maintain the same of information at a high level.</w:t>
      </w:r>
    </w:p>
    <w:p w14:paraId="78AEA1B4" w14:textId="77777777" w:rsidR="00ED79C5" w:rsidRDefault="006665BC" w:rsidP="00ED79C5">
      <w:pPr>
        <w:keepNext/>
        <w:tabs>
          <w:tab w:val="left" w:pos="1763"/>
        </w:tabs>
        <w:spacing w:after="0"/>
        <w:ind w:firstLine="288"/>
        <w:jc w:val="center"/>
      </w:pPr>
      <w:r>
        <w:rPr>
          <w:noProof/>
        </w:rPr>
        <w:lastRenderedPageBreak/>
        <w:drawing>
          <wp:inline distT="0" distB="0" distL="0" distR="0" wp14:anchorId="49EAB9A1" wp14:editId="4CE0219D">
            <wp:extent cx="3522785" cy="2804276"/>
            <wp:effectExtent l="0" t="0" r="1905"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525121" cy="2806136"/>
                    </a:xfrm>
                    <a:prstGeom prst="rect">
                      <a:avLst/>
                    </a:prstGeom>
                  </pic:spPr>
                </pic:pic>
              </a:graphicData>
            </a:graphic>
          </wp:inline>
        </w:drawing>
      </w:r>
    </w:p>
    <w:p w14:paraId="1770A43F" w14:textId="4532B25C" w:rsidR="000F2F47" w:rsidRPr="0069167D" w:rsidRDefault="00ED79C5" w:rsidP="000F2F47">
      <w:pPr>
        <w:contextualSpacing/>
        <w:jc w:val="center"/>
        <w:rPr>
          <w:rFonts w:ascii="Arial" w:eastAsia="Times New Roman" w:hAnsi="Arial" w:cs="Times New Roman"/>
          <w:b/>
          <w:sz w:val="16"/>
          <w:szCs w:val="20"/>
        </w:rPr>
      </w:pPr>
      <w:bookmarkStart w:id="90" w:name="_Toc58667177"/>
      <w:r w:rsidRPr="000F2F47">
        <w:rPr>
          <w:rFonts w:ascii="Arial" w:hAnsi="Arial" w:cs="Arial"/>
          <w:b/>
          <w:bCs/>
          <w:sz w:val="16"/>
          <w:szCs w:val="16"/>
        </w:rPr>
        <w:t xml:space="preserve">Fig. 3. </w:t>
      </w:r>
      <w:r w:rsidRPr="000F2F47">
        <w:rPr>
          <w:rFonts w:ascii="Arial" w:hAnsi="Arial" w:cs="Arial"/>
          <w:b/>
          <w:bCs/>
          <w:sz w:val="16"/>
          <w:szCs w:val="16"/>
        </w:rPr>
        <w:fldChar w:fldCharType="begin"/>
      </w:r>
      <w:r w:rsidRPr="000F2F47">
        <w:rPr>
          <w:rFonts w:ascii="Arial" w:hAnsi="Arial" w:cs="Arial"/>
          <w:b/>
          <w:bCs/>
          <w:sz w:val="16"/>
          <w:szCs w:val="16"/>
        </w:rPr>
        <w:instrText xml:space="preserve"> SEQ Fig._3. \* ARABIC </w:instrText>
      </w:r>
      <w:r w:rsidRPr="000F2F47">
        <w:rPr>
          <w:rFonts w:ascii="Arial" w:hAnsi="Arial" w:cs="Arial"/>
          <w:b/>
          <w:bCs/>
          <w:sz w:val="16"/>
          <w:szCs w:val="16"/>
        </w:rPr>
        <w:fldChar w:fldCharType="separate"/>
      </w:r>
      <w:r w:rsidR="00D006A5">
        <w:rPr>
          <w:rFonts w:ascii="Arial" w:hAnsi="Arial" w:cs="Arial"/>
          <w:b/>
          <w:bCs/>
          <w:noProof/>
          <w:sz w:val="16"/>
          <w:szCs w:val="16"/>
        </w:rPr>
        <w:t>15</w:t>
      </w:r>
      <w:r w:rsidRPr="000F2F47">
        <w:rPr>
          <w:rFonts w:ascii="Arial" w:hAnsi="Arial" w:cs="Arial"/>
          <w:b/>
          <w:bCs/>
          <w:sz w:val="16"/>
          <w:szCs w:val="16"/>
        </w:rPr>
        <w:fldChar w:fldCharType="end"/>
      </w:r>
      <w:r w:rsidR="000F2F47" w:rsidRPr="000F2F47">
        <w:rPr>
          <w:rFonts w:ascii="Arial" w:hAnsi="Arial" w:cs="Arial"/>
          <w:b/>
          <w:bCs/>
          <w:sz w:val="16"/>
          <w:szCs w:val="16"/>
        </w:rPr>
        <w:t>—</w:t>
      </w:r>
      <w:r w:rsidR="000F2F47" w:rsidRPr="00D910EE">
        <w:rPr>
          <w:rFonts w:ascii="Arial" w:hAnsi="Arial" w:cs="Arial"/>
          <w:b/>
          <w:bCs/>
          <w:sz w:val="16"/>
          <w:szCs w:val="16"/>
        </w:rPr>
        <w:t xml:space="preserve">Example of downsampling using the Pooling Layer </w:t>
      </w:r>
      <w:hyperlink r:id="rId87" w:history="1">
        <w:r w:rsidR="000F2F47" w:rsidRPr="00DC2B34">
          <w:rPr>
            <w:rFonts w:ascii="Arial" w:eastAsia="Times New Roman" w:hAnsi="Arial" w:cs="Times New Roman"/>
            <w:b/>
            <w:sz w:val="16"/>
            <w:szCs w:val="20"/>
          </w:rPr>
          <w:t>https://cs231n.github.io/convolutional-networks</w:t>
        </w:r>
      </w:hyperlink>
      <w:r w:rsidR="000F2F47">
        <w:rPr>
          <w:rFonts w:ascii="Arial" w:eastAsia="Times New Roman" w:hAnsi="Arial" w:cs="Times New Roman"/>
          <w:b/>
          <w:sz w:val="16"/>
          <w:szCs w:val="20"/>
        </w:rPr>
        <w:t xml:space="preserve"> (</w:t>
      </w:r>
      <w:r w:rsidR="000F2F47" w:rsidRPr="00DC2B34">
        <w:rPr>
          <w:rFonts w:ascii="Arial" w:eastAsia="Times New Roman" w:hAnsi="Arial" w:cs="Times New Roman"/>
          <w:b/>
          <w:sz w:val="16"/>
          <w:szCs w:val="20"/>
        </w:rPr>
        <w:t xml:space="preserve">accessed 21 September 2020) </w:t>
      </w:r>
      <w:r w:rsidR="000F2F47" w:rsidRPr="0069167D">
        <w:rPr>
          <w:rFonts w:ascii="Arial" w:eastAsia="Times New Roman" w:hAnsi="Arial" w:cs="Times New Roman"/>
          <w:b/>
          <w:sz w:val="16"/>
          <w:szCs w:val="20"/>
        </w:rPr>
        <w:t>(Li et al. 2017).</w:t>
      </w:r>
      <w:bookmarkEnd w:id="90"/>
    </w:p>
    <w:p w14:paraId="6265C038" w14:textId="77777777" w:rsidR="006665BC" w:rsidRPr="00D910EE" w:rsidRDefault="006665BC" w:rsidP="002936FC">
      <w:pPr>
        <w:pStyle w:val="NoSpacing"/>
        <w:spacing w:line="480" w:lineRule="auto"/>
        <w:rPr>
          <w:rFonts w:ascii="Arial" w:hAnsi="Arial" w:cs="Arial"/>
          <w:sz w:val="16"/>
          <w:szCs w:val="16"/>
        </w:rPr>
      </w:pPr>
    </w:p>
    <w:p w14:paraId="08715D38" w14:textId="77777777" w:rsidR="000F2F47" w:rsidRDefault="006665BC" w:rsidP="000F2F47">
      <w:pPr>
        <w:keepNext/>
        <w:spacing w:after="0"/>
        <w:ind w:firstLine="288"/>
        <w:jc w:val="center"/>
      </w:pPr>
      <w:r>
        <w:rPr>
          <w:noProof/>
        </w:rPr>
        <w:drawing>
          <wp:inline distT="0" distB="0" distL="0" distR="0" wp14:anchorId="4D7672DB" wp14:editId="542107D6">
            <wp:extent cx="5074404" cy="1869831"/>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074404" cy="1869831"/>
                    </a:xfrm>
                    <a:prstGeom prst="rect">
                      <a:avLst/>
                    </a:prstGeom>
                  </pic:spPr>
                </pic:pic>
              </a:graphicData>
            </a:graphic>
          </wp:inline>
        </w:drawing>
      </w:r>
    </w:p>
    <w:p w14:paraId="3CC7FE89" w14:textId="3BE82621" w:rsidR="006665BC" w:rsidRPr="0069167D" w:rsidRDefault="000F2F47" w:rsidP="00F03CAC">
      <w:pPr>
        <w:contextualSpacing/>
        <w:jc w:val="center"/>
        <w:rPr>
          <w:rFonts w:ascii="Arial" w:eastAsia="Times New Roman" w:hAnsi="Arial" w:cs="Times New Roman"/>
          <w:b/>
          <w:sz w:val="16"/>
          <w:szCs w:val="20"/>
        </w:rPr>
      </w:pPr>
      <w:bookmarkStart w:id="91" w:name="_Toc58667178"/>
      <w:r w:rsidRPr="00F03CAC">
        <w:rPr>
          <w:rFonts w:ascii="Arial" w:hAnsi="Arial" w:cs="Arial"/>
          <w:b/>
          <w:bCs/>
          <w:sz w:val="16"/>
          <w:szCs w:val="16"/>
        </w:rPr>
        <w:t xml:space="preserve">Fig. 3. </w:t>
      </w:r>
      <w:r w:rsidRPr="00F03CAC">
        <w:rPr>
          <w:rFonts w:ascii="Arial" w:hAnsi="Arial" w:cs="Arial"/>
          <w:b/>
          <w:bCs/>
          <w:sz w:val="16"/>
          <w:szCs w:val="16"/>
        </w:rPr>
        <w:fldChar w:fldCharType="begin"/>
      </w:r>
      <w:r w:rsidRPr="00F03CAC">
        <w:rPr>
          <w:rFonts w:ascii="Arial" w:hAnsi="Arial" w:cs="Arial"/>
          <w:b/>
          <w:bCs/>
          <w:sz w:val="16"/>
          <w:szCs w:val="16"/>
        </w:rPr>
        <w:instrText xml:space="preserve"> SEQ Fig._3. \* ARABIC </w:instrText>
      </w:r>
      <w:r w:rsidRPr="00F03CAC">
        <w:rPr>
          <w:rFonts w:ascii="Arial" w:hAnsi="Arial" w:cs="Arial"/>
          <w:b/>
          <w:bCs/>
          <w:sz w:val="16"/>
          <w:szCs w:val="16"/>
        </w:rPr>
        <w:fldChar w:fldCharType="separate"/>
      </w:r>
      <w:r w:rsidR="00D006A5">
        <w:rPr>
          <w:rFonts w:ascii="Arial" w:hAnsi="Arial" w:cs="Arial"/>
          <w:b/>
          <w:bCs/>
          <w:noProof/>
          <w:sz w:val="16"/>
          <w:szCs w:val="16"/>
        </w:rPr>
        <w:t>16</w:t>
      </w:r>
      <w:r w:rsidRPr="00F03CAC">
        <w:rPr>
          <w:rFonts w:ascii="Arial" w:hAnsi="Arial" w:cs="Arial"/>
          <w:b/>
          <w:bCs/>
          <w:sz w:val="16"/>
          <w:szCs w:val="16"/>
        </w:rPr>
        <w:fldChar w:fldCharType="end"/>
      </w:r>
      <w:r w:rsidR="00F03CAC">
        <w:rPr>
          <w:rFonts w:ascii="Arial" w:hAnsi="Arial" w:cs="Arial"/>
          <w:b/>
          <w:bCs/>
          <w:sz w:val="16"/>
          <w:szCs w:val="16"/>
        </w:rPr>
        <w:t>—</w:t>
      </w:r>
      <w:r w:rsidR="00F03CAC" w:rsidRPr="00D85D94">
        <w:rPr>
          <w:rFonts w:ascii="Arial" w:hAnsi="Arial" w:cs="Arial"/>
          <w:b/>
          <w:bCs/>
          <w:sz w:val="16"/>
          <w:szCs w:val="16"/>
        </w:rPr>
        <w:t xml:space="preserve">Example of Max Pooling using a stride of 2 </w:t>
      </w:r>
      <w:hyperlink r:id="rId89" w:history="1">
        <w:r w:rsidR="00F03CAC" w:rsidRPr="00DC2B34">
          <w:rPr>
            <w:rFonts w:ascii="Arial" w:eastAsia="Times New Roman" w:hAnsi="Arial" w:cs="Times New Roman"/>
            <w:b/>
            <w:sz w:val="16"/>
            <w:szCs w:val="20"/>
          </w:rPr>
          <w:t>https://cs231n.github.io/convolutional-networks</w:t>
        </w:r>
      </w:hyperlink>
      <w:r w:rsidR="00F03CAC">
        <w:rPr>
          <w:rFonts w:ascii="Arial" w:eastAsia="Times New Roman" w:hAnsi="Arial" w:cs="Times New Roman"/>
          <w:b/>
          <w:sz w:val="16"/>
          <w:szCs w:val="20"/>
        </w:rPr>
        <w:t xml:space="preserve"> (</w:t>
      </w:r>
      <w:r w:rsidR="00F03CAC" w:rsidRPr="00DC2B34">
        <w:rPr>
          <w:rFonts w:ascii="Arial" w:eastAsia="Times New Roman" w:hAnsi="Arial" w:cs="Times New Roman"/>
          <w:b/>
          <w:sz w:val="16"/>
          <w:szCs w:val="20"/>
        </w:rPr>
        <w:t xml:space="preserve">accessed 21 September 2020) </w:t>
      </w:r>
      <w:r w:rsidR="00F03CAC" w:rsidRPr="0069167D">
        <w:rPr>
          <w:rFonts w:ascii="Arial" w:eastAsia="Times New Roman" w:hAnsi="Arial" w:cs="Times New Roman"/>
          <w:b/>
          <w:sz w:val="16"/>
          <w:szCs w:val="20"/>
        </w:rPr>
        <w:t>(Li et al. 2017).</w:t>
      </w:r>
      <w:bookmarkEnd w:id="91"/>
    </w:p>
    <w:p w14:paraId="7BBC1F2A" w14:textId="3C8A6AAA" w:rsidR="006665BC" w:rsidRDefault="006665BC" w:rsidP="002936FC">
      <w:pPr>
        <w:pStyle w:val="NoSpacing"/>
        <w:spacing w:line="480" w:lineRule="auto"/>
        <w:jc w:val="left"/>
        <w:rPr>
          <w:rFonts w:cs="Times New Roman"/>
          <w:b/>
          <w:bCs/>
          <w:color w:val="000000"/>
          <w:szCs w:val="24"/>
        </w:rPr>
      </w:pPr>
      <w:r w:rsidRPr="002A11EE">
        <w:rPr>
          <w:rFonts w:cs="Times New Roman"/>
          <w:szCs w:val="24"/>
        </w:rPr>
        <w:t xml:space="preserve">This process of convolution, ReLU activation and pooling occurs several times within the VGG architecture as shown in Fig. </w:t>
      </w:r>
      <w:r w:rsidR="0078099B">
        <w:rPr>
          <w:rFonts w:cs="Times New Roman"/>
          <w:szCs w:val="24"/>
        </w:rPr>
        <w:t>3.9.</w:t>
      </w:r>
    </w:p>
    <w:p w14:paraId="7B0498B9" w14:textId="77777777" w:rsidR="006665BC" w:rsidRPr="00AC4724" w:rsidRDefault="006665BC" w:rsidP="002936FC">
      <w:pPr>
        <w:pStyle w:val="ListParagraph"/>
        <w:numPr>
          <w:ilvl w:val="0"/>
          <w:numId w:val="7"/>
        </w:numPr>
        <w:spacing w:after="0"/>
        <w:rPr>
          <w:rFonts w:cs="Times New Roman"/>
          <w:b/>
          <w:bCs/>
          <w:color w:val="000000"/>
          <w:szCs w:val="24"/>
        </w:rPr>
      </w:pPr>
      <w:r w:rsidRPr="00AC4724">
        <w:rPr>
          <w:rFonts w:cs="Times New Roman"/>
          <w:b/>
          <w:bCs/>
          <w:color w:val="000000"/>
          <w:szCs w:val="24"/>
        </w:rPr>
        <w:t>Fully Connected Layer (FC)</w:t>
      </w:r>
    </w:p>
    <w:p w14:paraId="7A63E4D1" w14:textId="617FF948" w:rsidR="006665BC" w:rsidRDefault="006665BC" w:rsidP="002936FC">
      <w:pPr>
        <w:spacing w:after="0"/>
        <w:ind w:firstLine="288"/>
        <w:rPr>
          <w:rFonts w:cs="Times New Roman"/>
          <w:szCs w:val="24"/>
        </w:rPr>
      </w:pPr>
      <w:r>
        <w:rPr>
          <w:rFonts w:cs="Times New Roman"/>
          <w:szCs w:val="24"/>
        </w:rPr>
        <w:t xml:space="preserve">VGG16 has 3 fully connected layers at the end after the last pooling layer. Once the 16 convolutional layers of VGG16 have learned about the high-level features of the input image, the </w:t>
      </w:r>
      <w:r>
        <w:rPr>
          <w:rFonts w:cs="Times New Roman"/>
          <w:szCs w:val="24"/>
        </w:rPr>
        <w:lastRenderedPageBreak/>
        <w:t xml:space="preserve">fully connected layer just stretches out the input from the last pooling layer into a 1-dimensional array. For example, if the input image is 32 x 32 x 3 in dimensions, then FC layer flattens it into a 1 x 3072. As shown in </w:t>
      </w:r>
      <w:r w:rsidRPr="005D3E70">
        <w:rPr>
          <w:rFonts w:cs="Times New Roman"/>
          <w:b/>
          <w:bCs/>
          <w:color w:val="000000"/>
          <w:szCs w:val="24"/>
        </w:rPr>
        <w:t xml:space="preserve">Fig. </w:t>
      </w:r>
      <w:r w:rsidR="00795A76">
        <w:rPr>
          <w:b/>
          <w:bCs/>
        </w:rPr>
        <w:t>3.17</w:t>
      </w:r>
      <w:r>
        <w:rPr>
          <w:rFonts w:cs="Times New Roman"/>
          <w:szCs w:val="24"/>
        </w:rPr>
        <w:t xml:space="preserve">, this array is multiplied with the weights of FC layer represented by W with the values from the last input layer. </w:t>
      </w:r>
    </w:p>
    <w:p w14:paraId="03ABFFA2" w14:textId="5E008357" w:rsidR="006665BC" w:rsidRPr="00044BB1" w:rsidRDefault="006665BC" w:rsidP="002936FC">
      <w:pPr>
        <w:spacing w:after="0"/>
        <w:ind w:firstLine="288"/>
        <w:rPr>
          <w:rFonts w:cs="Times New Roman"/>
          <w:szCs w:val="24"/>
        </w:rPr>
      </w:pPr>
      <w:r w:rsidRPr="00044BB1">
        <w:rPr>
          <w:rFonts w:cs="Times New Roman"/>
          <w:szCs w:val="24"/>
        </w:rPr>
        <w:t>Essentially, a fully connected layer accepts all the high-level features learned from previous layers and computes probabilities</w:t>
      </w:r>
      <w:r>
        <w:rPr>
          <w:rFonts w:cs="Times New Roman"/>
          <w:szCs w:val="24"/>
        </w:rPr>
        <w:t xml:space="preserve"> for the </w:t>
      </w:r>
      <w:r w:rsidRPr="00044BB1">
        <w:rPr>
          <w:rFonts w:cs="Times New Roman"/>
          <w:szCs w:val="24"/>
        </w:rPr>
        <w:t>class or label</w:t>
      </w:r>
      <w:r>
        <w:rPr>
          <w:rFonts w:cs="Times New Roman"/>
          <w:szCs w:val="24"/>
        </w:rPr>
        <w:t xml:space="preserve"> to be identified.</w:t>
      </w:r>
    </w:p>
    <w:p w14:paraId="787AA258" w14:textId="77777777" w:rsidR="006665BC" w:rsidRDefault="006665BC" w:rsidP="002936FC">
      <w:pPr>
        <w:spacing w:after="0"/>
        <w:ind w:firstLine="288"/>
        <w:rPr>
          <w:rFonts w:cs="Times New Roman"/>
          <w:szCs w:val="24"/>
        </w:rPr>
      </w:pPr>
    </w:p>
    <w:p w14:paraId="3030F721" w14:textId="77777777" w:rsidR="00795A76" w:rsidRDefault="006665BC" w:rsidP="0088796E">
      <w:pPr>
        <w:keepNext/>
        <w:spacing w:after="0"/>
        <w:ind w:firstLine="288"/>
        <w:jc w:val="center"/>
      </w:pPr>
      <w:r>
        <w:rPr>
          <w:noProof/>
        </w:rPr>
        <w:drawing>
          <wp:inline distT="0" distB="0" distL="0" distR="0" wp14:anchorId="12367323" wp14:editId="4DEBC9C0">
            <wp:extent cx="5943600" cy="168021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943600" cy="1680210"/>
                    </a:xfrm>
                    <a:prstGeom prst="rect">
                      <a:avLst/>
                    </a:prstGeom>
                  </pic:spPr>
                </pic:pic>
              </a:graphicData>
            </a:graphic>
          </wp:inline>
        </w:drawing>
      </w:r>
    </w:p>
    <w:p w14:paraId="13B30887" w14:textId="44A10463" w:rsidR="006665BC" w:rsidRPr="0069167D" w:rsidRDefault="00795A76" w:rsidP="0088796E">
      <w:pPr>
        <w:pStyle w:val="Caption"/>
        <w:rPr>
          <w:rFonts w:ascii="Arial" w:eastAsia="Times New Roman" w:hAnsi="Arial" w:cs="Times New Roman"/>
          <w:i w:val="0"/>
          <w:iCs w:val="0"/>
          <w:sz w:val="16"/>
          <w:szCs w:val="20"/>
        </w:rPr>
      </w:pPr>
      <w:bookmarkStart w:id="92" w:name="_Toc58667179"/>
      <w:r w:rsidRPr="00DD4DBE">
        <w:rPr>
          <w:rFonts w:ascii="Arial" w:hAnsi="Arial" w:cs="Arial"/>
          <w:bCs/>
          <w:i w:val="0"/>
          <w:iCs w:val="0"/>
          <w:sz w:val="16"/>
          <w:szCs w:val="16"/>
        </w:rPr>
        <w:t xml:space="preserve">Fig. 3. </w:t>
      </w:r>
      <w:r w:rsidRPr="00DD4DBE">
        <w:rPr>
          <w:rFonts w:ascii="Arial" w:hAnsi="Arial" w:cs="Arial"/>
          <w:bCs/>
          <w:i w:val="0"/>
          <w:iCs w:val="0"/>
          <w:sz w:val="16"/>
          <w:szCs w:val="16"/>
        </w:rPr>
        <w:fldChar w:fldCharType="begin"/>
      </w:r>
      <w:r w:rsidRPr="00DD4DBE">
        <w:rPr>
          <w:rFonts w:ascii="Arial" w:hAnsi="Arial" w:cs="Arial"/>
          <w:bCs/>
          <w:i w:val="0"/>
          <w:iCs w:val="0"/>
          <w:sz w:val="16"/>
          <w:szCs w:val="16"/>
        </w:rPr>
        <w:instrText xml:space="preserve"> SEQ Fig._3. \* ARABIC </w:instrText>
      </w:r>
      <w:r w:rsidRPr="00DD4DBE">
        <w:rPr>
          <w:rFonts w:ascii="Arial" w:hAnsi="Arial" w:cs="Arial"/>
          <w:bCs/>
          <w:i w:val="0"/>
          <w:iCs w:val="0"/>
          <w:sz w:val="16"/>
          <w:szCs w:val="16"/>
        </w:rPr>
        <w:fldChar w:fldCharType="separate"/>
      </w:r>
      <w:r w:rsidR="00D006A5">
        <w:rPr>
          <w:rFonts w:ascii="Arial" w:hAnsi="Arial" w:cs="Arial"/>
          <w:bCs/>
          <w:i w:val="0"/>
          <w:iCs w:val="0"/>
          <w:noProof/>
          <w:sz w:val="16"/>
          <w:szCs w:val="16"/>
        </w:rPr>
        <w:t>17</w:t>
      </w:r>
      <w:r w:rsidRPr="00DD4DBE">
        <w:rPr>
          <w:rFonts w:ascii="Arial" w:hAnsi="Arial" w:cs="Arial"/>
          <w:bCs/>
          <w:i w:val="0"/>
          <w:iCs w:val="0"/>
          <w:sz w:val="16"/>
          <w:szCs w:val="16"/>
        </w:rPr>
        <w:fldChar w:fldCharType="end"/>
      </w:r>
      <w:r w:rsidR="0088796E">
        <w:rPr>
          <w:rFonts w:ascii="Arial" w:hAnsi="Arial" w:cs="Arial"/>
          <w:bCs/>
          <w:i w:val="0"/>
          <w:iCs w:val="0"/>
          <w:sz w:val="16"/>
          <w:szCs w:val="16"/>
        </w:rPr>
        <w:t>—</w:t>
      </w:r>
      <w:r w:rsidR="00DD4DBE" w:rsidRPr="00DD4DBE">
        <w:rPr>
          <w:rFonts w:ascii="Arial" w:hAnsi="Arial" w:cs="Arial"/>
          <w:bCs/>
          <w:i w:val="0"/>
          <w:iCs w:val="0"/>
          <w:sz w:val="16"/>
          <w:szCs w:val="16"/>
        </w:rPr>
        <w:t xml:space="preserve">Example of a Fully Connected Layer output </w:t>
      </w:r>
      <w:hyperlink r:id="rId91" w:history="1">
        <w:r w:rsidR="00DD4DBE" w:rsidRPr="00DD4DBE">
          <w:rPr>
            <w:rFonts w:ascii="Arial" w:hAnsi="Arial"/>
            <w:bCs/>
            <w:i w:val="0"/>
            <w:iCs w:val="0"/>
            <w:sz w:val="16"/>
          </w:rPr>
          <w:t>https://cs231n.github.io/convolutional-networks</w:t>
        </w:r>
      </w:hyperlink>
      <w:r w:rsidR="00DD4DBE" w:rsidRPr="00DD4DBE">
        <w:rPr>
          <w:rFonts w:ascii="Arial" w:hAnsi="Arial" w:cs="Arial"/>
          <w:bCs/>
          <w:i w:val="0"/>
          <w:iCs w:val="0"/>
          <w:sz w:val="16"/>
          <w:szCs w:val="16"/>
        </w:rPr>
        <w:t xml:space="preserve"> </w:t>
      </w:r>
      <w:r w:rsidR="00DD4DBE" w:rsidRPr="00DD4DBE">
        <w:rPr>
          <w:rFonts w:ascii="Arial" w:eastAsia="Times New Roman" w:hAnsi="Arial" w:cs="Times New Roman"/>
          <w:i w:val="0"/>
          <w:iCs w:val="0"/>
          <w:sz w:val="16"/>
          <w:szCs w:val="20"/>
        </w:rPr>
        <w:t xml:space="preserve">(accessed 21 September 2020) </w:t>
      </w:r>
      <w:r w:rsidR="00DD4DBE" w:rsidRPr="0069167D">
        <w:rPr>
          <w:rFonts w:ascii="Arial" w:eastAsia="Times New Roman" w:hAnsi="Arial" w:cs="Times New Roman"/>
          <w:i w:val="0"/>
          <w:iCs w:val="0"/>
          <w:sz w:val="16"/>
          <w:szCs w:val="20"/>
        </w:rPr>
        <w:t>(Li et al. 2017).</w:t>
      </w:r>
      <w:bookmarkEnd w:id="92"/>
    </w:p>
    <w:p w14:paraId="309A53E4" w14:textId="77777777" w:rsidR="006665BC" w:rsidRPr="00BC6361" w:rsidRDefault="006665BC" w:rsidP="0088796E">
      <w:pPr>
        <w:pStyle w:val="Heading2"/>
        <w:ind w:left="0" w:firstLine="0"/>
      </w:pPr>
      <w:bookmarkStart w:id="93" w:name="_Toc56427167"/>
      <w:bookmarkStart w:id="94" w:name="_Toc58667110"/>
      <w:r>
        <w:t xml:space="preserve">3.3 </w:t>
      </w:r>
      <w:r w:rsidRPr="00BC6361">
        <w:t>Training the CNN</w:t>
      </w:r>
      <w:bookmarkEnd w:id="93"/>
      <w:bookmarkEnd w:id="94"/>
      <w:r w:rsidRPr="00BC6361">
        <w:t xml:space="preserve"> </w:t>
      </w:r>
    </w:p>
    <w:p w14:paraId="2B911EC8" w14:textId="77777777" w:rsidR="006665BC" w:rsidRDefault="006665BC" w:rsidP="00B0008E">
      <w:pPr>
        <w:spacing w:after="0"/>
        <w:rPr>
          <w:rFonts w:cs="Times New Roman"/>
          <w:szCs w:val="24"/>
        </w:rPr>
      </w:pPr>
      <w:r>
        <w:rPr>
          <w:rFonts w:cs="Times New Roman"/>
          <w:szCs w:val="24"/>
        </w:rPr>
        <w:t xml:space="preserve">The CNN initially has randomized representation of the weights that the filters carry and hence after the first training image, it is likely that the prediction will be inaccurate. It is through a process called back propagation that every initial weight associated with each layer of the CNN is updated. For VGG16, the number of layers which carry weights are the 13 convolutional layers with filters and 3 fully connected layers. </w:t>
      </w:r>
    </w:p>
    <w:p w14:paraId="7956A709" w14:textId="5A451978" w:rsidR="006665BC" w:rsidRDefault="006665BC" w:rsidP="002936FC">
      <w:pPr>
        <w:spacing w:after="0"/>
        <w:ind w:firstLine="288"/>
        <w:rPr>
          <w:rFonts w:cs="Times New Roman"/>
          <w:szCs w:val="24"/>
        </w:rPr>
      </w:pPr>
      <w:r>
        <w:rPr>
          <w:rFonts w:cs="Times New Roman"/>
          <w:szCs w:val="24"/>
        </w:rPr>
        <w:t xml:space="preserve">The process of backpropagation can be explained in its 4 stages. The first stage is called a forward pass. For example, the first training input image of size 32 x 32 x 3 goes through the entire VGG16 network. As mentioned earlier, the initial weights associated with each of the layers are </w:t>
      </w:r>
      <w:r>
        <w:rPr>
          <w:rFonts w:cs="Times New Roman"/>
          <w:szCs w:val="24"/>
        </w:rPr>
        <w:lastRenderedPageBreak/>
        <w:t xml:space="preserve">randomized. With this limited information, the output from the CNN model can neither identify </w:t>
      </w:r>
      <w:r w:rsidR="005A3EA1">
        <w:rPr>
          <w:rFonts w:cs="Times New Roman"/>
          <w:szCs w:val="24"/>
        </w:rPr>
        <w:t>n</w:t>
      </w:r>
      <w:r>
        <w:rPr>
          <w:rFonts w:cs="Times New Roman"/>
          <w:szCs w:val="24"/>
        </w:rPr>
        <w:t xml:space="preserve">or differentiate between the low-level and high-level features present in the input image. </w:t>
      </w:r>
    </w:p>
    <w:p w14:paraId="0C52EFF2" w14:textId="696CED4F" w:rsidR="006665BC" w:rsidRDefault="006665BC" w:rsidP="002936FC">
      <w:pPr>
        <w:spacing w:after="0"/>
        <w:ind w:firstLine="288"/>
        <w:rPr>
          <w:rFonts w:cs="Times New Roman"/>
          <w:szCs w:val="24"/>
        </w:rPr>
      </w:pPr>
      <w:r>
        <w:rPr>
          <w:rFonts w:cs="Times New Roman"/>
          <w:szCs w:val="24"/>
        </w:rPr>
        <w:t>The second stage is the computation of the loss function. To begin with, since we have a training image and its label, we can define a suitable loss function associated with the error in the prediction. Examples of some commonly used loss functions are root mean squared error (L2 loss), categorical cross entropy loss, mean absolute error (L1 loss) etc. In this work, for VGG16 I have used the cross-entropy loss function which is mathematically represented as follows</w:t>
      </w:r>
      <w:r w:rsidR="000E4B56">
        <w:rPr>
          <w:rFonts w:cs="Times New Roman"/>
          <w:szCs w:val="24"/>
        </w:rPr>
        <w:t xml:space="preserve"> in Eq. 3.3</w:t>
      </w:r>
      <w:r>
        <w:rPr>
          <w:rFonts w:cs="Times New Roman"/>
          <w:szCs w:val="24"/>
        </w:rPr>
        <w:t xml:space="preserve">: </w:t>
      </w:r>
    </w:p>
    <w:p w14:paraId="64CBCB23" w14:textId="72E11927" w:rsidR="006665BC" w:rsidRDefault="006665BC" w:rsidP="002936FC">
      <w:pPr>
        <w:spacing w:after="0"/>
        <w:ind w:firstLine="288"/>
        <w:rPr>
          <w:rFonts w:eastAsiaTheme="minorEastAsia" w:cs="Times New Roman"/>
          <w:szCs w:val="24"/>
        </w:rPr>
      </w:pPr>
      <m:oMath>
        <m:r>
          <w:rPr>
            <w:rFonts w:ascii="Cambria Math" w:hAnsi="Cambria Math" w:cs="Times New Roman"/>
            <w:szCs w:val="24"/>
          </w:rPr>
          <m:t>Categorical Cross Entropy Loss (L)=-</m:t>
        </m:r>
        <m:nary>
          <m:naryPr>
            <m:chr m:val="∑"/>
            <m:limLoc m:val="undOvr"/>
            <m:ctrlPr>
              <w:rPr>
                <w:rFonts w:ascii="Cambria Math" w:hAnsi="Cambria Math" w:cs="Times New Roman"/>
                <w:i/>
                <w:szCs w:val="24"/>
              </w:rPr>
            </m:ctrlPr>
          </m:naryPr>
          <m:sub>
            <m:r>
              <w:rPr>
                <w:rFonts w:ascii="Cambria Math" w:hAnsi="Cambria Math" w:cs="Times New Roman"/>
                <w:szCs w:val="24"/>
              </w:rPr>
              <m:t>i</m:t>
            </m:r>
          </m:sub>
          <m:sup>
            <m:r>
              <w:rPr>
                <w:rFonts w:ascii="Cambria Math" w:hAnsi="Cambria Math" w:cs="Times New Roman"/>
                <w:szCs w:val="24"/>
              </w:rPr>
              <m:t>C</m:t>
            </m:r>
          </m:sup>
          <m:e>
            <m:sSub>
              <m:sSubPr>
                <m:ctrlPr>
                  <w:rPr>
                    <w:rFonts w:ascii="Cambria Math" w:hAnsi="Cambria Math" w:cs="Times New Roman"/>
                    <w:i/>
                    <w:szCs w:val="24"/>
                  </w:rPr>
                </m:ctrlPr>
              </m:sSubPr>
              <m:e>
                <m:r>
                  <w:rPr>
                    <w:rFonts w:ascii="Cambria Math" w:hAnsi="Cambria Math" w:cs="Times New Roman"/>
                    <w:szCs w:val="24"/>
                  </w:rPr>
                  <m:t>t</m:t>
                </m:r>
              </m:e>
              <m:sub>
                <m:r>
                  <w:rPr>
                    <w:rFonts w:ascii="Cambria Math" w:hAnsi="Cambria Math" w:cs="Times New Roman"/>
                    <w:szCs w:val="24"/>
                  </w:rPr>
                  <m:t>i</m:t>
                </m:r>
              </m:sub>
            </m:sSub>
          </m:e>
        </m:nary>
        <m:r>
          <m:rPr>
            <m:sty m:val="p"/>
          </m:rPr>
          <w:rPr>
            <w:rFonts w:ascii="Cambria Math" w:hAnsi="Cambria Math" w:cs="Times New Roman"/>
            <w:szCs w:val="24"/>
          </w:rPr>
          <m:t>log⁡</m:t>
        </m:r>
        <m:r>
          <w:rPr>
            <w:rFonts w:ascii="Cambria Math" w:hAnsi="Cambria Math" w:cs="Times New Roman"/>
            <w:szCs w:val="24"/>
          </w:rPr>
          <m:t>(f(</m:t>
        </m:r>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i</m:t>
            </m:r>
          </m:sub>
        </m:sSub>
        <m:r>
          <w:rPr>
            <w:rFonts w:ascii="Cambria Math" w:hAnsi="Cambria Math" w:cs="Times New Roman"/>
            <w:szCs w:val="24"/>
          </w:rPr>
          <m:t>)</m:t>
        </m:r>
      </m:oMath>
      <w:r>
        <w:rPr>
          <w:rFonts w:eastAsiaTheme="minorEastAsia" w:cs="Times New Roman"/>
          <w:szCs w:val="24"/>
        </w:rPr>
        <w:t xml:space="preserve">  </w:t>
      </w:r>
      <w:r w:rsidR="00B0008E">
        <w:rPr>
          <w:rFonts w:eastAsiaTheme="minorEastAsia" w:cs="Times New Roman"/>
          <w:szCs w:val="24"/>
        </w:rPr>
        <w:t>…………………………….</w:t>
      </w:r>
      <w:r w:rsidR="000E4B56">
        <w:rPr>
          <w:rFonts w:eastAsiaTheme="minorEastAsia" w:cs="Times New Roman"/>
          <w:szCs w:val="24"/>
        </w:rPr>
        <w:t>3.3</w:t>
      </w:r>
    </w:p>
    <w:p w14:paraId="01831254" w14:textId="77777777" w:rsidR="000E4B56" w:rsidRDefault="006665BC" w:rsidP="002936FC">
      <w:pPr>
        <w:spacing w:after="0"/>
        <w:ind w:firstLine="288"/>
        <w:rPr>
          <w:rFonts w:eastAsiaTheme="minorEastAsia" w:cs="Times New Roman"/>
          <w:szCs w:val="24"/>
        </w:rPr>
      </w:pPr>
      <w:r>
        <w:rPr>
          <w:rFonts w:eastAsiaTheme="minorEastAsia" w:cs="Times New Roman"/>
          <w:szCs w:val="24"/>
        </w:rPr>
        <w:t>where t is the target class ground truth, C is the number of outputs in the last layer of the CNN, f(s) is a softmax activation function which takes the scores s for each class from the CNN model and converts them between 0 and 1. The softmax activation function is computed as follows</w:t>
      </w:r>
      <w:r w:rsidR="000E4B56">
        <w:rPr>
          <w:rFonts w:eastAsiaTheme="minorEastAsia" w:cs="Times New Roman"/>
          <w:szCs w:val="24"/>
        </w:rPr>
        <w:t xml:space="preserve"> in Eq. 3.4.</w:t>
      </w:r>
    </w:p>
    <w:p w14:paraId="254A9BAE" w14:textId="123174C2" w:rsidR="000E4B56" w:rsidRDefault="006665BC" w:rsidP="002936FC">
      <w:pPr>
        <w:spacing w:after="0"/>
        <w:ind w:firstLine="288"/>
        <w:rPr>
          <w:rFonts w:eastAsiaTheme="minorEastAsia" w:cs="Times New Roman"/>
          <w:szCs w:val="24"/>
        </w:rPr>
      </w:pPr>
      <w:r>
        <w:rPr>
          <w:rFonts w:eastAsiaTheme="minorEastAsia" w:cs="Times New Roman"/>
          <w:szCs w:val="24"/>
        </w:rPr>
        <w:t xml:space="preserve"> </w:t>
      </w:r>
      <m:oMath>
        <m:r>
          <w:rPr>
            <w:rFonts w:ascii="Cambria Math" w:hAnsi="Cambria Math" w:cs="Times New Roman"/>
            <w:szCs w:val="24"/>
          </w:rPr>
          <m:t>f(</m:t>
        </m:r>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i</m:t>
            </m:r>
          </m:sub>
        </m:sSub>
        <m:r>
          <w:rPr>
            <w:rFonts w:ascii="Cambria Math" w:hAnsi="Cambria Math" w:cs="Times New Roman"/>
            <w:szCs w:val="24"/>
          </w:rPr>
          <m:t>=</m:t>
        </m:r>
        <m:f>
          <m:fPr>
            <m:ctrlPr>
              <w:rPr>
                <w:rFonts w:ascii="Cambria Math" w:hAnsi="Cambria Math" w:cs="Times New Roman"/>
                <w:i/>
                <w:szCs w:val="24"/>
              </w:rPr>
            </m:ctrlPr>
          </m:fPr>
          <m:num>
            <m:sSup>
              <m:sSupPr>
                <m:ctrlPr>
                  <w:rPr>
                    <w:rFonts w:ascii="Cambria Math" w:hAnsi="Cambria Math" w:cs="Times New Roman"/>
                    <w:i/>
                    <w:szCs w:val="24"/>
                  </w:rPr>
                </m:ctrlPr>
              </m:sSupPr>
              <m:e>
                <m:r>
                  <w:rPr>
                    <w:rFonts w:ascii="Cambria Math" w:hAnsi="Cambria Math" w:cs="Times New Roman"/>
                    <w:szCs w:val="24"/>
                  </w:rPr>
                  <m:t>e</m:t>
                </m:r>
              </m:e>
              <m:sup>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i</m:t>
                    </m:r>
                  </m:sub>
                </m:sSub>
              </m:sup>
            </m:sSup>
          </m:num>
          <m:den>
            <m:nary>
              <m:naryPr>
                <m:chr m:val="∑"/>
                <m:limLoc m:val="undOvr"/>
                <m:ctrlPr>
                  <w:rPr>
                    <w:rFonts w:ascii="Cambria Math" w:hAnsi="Cambria Math" w:cs="Times New Roman"/>
                    <w:i/>
                    <w:szCs w:val="24"/>
                  </w:rPr>
                </m:ctrlPr>
              </m:naryPr>
              <m:sub>
                <m:r>
                  <w:rPr>
                    <w:rFonts w:ascii="Cambria Math" w:hAnsi="Cambria Math" w:cs="Times New Roman"/>
                    <w:szCs w:val="24"/>
                  </w:rPr>
                  <m:t>j</m:t>
                </m:r>
              </m:sub>
              <m:sup>
                <m:r>
                  <w:rPr>
                    <w:rFonts w:ascii="Cambria Math" w:hAnsi="Cambria Math" w:cs="Times New Roman"/>
                    <w:szCs w:val="24"/>
                  </w:rPr>
                  <m:t>C</m:t>
                </m:r>
              </m:sup>
              <m:e>
                <m:sSup>
                  <m:sSupPr>
                    <m:ctrlPr>
                      <w:rPr>
                        <w:rFonts w:ascii="Cambria Math" w:hAnsi="Cambria Math" w:cs="Times New Roman"/>
                        <w:i/>
                        <w:szCs w:val="24"/>
                      </w:rPr>
                    </m:ctrlPr>
                  </m:sSupPr>
                  <m:e>
                    <m:r>
                      <w:rPr>
                        <w:rFonts w:ascii="Cambria Math" w:hAnsi="Cambria Math" w:cs="Times New Roman"/>
                        <w:szCs w:val="24"/>
                      </w:rPr>
                      <m:t>e</m:t>
                    </m:r>
                  </m:e>
                  <m:sup>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j</m:t>
                        </m:r>
                      </m:sub>
                    </m:sSub>
                  </m:sup>
                </m:sSup>
              </m:e>
            </m:nary>
          </m:den>
        </m:f>
      </m:oMath>
      <w:r>
        <w:rPr>
          <w:rFonts w:eastAsiaTheme="minorEastAsia" w:cs="Times New Roman"/>
          <w:szCs w:val="24"/>
        </w:rPr>
        <w:t xml:space="preserve"> </w:t>
      </w:r>
      <w:r w:rsidR="000E4B56">
        <w:rPr>
          <w:rFonts w:eastAsiaTheme="minorEastAsia" w:cs="Times New Roman"/>
          <w:szCs w:val="24"/>
        </w:rPr>
        <w:t>……………………………………………………………………………</w:t>
      </w:r>
      <w:r w:rsidR="00FD5147">
        <w:rPr>
          <w:rFonts w:eastAsiaTheme="minorEastAsia" w:cs="Times New Roman"/>
          <w:szCs w:val="24"/>
        </w:rPr>
        <w:t>….</w:t>
      </w:r>
      <w:r w:rsidR="000E4B56">
        <w:rPr>
          <w:rFonts w:eastAsiaTheme="minorEastAsia" w:cs="Times New Roman"/>
          <w:szCs w:val="24"/>
        </w:rPr>
        <w:t>3.4</w:t>
      </w:r>
      <w:r>
        <w:rPr>
          <w:rFonts w:eastAsiaTheme="minorEastAsia" w:cs="Times New Roman"/>
          <w:szCs w:val="24"/>
        </w:rPr>
        <w:t xml:space="preserve">  </w:t>
      </w:r>
    </w:p>
    <w:p w14:paraId="793CEEB4" w14:textId="12D8E15E" w:rsidR="006665BC" w:rsidRDefault="006665BC" w:rsidP="002936FC">
      <w:pPr>
        <w:spacing w:after="0"/>
        <w:ind w:firstLine="288"/>
        <w:rPr>
          <w:rFonts w:eastAsiaTheme="minorEastAsia" w:cs="Times New Roman"/>
          <w:szCs w:val="24"/>
        </w:rPr>
      </w:pPr>
      <w:r>
        <w:rPr>
          <w:rFonts w:eastAsiaTheme="minorEastAsia" w:cs="Times New Roman"/>
          <w:szCs w:val="24"/>
        </w:rPr>
        <w:t xml:space="preserve">The elements </w:t>
      </w:r>
      <m:oMath>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i</m:t>
            </m:r>
          </m:sub>
        </m:sSub>
        <m:r>
          <w:rPr>
            <w:rFonts w:ascii="Cambria Math" w:hAnsi="Cambria Math" w:cs="Times New Roman"/>
            <w:szCs w:val="24"/>
          </w:rPr>
          <m:t xml:space="preserve"> </m:t>
        </m:r>
      </m:oMath>
      <w:r>
        <w:rPr>
          <w:rFonts w:eastAsiaTheme="minorEastAsia" w:cs="Times New Roman"/>
          <w:szCs w:val="24"/>
        </w:rPr>
        <w:t>in the vector s represents the i</w:t>
      </w:r>
      <w:r w:rsidRPr="006243FB">
        <w:rPr>
          <w:rFonts w:eastAsiaTheme="minorEastAsia" w:cs="Times New Roman"/>
          <w:szCs w:val="24"/>
          <w:vertAlign w:val="superscript"/>
        </w:rPr>
        <w:t>th</w:t>
      </w:r>
      <w:r>
        <w:rPr>
          <w:rFonts w:eastAsiaTheme="minorEastAsia" w:cs="Times New Roman"/>
          <w:szCs w:val="24"/>
        </w:rPr>
        <w:t xml:space="preserve"> class output score and </w:t>
      </w:r>
      <m:oMath>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j</m:t>
            </m:r>
          </m:sub>
        </m:sSub>
      </m:oMath>
      <w:r w:rsidRPr="00865278">
        <w:rPr>
          <w:rFonts w:eastAsiaTheme="minorEastAsia" w:cs="Times New Roman"/>
          <w:szCs w:val="24"/>
        </w:rPr>
        <w:t xml:space="preserve"> are the scores </w:t>
      </w:r>
      <w:r>
        <w:rPr>
          <w:rFonts w:eastAsiaTheme="minorEastAsia" w:cs="Times New Roman"/>
          <w:szCs w:val="24"/>
        </w:rPr>
        <w:t xml:space="preserve">computed by </w:t>
      </w:r>
      <w:r w:rsidRPr="00865278">
        <w:rPr>
          <w:rFonts w:eastAsiaTheme="minorEastAsia" w:cs="Times New Roman"/>
          <w:szCs w:val="24"/>
        </w:rPr>
        <w:t xml:space="preserve">the </w:t>
      </w:r>
      <w:r>
        <w:rPr>
          <w:rFonts w:eastAsiaTheme="minorEastAsia" w:cs="Times New Roman"/>
          <w:szCs w:val="24"/>
        </w:rPr>
        <w:t>CNN</w:t>
      </w:r>
      <w:r w:rsidRPr="00865278">
        <w:rPr>
          <w:rFonts w:eastAsiaTheme="minorEastAsia" w:cs="Times New Roman"/>
          <w:szCs w:val="24"/>
        </w:rPr>
        <w:t xml:space="preserve"> for each class in C</w:t>
      </w:r>
      <w:r>
        <w:rPr>
          <w:rFonts w:eastAsiaTheme="minorEastAsia" w:cs="Times New Roman"/>
          <w:szCs w:val="24"/>
        </w:rPr>
        <w:t>.</w:t>
      </w:r>
    </w:p>
    <w:p w14:paraId="319E6C4C" w14:textId="77777777" w:rsidR="006665BC" w:rsidRDefault="006665BC" w:rsidP="002936FC">
      <w:pPr>
        <w:spacing w:after="0"/>
        <w:ind w:firstLine="288"/>
        <w:rPr>
          <w:rFonts w:cs="Times New Roman"/>
          <w:szCs w:val="24"/>
        </w:rPr>
      </w:pPr>
      <w:r>
        <w:rPr>
          <w:rFonts w:cs="Times New Roman"/>
          <w:szCs w:val="24"/>
        </w:rPr>
        <w:t xml:space="preserve">Generally, the loss is high for initial part of the training process. In order to improve the next prediction, the aim is to minimize the cross-entropy loss function value. </w:t>
      </w:r>
    </w:p>
    <w:p w14:paraId="25AD71A8" w14:textId="2CCEEF87" w:rsidR="006665BC" w:rsidRDefault="006665BC" w:rsidP="002936FC">
      <w:pPr>
        <w:spacing w:after="0"/>
        <w:ind w:firstLine="288"/>
        <w:rPr>
          <w:rFonts w:eastAsiaTheme="minorEastAsia" w:cs="Times New Roman"/>
          <w:szCs w:val="24"/>
        </w:rPr>
      </w:pPr>
      <w:r>
        <w:rPr>
          <w:rFonts w:cs="Times New Roman"/>
          <w:szCs w:val="24"/>
        </w:rPr>
        <w:t>To minimize the loss, we perform the third stage called the back</w:t>
      </w:r>
      <w:r w:rsidR="00AF392E">
        <w:rPr>
          <w:rFonts w:cs="Times New Roman"/>
          <w:szCs w:val="24"/>
        </w:rPr>
        <w:t>ward pass</w:t>
      </w:r>
      <w:r>
        <w:rPr>
          <w:rFonts w:cs="Times New Roman"/>
          <w:szCs w:val="24"/>
        </w:rPr>
        <w:t xml:space="preserve">. Here we compute the derivative of the loss function with respect to the computed weights W,  </w:t>
      </w:r>
      <m:oMath>
        <m:f>
          <m:fPr>
            <m:ctrlPr>
              <w:rPr>
                <w:rFonts w:ascii="Cambria Math" w:hAnsi="Cambria Math" w:cs="Times New Roman"/>
                <w:szCs w:val="24"/>
              </w:rPr>
            </m:ctrlPr>
          </m:fPr>
          <m:num>
            <m:r>
              <w:rPr>
                <w:rFonts w:ascii="Cambria Math" w:hAnsi="Cambria Math" w:cs="Times New Roman"/>
                <w:szCs w:val="24"/>
              </w:rPr>
              <m:t>dL</m:t>
            </m:r>
          </m:num>
          <m:den>
            <m:r>
              <w:rPr>
                <w:rFonts w:ascii="Cambria Math" w:hAnsi="Cambria Math" w:cs="Times New Roman"/>
                <w:szCs w:val="24"/>
              </w:rPr>
              <m:t>dW</m:t>
            </m:r>
          </m:den>
        </m:f>
      </m:oMath>
      <w:r>
        <w:rPr>
          <w:rFonts w:eastAsiaTheme="minorEastAsia" w:cs="Times New Roman"/>
          <w:szCs w:val="24"/>
        </w:rPr>
        <w:t xml:space="preserve"> .By performing a backward pass, we find the contribution of each weight corresponding to each layer to the loss function and adjust them through </w:t>
      </w:r>
      <w:r w:rsidR="00850CAF">
        <w:rPr>
          <w:rFonts w:eastAsiaTheme="minorEastAsia" w:cs="Times New Roman"/>
          <w:szCs w:val="24"/>
        </w:rPr>
        <w:t>Eq. 3.5</w:t>
      </w:r>
      <w:r>
        <w:rPr>
          <w:rFonts w:eastAsiaTheme="minorEastAsia" w:cs="Times New Roman"/>
          <w:szCs w:val="24"/>
        </w:rPr>
        <w:t>:</w:t>
      </w:r>
    </w:p>
    <w:p w14:paraId="0B0D482C" w14:textId="26B126E2" w:rsidR="00C955DD" w:rsidRDefault="002E6043" w:rsidP="002936FC">
      <w:pPr>
        <w:spacing w:after="0"/>
        <w:ind w:firstLine="288"/>
        <w:rPr>
          <w:rFonts w:eastAsiaTheme="minorEastAsia" w:cs="Times New Roman"/>
          <w:szCs w:val="24"/>
        </w:rPr>
      </w:pPr>
      <m:oMath>
        <m:sSub>
          <m:sSubPr>
            <m:ctrlPr>
              <w:rPr>
                <w:rFonts w:ascii="Cambria Math" w:hAnsi="Cambria Math" w:cs="Times New Roman"/>
                <w:i/>
                <w:szCs w:val="24"/>
              </w:rPr>
            </m:ctrlPr>
          </m:sSubPr>
          <m:e>
            <m:r>
              <w:rPr>
                <w:rFonts w:ascii="Cambria Math" w:hAnsi="Cambria Math" w:cs="Times New Roman"/>
                <w:szCs w:val="24"/>
              </w:rPr>
              <m:t>w</m:t>
            </m:r>
          </m:e>
          <m:sub>
            <m:r>
              <w:rPr>
                <w:rFonts w:ascii="Cambria Math" w:hAnsi="Cambria Math" w:cs="Times New Roman"/>
                <w:szCs w:val="24"/>
              </w:rPr>
              <m:t>i+1</m:t>
            </m:r>
          </m:sub>
        </m:sSub>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w</m:t>
            </m:r>
          </m:e>
          <m:sub>
            <m:r>
              <w:rPr>
                <w:rFonts w:ascii="Cambria Math" w:hAnsi="Cambria Math" w:cs="Times New Roman"/>
                <w:szCs w:val="24"/>
              </w:rPr>
              <m:t>i</m:t>
            </m:r>
          </m:sub>
        </m:sSub>
        <m:r>
          <w:rPr>
            <w:rFonts w:ascii="Cambria Math" w:hAnsi="Cambria Math" w:cs="Times New Roman"/>
            <w:szCs w:val="24"/>
          </w:rPr>
          <m:t>-α</m:t>
        </m:r>
        <m:f>
          <m:fPr>
            <m:ctrlPr>
              <w:rPr>
                <w:rFonts w:ascii="Cambria Math" w:hAnsi="Cambria Math" w:cs="Times New Roman"/>
                <w:szCs w:val="24"/>
              </w:rPr>
            </m:ctrlPr>
          </m:fPr>
          <m:num>
            <m:r>
              <w:rPr>
                <w:rFonts w:ascii="Cambria Math" w:hAnsi="Cambria Math" w:cs="Times New Roman"/>
                <w:szCs w:val="24"/>
              </w:rPr>
              <m:t>dL</m:t>
            </m:r>
          </m:num>
          <m:den>
            <m:r>
              <w:rPr>
                <w:rFonts w:ascii="Cambria Math" w:hAnsi="Cambria Math" w:cs="Times New Roman"/>
                <w:szCs w:val="24"/>
              </w:rPr>
              <m:t>dW</m:t>
            </m:r>
          </m:den>
        </m:f>
      </m:oMath>
      <w:r w:rsidR="006665BC">
        <w:rPr>
          <w:rFonts w:eastAsiaTheme="minorEastAsia" w:cs="Times New Roman"/>
          <w:szCs w:val="24"/>
        </w:rPr>
        <w:t xml:space="preserve"> </w:t>
      </w:r>
      <w:r w:rsidR="00850CAF">
        <w:rPr>
          <w:rFonts w:eastAsiaTheme="minorEastAsia" w:cs="Times New Roman"/>
          <w:szCs w:val="24"/>
        </w:rPr>
        <w:t>………………………………………………………………………</w:t>
      </w:r>
      <w:r w:rsidR="00974482">
        <w:rPr>
          <w:rFonts w:eastAsiaTheme="minorEastAsia" w:cs="Times New Roman"/>
          <w:szCs w:val="24"/>
        </w:rPr>
        <w:t>….</w:t>
      </w:r>
      <w:r w:rsidR="00850CAF">
        <w:rPr>
          <w:rFonts w:eastAsiaTheme="minorEastAsia" w:cs="Times New Roman"/>
          <w:szCs w:val="24"/>
        </w:rPr>
        <w:t>3.5</w:t>
      </w:r>
      <w:r w:rsidR="006665BC">
        <w:rPr>
          <w:rFonts w:eastAsiaTheme="minorEastAsia" w:cs="Times New Roman"/>
          <w:szCs w:val="24"/>
        </w:rPr>
        <w:t xml:space="preserve">  </w:t>
      </w:r>
    </w:p>
    <w:p w14:paraId="09EE0FE7" w14:textId="395B9FC6" w:rsidR="006665BC" w:rsidRDefault="006665BC" w:rsidP="002936FC">
      <w:pPr>
        <w:spacing w:after="0"/>
        <w:ind w:firstLine="288"/>
        <w:rPr>
          <w:rFonts w:eastAsiaTheme="minorEastAsia" w:cs="Times New Roman"/>
          <w:szCs w:val="24"/>
        </w:rPr>
      </w:pPr>
      <w:r>
        <w:rPr>
          <w:rFonts w:eastAsiaTheme="minorEastAsia" w:cs="Times New Roman"/>
          <w:szCs w:val="24"/>
        </w:rPr>
        <w:lastRenderedPageBreak/>
        <w:t xml:space="preserve">where </w:t>
      </w:r>
      <m:oMath>
        <m:sSub>
          <m:sSubPr>
            <m:ctrlPr>
              <w:rPr>
                <w:rFonts w:ascii="Cambria Math" w:hAnsi="Cambria Math" w:cs="Times New Roman"/>
                <w:i/>
                <w:szCs w:val="24"/>
              </w:rPr>
            </m:ctrlPr>
          </m:sSubPr>
          <m:e>
            <m:r>
              <w:rPr>
                <w:rFonts w:ascii="Cambria Math" w:hAnsi="Cambria Math" w:cs="Times New Roman"/>
                <w:szCs w:val="24"/>
              </w:rPr>
              <m:t>w</m:t>
            </m:r>
          </m:e>
          <m:sub>
            <m:r>
              <w:rPr>
                <w:rFonts w:ascii="Cambria Math" w:hAnsi="Cambria Math" w:cs="Times New Roman"/>
                <w:szCs w:val="24"/>
              </w:rPr>
              <m:t>i</m:t>
            </m:r>
          </m:sub>
        </m:sSub>
      </m:oMath>
      <w:r>
        <w:rPr>
          <w:rFonts w:eastAsiaTheme="minorEastAsia" w:cs="Times New Roman"/>
          <w:szCs w:val="24"/>
        </w:rPr>
        <w:t xml:space="preserve"> are initial weights, </w:t>
      </w:r>
      <m:oMath>
        <m:sSub>
          <m:sSubPr>
            <m:ctrlPr>
              <w:rPr>
                <w:rFonts w:ascii="Cambria Math" w:hAnsi="Cambria Math" w:cs="Times New Roman"/>
                <w:i/>
                <w:szCs w:val="24"/>
              </w:rPr>
            </m:ctrlPr>
          </m:sSubPr>
          <m:e>
            <m:r>
              <w:rPr>
                <w:rFonts w:ascii="Cambria Math" w:hAnsi="Cambria Math" w:cs="Times New Roman"/>
                <w:szCs w:val="24"/>
              </w:rPr>
              <m:t>w</m:t>
            </m:r>
          </m:e>
          <m:sub>
            <m:r>
              <w:rPr>
                <w:rFonts w:ascii="Cambria Math" w:hAnsi="Cambria Math" w:cs="Times New Roman"/>
                <w:szCs w:val="24"/>
              </w:rPr>
              <m:t>i+1</m:t>
            </m:r>
          </m:sub>
        </m:sSub>
      </m:oMath>
      <w:r>
        <w:rPr>
          <w:rFonts w:eastAsiaTheme="minorEastAsia" w:cs="Times New Roman"/>
          <w:szCs w:val="24"/>
        </w:rPr>
        <w:t xml:space="preserve"> is the newly computed weight for the next forward pass and </w:t>
      </w:r>
      <m:oMath>
        <m:r>
          <w:rPr>
            <w:rFonts w:ascii="Cambria Math" w:hAnsi="Cambria Math" w:cs="Times New Roman"/>
            <w:szCs w:val="24"/>
          </w:rPr>
          <m:t>α</m:t>
        </m:r>
      </m:oMath>
      <w:r>
        <w:rPr>
          <w:rFonts w:eastAsiaTheme="minorEastAsia" w:cs="Times New Roman"/>
          <w:szCs w:val="24"/>
        </w:rPr>
        <w:t xml:space="preserve"> is the learning rate which is user-defined. This is the last step in the backpropagation algorithm where the weights are continually updated through the forward-backward pass process and recorded for each training image of every class such that we locate the global minimum of the loss function. After all iterations are completed, the weights of the layers in the CNN are now tuned or in the other words, our model has been trained for classification task. </w:t>
      </w:r>
    </w:p>
    <w:p w14:paraId="0CE4CA8B" w14:textId="752D82F1" w:rsidR="006665BC" w:rsidRPr="00095692" w:rsidRDefault="006665BC" w:rsidP="002936FC">
      <w:pPr>
        <w:spacing w:after="0"/>
        <w:ind w:firstLine="288"/>
        <w:rPr>
          <w:rFonts w:eastAsiaTheme="minorEastAsia" w:cs="Times New Roman"/>
          <w:szCs w:val="24"/>
        </w:rPr>
      </w:pPr>
      <w:r>
        <w:rPr>
          <w:rFonts w:eastAsiaTheme="minorEastAsia" w:cs="Times New Roman"/>
          <w:szCs w:val="24"/>
        </w:rPr>
        <w:t xml:space="preserve">The process of tuning for the model weights is called gradient descent optimization. There are many variants of the gradient descent algorithms. Here in this work, I have used a gradient descent algorithm known as Adaptive Moment Estimation or Adam by </w:t>
      </w:r>
      <w:r w:rsidRPr="00836370">
        <w:rPr>
          <w:color w:val="002060"/>
        </w:rPr>
        <w:t xml:space="preserve">Kingma and Ba </w:t>
      </w:r>
      <w:r>
        <w:rPr>
          <w:color w:val="002060"/>
        </w:rPr>
        <w:t>(</w:t>
      </w:r>
      <w:r w:rsidRPr="00836370">
        <w:rPr>
          <w:color w:val="002060"/>
        </w:rPr>
        <w:t>2015</w:t>
      </w:r>
      <w:r>
        <w:rPr>
          <w:color w:val="002060"/>
        </w:rPr>
        <w:t>)</w:t>
      </w:r>
      <w:r>
        <w:rPr>
          <w:rFonts w:eastAsiaTheme="minorEastAsia" w:cs="Times New Roman"/>
          <w:szCs w:val="24"/>
        </w:rPr>
        <w:t xml:space="preserve">. </w:t>
      </w:r>
    </w:p>
    <w:p w14:paraId="403ADDC2" w14:textId="77777777" w:rsidR="006665BC" w:rsidRPr="00343892" w:rsidRDefault="006665BC" w:rsidP="002936FC">
      <w:pPr>
        <w:spacing w:after="0"/>
        <w:ind w:firstLine="288"/>
        <w:rPr>
          <w:rFonts w:eastAsiaTheme="minorEastAsia" w:cs="Times New Roman"/>
          <w:b/>
          <w:bCs/>
          <w:szCs w:val="24"/>
        </w:rPr>
      </w:pPr>
      <w:r w:rsidRPr="00343892">
        <w:rPr>
          <w:rFonts w:eastAsiaTheme="minorEastAsia" w:cs="Times New Roman"/>
          <w:b/>
          <w:bCs/>
          <w:szCs w:val="24"/>
        </w:rPr>
        <w:t>Transfer Learning</w:t>
      </w:r>
    </w:p>
    <w:p w14:paraId="2D5A3C36" w14:textId="6E4F1888" w:rsidR="006665BC" w:rsidRDefault="006665BC" w:rsidP="002936FC">
      <w:pPr>
        <w:spacing w:after="0"/>
        <w:ind w:firstLine="288"/>
        <w:rPr>
          <w:rFonts w:cs="Times New Roman"/>
          <w:szCs w:val="24"/>
        </w:rPr>
      </w:pPr>
      <w:r>
        <w:rPr>
          <w:rFonts w:cs="Times New Roman"/>
          <w:szCs w:val="24"/>
        </w:rPr>
        <w:t xml:space="preserve">The previous section was essentially about how the convolutional neural network is trained from scratch using a variant of the gradient descent optimization and backpropagation. The CNN model chosen here, VGG16, was previously trained on a portion of the ImageNet database to recognize 1000 classes of high-resolution objects. I retain the weights of the initial 15 layers and only modify the final fully connected layer to suit our specific application of downhole dynamometer cards classification. This process of leveraging the power of a pre-trained CNN and customizing the last layer of the network specific to our application is called Transfer Learning. In this work, I have modified the final classifier layer to identify the 13 classes of sucker rod pump failure modes considered in this study. </w:t>
      </w:r>
    </w:p>
    <w:p w14:paraId="79C4AA32" w14:textId="77777777" w:rsidR="006665BC" w:rsidRPr="003C253E" w:rsidRDefault="006665BC" w:rsidP="002936FC">
      <w:pPr>
        <w:pStyle w:val="Heading2"/>
        <w:ind w:left="0" w:firstLine="0"/>
      </w:pPr>
      <w:bookmarkStart w:id="95" w:name="_Toc56427168"/>
      <w:bookmarkStart w:id="96" w:name="_Toc58667111"/>
      <w:r w:rsidRPr="003C253E">
        <w:t>3.4 Dataset Description and Data Augmentation</w:t>
      </w:r>
      <w:bookmarkEnd w:id="95"/>
      <w:bookmarkEnd w:id="96"/>
    </w:p>
    <w:p w14:paraId="08C2446B" w14:textId="75541992" w:rsidR="006665BC" w:rsidRDefault="006665BC" w:rsidP="002936FC">
      <w:pPr>
        <w:spacing w:after="0"/>
        <w:rPr>
          <w:rFonts w:cs="Times New Roman"/>
          <w:szCs w:val="24"/>
        </w:rPr>
      </w:pPr>
      <w:r w:rsidRPr="004E70C5">
        <w:rPr>
          <w:rFonts w:cs="Times New Roman"/>
          <w:szCs w:val="24"/>
        </w:rPr>
        <w:t>In this work</w:t>
      </w:r>
      <w:r>
        <w:rPr>
          <w:rFonts w:cs="Times New Roman"/>
          <w:szCs w:val="24"/>
        </w:rPr>
        <w:t>, I generate synthetic dynamometer cards corresponding to different failure modes</w:t>
      </w:r>
      <w:r w:rsidR="000D7E2E">
        <w:rPr>
          <w:rFonts w:cs="Times New Roman"/>
          <w:szCs w:val="24"/>
        </w:rPr>
        <w:t>.</w:t>
      </w:r>
      <w:r>
        <w:rPr>
          <w:rFonts w:cs="Times New Roman"/>
          <w:szCs w:val="24"/>
        </w:rPr>
        <w:t xml:space="preserve"> With a large number of training images and transfer learning, the hypothesis is that our customized model should be able to correctly classify and detect the various modes of sucker rod pump </w:t>
      </w:r>
      <w:r>
        <w:rPr>
          <w:rFonts w:cs="Times New Roman"/>
          <w:szCs w:val="24"/>
        </w:rPr>
        <w:lastRenderedPageBreak/>
        <w:t>failures. There are 17 different cases of pump card failures considered and a few of them, belonging to the same class, were combined based on the levels of severity.</w:t>
      </w:r>
      <w:r w:rsidRPr="00A93B3D">
        <w:rPr>
          <w:rFonts w:cs="Times New Roman"/>
          <w:szCs w:val="24"/>
        </w:rPr>
        <w:t xml:space="preserve"> </w:t>
      </w:r>
      <w:r>
        <w:rPr>
          <w:rFonts w:cs="Times New Roman"/>
          <w:szCs w:val="24"/>
        </w:rPr>
        <w:t xml:space="preserve">For example, the different levels of severity of gas interference are grouped into one class. Following this reduction, the total number of failure modes to be detected is 13.  </w:t>
      </w:r>
      <w:r w:rsidRPr="005D3E70">
        <w:rPr>
          <w:rFonts w:cs="Times New Roman"/>
          <w:b/>
          <w:bCs/>
          <w:color w:val="000000"/>
          <w:szCs w:val="24"/>
        </w:rPr>
        <w:t xml:space="preserve">Fig. </w:t>
      </w:r>
      <w:r w:rsidR="00CB6C5F">
        <w:rPr>
          <w:b/>
          <w:bCs/>
        </w:rPr>
        <w:t>3.18</w:t>
      </w:r>
      <w:r w:rsidR="00CB6C5F">
        <w:rPr>
          <w:rFonts w:cs="Times New Roman"/>
          <w:szCs w:val="24"/>
        </w:rPr>
        <w:t xml:space="preserve"> shows</w:t>
      </w:r>
      <w:r>
        <w:rPr>
          <w:rFonts w:cs="Times New Roman"/>
          <w:szCs w:val="24"/>
        </w:rPr>
        <w:t xml:space="preserve"> few of cases of pump failure modes.</w:t>
      </w:r>
    </w:p>
    <w:p w14:paraId="174D841C" w14:textId="77777777" w:rsidR="00564A84" w:rsidRDefault="006665BC" w:rsidP="00564A84">
      <w:pPr>
        <w:keepNext/>
        <w:tabs>
          <w:tab w:val="left" w:pos="7680"/>
        </w:tabs>
        <w:spacing w:after="0"/>
        <w:ind w:firstLine="288"/>
      </w:pPr>
      <w:r>
        <w:rPr>
          <w:noProof/>
        </w:rPr>
        <w:drawing>
          <wp:inline distT="0" distB="0" distL="0" distR="0" wp14:anchorId="69A7A1E4" wp14:editId="5EFA8B2E">
            <wp:extent cx="5943600" cy="280162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943600" cy="2801620"/>
                    </a:xfrm>
                    <a:prstGeom prst="rect">
                      <a:avLst/>
                    </a:prstGeom>
                  </pic:spPr>
                </pic:pic>
              </a:graphicData>
            </a:graphic>
          </wp:inline>
        </w:drawing>
      </w:r>
    </w:p>
    <w:p w14:paraId="1FC760EA" w14:textId="3B6DED21" w:rsidR="006665BC" w:rsidRDefault="00564A84" w:rsidP="00564A84">
      <w:pPr>
        <w:spacing w:after="0"/>
        <w:ind w:firstLine="288"/>
        <w:jc w:val="center"/>
      </w:pPr>
      <w:bookmarkStart w:id="97" w:name="_Toc58667180"/>
      <w:r w:rsidRPr="00564A84">
        <w:rPr>
          <w:rFonts w:ascii="Arial" w:hAnsi="Arial" w:cs="Arial"/>
          <w:b/>
          <w:bCs/>
          <w:sz w:val="16"/>
          <w:szCs w:val="16"/>
        </w:rPr>
        <w:t xml:space="preserve">Fig. 3. </w:t>
      </w:r>
      <w:r w:rsidRPr="00564A84">
        <w:rPr>
          <w:rFonts w:ascii="Arial" w:hAnsi="Arial" w:cs="Arial"/>
          <w:b/>
          <w:bCs/>
          <w:sz w:val="16"/>
          <w:szCs w:val="16"/>
        </w:rPr>
        <w:fldChar w:fldCharType="begin"/>
      </w:r>
      <w:r w:rsidRPr="00564A84">
        <w:rPr>
          <w:rFonts w:ascii="Arial" w:hAnsi="Arial" w:cs="Arial"/>
          <w:b/>
          <w:bCs/>
          <w:sz w:val="16"/>
          <w:szCs w:val="16"/>
        </w:rPr>
        <w:instrText xml:space="preserve"> SEQ Fig._3. \* ARABIC </w:instrText>
      </w:r>
      <w:r w:rsidRPr="00564A84">
        <w:rPr>
          <w:rFonts w:ascii="Arial" w:hAnsi="Arial" w:cs="Arial"/>
          <w:b/>
          <w:bCs/>
          <w:sz w:val="16"/>
          <w:szCs w:val="16"/>
        </w:rPr>
        <w:fldChar w:fldCharType="separate"/>
      </w:r>
      <w:r w:rsidR="00D006A5">
        <w:rPr>
          <w:rFonts w:ascii="Arial" w:hAnsi="Arial" w:cs="Arial"/>
          <w:b/>
          <w:bCs/>
          <w:noProof/>
          <w:sz w:val="16"/>
          <w:szCs w:val="16"/>
        </w:rPr>
        <w:t>18</w:t>
      </w:r>
      <w:r w:rsidRPr="00564A84">
        <w:rPr>
          <w:rFonts w:ascii="Arial" w:hAnsi="Arial" w:cs="Arial"/>
          <w:b/>
          <w:bCs/>
          <w:sz w:val="16"/>
          <w:szCs w:val="16"/>
        </w:rPr>
        <w:fldChar w:fldCharType="end"/>
      </w:r>
      <w:r w:rsidRPr="00564A84">
        <w:rPr>
          <w:rFonts w:ascii="Arial" w:hAnsi="Arial" w:cs="Arial"/>
          <w:b/>
          <w:bCs/>
          <w:sz w:val="16"/>
          <w:szCs w:val="16"/>
        </w:rPr>
        <w:t xml:space="preserve">— </w:t>
      </w:r>
      <w:r w:rsidRPr="00A16EB2">
        <w:rPr>
          <w:rFonts w:ascii="Arial" w:hAnsi="Arial" w:cs="Arial"/>
          <w:b/>
          <w:bCs/>
          <w:sz w:val="16"/>
          <w:szCs w:val="16"/>
        </w:rPr>
        <w:t xml:space="preserve">Example of Rod Pump Failures modes through downhole dynamometer cards </w:t>
      </w:r>
      <w:r w:rsidRPr="0069167D">
        <w:rPr>
          <w:rFonts w:ascii="Arial" w:eastAsia="Times New Roman" w:hAnsi="Arial" w:cs="Times New Roman"/>
          <w:b/>
          <w:sz w:val="16"/>
          <w:szCs w:val="20"/>
        </w:rPr>
        <w:t>(Tan et al. 2015).</w:t>
      </w:r>
      <w:bookmarkEnd w:id="97"/>
    </w:p>
    <w:p w14:paraId="5A1B4246" w14:textId="77777777" w:rsidR="006665BC" w:rsidRDefault="006665BC" w:rsidP="002936FC">
      <w:pPr>
        <w:spacing w:after="0"/>
        <w:ind w:firstLine="288"/>
        <w:jc w:val="left"/>
        <w:rPr>
          <w:rFonts w:ascii="Arial" w:hAnsi="Arial" w:cs="Arial"/>
          <w:color w:val="002060"/>
          <w:sz w:val="16"/>
          <w:szCs w:val="16"/>
        </w:rPr>
      </w:pPr>
    </w:p>
    <w:p w14:paraId="62CA6B91" w14:textId="68D26EBF" w:rsidR="006665BC" w:rsidRDefault="006665BC" w:rsidP="002936FC">
      <w:pPr>
        <w:spacing w:after="0"/>
        <w:ind w:firstLine="288"/>
        <w:rPr>
          <w:rFonts w:cs="Times New Roman"/>
          <w:szCs w:val="24"/>
        </w:rPr>
      </w:pPr>
      <w:r>
        <w:rPr>
          <w:rFonts w:cs="Times New Roman"/>
          <w:szCs w:val="24"/>
        </w:rPr>
        <w:t xml:space="preserve">In order to expand the diversity of images seen by the CNN, I </w:t>
      </w:r>
      <w:r w:rsidR="00564A84">
        <w:rPr>
          <w:rFonts w:cs="Times New Roman"/>
          <w:szCs w:val="24"/>
        </w:rPr>
        <w:t>rely</w:t>
      </w:r>
      <w:r>
        <w:rPr>
          <w:rFonts w:cs="Times New Roman"/>
          <w:szCs w:val="24"/>
        </w:rPr>
        <w:t xml:space="preserve"> on a process called ‘Data Augmentation’ for each dynamometer card. This was done by adding Gaussian white noise on both load and displacement data, as well as vertical and horizontal translation and shrinking and enlargement. These operations were performed on the base images from each case and a grand total of 8500 images belonging to 13 classes were generated. </w:t>
      </w:r>
      <w:r w:rsidRPr="00996D85">
        <w:rPr>
          <w:rFonts w:cs="Times New Roman"/>
          <w:b/>
          <w:bCs/>
          <w:szCs w:val="24"/>
        </w:rPr>
        <w:t xml:space="preserve">Table </w:t>
      </w:r>
      <w:r w:rsidR="003E5468">
        <w:rPr>
          <w:rFonts w:cs="Times New Roman"/>
          <w:b/>
          <w:bCs/>
          <w:szCs w:val="24"/>
        </w:rPr>
        <w:t>3.1</w:t>
      </w:r>
      <w:r>
        <w:rPr>
          <w:rFonts w:cs="Times New Roman"/>
          <w:szCs w:val="24"/>
        </w:rPr>
        <w:t xml:space="preserve"> list the 13 classes with their description and number of training/test images in each class.</w:t>
      </w:r>
      <w:r w:rsidR="004F04CB">
        <w:rPr>
          <w:rFonts w:cs="Times New Roman"/>
          <w:szCs w:val="24"/>
        </w:rPr>
        <w:t xml:space="preserve"> </w:t>
      </w:r>
      <w:r w:rsidR="00C576F4">
        <w:rPr>
          <w:rFonts w:cs="Times New Roman"/>
          <w:szCs w:val="24"/>
        </w:rPr>
        <w:t xml:space="preserve">The base images pertaining to each class </w:t>
      </w:r>
      <w:r w:rsidR="00383B76">
        <w:rPr>
          <w:rFonts w:cs="Times New Roman"/>
          <w:szCs w:val="24"/>
        </w:rPr>
        <w:t xml:space="preserve">are shown in the </w:t>
      </w:r>
      <w:r w:rsidR="00383B76" w:rsidRPr="00383B76">
        <w:rPr>
          <w:rFonts w:cs="Times New Roman"/>
          <w:szCs w:val="24"/>
        </w:rPr>
        <w:t>Appendix</w:t>
      </w:r>
      <w:r w:rsidR="00383B76">
        <w:rPr>
          <w:rFonts w:cs="Times New Roman"/>
          <w:szCs w:val="24"/>
        </w:rPr>
        <w:t xml:space="preserve"> from </w:t>
      </w:r>
      <w:r w:rsidR="00383B76" w:rsidRPr="00F64A0B">
        <w:rPr>
          <w:rFonts w:cs="Times New Roman"/>
          <w:b/>
          <w:bCs/>
          <w:szCs w:val="24"/>
        </w:rPr>
        <w:t>Fig</w:t>
      </w:r>
      <w:r w:rsidR="00F64A0B" w:rsidRPr="00F64A0B">
        <w:rPr>
          <w:rFonts w:cs="Times New Roman"/>
          <w:b/>
          <w:bCs/>
          <w:szCs w:val="24"/>
        </w:rPr>
        <w:t>.</w:t>
      </w:r>
      <w:r w:rsidR="00383B76" w:rsidRPr="00F64A0B">
        <w:rPr>
          <w:rFonts w:cs="Times New Roman"/>
          <w:b/>
          <w:bCs/>
          <w:szCs w:val="24"/>
        </w:rPr>
        <w:t xml:space="preserve"> A</w:t>
      </w:r>
      <w:r w:rsidR="00536154">
        <w:rPr>
          <w:rFonts w:cs="Times New Roman"/>
          <w:b/>
          <w:bCs/>
          <w:szCs w:val="24"/>
        </w:rPr>
        <w:t>17</w:t>
      </w:r>
      <w:r w:rsidR="00F269B3">
        <w:rPr>
          <w:rFonts w:cs="Times New Roman"/>
          <w:szCs w:val="24"/>
        </w:rPr>
        <w:t xml:space="preserve"> to </w:t>
      </w:r>
      <w:r w:rsidR="00F269B3" w:rsidRPr="00F64A0B">
        <w:rPr>
          <w:rFonts w:cs="Times New Roman"/>
          <w:b/>
          <w:bCs/>
          <w:szCs w:val="24"/>
        </w:rPr>
        <w:t>A</w:t>
      </w:r>
      <w:r w:rsidR="00536154">
        <w:rPr>
          <w:rFonts w:cs="Times New Roman"/>
          <w:b/>
          <w:bCs/>
          <w:szCs w:val="24"/>
        </w:rPr>
        <w:t>29</w:t>
      </w:r>
      <w:r w:rsidR="00383B76" w:rsidRPr="00383B76">
        <w:rPr>
          <w:rFonts w:cs="Times New Roman"/>
          <w:b/>
          <w:bCs/>
          <w:szCs w:val="24"/>
        </w:rPr>
        <w:t>.</w:t>
      </w:r>
    </w:p>
    <w:p w14:paraId="6A4DE529" w14:textId="495D5845" w:rsidR="002936FC" w:rsidRDefault="002936FC" w:rsidP="00DD08CA">
      <w:pPr>
        <w:spacing w:after="0" w:line="240" w:lineRule="auto"/>
        <w:ind w:firstLine="288"/>
        <w:rPr>
          <w:rFonts w:cs="Times New Roman"/>
          <w:szCs w:val="24"/>
        </w:rPr>
      </w:pPr>
    </w:p>
    <w:p w14:paraId="1D102B02" w14:textId="104E9A56" w:rsidR="002936FC" w:rsidRDefault="002936FC" w:rsidP="00DD08CA">
      <w:pPr>
        <w:spacing w:after="0" w:line="240" w:lineRule="auto"/>
        <w:ind w:firstLine="288"/>
        <w:rPr>
          <w:rFonts w:cs="Times New Roman"/>
          <w:szCs w:val="24"/>
        </w:rPr>
      </w:pPr>
    </w:p>
    <w:p w14:paraId="328387F8" w14:textId="7B040DCE" w:rsidR="002936FC" w:rsidRDefault="002936FC" w:rsidP="00DD08CA">
      <w:pPr>
        <w:spacing w:after="0" w:line="240" w:lineRule="auto"/>
        <w:ind w:firstLine="288"/>
        <w:rPr>
          <w:rFonts w:cs="Times New Roman"/>
          <w:szCs w:val="24"/>
        </w:rPr>
      </w:pPr>
    </w:p>
    <w:p w14:paraId="0A8D8859" w14:textId="77777777" w:rsidR="006665BC" w:rsidRDefault="006665BC" w:rsidP="00DD08CA">
      <w:pPr>
        <w:spacing w:after="0" w:line="240" w:lineRule="auto"/>
        <w:ind w:firstLine="288"/>
        <w:jc w:val="left"/>
        <w:rPr>
          <w:rFonts w:ascii="Arial" w:hAnsi="Arial" w:cs="Arial"/>
          <w:color w:val="002060"/>
          <w:sz w:val="16"/>
          <w:szCs w:val="16"/>
        </w:rPr>
      </w:pPr>
    </w:p>
    <w:tbl>
      <w:tblPr>
        <w:tblStyle w:val="TableGrid"/>
        <w:tblW w:w="0" w:type="auto"/>
        <w:tblLook w:val="04A0" w:firstRow="1" w:lastRow="0" w:firstColumn="1" w:lastColumn="0" w:noHBand="0" w:noVBand="1"/>
      </w:tblPr>
      <w:tblGrid>
        <w:gridCol w:w="3617"/>
        <w:gridCol w:w="2870"/>
        <w:gridCol w:w="2863"/>
      </w:tblGrid>
      <w:tr w:rsidR="006665BC" w14:paraId="182FE817" w14:textId="77777777" w:rsidTr="00DD08CA">
        <w:trPr>
          <w:trHeight w:val="1088"/>
        </w:trPr>
        <w:tc>
          <w:tcPr>
            <w:tcW w:w="3617" w:type="dxa"/>
          </w:tcPr>
          <w:p w14:paraId="72B47CAB" w14:textId="77777777" w:rsidR="006665BC" w:rsidRPr="00CB081B" w:rsidRDefault="006665BC" w:rsidP="00CB081B">
            <w:pPr>
              <w:pStyle w:val="NoSpacing"/>
              <w:jc w:val="center"/>
              <w:rPr>
                <w:rFonts w:cs="Times New Roman"/>
                <w:szCs w:val="24"/>
              </w:rPr>
            </w:pPr>
            <w:r w:rsidRPr="00CB081B">
              <w:rPr>
                <w:rFonts w:cs="Times New Roman"/>
                <w:szCs w:val="24"/>
              </w:rPr>
              <w:lastRenderedPageBreak/>
              <w:t>Pump Failure Type Label</w:t>
            </w:r>
          </w:p>
        </w:tc>
        <w:tc>
          <w:tcPr>
            <w:tcW w:w="2870" w:type="dxa"/>
          </w:tcPr>
          <w:p w14:paraId="111FB11F" w14:textId="77777777" w:rsidR="006665BC" w:rsidRPr="00CB081B" w:rsidRDefault="006665BC" w:rsidP="00CB081B">
            <w:pPr>
              <w:pStyle w:val="NoSpacing"/>
              <w:jc w:val="center"/>
              <w:rPr>
                <w:rFonts w:cs="Times New Roman"/>
                <w:szCs w:val="24"/>
              </w:rPr>
            </w:pPr>
            <w:r w:rsidRPr="00CB081B">
              <w:rPr>
                <w:rFonts w:cs="Times New Roman"/>
                <w:szCs w:val="24"/>
              </w:rPr>
              <w:t>Failure Description</w:t>
            </w:r>
          </w:p>
        </w:tc>
        <w:tc>
          <w:tcPr>
            <w:tcW w:w="2863" w:type="dxa"/>
          </w:tcPr>
          <w:p w14:paraId="07DAB5A0" w14:textId="3443CCBC" w:rsidR="006665BC" w:rsidRPr="00CB081B" w:rsidRDefault="006665BC" w:rsidP="00CB081B">
            <w:pPr>
              <w:pStyle w:val="NoSpacing"/>
              <w:jc w:val="center"/>
              <w:rPr>
                <w:rFonts w:cs="Times New Roman"/>
                <w:szCs w:val="24"/>
              </w:rPr>
            </w:pPr>
            <w:r w:rsidRPr="00CB081B">
              <w:rPr>
                <w:rFonts w:cs="Times New Roman"/>
                <w:szCs w:val="24"/>
              </w:rPr>
              <w:t>Number of Images generated</w:t>
            </w:r>
          </w:p>
          <w:p w14:paraId="6C7679EA" w14:textId="281213D4" w:rsidR="006665BC" w:rsidRPr="00CB081B" w:rsidRDefault="006665BC" w:rsidP="00CB081B">
            <w:pPr>
              <w:pStyle w:val="NoSpacing"/>
              <w:jc w:val="center"/>
              <w:rPr>
                <w:rFonts w:cs="Times New Roman"/>
                <w:szCs w:val="24"/>
              </w:rPr>
            </w:pPr>
            <w:r w:rsidRPr="00CB081B">
              <w:rPr>
                <w:rFonts w:cs="Times New Roman"/>
                <w:szCs w:val="24"/>
              </w:rPr>
              <w:t>(Training, Test)</w:t>
            </w:r>
          </w:p>
        </w:tc>
      </w:tr>
      <w:tr w:rsidR="006665BC" w14:paraId="4CD8F030" w14:textId="77777777" w:rsidTr="00D01699">
        <w:trPr>
          <w:trHeight w:val="1070"/>
        </w:trPr>
        <w:tc>
          <w:tcPr>
            <w:tcW w:w="3617" w:type="dxa"/>
          </w:tcPr>
          <w:p w14:paraId="00E78B5B" w14:textId="549DECCF" w:rsidR="006665BC" w:rsidRPr="00F65879" w:rsidRDefault="00DD08CA" w:rsidP="00CB081B">
            <w:pPr>
              <w:pStyle w:val="NoSpacing"/>
              <w:jc w:val="center"/>
              <w:rPr>
                <w:rFonts w:cs="Times New Roman"/>
                <w:szCs w:val="24"/>
              </w:rPr>
            </w:pPr>
            <w:r>
              <w:rPr>
                <w:rFonts w:cs="Times New Roman"/>
                <w:szCs w:val="24"/>
              </w:rPr>
              <w:t>Normal</w:t>
            </w:r>
          </w:p>
        </w:tc>
        <w:tc>
          <w:tcPr>
            <w:tcW w:w="2870" w:type="dxa"/>
          </w:tcPr>
          <w:p w14:paraId="4DD9E319" w14:textId="77777777" w:rsidR="006665BC" w:rsidRPr="00BB7B13" w:rsidRDefault="006665BC" w:rsidP="00CB081B">
            <w:pPr>
              <w:pStyle w:val="NoSpacing"/>
              <w:jc w:val="center"/>
              <w:rPr>
                <w:rFonts w:cs="Times New Roman"/>
                <w:szCs w:val="24"/>
              </w:rPr>
            </w:pPr>
            <w:r w:rsidRPr="00BB7B13">
              <w:rPr>
                <w:rFonts w:cs="Times New Roman"/>
                <w:szCs w:val="24"/>
              </w:rPr>
              <w:t>Two different cases of a good working pump condition.</w:t>
            </w:r>
          </w:p>
        </w:tc>
        <w:tc>
          <w:tcPr>
            <w:tcW w:w="2863" w:type="dxa"/>
          </w:tcPr>
          <w:p w14:paraId="3AEA0309" w14:textId="77777777" w:rsidR="006665BC" w:rsidRPr="00D22008" w:rsidRDefault="006665BC" w:rsidP="00CB081B">
            <w:pPr>
              <w:pStyle w:val="NoSpacing"/>
              <w:jc w:val="center"/>
              <w:rPr>
                <w:rFonts w:cs="Times New Roman"/>
                <w:szCs w:val="24"/>
              </w:rPr>
            </w:pPr>
          </w:p>
          <w:p w14:paraId="3E83441D" w14:textId="77777777" w:rsidR="006665BC" w:rsidRPr="00FD383E" w:rsidRDefault="006665BC" w:rsidP="00CB081B">
            <w:pPr>
              <w:pStyle w:val="NoSpacing"/>
              <w:jc w:val="center"/>
              <w:rPr>
                <w:rFonts w:cs="Times New Roman"/>
                <w:szCs w:val="24"/>
              </w:rPr>
            </w:pPr>
            <w:r>
              <w:rPr>
                <w:rFonts w:cs="Times New Roman"/>
                <w:szCs w:val="24"/>
              </w:rPr>
              <w:t>1000, 200</w:t>
            </w:r>
          </w:p>
        </w:tc>
      </w:tr>
      <w:tr w:rsidR="006665BC" w14:paraId="01F445C0" w14:textId="77777777" w:rsidTr="00D01699">
        <w:trPr>
          <w:trHeight w:val="685"/>
        </w:trPr>
        <w:tc>
          <w:tcPr>
            <w:tcW w:w="3617" w:type="dxa"/>
          </w:tcPr>
          <w:p w14:paraId="3983519B" w14:textId="0784A6A9" w:rsidR="006665BC" w:rsidRPr="00F65879" w:rsidRDefault="006665BC" w:rsidP="00CB081B">
            <w:pPr>
              <w:pStyle w:val="NoSpacing"/>
              <w:jc w:val="center"/>
              <w:rPr>
                <w:rFonts w:cs="Times New Roman"/>
                <w:szCs w:val="24"/>
              </w:rPr>
            </w:pPr>
            <w:r w:rsidRPr="00F65879">
              <w:rPr>
                <w:rFonts w:cs="Times New Roman"/>
                <w:szCs w:val="24"/>
              </w:rPr>
              <w:t>Light</w:t>
            </w:r>
            <w:r w:rsidR="00DD08CA">
              <w:rPr>
                <w:rFonts w:cs="Times New Roman"/>
                <w:szCs w:val="24"/>
              </w:rPr>
              <w:t xml:space="preserve"> </w:t>
            </w:r>
            <w:r w:rsidRPr="00F65879">
              <w:rPr>
                <w:rFonts w:cs="Times New Roman"/>
                <w:szCs w:val="24"/>
              </w:rPr>
              <w:t>Severe</w:t>
            </w:r>
            <w:r w:rsidR="00DD08CA">
              <w:rPr>
                <w:rFonts w:cs="Times New Roman"/>
                <w:szCs w:val="24"/>
              </w:rPr>
              <w:t xml:space="preserve"> </w:t>
            </w:r>
            <w:r w:rsidR="00A12079">
              <w:rPr>
                <w:rFonts w:cs="Times New Roman"/>
                <w:szCs w:val="24"/>
              </w:rPr>
              <w:t>Fluid Pound</w:t>
            </w:r>
          </w:p>
        </w:tc>
        <w:tc>
          <w:tcPr>
            <w:tcW w:w="2870" w:type="dxa"/>
          </w:tcPr>
          <w:p w14:paraId="7DDE7DEC" w14:textId="40F11174" w:rsidR="006665BC" w:rsidRPr="00BB7B13" w:rsidRDefault="006665BC" w:rsidP="00CB081B">
            <w:pPr>
              <w:pStyle w:val="NoSpacing"/>
              <w:jc w:val="center"/>
              <w:rPr>
                <w:rFonts w:cs="Times New Roman"/>
                <w:szCs w:val="24"/>
              </w:rPr>
            </w:pPr>
            <w:r w:rsidRPr="00BB7B13">
              <w:rPr>
                <w:rFonts w:cs="Times New Roman"/>
                <w:szCs w:val="24"/>
              </w:rPr>
              <w:t xml:space="preserve">Light and </w:t>
            </w:r>
            <w:r w:rsidR="00A12079">
              <w:rPr>
                <w:rFonts w:cs="Times New Roman"/>
                <w:szCs w:val="24"/>
              </w:rPr>
              <w:t>s</w:t>
            </w:r>
            <w:r w:rsidRPr="00BB7B13">
              <w:rPr>
                <w:rFonts w:cs="Times New Roman"/>
                <w:szCs w:val="24"/>
              </w:rPr>
              <w:t xml:space="preserve">evere cases of </w:t>
            </w:r>
            <w:r w:rsidR="00A12079">
              <w:rPr>
                <w:rFonts w:cs="Times New Roman"/>
                <w:szCs w:val="24"/>
              </w:rPr>
              <w:t>fluid pounding</w:t>
            </w:r>
            <w:r>
              <w:rPr>
                <w:rFonts w:cs="Times New Roman"/>
                <w:szCs w:val="24"/>
              </w:rPr>
              <w:t>. Light case of p</w:t>
            </w:r>
            <w:r w:rsidRPr="00BB7B13">
              <w:rPr>
                <w:rFonts w:cs="Times New Roman"/>
                <w:szCs w:val="24"/>
              </w:rPr>
              <w:t>lunger not being filled completely,</w:t>
            </w:r>
            <w:r>
              <w:rPr>
                <w:rFonts w:cs="Times New Roman"/>
                <w:szCs w:val="24"/>
              </w:rPr>
              <w:t xml:space="preserve"> and</w:t>
            </w:r>
            <w:r w:rsidRPr="00BB7B13">
              <w:rPr>
                <w:rFonts w:cs="Times New Roman"/>
                <w:szCs w:val="24"/>
              </w:rPr>
              <w:t xml:space="preserve"> </w:t>
            </w:r>
            <w:r>
              <w:rPr>
                <w:rFonts w:cs="Times New Roman"/>
                <w:szCs w:val="24"/>
              </w:rPr>
              <w:t xml:space="preserve">severe case of </w:t>
            </w:r>
            <w:r w:rsidRPr="00BB7B13">
              <w:rPr>
                <w:rFonts w:cs="Times New Roman"/>
                <w:szCs w:val="24"/>
              </w:rPr>
              <w:t>plunger hardly being filled</w:t>
            </w:r>
          </w:p>
        </w:tc>
        <w:tc>
          <w:tcPr>
            <w:tcW w:w="2863" w:type="dxa"/>
          </w:tcPr>
          <w:p w14:paraId="5B91C609" w14:textId="77777777" w:rsidR="006665BC" w:rsidRPr="00D22008" w:rsidRDefault="006665BC" w:rsidP="00CB081B">
            <w:pPr>
              <w:pStyle w:val="NoSpacing"/>
              <w:jc w:val="center"/>
              <w:rPr>
                <w:rFonts w:cs="Times New Roman"/>
                <w:szCs w:val="24"/>
              </w:rPr>
            </w:pPr>
          </w:p>
          <w:p w14:paraId="0267387E" w14:textId="77777777" w:rsidR="006665BC" w:rsidRPr="00D22008" w:rsidRDefault="006665BC" w:rsidP="00CB081B">
            <w:pPr>
              <w:pStyle w:val="NoSpacing"/>
              <w:jc w:val="center"/>
              <w:rPr>
                <w:rFonts w:cs="Times New Roman"/>
                <w:szCs w:val="24"/>
              </w:rPr>
            </w:pPr>
          </w:p>
          <w:p w14:paraId="4CEED87E" w14:textId="77777777" w:rsidR="006665BC" w:rsidRPr="00FD383E" w:rsidRDefault="006665BC" w:rsidP="00CB081B">
            <w:pPr>
              <w:pStyle w:val="NoSpacing"/>
              <w:jc w:val="center"/>
              <w:rPr>
                <w:rFonts w:cs="Times New Roman"/>
                <w:szCs w:val="24"/>
              </w:rPr>
            </w:pPr>
            <w:r>
              <w:rPr>
                <w:rFonts w:cs="Times New Roman"/>
                <w:szCs w:val="24"/>
              </w:rPr>
              <w:t>1000, 200</w:t>
            </w:r>
          </w:p>
        </w:tc>
      </w:tr>
      <w:tr w:rsidR="006665BC" w14:paraId="2F98DAB8" w14:textId="77777777" w:rsidTr="00D01699">
        <w:trPr>
          <w:trHeight w:val="685"/>
        </w:trPr>
        <w:tc>
          <w:tcPr>
            <w:tcW w:w="3617" w:type="dxa"/>
          </w:tcPr>
          <w:p w14:paraId="1324976B" w14:textId="6D5EC0FF" w:rsidR="006665BC" w:rsidRPr="00263202" w:rsidRDefault="006665BC" w:rsidP="00CB081B">
            <w:pPr>
              <w:pStyle w:val="NoSpacing"/>
              <w:jc w:val="center"/>
              <w:rPr>
                <w:rFonts w:cs="Times New Roman"/>
                <w:szCs w:val="24"/>
              </w:rPr>
            </w:pPr>
            <w:r w:rsidRPr="00263202">
              <w:rPr>
                <w:rFonts w:cs="Times New Roman"/>
                <w:szCs w:val="24"/>
              </w:rPr>
              <w:t>Thick</w:t>
            </w:r>
            <w:r w:rsidR="00DD08CA">
              <w:rPr>
                <w:rFonts w:cs="Times New Roman"/>
                <w:szCs w:val="24"/>
              </w:rPr>
              <w:t xml:space="preserve"> </w:t>
            </w:r>
            <w:r w:rsidRPr="00263202">
              <w:rPr>
                <w:rFonts w:cs="Times New Roman"/>
                <w:szCs w:val="24"/>
              </w:rPr>
              <w:t>Oil</w:t>
            </w:r>
          </w:p>
        </w:tc>
        <w:tc>
          <w:tcPr>
            <w:tcW w:w="2870" w:type="dxa"/>
          </w:tcPr>
          <w:p w14:paraId="7DD18DFB" w14:textId="77777777" w:rsidR="006665BC" w:rsidRPr="00337A2E" w:rsidRDefault="006665BC" w:rsidP="00CB081B">
            <w:pPr>
              <w:pStyle w:val="NoSpacing"/>
              <w:jc w:val="center"/>
              <w:rPr>
                <w:rFonts w:cs="Times New Roman"/>
                <w:szCs w:val="24"/>
              </w:rPr>
            </w:pPr>
            <w:r w:rsidRPr="00337A2E">
              <w:rPr>
                <w:rFonts w:cs="Times New Roman"/>
                <w:szCs w:val="24"/>
              </w:rPr>
              <w:t>Pump is working okay with high viscosity oil</w:t>
            </w:r>
          </w:p>
        </w:tc>
        <w:tc>
          <w:tcPr>
            <w:tcW w:w="2863" w:type="dxa"/>
          </w:tcPr>
          <w:p w14:paraId="6B40CA2C" w14:textId="77777777" w:rsidR="006665BC" w:rsidRPr="00480596"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0A4CD91D" w14:textId="77777777" w:rsidTr="00D01699">
        <w:trPr>
          <w:trHeight w:val="685"/>
        </w:trPr>
        <w:tc>
          <w:tcPr>
            <w:tcW w:w="3617" w:type="dxa"/>
          </w:tcPr>
          <w:p w14:paraId="160B8B81" w14:textId="2541BDDC" w:rsidR="006665BC" w:rsidRPr="00263202" w:rsidRDefault="006665BC" w:rsidP="00CB081B">
            <w:pPr>
              <w:pStyle w:val="NoSpacing"/>
              <w:jc w:val="center"/>
              <w:rPr>
                <w:rFonts w:cs="Times New Roman"/>
                <w:szCs w:val="24"/>
              </w:rPr>
            </w:pPr>
            <w:r w:rsidRPr="00263202">
              <w:rPr>
                <w:rFonts w:cs="Times New Roman"/>
                <w:szCs w:val="24"/>
              </w:rPr>
              <w:t>Sand</w:t>
            </w:r>
          </w:p>
        </w:tc>
        <w:tc>
          <w:tcPr>
            <w:tcW w:w="2870" w:type="dxa"/>
          </w:tcPr>
          <w:p w14:paraId="53F3925A" w14:textId="77777777" w:rsidR="006665BC" w:rsidRPr="00017029" w:rsidRDefault="006665BC" w:rsidP="00CB081B">
            <w:pPr>
              <w:pStyle w:val="NoSpacing"/>
              <w:jc w:val="center"/>
              <w:rPr>
                <w:rFonts w:cs="Times New Roman"/>
                <w:szCs w:val="24"/>
              </w:rPr>
            </w:pPr>
            <w:r w:rsidRPr="00017029">
              <w:rPr>
                <w:rFonts w:cs="Times New Roman"/>
                <w:szCs w:val="24"/>
              </w:rPr>
              <w:t>Presence of sand inside the rod pump assembly</w:t>
            </w:r>
          </w:p>
        </w:tc>
        <w:tc>
          <w:tcPr>
            <w:tcW w:w="2863" w:type="dxa"/>
          </w:tcPr>
          <w:p w14:paraId="42427344" w14:textId="77777777" w:rsidR="006665BC" w:rsidRPr="00D22008"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0DAF4673" w14:textId="77777777" w:rsidTr="00D01699">
        <w:trPr>
          <w:trHeight w:val="685"/>
        </w:trPr>
        <w:tc>
          <w:tcPr>
            <w:tcW w:w="3617" w:type="dxa"/>
          </w:tcPr>
          <w:p w14:paraId="4131E61B" w14:textId="51478D35" w:rsidR="006665BC" w:rsidRPr="00263202" w:rsidRDefault="006665BC" w:rsidP="00CB081B">
            <w:pPr>
              <w:pStyle w:val="NoSpacing"/>
              <w:jc w:val="center"/>
              <w:rPr>
                <w:rFonts w:cs="Times New Roman"/>
                <w:szCs w:val="24"/>
              </w:rPr>
            </w:pPr>
            <w:r w:rsidRPr="00263202">
              <w:rPr>
                <w:rFonts w:cs="Times New Roman"/>
                <w:szCs w:val="24"/>
              </w:rPr>
              <w:t>Light</w:t>
            </w:r>
            <w:r w:rsidR="00DD08CA">
              <w:rPr>
                <w:rFonts w:cs="Times New Roman"/>
                <w:szCs w:val="24"/>
              </w:rPr>
              <w:t xml:space="preserve"> </w:t>
            </w:r>
            <w:r w:rsidRPr="00263202">
              <w:rPr>
                <w:rFonts w:cs="Times New Roman"/>
                <w:szCs w:val="24"/>
              </w:rPr>
              <w:t>Severe</w:t>
            </w:r>
            <w:r w:rsidR="00DD08CA">
              <w:rPr>
                <w:rFonts w:cs="Times New Roman"/>
                <w:szCs w:val="24"/>
              </w:rPr>
              <w:t xml:space="preserve"> </w:t>
            </w:r>
            <w:r w:rsidRPr="00263202">
              <w:rPr>
                <w:rFonts w:cs="Times New Roman"/>
                <w:szCs w:val="24"/>
              </w:rPr>
              <w:t>Gas</w:t>
            </w:r>
          </w:p>
        </w:tc>
        <w:tc>
          <w:tcPr>
            <w:tcW w:w="2870" w:type="dxa"/>
          </w:tcPr>
          <w:p w14:paraId="325578F8" w14:textId="77777777" w:rsidR="006665BC" w:rsidRPr="00B25B27" w:rsidRDefault="006665BC" w:rsidP="00CB081B">
            <w:pPr>
              <w:pStyle w:val="NoSpacing"/>
              <w:jc w:val="center"/>
              <w:rPr>
                <w:rFonts w:cs="Times New Roman"/>
                <w:szCs w:val="24"/>
              </w:rPr>
            </w:pPr>
            <w:r w:rsidRPr="00B25B27">
              <w:rPr>
                <w:rFonts w:cs="Times New Roman"/>
                <w:szCs w:val="24"/>
              </w:rPr>
              <w:t>Light and severe cases of gas interference</w:t>
            </w:r>
          </w:p>
        </w:tc>
        <w:tc>
          <w:tcPr>
            <w:tcW w:w="2863" w:type="dxa"/>
          </w:tcPr>
          <w:p w14:paraId="140E8FCC" w14:textId="77777777" w:rsidR="006665BC" w:rsidRPr="00D22008" w:rsidRDefault="006665BC" w:rsidP="00CB081B">
            <w:pPr>
              <w:pStyle w:val="NoSpacing"/>
              <w:jc w:val="center"/>
              <w:rPr>
                <w:rFonts w:cs="Times New Roman"/>
                <w:szCs w:val="24"/>
              </w:rPr>
            </w:pPr>
            <w:r>
              <w:rPr>
                <w:rFonts w:cs="Times New Roman"/>
                <w:szCs w:val="24"/>
              </w:rPr>
              <w:t>1000, 200</w:t>
            </w:r>
          </w:p>
        </w:tc>
      </w:tr>
      <w:tr w:rsidR="006665BC" w14:paraId="04217E6D" w14:textId="77777777" w:rsidTr="00D01699">
        <w:trPr>
          <w:trHeight w:val="685"/>
        </w:trPr>
        <w:tc>
          <w:tcPr>
            <w:tcW w:w="3617" w:type="dxa"/>
          </w:tcPr>
          <w:p w14:paraId="182E6C3E" w14:textId="4029AD84" w:rsidR="006665BC" w:rsidRPr="00263202" w:rsidRDefault="006665BC" w:rsidP="00CB081B">
            <w:pPr>
              <w:pStyle w:val="NoSpacing"/>
              <w:jc w:val="center"/>
              <w:rPr>
                <w:rFonts w:cs="Times New Roman"/>
                <w:szCs w:val="24"/>
              </w:rPr>
            </w:pPr>
            <w:r w:rsidRPr="00263202">
              <w:rPr>
                <w:rFonts w:cs="Times New Roman"/>
                <w:szCs w:val="24"/>
              </w:rPr>
              <w:t>Leaking</w:t>
            </w:r>
            <w:r w:rsidR="00DD08CA">
              <w:rPr>
                <w:rFonts w:cs="Times New Roman"/>
                <w:szCs w:val="24"/>
              </w:rPr>
              <w:t xml:space="preserve"> </w:t>
            </w:r>
            <w:r w:rsidRPr="00263202">
              <w:rPr>
                <w:rFonts w:cs="Times New Roman"/>
                <w:szCs w:val="24"/>
              </w:rPr>
              <w:t>Inlet</w:t>
            </w:r>
            <w:r w:rsidR="00DD08CA">
              <w:rPr>
                <w:rFonts w:cs="Times New Roman"/>
                <w:szCs w:val="24"/>
              </w:rPr>
              <w:t xml:space="preserve"> </w:t>
            </w:r>
            <w:r w:rsidRPr="00263202">
              <w:rPr>
                <w:rFonts w:cs="Times New Roman"/>
                <w:szCs w:val="24"/>
              </w:rPr>
              <w:t>Valve</w:t>
            </w:r>
          </w:p>
        </w:tc>
        <w:tc>
          <w:tcPr>
            <w:tcW w:w="2870" w:type="dxa"/>
          </w:tcPr>
          <w:p w14:paraId="47FB3E6B" w14:textId="77777777" w:rsidR="006665BC" w:rsidRPr="00B25B27" w:rsidRDefault="006665BC" w:rsidP="00CB081B">
            <w:pPr>
              <w:pStyle w:val="NoSpacing"/>
              <w:jc w:val="center"/>
              <w:rPr>
                <w:rFonts w:cs="Times New Roman"/>
                <w:szCs w:val="24"/>
              </w:rPr>
            </w:pPr>
            <w:r w:rsidRPr="00B25B27">
              <w:rPr>
                <w:rFonts w:cs="Times New Roman"/>
                <w:szCs w:val="24"/>
              </w:rPr>
              <w:t>Leaking standing valve</w:t>
            </w:r>
          </w:p>
        </w:tc>
        <w:tc>
          <w:tcPr>
            <w:tcW w:w="2863" w:type="dxa"/>
          </w:tcPr>
          <w:p w14:paraId="0C967C0C" w14:textId="77777777" w:rsidR="006665BC" w:rsidRPr="00D22008"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5243FB5C" w14:textId="77777777" w:rsidTr="00D01699">
        <w:trPr>
          <w:trHeight w:val="685"/>
        </w:trPr>
        <w:tc>
          <w:tcPr>
            <w:tcW w:w="3617" w:type="dxa"/>
          </w:tcPr>
          <w:p w14:paraId="13FBD991" w14:textId="6A18BB44" w:rsidR="006665BC" w:rsidRPr="00263202" w:rsidRDefault="006665BC" w:rsidP="00CB081B">
            <w:pPr>
              <w:pStyle w:val="NoSpacing"/>
              <w:jc w:val="center"/>
              <w:rPr>
                <w:rFonts w:cs="Times New Roman"/>
                <w:szCs w:val="24"/>
              </w:rPr>
            </w:pPr>
            <w:r w:rsidRPr="00263202">
              <w:rPr>
                <w:rFonts w:cs="Times New Roman"/>
                <w:szCs w:val="24"/>
              </w:rPr>
              <w:t>Leakin</w:t>
            </w:r>
            <w:r w:rsidR="00DD08CA">
              <w:rPr>
                <w:rFonts w:cs="Times New Roman"/>
                <w:szCs w:val="24"/>
              </w:rPr>
              <w:t xml:space="preserve">g </w:t>
            </w:r>
            <w:r w:rsidRPr="00263202">
              <w:rPr>
                <w:rFonts w:cs="Times New Roman"/>
                <w:szCs w:val="24"/>
              </w:rPr>
              <w:t>Outlet</w:t>
            </w:r>
            <w:r w:rsidR="00DD08CA">
              <w:rPr>
                <w:rFonts w:cs="Times New Roman"/>
                <w:szCs w:val="24"/>
              </w:rPr>
              <w:t xml:space="preserve"> </w:t>
            </w:r>
            <w:r w:rsidRPr="00263202">
              <w:rPr>
                <w:rFonts w:cs="Times New Roman"/>
                <w:szCs w:val="24"/>
              </w:rPr>
              <w:t>Valve</w:t>
            </w:r>
          </w:p>
        </w:tc>
        <w:tc>
          <w:tcPr>
            <w:tcW w:w="2870" w:type="dxa"/>
          </w:tcPr>
          <w:p w14:paraId="3FD64B78" w14:textId="77777777" w:rsidR="006665BC" w:rsidRPr="00B25B27" w:rsidRDefault="006665BC" w:rsidP="00CB081B">
            <w:pPr>
              <w:pStyle w:val="NoSpacing"/>
              <w:jc w:val="center"/>
              <w:rPr>
                <w:rFonts w:cs="Times New Roman"/>
                <w:szCs w:val="24"/>
              </w:rPr>
            </w:pPr>
            <w:r w:rsidRPr="00B25B27">
              <w:rPr>
                <w:rFonts w:cs="Times New Roman"/>
                <w:szCs w:val="24"/>
              </w:rPr>
              <w:t>Leaking traveling valve</w:t>
            </w:r>
          </w:p>
        </w:tc>
        <w:tc>
          <w:tcPr>
            <w:tcW w:w="2863" w:type="dxa"/>
          </w:tcPr>
          <w:p w14:paraId="1B1A127D" w14:textId="77777777" w:rsidR="006665BC" w:rsidRPr="00D22008"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53919846" w14:textId="77777777" w:rsidTr="00D01699">
        <w:trPr>
          <w:trHeight w:val="685"/>
        </w:trPr>
        <w:tc>
          <w:tcPr>
            <w:tcW w:w="3617" w:type="dxa"/>
          </w:tcPr>
          <w:p w14:paraId="150EC9DF" w14:textId="22806343" w:rsidR="006665BC" w:rsidRPr="00263202" w:rsidRDefault="006665BC" w:rsidP="00CB081B">
            <w:pPr>
              <w:pStyle w:val="NoSpacing"/>
              <w:jc w:val="center"/>
              <w:rPr>
                <w:rFonts w:cs="Times New Roman"/>
                <w:szCs w:val="24"/>
              </w:rPr>
            </w:pPr>
            <w:r w:rsidRPr="00263202">
              <w:rPr>
                <w:rFonts w:cs="Times New Roman"/>
                <w:szCs w:val="24"/>
              </w:rPr>
              <w:t>Both</w:t>
            </w:r>
            <w:r w:rsidR="00DD08CA">
              <w:rPr>
                <w:rFonts w:cs="Times New Roman"/>
                <w:szCs w:val="24"/>
              </w:rPr>
              <w:t xml:space="preserve"> </w:t>
            </w:r>
            <w:r w:rsidRPr="00263202">
              <w:rPr>
                <w:rFonts w:cs="Times New Roman"/>
                <w:szCs w:val="24"/>
              </w:rPr>
              <w:t>Valves</w:t>
            </w:r>
            <w:r w:rsidR="00DD08CA">
              <w:rPr>
                <w:rFonts w:cs="Times New Roman"/>
                <w:szCs w:val="24"/>
              </w:rPr>
              <w:t xml:space="preserve"> </w:t>
            </w:r>
            <w:r w:rsidRPr="00263202">
              <w:rPr>
                <w:rFonts w:cs="Times New Roman"/>
                <w:szCs w:val="24"/>
              </w:rPr>
              <w:t>Leaking</w:t>
            </w:r>
          </w:p>
        </w:tc>
        <w:tc>
          <w:tcPr>
            <w:tcW w:w="2870" w:type="dxa"/>
          </w:tcPr>
          <w:p w14:paraId="7363347E" w14:textId="77777777" w:rsidR="006665BC" w:rsidRPr="00B25B27" w:rsidRDefault="006665BC" w:rsidP="00CB081B">
            <w:pPr>
              <w:pStyle w:val="NoSpacing"/>
              <w:jc w:val="center"/>
              <w:rPr>
                <w:rFonts w:cs="Times New Roman"/>
                <w:szCs w:val="24"/>
              </w:rPr>
            </w:pPr>
            <w:r w:rsidRPr="00B25B27">
              <w:rPr>
                <w:rFonts w:cs="Times New Roman"/>
                <w:szCs w:val="24"/>
              </w:rPr>
              <w:t>Standing and traveling valves leaking</w:t>
            </w:r>
          </w:p>
        </w:tc>
        <w:tc>
          <w:tcPr>
            <w:tcW w:w="2863" w:type="dxa"/>
          </w:tcPr>
          <w:p w14:paraId="3FE1C6BA" w14:textId="77777777" w:rsidR="006665BC" w:rsidRPr="00D22008"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334F4A09" w14:textId="77777777" w:rsidTr="00D01699">
        <w:trPr>
          <w:trHeight w:val="685"/>
        </w:trPr>
        <w:tc>
          <w:tcPr>
            <w:tcW w:w="3617" w:type="dxa"/>
          </w:tcPr>
          <w:p w14:paraId="138B92F1" w14:textId="2BDAD117" w:rsidR="006665BC" w:rsidRPr="00263202" w:rsidRDefault="006665BC" w:rsidP="00CB081B">
            <w:pPr>
              <w:pStyle w:val="NoSpacing"/>
              <w:jc w:val="center"/>
              <w:rPr>
                <w:rFonts w:cs="Times New Roman"/>
                <w:szCs w:val="24"/>
              </w:rPr>
            </w:pPr>
            <w:r w:rsidRPr="00263202">
              <w:rPr>
                <w:rFonts w:cs="Times New Roman"/>
                <w:szCs w:val="24"/>
              </w:rPr>
              <w:t>Delay</w:t>
            </w:r>
            <w:r w:rsidR="00DD08CA">
              <w:rPr>
                <w:rFonts w:cs="Times New Roman"/>
                <w:szCs w:val="24"/>
              </w:rPr>
              <w:t xml:space="preserve"> </w:t>
            </w:r>
            <w:r w:rsidRPr="00263202">
              <w:rPr>
                <w:rFonts w:cs="Times New Roman"/>
                <w:szCs w:val="24"/>
              </w:rPr>
              <w:t>Closing</w:t>
            </w:r>
            <w:r w:rsidR="00DD08CA">
              <w:rPr>
                <w:rFonts w:cs="Times New Roman"/>
                <w:szCs w:val="24"/>
              </w:rPr>
              <w:t xml:space="preserve"> </w:t>
            </w:r>
            <w:r w:rsidRPr="00263202">
              <w:rPr>
                <w:rFonts w:cs="Times New Roman"/>
                <w:szCs w:val="24"/>
              </w:rPr>
              <w:t>Valve</w:t>
            </w:r>
          </w:p>
        </w:tc>
        <w:tc>
          <w:tcPr>
            <w:tcW w:w="2870" w:type="dxa"/>
          </w:tcPr>
          <w:p w14:paraId="6C90F566" w14:textId="62F42341" w:rsidR="006665BC" w:rsidRPr="00B25B27" w:rsidRDefault="006665BC" w:rsidP="00CB081B">
            <w:pPr>
              <w:pStyle w:val="NoSpacing"/>
              <w:jc w:val="center"/>
              <w:rPr>
                <w:rFonts w:cs="Times New Roman"/>
                <w:szCs w:val="24"/>
              </w:rPr>
            </w:pPr>
            <w:r w:rsidRPr="00B25B27">
              <w:rPr>
                <w:rFonts w:cs="Times New Roman"/>
                <w:szCs w:val="24"/>
              </w:rPr>
              <w:t xml:space="preserve">Shorter and </w:t>
            </w:r>
            <w:r w:rsidR="003A6EAC">
              <w:rPr>
                <w:rFonts w:cs="Times New Roman"/>
                <w:szCs w:val="24"/>
              </w:rPr>
              <w:t>l</w:t>
            </w:r>
            <w:r w:rsidRPr="00B25B27">
              <w:rPr>
                <w:rFonts w:cs="Times New Roman"/>
                <w:szCs w:val="24"/>
              </w:rPr>
              <w:t xml:space="preserve">onger </w:t>
            </w:r>
            <w:r w:rsidR="003A6EAC">
              <w:rPr>
                <w:rFonts w:cs="Times New Roman"/>
                <w:szCs w:val="24"/>
              </w:rPr>
              <w:t>d</w:t>
            </w:r>
            <w:r w:rsidRPr="00B25B27">
              <w:rPr>
                <w:rFonts w:cs="Times New Roman"/>
                <w:szCs w:val="24"/>
              </w:rPr>
              <w:t>elays in closing of Standing valve</w:t>
            </w:r>
          </w:p>
        </w:tc>
        <w:tc>
          <w:tcPr>
            <w:tcW w:w="2863" w:type="dxa"/>
          </w:tcPr>
          <w:p w14:paraId="10233FB2" w14:textId="77777777" w:rsidR="006665BC" w:rsidRPr="00D22008" w:rsidRDefault="006665BC" w:rsidP="00CB081B">
            <w:pPr>
              <w:pStyle w:val="NoSpacing"/>
              <w:jc w:val="center"/>
              <w:rPr>
                <w:rFonts w:cs="Times New Roman"/>
                <w:szCs w:val="24"/>
              </w:rPr>
            </w:pPr>
            <w:r>
              <w:rPr>
                <w:rFonts w:cs="Times New Roman"/>
                <w:szCs w:val="24"/>
              </w:rPr>
              <w:t>1000, 200</w:t>
            </w:r>
          </w:p>
        </w:tc>
      </w:tr>
      <w:tr w:rsidR="006665BC" w14:paraId="205B010A" w14:textId="77777777" w:rsidTr="00D01699">
        <w:trPr>
          <w:trHeight w:val="685"/>
        </w:trPr>
        <w:tc>
          <w:tcPr>
            <w:tcW w:w="3617" w:type="dxa"/>
          </w:tcPr>
          <w:p w14:paraId="03D801DB" w14:textId="5CAA5647" w:rsidR="006665BC" w:rsidRPr="00263202" w:rsidRDefault="006665BC" w:rsidP="00CB081B">
            <w:pPr>
              <w:pStyle w:val="NoSpacing"/>
              <w:jc w:val="center"/>
              <w:rPr>
                <w:rFonts w:cs="Times New Roman"/>
                <w:szCs w:val="24"/>
              </w:rPr>
            </w:pPr>
            <w:r w:rsidRPr="00263202">
              <w:rPr>
                <w:rFonts w:cs="Times New Roman"/>
                <w:szCs w:val="24"/>
              </w:rPr>
              <w:t>Collision</w:t>
            </w:r>
            <w:r w:rsidR="00DD08CA">
              <w:rPr>
                <w:rFonts w:cs="Times New Roman"/>
                <w:szCs w:val="24"/>
              </w:rPr>
              <w:t xml:space="preserve"> </w:t>
            </w:r>
            <w:r w:rsidRPr="00263202">
              <w:rPr>
                <w:rFonts w:cs="Times New Roman"/>
                <w:szCs w:val="24"/>
              </w:rPr>
              <w:t>Plunger</w:t>
            </w:r>
            <w:r w:rsidR="00DD08CA">
              <w:rPr>
                <w:rFonts w:cs="Times New Roman"/>
                <w:szCs w:val="24"/>
              </w:rPr>
              <w:t xml:space="preserve"> </w:t>
            </w:r>
            <w:r w:rsidRPr="00263202">
              <w:rPr>
                <w:rFonts w:cs="Times New Roman"/>
                <w:szCs w:val="24"/>
              </w:rPr>
              <w:t>Guide</w:t>
            </w:r>
            <w:r w:rsidR="00DD08CA">
              <w:rPr>
                <w:rFonts w:cs="Times New Roman"/>
                <w:szCs w:val="24"/>
              </w:rPr>
              <w:t xml:space="preserve"> </w:t>
            </w:r>
            <w:r w:rsidRPr="00263202">
              <w:rPr>
                <w:rFonts w:cs="Times New Roman"/>
                <w:szCs w:val="24"/>
              </w:rPr>
              <w:t>Ring</w:t>
            </w:r>
          </w:p>
        </w:tc>
        <w:tc>
          <w:tcPr>
            <w:tcW w:w="2870" w:type="dxa"/>
          </w:tcPr>
          <w:p w14:paraId="10CBE615" w14:textId="77777777" w:rsidR="006665BC" w:rsidRPr="00B25B27" w:rsidRDefault="006665BC" w:rsidP="00CB081B">
            <w:pPr>
              <w:pStyle w:val="NoSpacing"/>
              <w:jc w:val="center"/>
              <w:rPr>
                <w:rFonts w:cs="Times New Roman"/>
                <w:szCs w:val="24"/>
              </w:rPr>
            </w:pPr>
            <w:r w:rsidRPr="00B25B27">
              <w:rPr>
                <w:rFonts w:cs="Times New Roman"/>
                <w:szCs w:val="24"/>
              </w:rPr>
              <w:t>Collision between the plunger and guide ring</w:t>
            </w:r>
          </w:p>
        </w:tc>
        <w:tc>
          <w:tcPr>
            <w:tcW w:w="2863" w:type="dxa"/>
          </w:tcPr>
          <w:p w14:paraId="79467DF4" w14:textId="77777777" w:rsidR="006665BC" w:rsidRPr="00D22008" w:rsidRDefault="006665BC" w:rsidP="00CB081B">
            <w:pPr>
              <w:pStyle w:val="NoSpacing"/>
              <w:jc w:val="center"/>
              <w:rPr>
                <w:rFonts w:cs="Times New Roman"/>
                <w:szCs w:val="24"/>
              </w:rPr>
            </w:pPr>
            <w:r>
              <w:rPr>
                <w:rFonts w:cs="Times New Roman"/>
                <w:szCs w:val="24"/>
              </w:rPr>
              <w:t>500, 1</w:t>
            </w:r>
            <w:r w:rsidRPr="00480596">
              <w:rPr>
                <w:rFonts w:cs="Times New Roman"/>
                <w:szCs w:val="24"/>
              </w:rPr>
              <w:t>00</w:t>
            </w:r>
          </w:p>
        </w:tc>
      </w:tr>
      <w:tr w:rsidR="006665BC" w14:paraId="0BBD43AC" w14:textId="77777777" w:rsidTr="00D01699">
        <w:trPr>
          <w:trHeight w:val="685"/>
        </w:trPr>
        <w:tc>
          <w:tcPr>
            <w:tcW w:w="3617" w:type="dxa"/>
          </w:tcPr>
          <w:p w14:paraId="5E4398CC" w14:textId="7746356B" w:rsidR="006665BC" w:rsidRPr="00263202" w:rsidRDefault="006665BC" w:rsidP="00CB081B">
            <w:pPr>
              <w:pStyle w:val="NoSpacing"/>
              <w:jc w:val="center"/>
              <w:rPr>
                <w:rFonts w:cs="Times New Roman"/>
                <w:szCs w:val="24"/>
              </w:rPr>
            </w:pPr>
            <w:r w:rsidRPr="00263202">
              <w:rPr>
                <w:rFonts w:cs="Times New Roman"/>
                <w:szCs w:val="24"/>
              </w:rPr>
              <w:t>Resistanc</w:t>
            </w:r>
            <w:r w:rsidR="00DD08CA">
              <w:rPr>
                <w:rFonts w:cs="Times New Roman"/>
                <w:szCs w:val="24"/>
              </w:rPr>
              <w:t xml:space="preserve">e </w:t>
            </w:r>
            <w:r w:rsidRPr="00263202">
              <w:rPr>
                <w:rFonts w:cs="Times New Roman"/>
                <w:szCs w:val="24"/>
              </w:rPr>
              <w:t>Flow</w:t>
            </w:r>
            <w:r w:rsidR="00DD08CA">
              <w:rPr>
                <w:rFonts w:cs="Times New Roman"/>
                <w:szCs w:val="24"/>
              </w:rPr>
              <w:t xml:space="preserve"> </w:t>
            </w:r>
            <w:r w:rsidRPr="00263202">
              <w:rPr>
                <w:rFonts w:cs="Times New Roman"/>
                <w:szCs w:val="24"/>
              </w:rPr>
              <w:t>Oil</w:t>
            </w:r>
          </w:p>
        </w:tc>
        <w:tc>
          <w:tcPr>
            <w:tcW w:w="2870" w:type="dxa"/>
          </w:tcPr>
          <w:p w14:paraId="6249C4D7" w14:textId="77777777" w:rsidR="006665BC" w:rsidRPr="00B25B27" w:rsidRDefault="006665BC" w:rsidP="00CB081B">
            <w:pPr>
              <w:pStyle w:val="NoSpacing"/>
              <w:jc w:val="center"/>
              <w:rPr>
                <w:rFonts w:cs="Times New Roman"/>
                <w:szCs w:val="24"/>
              </w:rPr>
            </w:pPr>
            <w:r w:rsidRPr="00B25B27">
              <w:rPr>
                <w:rFonts w:cs="Times New Roman"/>
                <w:szCs w:val="24"/>
              </w:rPr>
              <w:t>Resistance to flow of oil due to presence of paraffin wax</w:t>
            </w:r>
          </w:p>
        </w:tc>
        <w:tc>
          <w:tcPr>
            <w:tcW w:w="2863" w:type="dxa"/>
          </w:tcPr>
          <w:p w14:paraId="43115A2D" w14:textId="77777777" w:rsidR="006665BC" w:rsidRPr="00D22008" w:rsidRDefault="006665BC" w:rsidP="00CB081B">
            <w:pPr>
              <w:pStyle w:val="NoSpacing"/>
              <w:keepNext/>
              <w:jc w:val="center"/>
              <w:rPr>
                <w:rFonts w:cs="Times New Roman"/>
                <w:szCs w:val="24"/>
              </w:rPr>
            </w:pPr>
            <w:r>
              <w:rPr>
                <w:rFonts w:cs="Times New Roman"/>
                <w:szCs w:val="24"/>
              </w:rPr>
              <w:t>500, 1</w:t>
            </w:r>
            <w:r w:rsidRPr="00480596">
              <w:rPr>
                <w:rFonts w:cs="Times New Roman"/>
                <w:szCs w:val="24"/>
              </w:rPr>
              <w:t>00</w:t>
            </w:r>
          </w:p>
        </w:tc>
      </w:tr>
    </w:tbl>
    <w:p w14:paraId="1B7FA829" w14:textId="77777777" w:rsidR="003E5468" w:rsidRDefault="003E5468" w:rsidP="00527BA5">
      <w:pPr>
        <w:pStyle w:val="Caption"/>
        <w:spacing w:after="0"/>
        <w:rPr>
          <w:rFonts w:ascii="Arial" w:hAnsi="Arial" w:cs="Arial"/>
          <w:bCs/>
          <w:sz w:val="16"/>
          <w:szCs w:val="16"/>
        </w:rPr>
      </w:pPr>
    </w:p>
    <w:p w14:paraId="76D9D05C" w14:textId="52DF6D54" w:rsidR="006665BC" w:rsidRPr="0069167D" w:rsidRDefault="003E5468" w:rsidP="00527BA5">
      <w:pPr>
        <w:pStyle w:val="Caption"/>
        <w:spacing w:after="0"/>
        <w:rPr>
          <w:rFonts w:ascii="Arial" w:hAnsi="Arial" w:cs="Arial"/>
          <w:bCs/>
          <w:i w:val="0"/>
          <w:iCs w:val="0"/>
          <w:sz w:val="16"/>
          <w:szCs w:val="16"/>
        </w:rPr>
      </w:pPr>
      <w:r w:rsidRPr="003E5468">
        <w:rPr>
          <w:rFonts w:ascii="Arial" w:hAnsi="Arial" w:cs="Arial"/>
          <w:bCs/>
          <w:i w:val="0"/>
          <w:iCs w:val="0"/>
          <w:sz w:val="16"/>
          <w:szCs w:val="16"/>
        </w:rPr>
        <w:t xml:space="preserve">Table 3. </w:t>
      </w:r>
      <w:r w:rsidRPr="003E5468">
        <w:rPr>
          <w:rFonts w:ascii="Arial" w:hAnsi="Arial" w:cs="Arial"/>
          <w:bCs/>
          <w:i w:val="0"/>
          <w:iCs w:val="0"/>
          <w:sz w:val="16"/>
          <w:szCs w:val="16"/>
        </w:rPr>
        <w:fldChar w:fldCharType="begin"/>
      </w:r>
      <w:r w:rsidRPr="003E5468">
        <w:rPr>
          <w:rFonts w:ascii="Arial" w:hAnsi="Arial" w:cs="Arial"/>
          <w:bCs/>
          <w:i w:val="0"/>
          <w:iCs w:val="0"/>
          <w:sz w:val="16"/>
          <w:szCs w:val="16"/>
        </w:rPr>
        <w:instrText xml:space="preserve"> SEQ Table_3. \* ARABIC </w:instrText>
      </w:r>
      <w:r w:rsidRPr="003E5468">
        <w:rPr>
          <w:rFonts w:ascii="Arial" w:hAnsi="Arial" w:cs="Arial"/>
          <w:bCs/>
          <w:i w:val="0"/>
          <w:iCs w:val="0"/>
          <w:sz w:val="16"/>
          <w:szCs w:val="16"/>
        </w:rPr>
        <w:fldChar w:fldCharType="separate"/>
      </w:r>
      <w:r w:rsidR="00D006A5">
        <w:rPr>
          <w:rFonts w:ascii="Arial" w:hAnsi="Arial" w:cs="Arial"/>
          <w:bCs/>
          <w:i w:val="0"/>
          <w:iCs w:val="0"/>
          <w:noProof/>
          <w:sz w:val="16"/>
          <w:szCs w:val="16"/>
        </w:rPr>
        <w:t>1</w:t>
      </w:r>
      <w:r w:rsidRPr="003E5468">
        <w:rPr>
          <w:rFonts w:ascii="Arial" w:hAnsi="Arial" w:cs="Arial"/>
          <w:bCs/>
          <w:i w:val="0"/>
          <w:iCs w:val="0"/>
          <w:sz w:val="16"/>
          <w:szCs w:val="16"/>
        </w:rPr>
        <w:fldChar w:fldCharType="end"/>
      </w:r>
      <w:r w:rsidR="00527BA5">
        <w:rPr>
          <w:rFonts w:ascii="Arial" w:hAnsi="Arial" w:cs="Arial"/>
          <w:bCs/>
          <w:i w:val="0"/>
          <w:iCs w:val="0"/>
          <w:sz w:val="16"/>
          <w:szCs w:val="16"/>
        </w:rPr>
        <w:t>—</w:t>
      </w:r>
      <w:r w:rsidRPr="003E5468">
        <w:rPr>
          <w:rFonts w:ascii="Arial" w:hAnsi="Arial" w:cs="Arial"/>
          <w:bCs/>
          <w:i w:val="0"/>
          <w:iCs w:val="0"/>
          <w:sz w:val="16"/>
          <w:szCs w:val="16"/>
        </w:rPr>
        <w:t xml:space="preserve">13 different cases of pump cards comprising of normal and abnormal conditions </w:t>
      </w:r>
      <w:r w:rsidRPr="0069167D">
        <w:rPr>
          <w:rFonts w:ascii="Arial" w:hAnsi="Arial" w:cs="Arial"/>
          <w:bCs/>
          <w:i w:val="0"/>
          <w:iCs w:val="0"/>
          <w:sz w:val="16"/>
          <w:szCs w:val="16"/>
        </w:rPr>
        <w:t>(Tan et al. 2015).</w:t>
      </w:r>
    </w:p>
    <w:p w14:paraId="7730B867" w14:textId="77777777" w:rsidR="00527BA5" w:rsidRDefault="00527BA5" w:rsidP="002936FC">
      <w:pPr>
        <w:spacing w:after="0"/>
        <w:ind w:firstLine="288"/>
        <w:rPr>
          <w:rFonts w:cs="Times New Roman"/>
          <w:b/>
          <w:bCs/>
          <w:szCs w:val="24"/>
        </w:rPr>
      </w:pPr>
    </w:p>
    <w:p w14:paraId="7F429094" w14:textId="77777777" w:rsidR="00527BA5" w:rsidRDefault="00527BA5" w:rsidP="002936FC">
      <w:pPr>
        <w:spacing w:after="0"/>
        <w:ind w:firstLine="288"/>
        <w:rPr>
          <w:rFonts w:cs="Times New Roman"/>
          <w:b/>
          <w:bCs/>
          <w:szCs w:val="24"/>
        </w:rPr>
      </w:pPr>
    </w:p>
    <w:p w14:paraId="2E239176" w14:textId="77777777" w:rsidR="00527BA5" w:rsidRDefault="00527BA5" w:rsidP="002936FC">
      <w:pPr>
        <w:spacing w:after="0"/>
        <w:ind w:firstLine="288"/>
        <w:rPr>
          <w:rFonts w:cs="Times New Roman"/>
          <w:b/>
          <w:bCs/>
          <w:szCs w:val="24"/>
        </w:rPr>
      </w:pPr>
    </w:p>
    <w:p w14:paraId="3975ED0C" w14:textId="37B176B3" w:rsidR="006665BC" w:rsidRPr="001474DE" w:rsidRDefault="006665BC" w:rsidP="002936FC">
      <w:pPr>
        <w:spacing w:after="0"/>
        <w:ind w:firstLine="288"/>
        <w:rPr>
          <w:rFonts w:cs="Times New Roman"/>
          <w:b/>
          <w:bCs/>
          <w:szCs w:val="24"/>
        </w:rPr>
      </w:pPr>
      <w:r w:rsidRPr="001474DE">
        <w:rPr>
          <w:rFonts w:cs="Times New Roman"/>
          <w:b/>
          <w:bCs/>
          <w:szCs w:val="24"/>
        </w:rPr>
        <w:lastRenderedPageBreak/>
        <w:t>Training and Testing</w:t>
      </w:r>
      <w:r>
        <w:rPr>
          <w:rFonts w:cs="Times New Roman"/>
          <w:b/>
          <w:bCs/>
          <w:szCs w:val="24"/>
        </w:rPr>
        <w:t xml:space="preserve"> Setup </w:t>
      </w:r>
    </w:p>
    <w:p w14:paraId="7C13BE85" w14:textId="0091F3C9" w:rsidR="006665BC" w:rsidRDefault="006665BC" w:rsidP="002936FC">
      <w:pPr>
        <w:spacing w:after="0"/>
        <w:ind w:firstLine="288"/>
        <w:rPr>
          <w:rFonts w:cs="Times New Roman"/>
          <w:szCs w:val="24"/>
        </w:rPr>
      </w:pPr>
      <w:r w:rsidRPr="009A1875">
        <w:rPr>
          <w:rFonts w:cs="Times New Roman"/>
          <w:szCs w:val="24"/>
        </w:rPr>
        <w:t>The 8500 images belonging to 13 different classes of pump failures</w:t>
      </w:r>
      <w:r>
        <w:rPr>
          <w:rFonts w:cs="Times New Roman"/>
          <w:szCs w:val="24"/>
        </w:rPr>
        <w:t xml:space="preserve"> were split into 2 groups. 80% of the data was kept for training the CNN model and 20% were kept aside for the testing the model. The data selected for training and testing is fed to the network in batches and the weights are updated after each batch. </w:t>
      </w:r>
    </w:p>
    <w:p w14:paraId="1C80FA5E" w14:textId="52498C4C" w:rsidR="006665BC" w:rsidRDefault="006665BC" w:rsidP="002936FC">
      <w:pPr>
        <w:spacing w:after="0"/>
        <w:ind w:firstLine="288"/>
        <w:rPr>
          <w:rFonts w:eastAsiaTheme="minorEastAsia" w:cs="Times New Roman"/>
          <w:szCs w:val="24"/>
        </w:rPr>
      </w:pPr>
      <w:r>
        <w:rPr>
          <w:rFonts w:cs="Times New Roman"/>
          <w:szCs w:val="24"/>
        </w:rPr>
        <w:t xml:space="preserve">There are 3 methods of feeding images to the CNN. One option is to have the CNN process each image one-by-one sequentially with the weights updated after every training image is processed through the network. Unfortunately, this contributes to prohibitively high processing time. The second option is to process the entire training set in one step, but this option necessitates a high memory usage. The third option trains the network in mini-batches where the batch size is of the order </w:t>
      </w:r>
      <m:oMath>
        <m:sSup>
          <m:sSupPr>
            <m:ctrlPr>
              <w:rPr>
                <w:rFonts w:ascii="Cambria Math" w:hAnsi="Cambria Math" w:cs="Times New Roman"/>
                <w:i/>
                <w:szCs w:val="24"/>
              </w:rPr>
            </m:ctrlPr>
          </m:sSupPr>
          <m:e>
            <m:r>
              <w:rPr>
                <w:rFonts w:ascii="Cambria Math" w:hAnsi="Cambria Math" w:cs="Times New Roman"/>
                <w:szCs w:val="24"/>
              </w:rPr>
              <m:t>2</m:t>
            </m:r>
          </m:e>
          <m:sup>
            <m:r>
              <w:rPr>
                <w:rFonts w:ascii="Cambria Math" w:hAnsi="Cambria Math" w:cs="Times New Roman"/>
                <w:szCs w:val="24"/>
              </w:rPr>
              <m:t>n</m:t>
            </m:r>
          </m:sup>
        </m:sSup>
      </m:oMath>
      <w:r>
        <w:rPr>
          <w:rFonts w:eastAsiaTheme="minorEastAsia" w:cs="Times New Roman"/>
          <w:szCs w:val="24"/>
        </w:rPr>
        <w:t xml:space="preserve"> where n typically ranges from 4 to 8. This method provides a good balance </w:t>
      </w:r>
      <w:r w:rsidR="00527BA5">
        <w:rPr>
          <w:rFonts w:eastAsiaTheme="minorEastAsia" w:cs="Times New Roman"/>
          <w:szCs w:val="24"/>
        </w:rPr>
        <w:t>between memory</w:t>
      </w:r>
      <w:r>
        <w:rPr>
          <w:rFonts w:eastAsiaTheme="minorEastAsia" w:cs="Times New Roman"/>
          <w:szCs w:val="24"/>
        </w:rPr>
        <w:t xml:space="preserve"> use and computation time. </w:t>
      </w:r>
    </w:p>
    <w:p w14:paraId="1B1199FA" w14:textId="13F5C59D" w:rsidR="006665BC" w:rsidRDefault="006665BC" w:rsidP="002936FC">
      <w:pPr>
        <w:spacing w:after="0"/>
        <w:ind w:firstLine="288"/>
        <w:rPr>
          <w:rFonts w:eastAsiaTheme="minorEastAsia" w:cs="Times New Roman"/>
          <w:szCs w:val="24"/>
        </w:rPr>
      </w:pPr>
      <w:r>
        <w:rPr>
          <w:rFonts w:eastAsiaTheme="minorEastAsia" w:cs="Times New Roman"/>
          <w:szCs w:val="24"/>
        </w:rPr>
        <w:t>The time for one cycle of training and testing is measured in epochs. One epoch is said to be complete when all the batches are processed for the entire training and test dataset. For example, in this work I have selected the batch size to be 32 (</w:t>
      </w:r>
      <m:oMath>
        <m:sSup>
          <m:sSupPr>
            <m:ctrlPr>
              <w:rPr>
                <w:rFonts w:ascii="Cambria Math" w:hAnsi="Cambria Math" w:cs="Times New Roman"/>
                <w:i/>
                <w:szCs w:val="24"/>
              </w:rPr>
            </m:ctrlPr>
          </m:sSupPr>
          <m:e>
            <m:r>
              <w:rPr>
                <w:rFonts w:ascii="Cambria Math" w:hAnsi="Cambria Math" w:cs="Times New Roman"/>
                <w:szCs w:val="24"/>
              </w:rPr>
              <m:t>2</m:t>
            </m:r>
          </m:e>
          <m:sup>
            <m:r>
              <w:rPr>
                <w:rFonts w:ascii="Cambria Math" w:hAnsi="Cambria Math" w:cs="Times New Roman"/>
                <w:szCs w:val="24"/>
              </w:rPr>
              <m:t>5</m:t>
            </m:r>
          </m:sup>
        </m:sSup>
        <m:r>
          <w:rPr>
            <w:rFonts w:ascii="Cambria Math" w:hAnsi="Cambria Math" w:cs="Times New Roman"/>
            <w:szCs w:val="24"/>
          </w:rPr>
          <m:t>)</m:t>
        </m:r>
      </m:oMath>
      <w:r>
        <w:rPr>
          <w:rFonts w:eastAsiaTheme="minorEastAsia" w:cs="Times New Roman"/>
          <w:szCs w:val="24"/>
        </w:rPr>
        <w:t xml:space="preserve"> and fit the model for 40 epochs. For each epoch, the batches are reconstructed randomly from the entire image set.</w:t>
      </w:r>
    </w:p>
    <w:p w14:paraId="56AAD4A7" w14:textId="72ACE27B" w:rsidR="00BE3EC0" w:rsidRDefault="00BE3EC0" w:rsidP="002936FC">
      <w:pPr>
        <w:spacing w:after="0"/>
        <w:ind w:firstLine="288"/>
        <w:rPr>
          <w:rFonts w:eastAsiaTheme="minorEastAsia" w:cs="Times New Roman"/>
          <w:szCs w:val="24"/>
        </w:rPr>
      </w:pPr>
    </w:p>
    <w:p w14:paraId="6D798463" w14:textId="0BFDBDA2" w:rsidR="00BE3EC0" w:rsidRDefault="00BE3EC0" w:rsidP="002936FC">
      <w:pPr>
        <w:spacing w:after="0"/>
        <w:ind w:firstLine="288"/>
        <w:rPr>
          <w:rFonts w:eastAsiaTheme="minorEastAsia" w:cs="Times New Roman"/>
          <w:szCs w:val="24"/>
        </w:rPr>
      </w:pPr>
    </w:p>
    <w:p w14:paraId="2060A4FA" w14:textId="4E74F0B3" w:rsidR="00BE3EC0" w:rsidRDefault="00BE3EC0" w:rsidP="002936FC">
      <w:pPr>
        <w:spacing w:after="0"/>
        <w:ind w:firstLine="288"/>
        <w:rPr>
          <w:rFonts w:eastAsiaTheme="minorEastAsia" w:cs="Times New Roman"/>
          <w:szCs w:val="24"/>
        </w:rPr>
      </w:pPr>
    </w:p>
    <w:p w14:paraId="7742F464" w14:textId="659D5B9A" w:rsidR="00BE3EC0" w:rsidRDefault="00BE3EC0" w:rsidP="002936FC">
      <w:pPr>
        <w:spacing w:after="0"/>
        <w:ind w:firstLine="288"/>
        <w:rPr>
          <w:rFonts w:eastAsiaTheme="minorEastAsia" w:cs="Times New Roman"/>
          <w:szCs w:val="24"/>
        </w:rPr>
      </w:pPr>
    </w:p>
    <w:p w14:paraId="60D01BCE" w14:textId="52CEE778" w:rsidR="00BE3EC0" w:rsidRDefault="00BE3EC0" w:rsidP="002936FC">
      <w:pPr>
        <w:spacing w:after="0"/>
        <w:ind w:firstLine="288"/>
        <w:rPr>
          <w:rFonts w:eastAsiaTheme="minorEastAsia" w:cs="Times New Roman"/>
          <w:szCs w:val="24"/>
        </w:rPr>
      </w:pPr>
    </w:p>
    <w:p w14:paraId="6692D88F" w14:textId="72DB970E" w:rsidR="00BE3EC0" w:rsidRDefault="00BE3EC0" w:rsidP="002936FC">
      <w:pPr>
        <w:spacing w:after="0"/>
        <w:ind w:firstLine="288"/>
        <w:rPr>
          <w:rFonts w:eastAsiaTheme="minorEastAsia" w:cs="Times New Roman"/>
          <w:szCs w:val="24"/>
        </w:rPr>
      </w:pPr>
    </w:p>
    <w:p w14:paraId="6D3EF722" w14:textId="63DD0283" w:rsidR="00BE3EC0" w:rsidRDefault="00BE3EC0" w:rsidP="002936FC">
      <w:pPr>
        <w:spacing w:after="0"/>
        <w:ind w:firstLine="288"/>
        <w:rPr>
          <w:rFonts w:eastAsiaTheme="minorEastAsia" w:cs="Times New Roman"/>
          <w:szCs w:val="24"/>
        </w:rPr>
      </w:pPr>
    </w:p>
    <w:p w14:paraId="0D4CDDA5" w14:textId="77777777" w:rsidR="006665BC" w:rsidRPr="009168D8" w:rsidRDefault="006665BC" w:rsidP="002936FC">
      <w:pPr>
        <w:pStyle w:val="Heading2"/>
        <w:ind w:left="0" w:firstLine="0"/>
      </w:pPr>
      <w:bookmarkStart w:id="98" w:name="_Toc56427169"/>
      <w:bookmarkStart w:id="99" w:name="_Toc58667112"/>
      <w:r>
        <w:lastRenderedPageBreak/>
        <w:t xml:space="preserve">3.5 </w:t>
      </w:r>
      <w:r w:rsidRPr="009168D8">
        <w:t>Results and Conclusions</w:t>
      </w:r>
      <w:bookmarkEnd w:id="98"/>
      <w:bookmarkEnd w:id="99"/>
      <w:r w:rsidRPr="009168D8">
        <w:tab/>
      </w:r>
    </w:p>
    <w:p w14:paraId="54835867" w14:textId="77777777" w:rsidR="00976C74" w:rsidRDefault="006665BC" w:rsidP="002936FC">
      <w:pPr>
        <w:tabs>
          <w:tab w:val="left" w:pos="1505"/>
        </w:tabs>
        <w:spacing w:after="0"/>
        <w:rPr>
          <w:rFonts w:cs="Times New Roman"/>
          <w:szCs w:val="24"/>
        </w:rPr>
      </w:pPr>
      <w:r>
        <w:rPr>
          <w:rFonts w:cs="Times New Roman"/>
          <w:szCs w:val="24"/>
        </w:rPr>
        <w:t xml:space="preserve">In this study, the hyperparameters used during training the CNN are as follows: </w:t>
      </w:r>
    </w:p>
    <w:p w14:paraId="58DFC3E7" w14:textId="00EBC323" w:rsidR="006665BC" w:rsidRDefault="006665BC" w:rsidP="002936FC">
      <w:pPr>
        <w:tabs>
          <w:tab w:val="left" w:pos="1505"/>
        </w:tabs>
        <w:spacing w:after="0"/>
        <w:rPr>
          <w:rFonts w:cs="Times New Roman"/>
          <w:szCs w:val="24"/>
        </w:rPr>
      </w:pPr>
      <w:r>
        <w:rPr>
          <w:rFonts w:cs="Times New Roman"/>
          <w:szCs w:val="24"/>
        </w:rPr>
        <w:t>Learning rate = 0.0001, filter size = 3 x 3, number of filters used = 2944, batch size = 32, epoch step size = 212 and number of epochs=40. Epoch step size is calculated by div</w:t>
      </w:r>
      <w:r w:rsidR="008623C5">
        <w:rPr>
          <w:rFonts w:cs="Times New Roman"/>
          <w:szCs w:val="24"/>
        </w:rPr>
        <w:t>i</w:t>
      </w:r>
      <w:r w:rsidR="00976C74">
        <w:rPr>
          <w:rFonts w:cs="Times New Roman"/>
          <w:szCs w:val="24"/>
        </w:rPr>
        <w:t>d</w:t>
      </w:r>
      <w:r>
        <w:rPr>
          <w:rFonts w:cs="Times New Roman"/>
          <w:szCs w:val="24"/>
        </w:rPr>
        <w:t xml:space="preserve">ing the total number of images in the dataset by the number of epochs. This step size is used to monitor the progress of training and test phases of the CNN. The model is run on a Google Colab Graphics Processing Unit (GPU) to reduce the computation time. </w:t>
      </w:r>
    </w:p>
    <w:p w14:paraId="1B6B6144" w14:textId="4E7673A1" w:rsidR="006665BC" w:rsidRPr="00182873" w:rsidRDefault="006665BC" w:rsidP="002936FC">
      <w:pPr>
        <w:tabs>
          <w:tab w:val="left" w:pos="1505"/>
        </w:tabs>
        <w:spacing w:after="0"/>
        <w:ind w:firstLine="288"/>
        <w:rPr>
          <w:rFonts w:cs="Times New Roman"/>
          <w:szCs w:val="24"/>
        </w:rPr>
      </w:pPr>
      <w:r w:rsidRPr="005D3E70">
        <w:rPr>
          <w:rFonts w:cs="Times New Roman"/>
          <w:b/>
          <w:bCs/>
          <w:color w:val="000000"/>
          <w:szCs w:val="24"/>
        </w:rPr>
        <w:t xml:space="preserve">Fig. </w:t>
      </w:r>
      <w:r w:rsidR="006E5685">
        <w:rPr>
          <w:b/>
          <w:bCs/>
        </w:rPr>
        <w:t>3.19</w:t>
      </w:r>
      <w:r w:rsidR="00B958A3" w:rsidRPr="00AD41B9">
        <w:rPr>
          <w:rFonts w:cs="Times New Roman"/>
          <w:b/>
          <w:bCs/>
          <w:szCs w:val="24"/>
        </w:rPr>
        <w:t>a</w:t>
      </w:r>
      <w:r w:rsidR="00B958A3">
        <w:rPr>
          <w:rFonts w:cs="Times New Roman"/>
          <w:szCs w:val="24"/>
        </w:rPr>
        <w:t>.</w:t>
      </w:r>
      <w:r w:rsidR="00AD41B9">
        <w:rPr>
          <w:rFonts w:cs="Times New Roman"/>
          <w:szCs w:val="24"/>
        </w:rPr>
        <w:t xml:space="preserve"> </w:t>
      </w:r>
      <w:r w:rsidR="00AD41B9" w:rsidRPr="001115C7">
        <w:rPr>
          <w:rFonts w:cs="Times New Roman"/>
          <w:b/>
          <w:bCs/>
          <w:szCs w:val="24"/>
        </w:rPr>
        <w:t>and 3.19b</w:t>
      </w:r>
      <w:r w:rsidR="00AD41B9">
        <w:rPr>
          <w:rFonts w:cs="Times New Roman"/>
          <w:szCs w:val="24"/>
        </w:rPr>
        <w:t xml:space="preserve">. </w:t>
      </w:r>
      <w:r>
        <w:rPr>
          <w:rFonts w:cs="Times New Roman"/>
          <w:szCs w:val="24"/>
        </w:rPr>
        <w:t xml:space="preserve">show the plot of model accuracy </w:t>
      </w:r>
      <w:r w:rsidR="00216B48">
        <w:rPr>
          <w:rFonts w:cs="Times New Roman"/>
          <w:szCs w:val="24"/>
        </w:rPr>
        <w:t xml:space="preserve">and loss </w:t>
      </w:r>
      <w:r>
        <w:rPr>
          <w:rFonts w:cs="Times New Roman"/>
          <w:szCs w:val="24"/>
        </w:rPr>
        <w:t xml:space="preserve">on the </w:t>
      </w:r>
      <w:r w:rsidR="00C8290E">
        <w:rPr>
          <w:rFonts w:cs="Times New Roman"/>
          <w:szCs w:val="24"/>
        </w:rPr>
        <w:t>y-</w:t>
      </w:r>
      <w:r>
        <w:rPr>
          <w:rFonts w:cs="Times New Roman"/>
          <w:szCs w:val="24"/>
        </w:rPr>
        <w:t>ax</w:t>
      </w:r>
      <w:r w:rsidR="00216B48">
        <w:rPr>
          <w:rFonts w:cs="Times New Roman"/>
          <w:szCs w:val="24"/>
        </w:rPr>
        <w:t>e</w:t>
      </w:r>
      <w:r>
        <w:rPr>
          <w:rFonts w:cs="Times New Roman"/>
          <w:szCs w:val="24"/>
        </w:rPr>
        <w:t xml:space="preserve">s versus epochs on </w:t>
      </w:r>
      <w:r w:rsidR="00C8290E">
        <w:rPr>
          <w:rFonts w:cs="Times New Roman"/>
          <w:szCs w:val="24"/>
        </w:rPr>
        <w:t>x</w:t>
      </w:r>
      <w:r>
        <w:rPr>
          <w:rFonts w:cs="Times New Roman"/>
          <w:szCs w:val="24"/>
        </w:rPr>
        <w:t>-ax</w:t>
      </w:r>
      <w:r w:rsidR="00216B48">
        <w:rPr>
          <w:rFonts w:cs="Times New Roman"/>
          <w:szCs w:val="24"/>
        </w:rPr>
        <w:t>e</w:t>
      </w:r>
      <w:r>
        <w:rPr>
          <w:rFonts w:cs="Times New Roman"/>
          <w:szCs w:val="24"/>
        </w:rPr>
        <w:t xml:space="preserve">s </w:t>
      </w:r>
      <w:r w:rsidR="00DB5C08">
        <w:rPr>
          <w:rFonts w:cs="Times New Roman"/>
          <w:szCs w:val="24"/>
        </w:rPr>
        <w:t xml:space="preserve">respectively </w:t>
      </w:r>
      <w:r w:rsidR="00F77210">
        <w:rPr>
          <w:rFonts w:cs="Times New Roman"/>
          <w:szCs w:val="24"/>
        </w:rPr>
        <w:t>during</w:t>
      </w:r>
      <w:r>
        <w:rPr>
          <w:rFonts w:cs="Times New Roman"/>
          <w:szCs w:val="24"/>
        </w:rPr>
        <w:t xml:space="preserve"> training and test</w:t>
      </w:r>
      <w:r w:rsidR="00F77210">
        <w:rPr>
          <w:rFonts w:cs="Times New Roman"/>
          <w:szCs w:val="24"/>
        </w:rPr>
        <w:t>ing.</w:t>
      </w:r>
    </w:p>
    <w:p w14:paraId="42A717DA" w14:textId="77777777" w:rsidR="00B958A3" w:rsidRDefault="006665BC" w:rsidP="00F34D3F">
      <w:pPr>
        <w:keepNext/>
        <w:spacing w:after="0"/>
        <w:jc w:val="center"/>
      </w:pPr>
      <w:r>
        <w:rPr>
          <w:noProof/>
        </w:rPr>
        <w:lastRenderedPageBreak/>
        <w:drawing>
          <wp:inline distT="0" distB="0" distL="0" distR="0" wp14:anchorId="4CBA5E5E" wp14:editId="02A1D0FB">
            <wp:extent cx="4294554" cy="28575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428992" cy="2946952"/>
                    </a:xfrm>
                    <a:prstGeom prst="rect">
                      <a:avLst/>
                    </a:prstGeom>
                  </pic:spPr>
                </pic:pic>
              </a:graphicData>
            </a:graphic>
          </wp:inline>
        </w:drawing>
      </w:r>
    </w:p>
    <w:p w14:paraId="17872AA4" w14:textId="6154E691" w:rsidR="00B958A3" w:rsidRPr="00B958A3" w:rsidRDefault="00B56E2B" w:rsidP="00F34D3F">
      <w:pPr>
        <w:keepNext/>
        <w:spacing w:after="0"/>
        <w:jc w:val="center"/>
        <w:rPr>
          <w:rFonts w:ascii="Arial" w:hAnsi="Arial" w:cs="Arial"/>
          <w:b/>
          <w:bCs/>
          <w:sz w:val="16"/>
          <w:szCs w:val="16"/>
        </w:rPr>
      </w:pPr>
      <w:r>
        <w:rPr>
          <w:rFonts w:ascii="Arial" w:hAnsi="Arial" w:cs="Arial"/>
          <w:b/>
          <w:bCs/>
          <w:sz w:val="16"/>
          <w:szCs w:val="16"/>
        </w:rPr>
        <w:t xml:space="preserve">              </w:t>
      </w:r>
      <w:r w:rsidR="00B958A3" w:rsidRPr="00B958A3">
        <w:rPr>
          <w:rFonts w:ascii="Arial" w:hAnsi="Arial" w:cs="Arial"/>
          <w:b/>
          <w:bCs/>
          <w:sz w:val="16"/>
          <w:szCs w:val="16"/>
        </w:rPr>
        <w:t>(a)</w:t>
      </w:r>
    </w:p>
    <w:p w14:paraId="0F97B2A8" w14:textId="436EAF47" w:rsidR="008623C5" w:rsidRDefault="00FB2D1F" w:rsidP="00CB6C5F">
      <w:pPr>
        <w:keepNext/>
        <w:spacing w:after="0"/>
        <w:jc w:val="center"/>
      </w:pPr>
      <w:r>
        <w:rPr>
          <w:noProof/>
        </w:rPr>
        <w:drawing>
          <wp:inline distT="0" distB="0" distL="0" distR="0" wp14:anchorId="7C563E59" wp14:editId="64C17DF2">
            <wp:extent cx="4143554" cy="2948940"/>
            <wp:effectExtent l="0" t="0" r="9525" b="381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235607" cy="3014453"/>
                    </a:xfrm>
                    <a:prstGeom prst="rect">
                      <a:avLst/>
                    </a:prstGeom>
                  </pic:spPr>
                </pic:pic>
              </a:graphicData>
            </a:graphic>
          </wp:inline>
        </w:drawing>
      </w:r>
    </w:p>
    <w:p w14:paraId="0846FDE7" w14:textId="1B389474" w:rsidR="00B958A3" w:rsidRPr="00B958A3" w:rsidRDefault="00B56E2B" w:rsidP="00F34D3F">
      <w:pPr>
        <w:keepNext/>
        <w:spacing w:after="0"/>
        <w:jc w:val="center"/>
        <w:rPr>
          <w:rFonts w:ascii="Arial" w:hAnsi="Arial" w:cs="Arial"/>
          <w:b/>
          <w:bCs/>
          <w:sz w:val="16"/>
          <w:szCs w:val="16"/>
        </w:rPr>
      </w:pPr>
      <w:r>
        <w:rPr>
          <w:rFonts w:ascii="Arial" w:hAnsi="Arial" w:cs="Arial"/>
          <w:b/>
          <w:bCs/>
          <w:sz w:val="16"/>
          <w:szCs w:val="16"/>
        </w:rPr>
        <w:t xml:space="preserve">            </w:t>
      </w:r>
      <w:r w:rsidR="00B958A3" w:rsidRPr="00B958A3">
        <w:rPr>
          <w:rFonts w:ascii="Arial" w:hAnsi="Arial" w:cs="Arial"/>
          <w:b/>
          <w:bCs/>
          <w:sz w:val="16"/>
          <w:szCs w:val="16"/>
        </w:rPr>
        <w:t>(b)</w:t>
      </w:r>
    </w:p>
    <w:p w14:paraId="49AD9FA3" w14:textId="3A7A612E" w:rsidR="008623C5" w:rsidRPr="008623C5" w:rsidRDefault="008623C5" w:rsidP="00F34D3F">
      <w:pPr>
        <w:pStyle w:val="Caption"/>
        <w:spacing w:after="0"/>
        <w:rPr>
          <w:i w:val="0"/>
          <w:iCs w:val="0"/>
        </w:rPr>
      </w:pPr>
      <w:bookmarkStart w:id="100" w:name="_Toc58667181"/>
      <w:r w:rsidRPr="008623C5">
        <w:rPr>
          <w:rFonts w:ascii="Arial" w:hAnsi="Arial" w:cs="Arial"/>
          <w:bCs/>
          <w:i w:val="0"/>
          <w:iCs w:val="0"/>
          <w:sz w:val="16"/>
          <w:szCs w:val="16"/>
        </w:rPr>
        <w:t xml:space="preserve">Fig. 3. </w:t>
      </w:r>
      <w:r w:rsidRPr="008623C5">
        <w:rPr>
          <w:rFonts w:ascii="Arial" w:hAnsi="Arial" w:cs="Arial"/>
          <w:bCs/>
          <w:i w:val="0"/>
          <w:iCs w:val="0"/>
          <w:sz w:val="16"/>
          <w:szCs w:val="16"/>
        </w:rPr>
        <w:fldChar w:fldCharType="begin"/>
      </w:r>
      <w:r w:rsidRPr="008623C5">
        <w:rPr>
          <w:rFonts w:ascii="Arial" w:hAnsi="Arial" w:cs="Arial"/>
          <w:bCs/>
          <w:i w:val="0"/>
          <w:iCs w:val="0"/>
          <w:sz w:val="16"/>
          <w:szCs w:val="16"/>
        </w:rPr>
        <w:instrText xml:space="preserve"> SEQ Fig._3. \* ARABIC </w:instrText>
      </w:r>
      <w:r w:rsidRPr="008623C5">
        <w:rPr>
          <w:rFonts w:ascii="Arial" w:hAnsi="Arial" w:cs="Arial"/>
          <w:bCs/>
          <w:i w:val="0"/>
          <w:iCs w:val="0"/>
          <w:sz w:val="16"/>
          <w:szCs w:val="16"/>
        </w:rPr>
        <w:fldChar w:fldCharType="separate"/>
      </w:r>
      <w:r w:rsidR="00D006A5">
        <w:rPr>
          <w:rFonts w:ascii="Arial" w:hAnsi="Arial" w:cs="Arial"/>
          <w:bCs/>
          <w:i w:val="0"/>
          <w:iCs w:val="0"/>
          <w:noProof/>
          <w:sz w:val="16"/>
          <w:szCs w:val="16"/>
        </w:rPr>
        <w:t>19</w:t>
      </w:r>
      <w:r w:rsidRPr="008623C5">
        <w:rPr>
          <w:rFonts w:ascii="Arial" w:hAnsi="Arial" w:cs="Arial"/>
          <w:bCs/>
          <w:i w:val="0"/>
          <w:iCs w:val="0"/>
          <w:sz w:val="16"/>
          <w:szCs w:val="16"/>
        </w:rPr>
        <w:fldChar w:fldCharType="end"/>
      </w:r>
      <w:r w:rsidRPr="008623C5">
        <w:rPr>
          <w:rFonts w:ascii="Arial" w:hAnsi="Arial" w:cs="Arial"/>
          <w:bCs/>
          <w:i w:val="0"/>
          <w:iCs w:val="0"/>
          <w:sz w:val="16"/>
          <w:szCs w:val="16"/>
        </w:rPr>
        <w:t>—</w:t>
      </w:r>
      <w:r w:rsidR="00764BEC">
        <w:rPr>
          <w:rFonts w:ascii="Arial" w:hAnsi="Arial" w:cs="Arial"/>
          <w:bCs/>
          <w:i w:val="0"/>
          <w:iCs w:val="0"/>
          <w:sz w:val="16"/>
          <w:szCs w:val="16"/>
        </w:rPr>
        <w:t xml:space="preserve">(a) </w:t>
      </w:r>
      <w:r w:rsidRPr="008623C5">
        <w:rPr>
          <w:rFonts w:ascii="Arial" w:hAnsi="Arial" w:cs="Arial"/>
          <w:bCs/>
          <w:i w:val="0"/>
          <w:iCs w:val="0"/>
          <w:sz w:val="16"/>
          <w:szCs w:val="16"/>
        </w:rPr>
        <w:t xml:space="preserve">Plot of VGG16 model accuracy </w:t>
      </w:r>
      <w:r w:rsidR="006E5685">
        <w:rPr>
          <w:rFonts w:ascii="Arial" w:hAnsi="Arial" w:cs="Arial"/>
          <w:bCs/>
          <w:i w:val="0"/>
          <w:iCs w:val="0"/>
          <w:sz w:val="16"/>
          <w:szCs w:val="16"/>
        </w:rPr>
        <w:t xml:space="preserve">and </w:t>
      </w:r>
      <w:r w:rsidR="00764BEC">
        <w:rPr>
          <w:rFonts w:ascii="Arial" w:hAnsi="Arial" w:cs="Arial"/>
          <w:bCs/>
          <w:i w:val="0"/>
          <w:iCs w:val="0"/>
          <w:sz w:val="16"/>
          <w:szCs w:val="16"/>
        </w:rPr>
        <w:t xml:space="preserve">(b) model </w:t>
      </w:r>
      <w:r w:rsidR="006E5685">
        <w:rPr>
          <w:rFonts w:ascii="Arial" w:hAnsi="Arial" w:cs="Arial"/>
          <w:bCs/>
          <w:i w:val="0"/>
          <w:iCs w:val="0"/>
          <w:sz w:val="16"/>
          <w:szCs w:val="16"/>
        </w:rPr>
        <w:t xml:space="preserve">loss </w:t>
      </w:r>
      <w:r w:rsidR="00F77210">
        <w:rPr>
          <w:rFonts w:ascii="Arial" w:hAnsi="Arial" w:cs="Arial"/>
          <w:bCs/>
          <w:i w:val="0"/>
          <w:iCs w:val="0"/>
          <w:sz w:val="16"/>
          <w:szCs w:val="16"/>
        </w:rPr>
        <w:t>during</w:t>
      </w:r>
      <w:r w:rsidRPr="008623C5">
        <w:rPr>
          <w:rFonts w:ascii="Arial" w:hAnsi="Arial" w:cs="Arial"/>
          <w:bCs/>
          <w:i w:val="0"/>
          <w:iCs w:val="0"/>
          <w:sz w:val="16"/>
          <w:szCs w:val="16"/>
        </w:rPr>
        <w:t xml:space="preserve"> </w:t>
      </w:r>
      <w:r w:rsidR="00F77210">
        <w:rPr>
          <w:rFonts w:ascii="Arial" w:hAnsi="Arial" w:cs="Arial"/>
          <w:bCs/>
          <w:i w:val="0"/>
          <w:iCs w:val="0"/>
          <w:sz w:val="16"/>
          <w:szCs w:val="16"/>
        </w:rPr>
        <w:t>training and testing.</w:t>
      </w:r>
      <w:bookmarkEnd w:id="100"/>
    </w:p>
    <w:p w14:paraId="6887E5A3" w14:textId="5237A668" w:rsidR="00A11165" w:rsidRDefault="006665BC" w:rsidP="003B3047">
      <w:pPr>
        <w:keepNext/>
        <w:spacing w:after="0"/>
        <w:ind w:firstLine="288"/>
        <w:jc w:val="left"/>
        <w:rPr>
          <w:rFonts w:cs="Times New Roman"/>
          <w:szCs w:val="24"/>
        </w:rPr>
      </w:pPr>
      <w:r w:rsidRPr="0011618B">
        <w:rPr>
          <w:rFonts w:cs="Times New Roman"/>
          <w:szCs w:val="24"/>
        </w:rPr>
        <w:lastRenderedPageBreak/>
        <w:t xml:space="preserve">In the </w:t>
      </w:r>
      <w:r w:rsidRPr="005D3E70">
        <w:rPr>
          <w:rFonts w:cs="Times New Roman"/>
          <w:b/>
          <w:bCs/>
          <w:color w:val="000000"/>
          <w:szCs w:val="24"/>
        </w:rPr>
        <w:t>Fig.</w:t>
      </w:r>
      <w:r w:rsidR="0047693F">
        <w:rPr>
          <w:rFonts w:cs="Times New Roman"/>
          <w:b/>
          <w:bCs/>
          <w:color w:val="000000"/>
          <w:szCs w:val="24"/>
        </w:rPr>
        <w:t xml:space="preserve"> 3.20</w:t>
      </w:r>
      <w:r w:rsidRPr="0011618B">
        <w:rPr>
          <w:rFonts w:cs="Times New Roman"/>
          <w:szCs w:val="24"/>
        </w:rPr>
        <w:t>.</w:t>
      </w:r>
      <w:r>
        <w:rPr>
          <w:rFonts w:cs="Times New Roman"/>
          <w:szCs w:val="24"/>
        </w:rPr>
        <w:t>, I</w:t>
      </w:r>
      <w:r w:rsidRPr="0011618B">
        <w:rPr>
          <w:rFonts w:cs="Times New Roman"/>
          <w:szCs w:val="24"/>
        </w:rPr>
        <w:t xml:space="preserve"> plot the </w:t>
      </w:r>
      <w:r w:rsidR="0047693F">
        <w:rPr>
          <w:rFonts w:cs="Times New Roman"/>
          <w:szCs w:val="24"/>
        </w:rPr>
        <w:t>c</w:t>
      </w:r>
      <w:r>
        <w:rPr>
          <w:rFonts w:cs="Times New Roman"/>
          <w:szCs w:val="24"/>
        </w:rPr>
        <w:t xml:space="preserve">onfusion matrix for the test data. The y-axis represents the true, but unseen, labels and the x-axis represents the predicted labels. The colors indicate the number of images </w:t>
      </w:r>
      <w:r w:rsidR="00B602F7">
        <w:rPr>
          <w:rFonts w:cs="Times New Roman"/>
          <w:szCs w:val="24"/>
        </w:rPr>
        <w:t>associated</w:t>
      </w:r>
      <w:r>
        <w:rPr>
          <w:rFonts w:cs="Times New Roman"/>
          <w:szCs w:val="24"/>
        </w:rPr>
        <w:t xml:space="preserve"> with each class. </w:t>
      </w:r>
    </w:p>
    <w:p w14:paraId="6604FDE4" w14:textId="09A5DC2C" w:rsidR="00322774" w:rsidRDefault="006665BC" w:rsidP="00760E15">
      <w:pPr>
        <w:keepNext/>
        <w:spacing w:after="0"/>
        <w:ind w:firstLine="288"/>
        <w:jc w:val="left"/>
        <w:rPr>
          <w:noProof/>
        </w:rPr>
      </w:pPr>
      <w:r>
        <w:rPr>
          <w:rFonts w:cs="Times New Roman"/>
          <w:szCs w:val="24"/>
        </w:rPr>
        <w:t>There are a few off-diagonal elements which</w:t>
      </w:r>
      <w:r w:rsidR="003B3047">
        <w:rPr>
          <w:rFonts w:cs="Times New Roman"/>
          <w:szCs w:val="24"/>
        </w:rPr>
        <w:t xml:space="preserve"> </w:t>
      </w:r>
      <w:r>
        <w:rPr>
          <w:rFonts w:cs="Times New Roman"/>
          <w:szCs w:val="24"/>
        </w:rPr>
        <w:t>denote either false</w:t>
      </w:r>
      <w:r w:rsidR="00B602F7">
        <w:rPr>
          <w:rFonts w:cs="Times New Roman"/>
          <w:szCs w:val="24"/>
        </w:rPr>
        <w:t xml:space="preserve"> positives or false </w:t>
      </w:r>
      <w:r w:rsidR="003B3047">
        <w:rPr>
          <w:rFonts w:cs="Times New Roman"/>
          <w:szCs w:val="24"/>
        </w:rPr>
        <w:t>negatives,</w:t>
      </w:r>
      <w:r w:rsidR="00B602F7">
        <w:rPr>
          <w:rFonts w:cs="Times New Roman"/>
          <w:szCs w:val="24"/>
        </w:rPr>
        <w:t xml:space="preserve"> but they are too few to be seen in Fig. </w:t>
      </w:r>
      <w:r w:rsidR="00562C65">
        <w:rPr>
          <w:rFonts w:cs="Times New Roman"/>
          <w:szCs w:val="24"/>
        </w:rPr>
        <w:t>3.20</w:t>
      </w:r>
      <w:r w:rsidR="00B602F7">
        <w:rPr>
          <w:rFonts w:cs="Times New Roman"/>
          <w:szCs w:val="24"/>
        </w:rPr>
        <w:t xml:space="preserve">. I show the numerical values within the confusion </w:t>
      </w:r>
      <w:r w:rsidR="00760E15">
        <w:rPr>
          <w:rFonts w:cs="Times New Roman"/>
          <w:szCs w:val="24"/>
        </w:rPr>
        <w:t>ma</w:t>
      </w:r>
      <w:r w:rsidR="00B602F7">
        <w:rPr>
          <w:rFonts w:cs="Times New Roman"/>
          <w:szCs w:val="24"/>
        </w:rPr>
        <w:t xml:space="preserve">trix in </w:t>
      </w:r>
      <w:r w:rsidR="00B602F7" w:rsidRPr="00562C65">
        <w:rPr>
          <w:rFonts w:cs="Times New Roman"/>
          <w:b/>
          <w:bCs/>
          <w:szCs w:val="24"/>
        </w:rPr>
        <w:t xml:space="preserve">Fig. </w:t>
      </w:r>
      <w:r w:rsidR="00562C65" w:rsidRPr="00562C65">
        <w:rPr>
          <w:rFonts w:cs="Times New Roman"/>
          <w:b/>
          <w:bCs/>
          <w:szCs w:val="24"/>
        </w:rPr>
        <w:t>3.21</w:t>
      </w:r>
      <w:r w:rsidR="00B602F7">
        <w:rPr>
          <w:rFonts w:cs="Times New Roman"/>
          <w:szCs w:val="24"/>
        </w:rPr>
        <w:t>.</w:t>
      </w:r>
      <w:r w:rsidR="00400EF3" w:rsidRPr="00400EF3">
        <w:rPr>
          <w:noProof/>
        </w:rPr>
        <w:t xml:space="preserve"> </w:t>
      </w:r>
    </w:p>
    <w:p w14:paraId="7003D3BA" w14:textId="0A72EDDE" w:rsidR="003B3047" w:rsidRDefault="003D4B57" w:rsidP="00EB7174">
      <w:pPr>
        <w:keepNext/>
        <w:spacing w:after="0"/>
        <w:ind w:right="-900" w:firstLine="288"/>
        <w:jc w:val="left"/>
      </w:pPr>
      <w:r>
        <w:rPr>
          <w:noProof/>
        </w:rPr>
        <w:drawing>
          <wp:inline distT="0" distB="0" distL="0" distR="0" wp14:anchorId="7F093B7F" wp14:editId="3548EF17">
            <wp:extent cx="4907560" cy="4572000"/>
            <wp:effectExtent l="0" t="0" r="762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909331" cy="4573650"/>
                    </a:xfrm>
                    <a:prstGeom prst="rect">
                      <a:avLst/>
                    </a:prstGeom>
                  </pic:spPr>
                </pic:pic>
              </a:graphicData>
            </a:graphic>
          </wp:inline>
        </w:drawing>
      </w:r>
      <w:r w:rsidR="00EB7174">
        <w:rPr>
          <w:noProof/>
        </w:rPr>
        <w:drawing>
          <wp:inline distT="0" distB="0" distL="0" distR="0" wp14:anchorId="5A8E77E1" wp14:editId="1705088B">
            <wp:extent cx="699764" cy="4481195"/>
            <wp:effectExtent l="0" t="0" r="5715"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736135" cy="4714108"/>
                    </a:xfrm>
                    <a:prstGeom prst="rect">
                      <a:avLst/>
                    </a:prstGeom>
                  </pic:spPr>
                </pic:pic>
              </a:graphicData>
            </a:graphic>
          </wp:inline>
        </w:drawing>
      </w:r>
      <w:r w:rsidR="00400EF3">
        <w:rPr>
          <w:noProof/>
        </w:rPr>
        <w:t xml:space="preserve"> </w:t>
      </w:r>
      <w:r w:rsidR="00F87C70">
        <w:rPr>
          <w:noProof/>
        </w:rPr>
        <w:t xml:space="preserve"> </w:t>
      </w:r>
    </w:p>
    <w:p w14:paraId="4FD9AFAF" w14:textId="5E37EBE0" w:rsidR="006665BC" w:rsidRPr="003B3047" w:rsidRDefault="003B3047" w:rsidP="003B3047">
      <w:pPr>
        <w:pStyle w:val="Caption"/>
        <w:rPr>
          <w:i w:val="0"/>
          <w:iCs w:val="0"/>
        </w:rPr>
      </w:pPr>
      <w:bookmarkStart w:id="101" w:name="_Toc58667182"/>
      <w:r w:rsidRPr="0069167D">
        <w:rPr>
          <w:rFonts w:ascii="Arial" w:hAnsi="Arial" w:cs="Arial"/>
          <w:bCs/>
          <w:i w:val="0"/>
          <w:iCs w:val="0"/>
          <w:sz w:val="16"/>
          <w:szCs w:val="16"/>
        </w:rPr>
        <w:t xml:space="preserve">Fig. 3. </w:t>
      </w:r>
      <w:r w:rsidRPr="0069167D">
        <w:rPr>
          <w:rFonts w:ascii="Arial" w:hAnsi="Arial" w:cs="Arial"/>
          <w:bCs/>
          <w:i w:val="0"/>
          <w:iCs w:val="0"/>
          <w:sz w:val="16"/>
          <w:szCs w:val="16"/>
        </w:rPr>
        <w:fldChar w:fldCharType="begin"/>
      </w:r>
      <w:r w:rsidRPr="0069167D">
        <w:rPr>
          <w:rFonts w:ascii="Arial" w:hAnsi="Arial" w:cs="Arial"/>
          <w:bCs/>
          <w:i w:val="0"/>
          <w:iCs w:val="0"/>
          <w:sz w:val="16"/>
          <w:szCs w:val="16"/>
        </w:rPr>
        <w:instrText xml:space="preserve"> SEQ Fig._3. \* ARABIC </w:instrText>
      </w:r>
      <w:r w:rsidRPr="0069167D">
        <w:rPr>
          <w:rFonts w:ascii="Arial" w:hAnsi="Arial" w:cs="Arial"/>
          <w:bCs/>
          <w:i w:val="0"/>
          <w:iCs w:val="0"/>
          <w:sz w:val="16"/>
          <w:szCs w:val="16"/>
        </w:rPr>
        <w:fldChar w:fldCharType="separate"/>
      </w:r>
      <w:r w:rsidR="00D006A5">
        <w:rPr>
          <w:rFonts w:ascii="Arial" w:hAnsi="Arial" w:cs="Arial"/>
          <w:bCs/>
          <w:i w:val="0"/>
          <w:iCs w:val="0"/>
          <w:noProof/>
          <w:sz w:val="16"/>
          <w:szCs w:val="16"/>
        </w:rPr>
        <w:t>20</w:t>
      </w:r>
      <w:r w:rsidRPr="0069167D">
        <w:rPr>
          <w:rFonts w:ascii="Arial" w:hAnsi="Arial" w:cs="Arial"/>
          <w:bCs/>
          <w:i w:val="0"/>
          <w:iCs w:val="0"/>
          <w:sz w:val="16"/>
          <w:szCs w:val="16"/>
        </w:rPr>
        <w:fldChar w:fldCharType="end"/>
      </w:r>
      <w:r w:rsidRPr="0069167D">
        <w:rPr>
          <w:rFonts w:ascii="Arial" w:hAnsi="Arial" w:cs="Arial"/>
          <w:bCs/>
          <w:i w:val="0"/>
          <w:iCs w:val="0"/>
          <w:sz w:val="16"/>
          <w:szCs w:val="16"/>
        </w:rPr>
        <w:t>—</w:t>
      </w:r>
      <w:r w:rsidRPr="003B3047">
        <w:rPr>
          <w:rFonts w:ascii="Arial" w:hAnsi="Arial" w:cs="Arial"/>
          <w:bCs/>
          <w:i w:val="0"/>
          <w:iCs w:val="0"/>
          <w:sz w:val="16"/>
          <w:szCs w:val="16"/>
        </w:rPr>
        <w:t>Confusion Matrix showing True labels versus Predicted Labels.</w:t>
      </w:r>
      <w:bookmarkEnd w:id="101"/>
    </w:p>
    <w:p w14:paraId="406E88F6" w14:textId="0A564944" w:rsidR="006665BC" w:rsidRDefault="006665BC" w:rsidP="00C12B58">
      <w:pPr>
        <w:tabs>
          <w:tab w:val="left" w:pos="1754"/>
        </w:tabs>
        <w:spacing w:after="0"/>
        <w:ind w:firstLine="288"/>
        <w:rPr>
          <w:rFonts w:cs="Times New Roman"/>
          <w:szCs w:val="24"/>
        </w:rPr>
      </w:pPr>
      <w:r>
        <w:rPr>
          <w:rFonts w:cs="Times New Roman"/>
          <w:szCs w:val="24"/>
        </w:rPr>
        <w:t xml:space="preserve">In </w:t>
      </w:r>
      <w:r w:rsidRPr="009324F5">
        <w:rPr>
          <w:rFonts w:cs="Times New Roman"/>
          <w:szCs w:val="24"/>
        </w:rPr>
        <w:t>Fig.</w:t>
      </w:r>
      <w:r w:rsidR="0053691F" w:rsidRPr="009324F5">
        <w:rPr>
          <w:rFonts w:cs="Times New Roman"/>
          <w:szCs w:val="24"/>
        </w:rPr>
        <w:t xml:space="preserve"> 3.21</w:t>
      </w:r>
      <w:r w:rsidR="009324F5">
        <w:rPr>
          <w:rFonts w:cs="Times New Roman"/>
          <w:szCs w:val="24"/>
        </w:rPr>
        <w:t>,</w:t>
      </w:r>
      <w:r>
        <w:rPr>
          <w:rFonts w:cs="Times New Roman"/>
          <w:szCs w:val="24"/>
        </w:rPr>
        <w:t xml:space="preserve"> there are a few misclassified labels, but the confusion matrix is strongly diagonally dominant. </w:t>
      </w:r>
    </w:p>
    <w:p w14:paraId="6B8920DA" w14:textId="77777777" w:rsidR="006665BC" w:rsidRDefault="006665BC" w:rsidP="00C12B58">
      <w:pPr>
        <w:tabs>
          <w:tab w:val="left" w:pos="1754"/>
        </w:tabs>
        <w:spacing w:after="0"/>
        <w:ind w:firstLine="288"/>
        <w:rPr>
          <w:rFonts w:cs="Times New Roman"/>
          <w:szCs w:val="24"/>
        </w:rPr>
      </w:pPr>
    </w:p>
    <w:p w14:paraId="3640898F" w14:textId="77777777" w:rsidR="00BE2909" w:rsidRDefault="006665BC" w:rsidP="00BE2909">
      <w:pPr>
        <w:keepNext/>
        <w:tabs>
          <w:tab w:val="left" w:pos="1754"/>
        </w:tabs>
        <w:spacing w:after="0"/>
        <w:jc w:val="center"/>
      </w:pPr>
      <w:r>
        <w:rPr>
          <w:noProof/>
        </w:rPr>
        <w:lastRenderedPageBreak/>
        <mc:AlternateContent>
          <mc:Choice Requires="wpg">
            <w:drawing>
              <wp:anchor distT="0" distB="0" distL="114300" distR="114300" simplePos="0" relativeHeight="251660800" behindDoc="0" locked="0" layoutInCell="1" allowOverlap="1" wp14:anchorId="08524C4A" wp14:editId="584578A4">
                <wp:simplePos x="0" y="0"/>
                <wp:positionH relativeFrom="column">
                  <wp:posOffset>1619250</wp:posOffset>
                </wp:positionH>
                <wp:positionV relativeFrom="paragraph">
                  <wp:posOffset>146050</wp:posOffset>
                </wp:positionV>
                <wp:extent cx="3067050" cy="1460500"/>
                <wp:effectExtent l="19050" t="19050" r="19050" b="25400"/>
                <wp:wrapNone/>
                <wp:docPr id="228" name="Group 228"/>
                <wp:cNvGraphicFramePr/>
                <a:graphic xmlns:a="http://schemas.openxmlformats.org/drawingml/2006/main">
                  <a:graphicData uri="http://schemas.microsoft.com/office/word/2010/wordprocessingGroup">
                    <wpg:wgp>
                      <wpg:cNvGrpSpPr/>
                      <wpg:grpSpPr>
                        <a:xfrm>
                          <a:off x="0" y="0"/>
                          <a:ext cx="3067050" cy="1460500"/>
                          <a:chOff x="0" y="0"/>
                          <a:chExt cx="3067050" cy="1460500"/>
                        </a:xfrm>
                      </wpg:grpSpPr>
                      <wps:wsp>
                        <wps:cNvPr id="229" name="Rectangle 5"/>
                        <wps:cNvSpPr/>
                        <wps:spPr>
                          <a:xfrm rot="10800000" flipV="1">
                            <a:off x="2895600" y="129540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34" name="Rectangle 5"/>
                        <wps:cNvSpPr/>
                        <wps:spPr>
                          <a:xfrm rot="10800000" flipV="1">
                            <a:off x="0" y="116205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2" name="Rectangle 5"/>
                        <wps:cNvSpPr/>
                        <wps:spPr>
                          <a:xfrm rot="10800000" flipV="1">
                            <a:off x="527050" y="116205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4" name="Rectangle 5"/>
                        <wps:cNvSpPr/>
                        <wps:spPr>
                          <a:xfrm rot="10800000" flipV="1">
                            <a:off x="1333500" y="115570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5" name="Rectangle 5"/>
                        <wps:cNvSpPr/>
                        <wps:spPr>
                          <a:xfrm rot="10800000" flipV="1">
                            <a:off x="800100" y="130175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6" name="Rectangle 5"/>
                        <wps:cNvSpPr/>
                        <wps:spPr>
                          <a:xfrm rot="10800000" flipV="1">
                            <a:off x="539750" y="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7" name="Rectangle 5"/>
                        <wps:cNvSpPr/>
                        <wps:spPr>
                          <a:xfrm rot="10800000" flipV="1">
                            <a:off x="1333500" y="29210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8" name="Rectangle 5"/>
                        <wps:cNvSpPr/>
                        <wps:spPr>
                          <a:xfrm rot="10800000" flipV="1">
                            <a:off x="1860550" y="730250"/>
                            <a:ext cx="171450" cy="158750"/>
                          </a:xfrm>
                          <a:prstGeom prst="rect">
                            <a:avLst/>
                          </a:prstGeom>
                          <a:solidFill>
                            <a:srgbClr val="FF0000">
                              <a:alpha val="0"/>
                            </a:srgbClr>
                          </a:solidFill>
                          <a:ln w="31750" cmpd="sng">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01E13499" id="Group 228" o:spid="_x0000_s1026" style="position:absolute;margin-left:127.5pt;margin-top:11.5pt;width:241.5pt;height:115pt;z-index:251660800" coordsize="30670,14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">
                <v:rect id="Rectangle 5" o:spid="_x0000_s1027" style="position:absolute;left:28956;top:12954;width:1714;height:158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" fillcolor="red" strokecolor="red" strokeweight="2.5pt">
                  <v:fill opacity="0"/>
                </v:rect>
                <v:rect id="Rectangle 5" o:spid="_x0000_s1028" style="position:absolute;top:11620;width:1714;height:15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" fillcolor="red" strokecolor="red" strokeweight="2.5pt">
                  <v:fill opacity="0"/>
                </v:rect>
                <v:rect id="Rectangle 5" o:spid="_x0000_s1029" style="position:absolute;left:5270;top:11620;width:1715;height:15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" fillcolor="red" strokecolor="red" strokeweight="2.5pt">
                  <v:fill opacity="0"/>
                </v:rect>
                <v:rect id="Rectangle 5" o:spid="_x0000_s1030" style="position:absolute;left:13335;top:11557;width:1714;height:158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" fillcolor="red" strokecolor="red" strokeweight="2.5pt">
                  <v:fill opacity="0"/>
                </v:rect>
                <v:rect id="Rectangle 5" o:spid="_x0000_s1031" style="position:absolute;left:8001;top:13017;width:1714;height:15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" fillcolor="red" strokecolor="red" strokeweight="2.5pt">
                  <v:fill opacity="0"/>
                </v:rect>
                <v:rect id="Rectangle 5" o:spid="_x0000_s1032" style="position:absolute;left:5397;width:1715;height:158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" fillcolor="red" strokecolor="red" strokeweight="2.5pt">
                  <v:fill opacity="0"/>
                </v:rect>
                <v:rect id="Rectangle 5" o:spid="_x0000_s1033" style="position:absolute;left:13335;top:2921;width:1714;height:158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" fillcolor="red" strokecolor="red" strokeweight="2.5pt">
                  <v:fill opacity="0"/>
                </v:rect>
                <v:rect id="Rectangle 5" o:spid="_x0000_s1034" style="position:absolute;left:18605;top:7302;width:1715;height:1588;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" fillcolor="red" strokecolor="red" strokeweight="2.5pt">
                  <v:fill opacity="0"/>
                </v:rect>
              </v:group>
            </w:pict>
          </mc:Fallback>
        </mc:AlternateContent>
      </w:r>
      <w:r>
        <w:rPr>
          <w:noProof/>
        </w:rPr>
        <w:drawing>
          <wp:inline distT="0" distB="0" distL="0" distR="0" wp14:anchorId="7C320989" wp14:editId="26A4C46F">
            <wp:extent cx="3806067" cy="2133600"/>
            <wp:effectExtent l="0" t="0" r="444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806067" cy="2133600"/>
                    </a:xfrm>
                    <a:prstGeom prst="rect">
                      <a:avLst/>
                    </a:prstGeom>
                  </pic:spPr>
                </pic:pic>
              </a:graphicData>
            </a:graphic>
          </wp:inline>
        </w:drawing>
      </w:r>
    </w:p>
    <w:p w14:paraId="221E2EF3" w14:textId="600893CC" w:rsidR="00BE2909" w:rsidRPr="003744DF" w:rsidRDefault="00BE2909" w:rsidP="005C7F10">
      <w:pPr>
        <w:tabs>
          <w:tab w:val="left" w:pos="1754"/>
          <w:tab w:val="center" w:pos="4824"/>
        </w:tabs>
        <w:spacing w:after="0"/>
        <w:jc w:val="center"/>
        <w:rPr>
          <w:rFonts w:cs="Times New Roman"/>
          <w:szCs w:val="24"/>
        </w:rPr>
      </w:pPr>
      <w:bookmarkStart w:id="102" w:name="_Toc58667183"/>
      <w:r w:rsidRPr="00BE2909">
        <w:rPr>
          <w:rFonts w:ascii="Arial" w:hAnsi="Arial" w:cs="Arial"/>
          <w:b/>
          <w:bCs/>
          <w:sz w:val="16"/>
          <w:szCs w:val="16"/>
        </w:rPr>
        <w:t xml:space="preserve">Fig. 3. </w:t>
      </w:r>
      <w:r w:rsidRPr="00BE2909">
        <w:rPr>
          <w:rFonts w:ascii="Arial" w:hAnsi="Arial" w:cs="Arial"/>
          <w:b/>
          <w:bCs/>
          <w:sz w:val="16"/>
          <w:szCs w:val="16"/>
        </w:rPr>
        <w:fldChar w:fldCharType="begin"/>
      </w:r>
      <w:r w:rsidRPr="00BE2909">
        <w:rPr>
          <w:rFonts w:ascii="Arial" w:hAnsi="Arial" w:cs="Arial"/>
          <w:b/>
          <w:bCs/>
          <w:sz w:val="16"/>
          <w:szCs w:val="16"/>
        </w:rPr>
        <w:instrText xml:space="preserve"> SEQ Fig._3. \* ARABIC </w:instrText>
      </w:r>
      <w:r w:rsidRPr="00BE2909">
        <w:rPr>
          <w:rFonts w:ascii="Arial" w:hAnsi="Arial" w:cs="Arial"/>
          <w:b/>
          <w:bCs/>
          <w:sz w:val="16"/>
          <w:szCs w:val="16"/>
        </w:rPr>
        <w:fldChar w:fldCharType="separate"/>
      </w:r>
      <w:r w:rsidR="00D006A5">
        <w:rPr>
          <w:rFonts w:ascii="Arial" w:hAnsi="Arial" w:cs="Arial"/>
          <w:b/>
          <w:bCs/>
          <w:noProof/>
          <w:sz w:val="16"/>
          <w:szCs w:val="16"/>
        </w:rPr>
        <w:t>21</w:t>
      </w:r>
      <w:r w:rsidRPr="00BE2909">
        <w:rPr>
          <w:rFonts w:ascii="Arial" w:hAnsi="Arial" w:cs="Arial"/>
          <w:b/>
          <w:bCs/>
          <w:sz w:val="16"/>
          <w:szCs w:val="16"/>
        </w:rPr>
        <w:fldChar w:fldCharType="end"/>
      </w:r>
      <w:r w:rsidRPr="00BE2909">
        <w:rPr>
          <w:rFonts w:ascii="Arial" w:hAnsi="Arial" w:cs="Arial"/>
          <w:b/>
          <w:bCs/>
          <w:sz w:val="16"/>
          <w:szCs w:val="16"/>
        </w:rPr>
        <w:t xml:space="preserve">— </w:t>
      </w:r>
      <w:r w:rsidRPr="00C7256E">
        <w:rPr>
          <w:rFonts w:ascii="Arial" w:hAnsi="Arial" w:cs="Arial"/>
          <w:b/>
          <w:bCs/>
          <w:sz w:val="16"/>
          <w:szCs w:val="16"/>
        </w:rPr>
        <w:t xml:space="preserve">Confusion Matrix </w:t>
      </w:r>
      <w:r>
        <w:rPr>
          <w:rFonts w:ascii="Arial" w:hAnsi="Arial" w:cs="Arial"/>
          <w:b/>
          <w:bCs/>
          <w:sz w:val="16"/>
          <w:szCs w:val="16"/>
        </w:rPr>
        <w:t xml:space="preserve">without normalization </w:t>
      </w:r>
      <w:r w:rsidRPr="00C7256E">
        <w:rPr>
          <w:rFonts w:ascii="Arial" w:hAnsi="Arial" w:cs="Arial"/>
          <w:b/>
          <w:bCs/>
          <w:sz w:val="16"/>
          <w:szCs w:val="16"/>
        </w:rPr>
        <w:t>showing True labels versus Predicted Labels</w:t>
      </w:r>
      <w:r>
        <w:rPr>
          <w:rFonts w:ascii="Arial" w:hAnsi="Arial" w:cs="Arial"/>
          <w:b/>
          <w:bCs/>
          <w:sz w:val="16"/>
          <w:szCs w:val="16"/>
        </w:rPr>
        <w:t>.</w:t>
      </w:r>
      <w:bookmarkEnd w:id="102"/>
    </w:p>
    <w:p w14:paraId="0D7A2419" w14:textId="31E475DD" w:rsidR="006665BC" w:rsidRDefault="006665BC" w:rsidP="005C7F10">
      <w:pPr>
        <w:tabs>
          <w:tab w:val="left" w:pos="1754"/>
        </w:tabs>
        <w:spacing w:after="0"/>
        <w:ind w:firstLine="288"/>
        <w:rPr>
          <w:rFonts w:cs="Times New Roman"/>
          <w:szCs w:val="24"/>
        </w:rPr>
      </w:pPr>
      <w:r w:rsidRPr="002841C0">
        <w:rPr>
          <w:rFonts w:cs="Times New Roman"/>
          <w:b/>
          <w:bCs/>
          <w:szCs w:val="24"/>
        </w:rPr>
        <w:t>Fig</w:t>
      </w:r>
      <w:r w:rsidR="002841C0">
        <w:rPr>
          <w:rFonts w:cs="Times New Roman"/>
          <w:b/>
          <w:bCs/>
          <w:szCs w:val="24"/>
        </w:rPr>
        <w:t xml:space="preserve">. </w:t>
      </w:r>
      <w:r w:rsidR="00647215">
        <w:rPr>
          <w:rFonts w:cs="Times New Roman"/>
          <w:b/>
          <w:bCs/>
          <w:szCs w:val="24"/>
        </w:rPr>
        <w:t>3.22</w:t>
      </w:r>
      <w:r>
        <w:rPr>
          <w:rFonts w:cs="Times New Roman"/>
          <w:szCs w:val="24"/>
        </w:rPr>
        <w:t xml:space="preserve"> shows an example of a misclassified mode of failure. </w:t>
      </w:r>
      <w:r w:rsidRPr="00647215">
        <w:rPr>
          <w:rFonts w:cs="Times New Roman"/>
          <w:szCs w:val="24"/>
        </w:rPr>
        <w:t xml:space="preserve">Fig. </w:t>
      </w:r>
      <w:r w:rsidR="00647215" w:rsidRPr="00647215">
        <w:rPr>
          <w:rFonts w:cs="Times New Roman"/>
          <w:szCs w:val="24"/>
        </w:rPr>
        <w:t>3.22</w:t>
      </w:r>
      <w:r w:rsidRPr="00647215">
        <w:rPr>
          <w:rFonts w:cs="Times New Roman"/>
          <w:szCs w:val="24"/>
        </w:rPr>
        <w:t>a</w:t>
      </w:r>
      <w:r>
        <w:rPr>
          <w:rFonts w:cs="Times New Roman"/>
          <w:szCs w:val="24"/>
        </w:rPr>
        <w:t xml:space="preserve"> shows the correct label on the left and </w:t>
      </w:r>
      <w:r w:rsidR="00647215" w:rsidRPr="00647215">
        <w:rPr>
          <w:rFonts w:cs="Times New Roman"/>
          <w:szCs w:val="24"/>
        </w:rPr>
        <w:t>Fig. 3.22</w:t>
      </w:r>
      <w:r w:rsidR="00647215">
        <w:rPr>
          <w:rFonts w:cs="Times New Roman"/>
          <w:szCs w:val="24"/>
        </w:rPr>
        <w:t xml:space="preserve">b </w:t>
      </w:r>
      <w:r>
        <w:rPr>
          <w:rFonts w:cs="Times New Roman"/>
          <w:szCs w:val="24"/>
        </w:rPr>
        <w:t>shows the incorrectly predicted label on the right by the model.</w:t>
      </w:r>
    </w:p>
    <w:p w14:paraId="0A9B2A6F" w14:textId="00C153A8" w:rsidR="00420D27" w:rsidRDefault="006665BC" w:rsidP="00420D27">
      <w:pPr>
        <w:tabs>
          <w:tab w:val="left" w:pos="1754"/>
        </w:tabs>
        <w:spacing w:after="0"/>
        <w:ind w:firstLine="288"/>
        <w:rPr>
          <w:rFonts w:ascii="Segoe UI" w:hAnsi="Segoe UI" w:cs="Segoe UI"/>
          <w:sz w:val="20"/>
          <w:szCs w:val="20"/>
        </w:rPr>
      </w:pPr>
      <w:r>
        <w:rPr>
          <w:rFonts w:cs="Times New Roman"/>
          <w:szCs w:val="24"/>
        </w:rPr>
        <w:t>The dyno card to be classified is from a failure mode indicating</w:t>
      </w:r>
      <w:r w:rsidRPr="002F0CBA">
        <w:rPr>
          <w:rFonts w:cs="Times New Roman"/>
          <w:szCs w:val="24"/>
        </w:rPr>
        <w:t xml:space="preserve"> </w:t>
      </w:r>
      <w:r>
        <w:rPr>
          <w:rFonts w:cs="Times New Roman"/>
          <w:szCs w:val="24"/>
        </w:rPr>
        <w:t>poor</w:t>
      </w:r>
      <w:r w:rsidRPr="00BB7B13">
        <w:rPr>
          <w:rFonts w:cs="Times New Roman"/>
          <w:szCs w:val="24"/>
        </w:rPr>
        <w:t xml:space="preserve"> pump fillage</w:t>
      </w:r>
      <w:r>
        <w:rPr>
          <w:rFonts w:cs="Times New Roman"/>
          <w:szCs w:val="24"/>
        </w:rPr>
        <w:t xml:space="preserve">, where the plunger is not being completely filled. The CNN model however predicts this one card as belonging </w:t>
      </w:r>
      <w:r w:rsidR="000B4A59">
        <w:rPr>
          <w:rFonts w:cs="Times New Roman"/>
          <w:szCs w:val="24"/>
        </w:rPr>
        <w:t xml:space="preserve">to </w:t>
      </w:r>
      <w:r>
        <w:rPr>
          <w:rFonts w:cs="Times New Roman"/>
          <w:szCs w:val="24"/>
        </w:rPr>
        <w:t xml:space="preserve">a moderate case of gas interference. </w:t>
      </w:r>
      <w:r w:rsidR="00420D27" w:rsidRPr="00420D27">
        <w:rPr>
          <w:rFonts w:cs="Times New Roman"/>
          <w:szCs w:val="24"/>
        </w:rPr>
        <w:t xml:space="preserve">This card can easily be seen as gas interference </w:t>
      </w:r>
      <w:r w:rsidR="00420D27">
        <w:rPr>
          <w:rFonts w:cs="Times New Roman"/>
          <w:szCs w:val="24"/>
        </w:rPr>
        <w:t xml:space="preserve">and perhaps need an expert </w:t>
      </w:r>
      <w:r w:rsidR="00164DA5">
        <w:rPr>
          <w:rFonts w:cs="Times New Roman"/>
          <w:szCs w:val="24"/>
        </w:rPr>
        <w:t xml:space="preserve">to examine it with more information </w:t>
      </w:r>
      <w:r w:rsidR="00420D27" w:rsidRPr="00420D27">
        <w:rPr>
          <w:rFonts w:cs="Times New Roman"/>
          <w:szCs w:val="24"/>
        </w:rPr>
        <w:t>for proper prediction.</w:t>
      </w:r>
    </w:p>
    <w:p w14:paraId="4F4CA21D" w14:textId="7DB796E6" w:rsidR="002624AB" w:rsidRDefault="002624AB" w:rsidP="00974228">
      <w:pPr>
        <w:tabs>
          <w:tab w:val="left" w:pos="1754"/>
        </w:tabs>
        <w:spacing w:after="0"/>
        <w:ind w:firstLine="288"/>
        <w:rPr>
          <w:rFonts w:cs="Times New Roman"/>
          <w:szCs w:val="24"/>
        </w:rPr>
      </w:pPr>
    </w:p>
    <w:p w14:paraId="0203CD6A" w14:textId="77777777" w:rsidR="00F70BBD" w:rsidRDefault="00037181" w:rsidP="00F70BBD">
      <w:pPr>
        <w:keepNext/>
        <w:tabs>
          <w:tab w:val="left" w:pos="1754"/>
        </w:tabs>
        <w:spacing w:after="0"/>
        <w:ind w:firstLine="288"/>
        <w:jc w:val="center"/>
      </w:pPr>
      <w:r>
        <w:rPr>
          <w:noProof/>
        </w:rPr>
        <w:drawing>
          <wp:inline distT="0" distB="0" distL="0" distR="0" wp14:anchorId="5F05894E" wp14:editId="7118E847">
            <wp:extent cx="2839183" cy="2244956"/>
            <wp:effectExtent l="0" t="0" r="0" b="31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864371" cy="2264872"/>
                    </a:xfrm>
                    <a:prstGeom prst="rect">
                      <a:avLst/>
                    </a:prstGeom>
                  </pic:spPr>
                </pic:pic>
              </a:graphicData>
            </a:graphic>
          </wp:inline>
        </w:drawing>
      </w:r>
      <w:r w:rsidR="00E7689A">
        <w:rPr>
          <w:noProof/>
        </w:rPr>
        <w:drawing>
          <wp:inline distT="0" distB="0" distL="0" distR="0" wp14:anchorId="3163194D" wp14:editId="48BE27B9">
            <wp:extent cx="2828925" cy="2240775"/>
            <wp:effectExtent l="0" t="0" r="0" b="762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844855" cy="2253393"/>
                    </a:xfrm>
                    <a:prstGeom prst="rect">
                      <a:avLst/>
                    </a:prstGeom>
                  </pic:spPr>
                </pic:pic>
              </a:graphicData>
            </a:graphic>
          </wp:inline>
        </w:drawing>
      </w:r>
    </w:p>
    <w:p w14:paraId="16BF9D7E" w14:textId="30ADAED7" w:rsidR="00F70BBD" w:rsidRDefault="00F70BBD" w:rsidP="00D01699">
      <w:pPr>
        <w:pStyle w:val="ListParagraph"/>
        <w:numPr>
          <w:ilvl w:val="0"/>
          <w:numId w:val="18"/>
        </w:numPr>
        <w:tabs>
          <w:tab w:val="left" w:pos="1754"/>
        </w:tabs>
        <w:spacing w:after="0"/>
        <w:ind w:left="3150" w:hanging="720"/>
      </w:pPr>
      <w:r w:rsidRPr="00F70BBD">
        <w:rPr>
          <w:rFonts w:ascii="Arial" w:hAnsi="Arial" w:cs="Arial"/>
          <w:bCs/>
          <w:sz w:val="16"/>
          <w:szCs w:val="16"/>
        </w:rPr>
        <w:t xml:space="preserve">                                                                             </w:t>
      </w:r>
      <w:r w:rsidRPr="00F70BBD">
        <w:rPr>
          <w:rFonts w:ascii="Arial" w:hAnsi="Arial" w:cs="Arial"/>
          <w:b/>
          <w:bCs/>
          <w:sz w:val="16"/>
          <w:szCs w:val="16"/>
        </w:rPr>
        <w:t>(b)</w:t>
      </w:r>
    </w:p>
    <w:p w14:paraId="7AA20032" w14:textId="78F3FD94" w:rsidR="00037181" w:rsidRPr="00F70BBD" w:rsidRDefault="00F70BBD" w:rsidP="00F70BBD">
      <w:pPr>
        <w:pStyle w:val="Caption"/>
        <w:rPr>
          <w:rFonts w:cs="Times New Roman"/>
          <w:i w:val="0"/>
          <w:iCs w:val="0"/>
          <w:szCs w:val="24"/>
        </w:rPr>
      </w:pPr>
      <w:bookmarkStart w:id="103" w:name="_Toc58667184"/>
      <w:r w:rsidRPr="00F70BBD">
        <w:rPr>
          <w:rFonts w:ascii="Arial" w:hAnsi="Arial" w:cs="Arial"/>
          <w:bCs/>
          <w:i w:val="0"/>
          <w:iCs w:val="0"/>
          <w:sz w:val="16"/>
          <w:szCs w:val="16"/>
        </w:rPr>
        <w:t xml:space="preserve">Fig. 3. </w:t>
      </w:r>
      <w:r w:rsidRPr="00F70BBD">
        <w:rPr>
          <w:rFonts w:ascii="Arial" w:hAnsi="Arial" w:cs="Arial"/>
          <w:bCs/>
          <w:i w:val="0"/>
          <w:iCs w:val="0"/>
          <w:sz w:val="16"/>
          <w:szCs w:val="16"/>
        </w:rPr>
        <w:fldChar w:fldCharType="begin"/>
      </w:r>
      <w:r w:rsidRPr="00F70BBD">
        <w:rPr>
          <w:rFonts w:ascii="Arial" w:hAnsi="Arial" w:cs="Arial"/>
          <w:bCs/>
          <w:i w:val="0"/>
          <w:iCs w:val="0"/>
          <w:sz w:val="16"/>
          <w:szCs w:val="16"/>
        </w:rPr>
        <w:instrText xml:space="preserve"> SEQ Fig._3. \* ARABIC </w:instrText>
      </w:r>
      <w:r w:rsidRPr="00F70BBD">
        <w:rPr>
          <w:rFonts w:ascii="Arial" w:hAnsi="Arial" w:cs="Arial"/>
          <w:bCs/>
          <w:i w:val="0"/>
          <w:iCs w:val="0"/>
          <w:sz w:val="16"/>
          <w:szCs w:val="16"/>
        </w:rPr>
        <w:fldChar w:fldCharType="separate"/>
      </w:r>
      <w:r w:rsidR="00D006A5">
        <w:rPr>
          <w:rFonts w:ascii="Arial" w:hAnsi="Arial" w:cs="Arial"/>
          <w:bCs/>
          <w:i w:val="0"/>
          <w:iCs w:val="0"/>
          <w:noProof/>
          <w:sz w:val="16"/>
          <w:szCs w:val="16"/>
        </w:rPr>
        <w:t>22</w:t>
      </w:r>
      <w:r w:rsidRPr="00F70BBD">
        <w:rPr>
          <w:rFonts w:ascii="Arial" w:hAnsi="Arial" w:cs="Arial"/>
          <w:bCs/>
          <w:i w:val="0"/>
          <w:iCs w:val="0"/>
          <w:sz w:val="16"/>
          <w:szCs w:val="16"/>
        </w:rPr>
        <w:fldChar w:fldCharType="end"/>
      </w:r>
      <w:r w:rsidRPr="00F70BBD">
        <w:rPr>
          <w:rFonts w:ascii="Arial" w:hAnsi="Arial" w:cs="Arial"/>
          <w:bCs/>
          <w:i w:val="0"/>
          <w:iCs w:val="0"/>
          <w:sz w:val="16"/>
          <w:szCs w:val="16"/>
        </w:rPr>
        <w:t xml:space="preserve">—An example of model’s misclassification (a) True label related to the severe mode of pump fillage problem (b) Model Predicted label related to the </w:t>
      </w:r>
      <w:r w:rsidR="005574AF">
        <w:rPr>
          <w:rFonts w:ascii="Arial" w:hAnsi="Arial" w:cs="Arial"/>
          <w:bCs/>
          <w:i w:val="0"/>
          <w:iCs w:val="0"/>
          <w:sz w:val="16"/>
          <w:szCs w:val="16"/>
        </w:rPr>
        <w:t>moderate</w:t>
      </w:r>
      <w:r w:rsidRPr="00F70BBD">
        <w:rPr>
          <w:rFonts w:ascii="Arial" w:hAnsi="Arial" w:cs="Arial"/>
          <w:bCs/>
          <w:i w:val="0"/>
          <w:iCs w:val="0"/>
          <w:sz w:val="16"/>
          <w:szCs w:val="16"/>
        </w:rPr>
        <w:t xml:space="preserve"> case of gas interference </w:t>
      </w:r>
      <w:r w:rsidRPr="0069167D">
        <w:rPr>
          <w:rFonts w:ascii="Arial" w:hAnsi="Arial" w:cs="Arial"/>
          <w:bCs/>
          <w:i w:val="0"/>
          <w:iCs w:val="0"/>
          <w:sz w:val="16"/>
          <w:szCs w:val="16"/>
        </w:rPr>
        <w:t>(Tan et al. 2015).</w:t>
      </w:r>
      <w:bookmarkEnd w:id="103"/>
      <w:r w:rsidRPr="00F70BBD">
        <w:rPr>
          <w:rFonts w:ascii="Arial" w:hAnsi="Arial" w:cs="Arial"/>
          <w:bCs/>
          <w:i w:val="0"/>
          <w:iCs w:val="0"/>
          <w:sz w:val="16"/>
          <w:szCs w:val="16"/>
        </w:rPr>
        <w:t xml:space="preserve">         </w:t>
      </w:r>
    </w:p>
    <w:p w14:paraId="1BE3A7D2" w14:textId="42468964" w:rsidR="006665BC" w:rsidRPr="00811A9D" w:rsidRDefault="006665BC" w:rsidP="00C22DAC">
      <w:pPr>
        <w:tabs>
          <w:tab w:val="left" w:pos="1754"/>
        </w:tabs>
        <w:spacing w:after="0"/>
        <w:jc w:val="center"/>
        <w:rPr>
          <w:rFonts w:ascii="Arial" w:hAnsi="Arial" w:cs="Arial"/>
          <w:b/>
          <w:bCs/>
          <w:sz w:val="16"/>
          <w:szCs w:val="16"/>
        </w:rPr>
      </w:pPr>
      <w:r>
        <w:rPr>
          <w:rFonts w:ascii="Arial" w:hAnsi="Arial" w:cs="Arial"/>
          <w:b/>
          <w:bCs/>
          <w:sz w:val="16"/>
          <w:szCs w:val="16"/>
        </w:rPr>
        <w:lastRenderedPageBreak/>
        <w:t xml:space="preserve">                                                      </w:t>
      </w:r>
    </w:p>
    <w:p w14:paraId="684437F5" w14:textId="66448B5F" w:rsidR="00B73C3E" w:rsidRDefault="00B73C3E" w:rsidP="00B73C3E">
      <w:pPr>
        <w:tabs>
          <w:tab w:val="left" w:pos="1754"/>
        </w:tabs>
        <w:spacing w:after="0"/>
        <w:ind w:firstLine="288"/>
        <w:rPr>
          <w:rFonts w:cs="Times New Roman"/>
          <w:szCs w:val="24"/>
        </w:rPr>
      </w:pPr>
      <w:r w:rsidRPr="002841C0">
        <w:rPr>
          <w:rFonts w:cs="Times New Roman"/>
          <w:b/>
          <w:bCs/>
          <w:szCs w:val="24"/>
        </w:rPr>
        <w:t>Fig</w:t>
      </w:r>
      <w:r>
        <w:rPr>
          <w:rFonts w:cs="Times New Roman"/>
          <w:b/>
          <w:bCs/>
          <w:szCs w:val="24"/>
        </w:rPr>
        <w:t>. 3.23</w:t>
      </w:r>
      <w:r>
        <w:rPr>
          <w:rFonts w:cs="Times New Roman"/>
          <w:szCs w:val="24"/>
        </w:rPr>
        <w:t xml:space="preserve"> shows an</w:t>
      </w:r>
      <w:r w:rsidR="00755887">
        <w:rPr>
          <w:rFonts w:cs="Times New Roman"/>
          <w:szCs w:val="24"/>
        </w:rPr>
        <w:t>other</w:t>
      </w:r>
      <w:r>
        <w:rPr>
          <w:rFonts w:cs="Times New Roman"/>
          <w:szCs w:val="24"/>
        </w:rPr>
        <w:t xml:space="preserve"> example of a misclassified mode of failure. </w:t>
      </w:r>
      <w:r w:rsidRPr="00647215">
        <w:rPr>
          <w:rFonts w:cs="Times New Roman"/>
          <w:szCs w:val="24"/>
        </w:rPr>
        <w:t>Fig. 3.2</w:t>
      </w:r>
      <w:r w:rsidR="00755887">
        <w:rPr>
          <w:rFonts w:cs="Times New Roman"/>
          <w:szCs w:val="24"/>
        </w:rPr>
        <w:t>3</w:t>
      </w:r>
      <w:r w:rsidRPr="00647215">
        <w:rPr>
          <w:rFonts w:cs="Times New Roman"/>
          <w:szCs w:val="24"/>
        </w:rPr>
        <w:t>a</w:t>
      </w:r>
      <w:r>
        <w:rPr>
          <w:rFonts w:cs="Times New Roman"/>
          <w:szCs w:val="24"/>
        </w:rPr>
        <w:t xml:space="preserve"> shows the correct label on the left and </w:t>
      </w:r>
      <w:r w:rsidRPr="00647215">
        <w:rPr>
          <w:rFonts w:cs="Times New Roman"/>
          <w:szCs w:val="24"/>
        </w:rPr>
        <w:t>Fig. 3.2</w:t>
      </w:r>
      <w:r w:rsidR="00755887">
        <w:rPr>
          <w:rFonts w:cs="Times New Roman"/>
          <w:szCs w:val="24"/>
        </w:rPr>
        <w:t>3</w:t>
      </w:r>
      <w:r>
        <w:rPr>
          <w:rFonts w:cs="Times New Roman"/>
          <w:szCs w:val="24"/>
        </w:rPr>
        <w:t>b shows the incorrectly predicted label on the right by the model.</w:t>
      </w:r>
    </w:p>
    <w:p w14:paraId="3D8D13FA" w14:textId="5B0C7828" w:rsidR="00B73C3E" w:rsidRDefault="00B73C3E" w:rsidP="0043651E">
      <w:pPr>
        <w:tabs>
          <w:tab w:val="left" w:pos="1754"/>
        </w:tabs>
        <w:spacing w:after="0"/>
        <w:ind w:firstLine="288"/>
        <w:rPr>
          <w:rFonts w:cs="Times New Roman"/>
          <w:szCs w:val="24"/>
        </w:rPr>
      </w:pPr>
      <w:r>
        <w:rPr>
          <w:rFonts w:cs="Times New Roman"/>
          <w:szCs w:val="24"/>
        </w:rPr>
        <w:t>The dyno card to be classified is from a failure mode indicating</w:t>
      </w:r>
      <w:r w:rsidRPr="002F0CBA">
        <w:rPr>
          <w:rFonts w:cs="Times New Roman"/>
          <w:szCs w:val="24"/>
        </w:rPr>
        <w:t xml:space="preserve"> </w:t>
      </w:r>
      <w:r w:rsidR="00C9414C">
        <w:rPr>
          <w:rFonts w:cs="Times New Roman"/>
          <w:szCs w:val="24"/>
        </w:rPr>
        <w:t>the problem of leaking inlet or standing</w:t>
      </w:r>
      <w:r>
        <w:rPr>
          <w:rFonts w:cs="Times New Roman"/>
          <w:szCs w:val="24"/>
        </w:rPr>
        <w:t>. The CNN model however predicts this one card as belonging to a</w:t>
      </w:r>
      <w:r w:rsidR="00E369C7">
        <w:rPr>
          <w:rFonts w:cs="Times New Roman"/>
          <w:szCs w:val="24"/>
        </w:rPr>
        <w:t xml:space="preserve"> </w:t>
      </w:r>
      <w:r>
        <w:rPr>
          <w:rFonts w:cs="Times New Roman"/>
          <w:szCs w:val="24"/>
        </w:rPr>
        <w:t xml:space="preserve">case of </w:t>
      </w:r>
      <w:r w:rsidR="00E369C7">
        <w:rPr>
          <w:rFonts w:cs="Times New Roman"/>
          <w:szCs w:val="24"/>
        </w:rPr>
        <w:t>time delay in the closing of the standing valve.</w:t>
      </w:r>
      <w:r>
        <w:rPr>
          <w:rFonts w:cs="Times New Roman"/>
          <w:szCs w:val="24"/>
        </w:rPr>
        <w:t xml:space="preserve"> </w:t>
      </w:r>
    </w:p>
    <w:p w14:paraId="2AC0F7B5" w14:textId="758E9ACF" w:rsidR="00F70BBD" w:rsidRDefault="005023B8" w:rsidP="00D47BE2">
      <w:pPr>
        <w:pStyle w:val="ListParagraph"/>
        <w:tabs>
          <w:tab w:val="left" w:pos="1754"/>
        </w:tabs>
        <w:spacing w:after="0"/>
        <w:ind w:left="0"/>
        <w:jc w:val="center"/>
      </w:pPr>
      <w:r>
        <w:rPr>
          <w:noProof/>
        </w:rPr>
        <w:drawing>
          <wp:inline distT="0" distB="0" distL="0" distR="0" wp14:anchorId="5B05C789" wp14:editId="4AA7CA95">
            <wp:extent cx="5943600" cy="24765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943600" cy="2476500"/>
                    </a:xfrm>
                    <a:prstGeom prst="rect">
                      <a:avLst/>
                    </a:prstGeom>
                  </pic:spPr>
                </pic:pic>
              </a:graphicData>
            </a:graphic>
          </wp:inline>
        </w:drawing>
      </w:r>
      <w:r w:rsidR="00F70BBD" w:rsidRPr="00B82302">
        <w:rPr>
          <w:rFonts w:ascii="Arial" w:hAnsi="Arial" w:cs="Arial"/>
          <w:b/>
          <w:sz w:val="16"/>
          <w:szCs w:val="16"/>
        </w:rPr>
        <w:t>(</w:t>
      </w:r>
      <w:r w:rsidR="00B82302" w:rsidRPr="00B82302">
        <w:rPr>
          <w:rFonts w:ascii="Arial" w:hAnsi="Arial" w:cs="Arial"/>
          <w:b/>
          <w:sz w:val="16"/>
          <w:szCs w:val="16"/>
        </w:rPr>
        <w:t>a)</w:t>
      </w:r>
      <w:r w:rsidR="00F70BBD" w:rsidRPr="00F70BBD">
        <w:rPr>
          <w:rFonts w:ascii="Arial" w:hAnsi="Arial" w:cs="Arial"/>
          <w:bCs/>
          <w:sz w:val="16"/>
          <w:szCs w:val="16"/>
        </w:rPr>
        <w:t xml:space="preserve">    </w:t>
      </w:r>
      <w:r w:rsidR="00B82302">
        <w:rPr>
          <w:rFonts w:ascii="Arial" w:hAnsi="Arial" w:cs="Arial"/>
          <w:bCs/>
          <w:sz w:val="16"/>
          <w:szCs w:val="16"/>
        </w:rPr>
        <w:t xml:space="preserve">                                                                             </w:t>
      </w:r>
      <w:r w:rsidR="00F70BBD" w:rsidRPr="00F70BBD">
        <w:rPr>
          <w:rFonts w:ascii="Arial" w:hAnsi="Arial" w:cs="Arial"/>
          <w:bCs/>
          <w:sz w:val="16"/>
          <w:szCs w:val="16"/>
        </w:rPr>
        <w:t xml:space="preserve"> </w:t>
      </w:r>
      <w:r w:rsidR="00B82302">
        <w:rPr>
          <w:rFonts w:ascii="Arial" w:hAnsi="Arial" w:cs="Arial"/>
          <w:bCs/>
          <w:sz w:val="16"/>
          <w:szCs w:val="16"/>
        </w:rPr>
        <w:t xml:space="preserve">             </w:t>
      </w:r>
      <w:r w:rsidR="00F70BBD" w:rsidRPr="00F70BBD">
        <w:rPr>
          <w:rFonts w:ascii="Arial" w:hAnsi="Arial" w:cs="Arial"/>
          <w:b/>
          <w:bCs/>
          <w:sz w:val="16"/>
          <w:szCs w:val="16"/>
        </w:rPr>
        <w:t>(b)</w:t>
      </w:r>
    </w:p>
    <w:p w14:paraId="27D30925" w14:textId="4B001C8B" w:rsidR="006665BC" w:rsidRPr="0069167D" w:rsidRDefault="00F70BBD" w:rsidP="00333E51">
      <w:pPr>
        <w:pStyle w:val="Caption"/>
        <w:rPr>
          <w:rFonts w:ascii="Arial" w:hAnsi="Arial" w:cs="Arial"/>
          <w:bCs/>
          <w:i w:val="0"/>
          <w:iCs w:val="0"/>
          <w:sz w:val="16"/>
          <w:szCs w:val="16"/>
        </w:rPr>
      </w:pPr>
      <w:bookmarkStart w:id="104" w:name="_Toc58667185"/>
      <w:r w:rsidRPr="00F70BBD">
        <w:rPr>
          <w:rFonts w:ascii="Arial" w:hAnsi="Arial" w:cs="Arial"/>
          <w:bCs/>
          <w:i w:val="0"/>
          <w:iCs w:val="0"/>
          <w:sz w:val="16"/>
          <w:szCs w:val="16"/>
        </w:rPr>
        <w:t xml:space="preserve">Fig. 3. </w:t>
      </w:r>
      <w:r w:rsidRPr="00F70BBD">
        <w:rPr>
          <w:rFonts w:ascii="Arial" w:hAnsi="Arial" w:cs="Arial"/>
          <w:bCs/>
          <w:i w:val="0"/>
          <w:iCs w:val="0"/>
          <w:sz w:val="16"/>
          <w:szCs w:val="16"/>
        </w:rPr>
        <w:fldChar w:fldCharType="begin"/>
      </w:r>
      <w:r w:rsidRPr="00F70BBD">
        <w:rPr>
          <w:rFonts w:ascii="Arial" w:hAnsi="Arial" w:cs="Arial"/>
          <w:bCs/>
          <w:i w:val="0"/>
          <w:iCs w:val="0"/>
          <w:sz w:val="16"/>
          <w:szCs w:val="16"/>
        </w:rPr>
        <w:instrText xml:space="preserve"> SEQ Fig._3. \* ARABIC </w:instrText>
      </w:r>
      <w:r w:rsidRPr="00F70BBD">
        <w:rPr>
          <w:rFonts w:ascii="Arial" w:hAnsi="Arial" w:cs="Arial"/>
          <w:bCs/>
          <w:i w:val="0"/>
          <w:iCs w:val="0"/>
          <w:sz w:val="16"/>
          <w:szCs w:val="16"/>
        </w:rPr>
        <w:fldChar w:fldCharType="separate"/>
      </w:r>
      <w:r w:rsidR="00D006A5">
        <w:rPr>
          <w:rFonts w:ascii="Arial" w:hAnsi="Arial" w:cs="Arial"/>
          <w:bCs/>
          <w:i w:val="0"/>
          <w:iCs w:val="0"/>
          <w:noProof/>
          <w:sz w:val="16"/>
          <w:szCs w:val="16"/>
        </w:rPr>
        <w:t>23</w:t>
      </w:r>
      <w:r w:rsidRPr="00F70BBD">
        <w:rPr>
          <w:rFonts w:ascii="Arial" w:hAnsi="Arial" w:cs="Arial"/>
          <w:bCs/>
          <w:i w:val="0"/>
          <w:iCs w:val="0"/>
          <w:sz w:val="16"/>
          <w:szCs w:val="16"/>
        </w:rPr>
        <w:fldChar w:fldCharType="end"/>
      </w:r>
      <w:r w:rsidRPr="00F70BBD">
        <w:rPr>
          <w:rFonts w:ascii="Arial" w:hAnsi="Arial" w:cs="Arial"/>
          <w:bCs/>
          <w:i w:val="0"/>
          <w:iCs w:val="0"/>
          <w:sz w:val="16"/>
          <w:szCs w:val="16"/>
        </w:rPr>
        <w:t xml:space="preserve">— </w:t>
      </w:r>
      <w:r w:rsidRPr="00170E7A">
        <w:rPr>
          <w:rFonts w:ascii="Arial" w:hAnsi="Arial" w:cs="Arial"/>
          <w:bCs/>
          <w:i w:val="0"/>
          <w:iCs w:val="0"/>
          <w:sz w:val="16"/>
          <w:szCs w:val="16"/>
        </w:rPr>
        <w:t>An example of model’s misclassification (a) True label related to the leaking standing valve (b) Model Predicted label related to the delay in closing of the standing valve</w:t>
      </w:r>
      <w:r>
        <w:rPr>
          <w:rFonts w:ascii="Arial" w:hAnsi="Arial" w:cs="Arial"/>
          <w:bCs/>
          <w:i w:val="0"/>
          <w:iCs w:val="0"/>
          <w:sz w:val="16"/>
          <w:szCs w:val="16"/>
        </w:rPr>
        <w:t xml:space="preserve"> </w:t>
      </w:r>
      <w:r w:rsidRPr="0069167D">
        <w:rPr>
          <w:rFonts w:ascii="Arial" w:hAnsi="Arial" w:cs="Arial"/>
          <w:bCs/>
          <w:i w:val="0"/>
          <w:iCs w:val="0"/>
          <w:sz w:val="16"/>
          <w:szCs w:val="16"/>
        </w:rPr>
        <w:t>(Tan et al. 2015).</w:t>
      </w:r>
      <w:bookmarkEnd w:id="104"/>
    </w:p>
    <w:p w14:paraId="24938712" w14:textId="1C1EA6E6" w:rsidR="005807F0" w:rsidRDefault="006665BC" w:rsidP="00C12B58">
      <w:pPr>
        <w:tabs>
          <w:tab w:val="left" w:pos="1754"/>
        </w:tabs>
        <w:spacing w:after="0"/>
        <w:ind w:firstLine="288"/>
        <w:rPr>
          <w:rFonts w:cs="Times New Roman"/>
          <w:szCs w:val="24"/>
        </w:rPr>
      </w:pPr>
      <w:r>
        <w:rPr>
          <w:rFonts w:cs="Times New Roman"/>
          <w:szCs w:val="24"/>
        </w:rPr>
        <w:t>In</w:t>
      </w:r>
      <w:r w:rsidRPr="0002162B">
        <w:rPr>
          <w:rFonts w:cs="Times New Roman"/>
          <w:szCs w:val="24"/>
        </w:rPr>
        <w:t xml:space="preserve"> </w:t>
      </w:r>
      <w:r w:rsidRPr="006A3C93">
        <w:rPr>
          <w:rFonts w:cs="Times New Roman"/>
          <w:b/>
          <w:bCs/>
          <w:szCs w:val="24"/>
        </w:rPr>
        <w:t xml:space="preserve">Fig. </w:t>
      </w:r>
      <w:r w:rsidR="00220873">
        <w:rPr>
          <w:rFonts w:cs="Times New Roman"/>
          <w:b/>
          <w:bCs/>
          <w:szCs w:val="24"/>
        </w:rPr>
        <w:t>3.24</w:t>
      </w:r>
      <w:r>
        <w:rPr>
          <w:rFonts w:cs="Times New Roman"/>
          <w:szCs w:val="24"/>
        </w:rPr>
        <w:t xml:space="preserve"> </w:t>
      </w:r>
      <w:r w:rsidRPr="00753EB4">
        <w:rPr>
          <w:rFonts w:cs="Times New Roman"/>
          <w:b/>
          <w:bCs/>
          <w:szCs w:val="24"/>
        </w:rPr>
        <w:t>an</w:t>
      </w:r>
      <w:r w:rsidR="00753EB4" w:rsidRPr="00753EB4">
        <w:rPr>
          <w:rFonts w:cs="Times New Roman"/>
          <w:b/>
          <w:bCs/>
          <w:szCs w:val="24"/>
        </w:rPr>
        <w:t>d</w:t>
      </w:r>
      <w:r w:rsidRPr="006A3C93">
        <w:rPr>
          <w:rFonts w:cs="Times New Roman"/>
          <w:b/>
          <w:bCs/>
          <w:szCs w:val="24"/>
        </w:rPr>
        <w:t xml:space="preserve"> </w:t>
      </w:r>
      <w:r w:rsidR="00220873">
        <w:rPr>
          <w:rFonts w:cs="Times New Roman"/>
          <w:b/>
          <w:bCs/>
          <w:szCs w:val="24"/>
        </w:rPr>
        <w:t>3.25</w:t>
      </w:r>
      <w:r w:rsidRPr="0002162B">
        <w:rPr>
          <w:rFonts w:cs="Times New Roman"/>
          <w:szCs w:val="24"/>
        </w:rPr>
        <w:t>, I show two different test pump cards which the model ha</w:t>
      </w:r>
      <w:r>
        <w:rPr>
          <w:rFonts w:cs="Times New Roman"/>
          <w:szCs w:val="24"/>
        </w:rPr>
        <w:t>d</w:t>
      </w:r>
      <w:r w:rsidRPr="0002162B">
        <w:rPr>
          <w:rFonts w:cs="Times New Roman"/>
          <w:szCs w:val="24"/>
        </w:rPr>
        <w:t xml:space="preserve"> no problems predicting for all samples </w:t>
      </w:r>
      <w:r>
        <w:rPr>
          <w:rFonts w:cs="Times New Roman"/>
          <w:szCs w:val="24"/>
        </w:rPr>
        <w:t>belonging to</w:t>
      </w:r>
      <w:r w:rsidRPr="0002162B">
        <w:rPr>
          <w:rFonts w:cs="Times New Roman"/>
          <w:szCs w:val="24"/>
        </w:rPr>
        <w:t xml:space="preserve"> th</w:t>
      </w:r>
      <w:r>
        <w:rPr>
          <w:rFonts w:cs="Times New Roman"/>
          <w:szCs w:val="24"/>
        </w:rPr>
        <w:t>at</w:t>
      </w:r>
      <w:r w:rsidRPr="0002162B">
        <w:rPr>
          <w:rFonts w:cs="Times New Roman"/>
          <w:szCs w:val="24"/>
        </w:rPr>
        <w:t xml:space="preserve"> class</w:t>
      </w:r>
      <w:r>
        <w:rPr>
          <w:rFonts w:cs="Times New Roman"/>
          <w:szCs w:val="24"/>
        </w:rPr>
        <w:t xml:space="preserve"> or label</w:t>
      </w:r>
      <w:r w:rsidRPr="0002162B">
        <w:rPr>
          <w:rFonts w:cs="Times New Roman"/>
          <w:szCs w:val="24"/>
        </w:rPr>
        <w:t>.</w:t>
      </w:r>
      <w:r>
        <w:rPr>
          <w:rFonts w:cs="Times New Roman"/>
          <w:szCs w:val="24"/>
        </w:rPr>
        <w:t xml:space="preserve"> </w:t>
      </w:r>
      <w:r w:rsidR="00FD657D" w:rsidRPr="00647215">
        <w:rPr>
          <w:rFonts w:cs="Times New Roman"/>
          <w:szCs w:val="24"/>
        </w:rPr>
        <w:t>Fig. 3.2</w:t>
      </w:r>
      <w:r w:rsidR="00FD657D">
        <w:rPr>
          <w:rFonts w:cs="Times New Roman"/>
          <w:szCs w:val="24"/>
        </w:rPr>
        <w:t>3</w:t>
      </w:r>
      <w:r w:rsidR="00FD657D" w:rsidRPr="00647215">
        <w:rPr>
          <w:rFonts w:cs="Times New Roman"/>
          <w:szCs w:val="24"/>
        </w:rPr>
        <w:t>a</w:t>
      </w:r>
      <w:r w:rsidR="00FD657D">
        <w:rPr>
          <w:rFonts w:cs="Times New Roman"/>
          <w:szCs w:val="24"/>
        </w:rPr>
        <w:t xml:space="preserve"> shows the correct label on the left and </w:t>
      </w:r>
      <w:r w:rsidR="00FD657D" w:rsidRPr="00647215">
        <w:rPr>
          <w:rFonts w:cs="Times New Roman"/>
          <w:szCs w:val="24"/>
        </w:rPr>
        <w:t>Fig. 3.2</w:t>
      </w:r>
      <w:r w:rsidR="00FD657D">
        <w:rPr>
          <w:rFonts w:cs="Times New Roman"/>
          <w:szCs w:val="24"/>
        </w:rPr>
        <w:t>3b shows the correctly predicted label on the right by the model.</w:t>
      </w:r>
      <w:r w:rsidR="00EA0063" w:rsidRPr="00EA0063">
        <w:rPr>
          <w:rFonts w:cs="Times New Roman"/>
          <w:szCs w:val="24"/>
        </w:rPr>
        <w:t xml:space="preserve"> </w:t>
      </w:r>
      <w:r w:rsidR="00EA0063">
        <w:rPr>
          <w:rFonts w:cs="Times New Roman"/>
          <w:szCs w:val="24"/>
        </w:rPr>
        <w:t>The dyno card to be classified is from a failure mode indicating</w:t>
      </w:r>
      <w:r w:rsidR="00EA0063" w:rsidRPr="002F0CBA">
        <w:rPr>
          <w:rFonts w:cs="Times New Roman"/>
          <w:szCs w:val="24"/>
        </w:rPr>
        <w:t xml:space="preserve"> </w:t>
      </w:r>
      <w:r w:rsidR="00EA0063">
        <w:rPr>
          <w:rFonts w:cs="Times New Roman"/>
          <w:szCs w:val="24"/>
        </w:rPr>
        <w:t xml:space="preserve">the presence of sand inside the rod pump assembly. The CNN model correctly predicts this card as belonging to a case of sand interference. </w:t>
      </w:r>
    </w:p>
    <w:p w14:paraId="185A0950" w14:textId="5123F96F" w:rsidR="005807F0" w:rsidRDefault="005807F0" w:rsidP="00C12B58">
      <w:pPr>
        <w:tabs>
          <w:tab w:val="left" w:pos="1754"/>
        </w:tabs>
        <w:spacing w:after="0"/>
        <w:ind w:firstLine="288"/>
        <w:rPr>
          <w:rFonts w:cs="Times New Roman"/>
          <w:szCs w:val="24"/>
        </w:rPr>
      </w:pPr>
    </w:p>
    <w:p w14:paraId="6C24FA14" w14:textId="0012511F" w:rsidR="005807F0" w:rsidRDefault="005807F0" w:rsidP="00C12B58">
      <w:pPr>
        <w:tabs>
          <w:tab w:val="left" w:pos="1754"/>
        </w:tabs>
        <w:spacing w:after="0"/>
        <w:ind w:firstLine="288"/>
        <w:rPr>
          <w:rFonts w:cs="Times New Roman"/>
          <w:szCs w:val="24"/>
        </w:rPr>
      </w:pPr>
    </w:p>
    <w:p w14:paraId="0E337CA1" w14:textId="77777777" w:rsidR="00415EB7" w:rsidRDefault="005807F0" w:rsidP="00D70DA6">
      <w:pPr>
        <w:keepNext/>
        <w:tabs>
          <w:tab w:val="left" w:pos="1754"/>
        </w:tabs>
        <w:spacing w:after="0"/>
        <w:ind w:firstLine="288"/>
        <w:jc w:val="center"/>
      </w:pPr>
      <w:r>
        <w:rPr>
          <w:noProof/>
        </w:rPr>
        <w:lastRenderedPageBreak/>
        <w:drawing>
          <wp:inline distT="0" distB="0" distL="0" distR="0" wp14:anchorId="5E220754" wp14:editId="7C93EACB">
            <wp:extent cx="2798618" cy="2219459"/>
            <wp:effectExtent l="0" t="0" r="190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833209" cy="2246892"/>
                    </a:xfrm>
                    <a:prstGeom prst="rect">
                      <a:avLst/>
                    </a:prstGeom>
                  </pic:spPr>
                </pic:pic>
              </a:graphicData>
            </a:graphic>
          </wp:inline>
        </w:drawing>
      </w:r>
      <w:r w:rsidR="00415EB7">
        <w:rPr>
          <w:noProof/>
        </w:rPr>
        <w:drawing>
          <wp:inline distT="0" distB="0" distL="0" distR="0" wp14:anchorId="06C314B1" wp14:editId="16F490AF">
            <wp:extent cx="2771448" cy="2202354"/>
            <wp:effectExtent l="0" t="0" r="0" b="762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824343" cy="2244387"/>
                    </a:xfrm>
                    <a:prstGeom prst="rect">
                      <a:avLst/>
                    </a:prstGeom>
                  </pic:spPr>
                </pic:pic>
              </a:graphicData>
            </a:graphic>
          </wp:inline>
        </w:drawing>
      </w:r>
    </w:p>
    <w:p w14:paraId="1D1E30B1" w14:textId="017C1A41" w:rsidR="00415EB7" w:rsidRPr="007915F9" w:rsidRDefault="007915F9" w:rsidP="007915F9">
      <w:pPr>
        <w:tabs>
          <w:tab w:val="left" w:pos="1754"/>
        </w:tabs>
        <w:spacing w:after="0"/>
        <w:rPr>
          <w:rFonts w:ascii="Arial" w:hAnsi="Arial" w:cs="Arial"/>
          <w:bCs/>
          <w:sz w:val="16"/>
          <w:szCs w:val="16"/>
        </w:rPr>
      </w:pPr>
      <w:r>
        <w:rPr>
          <w:rFonts w:ascii="Arial" w:hAnsi="Arial" w:cs="Arial"/>
          <w:b/>
          <w:bCs/>
          <w:sz w:val="16"/>
          <w:szCs w:val="16"/>
        </w:rPr>
        <w:t xml:space="preserve">                                                         (a)</w:t>
      </w:r>
      <w:r w:rsidRPr="007915F9">
        <w:rPr>
          <w:rFonts w:ascii="Arial" w:hAnsi="Arial" w:cs="Arial"/>
          <w:b/>
          <w:bCs/>
          <w:sz w:val="16"/>
          <w:szCs w:val="16"/>
        </w:rPr>
        <w:t xml:space="preserve">    </w:t>
      </w:r>
      <w:r w:rsidR="00415EB7" w:rsidRPr="007915F9">
        <w:rPr>
          <w:rFonts w:ascii="Arial" w:hAnsi="Arial" w:cs="Arial"/>
          <w:b/>
          <w:bCs/>
          <w:sz w:val="16"/>
          <w:szCs w:val="16"/>
        </w:rPr>
        <w:t xml:space="preserve">                                                                    </w:t>
      </w:r>
      <w:r>
        <w:rPr>
          <w:rFonts w:ascii="Arial" w:hAnsi="Arial" w:cs="Arial"/>
          <w:b/>
          <w:bCs/>
          <w:sz w:val="16"/>
          <w:szCs w:val="16"/>
        </w:rPr>
        <w:t xml:space="preserve">                   </w:t>
      </w:r>
      <w:r w:rsidR="00415EB7" w:rsidRPr="007915F9">
        <w:rPr>
          <w:rFonts w:ascii="Arial" w:hAnsi="Arial" w:cs="Arial"/>
          <w:b/>
          <w:bCs/>
          <w:sz w:val="16"/>
          <w:szCs w:val="16"/>
        </w:rPr>
        <w:t xml:space="preserve"> </w:t>
      </w:r>
      <w:r w:rsidR="00D46E6C">
        <w:rPr>
          <w:rFonts w:ascii="Arial" w:hAnsi="Arial" w:cs="Arial"/>
          <w:b/>
          <w:bCs/>
          <w:sz w:val="16"/>
          <w:szCs w:val="16"/>
        </w:rPr>
        <w:t xml:space="preserve"> </w:t>
      </w:r>
      <w:r w:rsidR="00415EB7" w:rsidRPr="007915F9">
        <w:rPr>
          <w:rFonts w:ascii="Arial" w:hAnsi="Arial" w:cs="Arial"/>
          <w:b/>
          <w:bCs/>
          <w:sz w:val="16"/>
          <w:szCs w:val="16"/>
        </w:rPr>
        <w:t>(b)</w:t>
      </w:r>
    </w:p>
    <w:p w14:paraId="2CE66FFB" w14:textId="562D10C4" w:rsidR="006665BC" w:rsidRDefault="00415EB7" w:rsidP="00FD33DD">
      <w:pPr>
        <w:pStyle w:val="Caption"/>
        <w:rPr>
          <w:rFonts w:cs="Times New Roman"/>
          <w:szCs w:val="24"/>
        </w:rPr>
      </w:pPr>
      <w:bookmarkStart w:id="105" w:name="_Toc58667186"/>
      <w:r w:rsidRPr="00415EB7">
        <w:rPr>
          <w:rFonts w:ascii="Arial" w:hAnsi="Arial" w:cs="Arial"/>
          <w:bCs/>
          <w:i w:val="0"/>
          <w:iCs w:val="0"/>
          <w:sz w:val="16"/>
          <w:szCs w:val="16"/>
        </w:rPr>
        <w:t xml:space="preserve">Fig. 3. </w:t>
      </w:r>
      <w:r w:rsidRPr="00415EB7">
        <w:rPr>
          <w:rFonts w:ascii="Arial" w:hAnsi="Arial" w:cs="Arial"/>
          <w:bCs/>
          <w:i w:val="0"/>
          <w:iCs w:val="0"/>
          <w:sz w:val="16"/>
          <w:szCs w:val="16"/>
        </w:rPr>
        <w:fldChar w:fldCharType="begin"/>
      </w:r>
      <w:r w:rsidRPr="00415EB7">
        <w:rPr>
          <w:rFonts w:ascii="Arial" w:hAnsi="Arial" w:cs="Arial"/>
          <w:bCs/>
          <w:i w:val="0"/>
          <w:iCs w:val="0"/>
          <w:sz w:val="16"/>
          <w:szCs w:val="16"/>
        </w:rPr>
        <w:instrText xml:space="preserve"> SEQ Fig._3. \* ARABIC </w:instrText>
      </w:r>
      <w:r w:rsidRPr="00415EB7">
        <w:rPr>
          <w:rFonts w:ascii="Arial" w:hAnsi="Arial" w:cs="Arial"/>
          <w:bCs/>
          <w:i w:val="0"/>
          <w:iCs w:val="0"/>
          <w:sz w:val="16"/>
          <w:szCs w:val="16"/>
        </w:rPr>
        <w:fldChar w:fldCharType="separate"/>
      </w:r>
      <w:r w:rsidR="00D006A5">
        <w:rPr>
          <w:rFonts w:ascii="Arial" w:hAnsi="Arial" w:cs="Arial"/>
          <w:bCs/>
          <w:i w:val="0"/>
          <w:iCs w:val="0"/>
          <w:noProof/>
          <w:sz w:val="16"/>
          <w:szCs w:val="16"/>
        </w:rPr>
        <w:t>24</w:t>
      </w:r>
      <w:r w:rsidRPr="00415EB7">
        <w:rPr>
          <w:rFonts w:ascii="Arial" w:hAnsi="Arial" w:cs="Arial"/>
          <w:bCs/>
          <w:i w:val="0"/>
          <w:iCs w:val="0"/>
          <w:sz w:val="16"/>
          <w:szCs w:val="16"/>
        </w:rPr>
        <w:fldChar w:fldCharType="end"/>
      </w:r>
      <w:r w:rsidRPr="00415EB7">
        <w:rPr>
          <w:rFonts w:ascii="Arial" w:hAnsi="Arial" w:cs="Arial"/>
          <w:bCs/>
          <w:i w:val="0"/>
          <w:iCs w:val="0"/>
          <w:sz w:val="16"/>
          <w:szCs w:val="16"/>
        </w:rPr>
        <w:t xml:space="preserve">— An example of model’s accurate classification (a) True label related to presence of sand (b) Model predicted label related to the presence of </w:t>
      </w:r>
      <w:r w:rsidR="00D70DA6" w:rsidRPr="00415EB7">
        <w:rPr>
          <w:rFonts w:ascii="Arial" w:hAnsi="Arial" w:cs="Arial"/>
          <w:bCs/>
          <w:i w:val="0"/>
          <w:iCs w:val="0"/>
          <w:sz w:val="16"/>
          <w:szCs w:val="16"/>
        </w:rPr>
        <w:t xml:space="preserve">sand </w:t>
      </w:r>
      <w:r w:rsidR="00D70DA6" w:rsidRPr="0069167D">
        <w:rPr>
          <w:rFonts w:ascii="Arial" w:hAnsi="Arial" w:cs="Arial"/>
          <w:bCs/>
          <w:i w:val="0"/>
          <w:iCs w:val="0"/>
          <w:sz w:val="16"/>
          <w:szCs w:val="16"/>
        </w:rPr>
        <w:t>(</w:t>
      </w:r>
      <w:r w:rsidRPr="0069167D">
        <w:rPr>
          <w:rFonts w:ascii="Arial" w:hAnsi="Arial" w:cs="Arial"/>
          <w:bCs/>
          <w:i w:val="0"/>
          <w:iCs w:val="0"/>
          <w:sz w:val="16"/>
          <w:szCs w:val="16"/>
        </w:rPr>
        <w:t>Tan et al.</w:t>
      </w:r>
      <w:r w:rsidR="00D70DA6" w:rsidRPr="0069167D">
        <w:rPr>
          <w:rFonts w:ascii="Arial" w:hAnsi="Arial" w:cs="Arial"/>
          <w:bCs/>
          <w:i w:val="0"/>
          <w:iCs w:val="0"/>
          <w:sz w:val="16"/>
          <w:szCs w:val="16"/>
        </w:rPr>
        <w:t xml:space="preserve"> </w:t>
      </w:r>
      <w:r w:rsidRPr="0069167D">
        <w:rPr>
          <w:rFonts w:ascii="Arial" w:hAnsi="Arial" w:cs="Arial"/>
          <w:bCs/>
          <w:i w:val="0"/>
          <w:iCs w:val="0"/>
          <w:sz w:val="16"/>
          <w:szCs w:val="16"/>
        </w:rPr>
        <w:t>2015).</w:t>
      </w:r>
      <w:bookmarkStart w:id="106" w:name="_Toc56427253"/>
      <w:bookmarkEnd w:id="105"/>
      <w:r w:rsidR="006665BC" w:rsidRPr="00B72A45">
        <w:rPr>
          <w:rFonts w:ascii="Arial" w:hAnsi="Arial" w:cs="Arial"/>
          <w:bCs/>
          <w:sz w:val="16"/>
          <w:szCs w:val="16"/>
        </w:rPr>
        <w:t xml:space="preserve"> </w:t>
      </w:r>
      <w:bookmarkEnd w:id="106"/>
    </w:p>
    <w:p w14:paraId="61B0ED21" w14:textId="72612A18" w:rsidR="009E2B8C" w:rsidRDefault="006665BC" w:rsidP="00836C2B">
      <w:pPr>
        <w:tabs>
          <w:tab w:val="left" w:pos="1754"/>
        </w:tabs>
        <w:spacing w:after="0"/>
        <w:ind w:firstLine="288"/>
        <w:rPr>
          <w:rFonts w:cs="Times New Roman"/>
          <w:szCs w:val="24"/>
        </w:rPr>
      </w:pPr>
      <w:r w:rsidRPr="00FD33DD">
        <w:rPr>
          <w:rFonts w:cs="Times New Roman"/>
          <w:szCs w:val="24"/>
        </w:rPr>
        <w:t xml:space="preserve">Fig. </w:t>
      </w:r>
      <w:r w:rsidR="00FE1199" w:rsidRPr="00FD33DD">
        <w:rPr>
          <w:rFonts w:cs="Times New Roman"/>
          <w:szCs w:val="24"/>
        </w:rPr>
        <w:t>3.2</w:t>
      </w:r>
      <w:r w:rsidR="00FD33DD" w:rsidRPr="00FD33DD">
        <w:rPr>
          <w:rFonts w:cs="Times New Roman"/>
          <w:szCs w:val="24"/>
        </w:rPr>
        <w:t>5a</w:t>
      </w:r>
      <w:r w:rsidR="000F5C40">
        <w:rPr>
          <w:rFonts w:cs="Times New Roman"/>
          <w:szCs w:val="24"/>
        </w:rPr>
        <w:t>.</w:t>
      </w:r>
      <w:r w:rsidR="0014389F">
        <w:rPr>
          <w:rFonts w:cs="Times New Roman"/>
          <w:szCs w:val="24"/>
        </w:rPr>
        <w:t xml:space="preserve"> </w:t>
      </w:r>
      <w:r w:rsidR="00FD33DD">
        <w:rPr>
          <w:rFonts w:cs="Times New Roman"/>
          <w:szCs w:val="24"/>
        </w:rPr>
        <w:t xml:space="preserve">shows the correct label on the left and </w:t>
      </w:r>
      <w:r w:rsidR="00FD33DD" w:rsidRPr="00647215">
        <w:rPr>
          <w:rFonts w:cs="Times New Roman"/>
          <w:szCs w:val="24"/>
        </w:rPr>
        <w:t>Fig. 3.2</w:t>
      </w:r>
      <w:r w:rsidR="003F6F3A">
        <w:rPr>
          <w:rFonts w:cs="Times New Roman"/>
          <w:szCs w:val="24"/>
        </w:rPr>
        <w:t>5</w:t>
      </w:r>
      <w:r w:rsidR="00FD33DD">
        <w:rPr>
          <w:rFonts w:cs="Times New Roman"/>
          <w:szCs w:val="24"/>
        </w:rPr>
        <w:t>b shows the correctly predicted label on the right by the model.</w:t>
      </w:r>
      <w:r w:rsidR="00FD33DD" w:rsidRPr="00EA0063">
        <w:rPr>
          <w:rFonts w:cs="Times New Roman"/>
          <w:szCs w:val="24"/>
        </w:rPr>
        <w:t xml:space="preserve"> </w:t>
      </w:r>
      <w:r w:rsidR="00FD33DD">
        <w:rPr>
          <w:rFonts w:cs="Times New Roman"/>
          <w:szCs w:val="24"/>
        </w:rPr>
        <w:t>The dyno card to be classified is from a failure mode indicating</w:t>
      </w:r>
      <w:r w:rsidR="00FD33DD" w:rsidRPr="002F0CBA">
        <w:rPr>
          <w:rFonts w:cs="Times New Roman"/>
          <w:szCs w:val="24"/>
        </w:rPr>
        <w:t xml:space="preserve"> </w:t>
      </w:r>
      <w:r w:rsidR="00FD33DD">
        <w:rPr>
          <w:rFonts w:cs="Times New Roman"/>
          <w:szCs w:val="24"/>
        </w:rPr>
        <w:t xml:space="preserve">a </w:t>
      </w:r>
      <w:r w:rsidR="00836C2B">
        <w:rPr>
          <w:rFonts w:cs="Times New Roman"/>
          <w:szCs w:val="24"/>
        </w:rPr>
        <w:t xml:space="preserve">severe case of gas interference </w:t>
      </w:r>
      <w:r w:rsidR="00FD33DD">
        <w:rPr>
          <w:rFonts w:cs="Times New Roman"/>
          <w:szCs w:val="24"/>
        </w:rPr>
        <w:t xml:space="preserve">inside the rod pump assembly. The CNN model correctly predicts this card as belonging to a case of </w:t>
      </w:r>
      <w:r w:rsidR="00836C2B">
        <w:rPr>
          <w:rFonts w:cs="Times New Roman"/>
          <w:szCs w:val="24"/>
        </w:rPr>
        <w:t>severe gas</w:t>
      </w:r>
      <w:r w:rsidR="00FD33DD">
        <w:rPr>
          <w:rFonts w:cs="Times New Roman"/>
          <w:szCs w:val="24"/>
        </w:rPr>
        <w:t xml:space="preserve"> interference. </w:t>
      </w:r>
    </w:p>
    <w:p w14:paraId="1D96D708" w14:textId="77777777" w:rsidR="00D96872" w:rsidRDefault="009E2B8C" w:rsidP="00D96872">
      <w:pPr>
        <w:keepNext/>
        <w:tabs>
          <w:tab w:val="left" w:pos="1754"/>
        </w:tabs>
        <w:spacing w:after="0"/>
        <w:ind w:firstLine="288"/>
      </w:pPr>
      <w:r>
        <w:rPr>
          <w:noProof/>
        </w:rPr>
        <w:drawing>
          <wp:inline distT="0" distB="0" distL="0" distR="0" wp14:anchorId="44451D0A" wp14:editId="66F7907E">
            <wp:extent cx="2798618" cy="2231120"/>
            <wp:effectExtent l="0" t="0" r="1905"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804873" cy="2236107"/>
                    </a:xfrm>
                    <a:prstGeom prst="rect">
                      <a:avLst/>
                    </a:prstGeom>
                  </pic:spPr>
                </pic:pic>
              </a:graphicData>
            </a:graphic>
          </wp:inline>
        </w:drawing>
      </w:r>
      <w:r w:rsidR="00B263FE">
        <w:rPr>
          <w:noProof/>
        </w:rPr>
        <w:drawing>
          <wp:inline distT="0" distB="0" distL="0" distR="0" wp14:anchorId="567546C8" wp14:editId="6999C26D">
            <wp:extent cx="2786900" cy="2215229"/>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798132" cy="2224157"/>
                    </a:xfrm>
                    <a:prstGeom prst="rect">
                      <a:avLst/>
                    </a:prstGeom>
                  </pic:spPr>
                </pic:pic>
              </a:graphicData>
            </a:graphic>
          </wp:inline>
        </w:drawing>
      </w:r>
    </w:p>
    <w:p w14:paraId="63C8FF75" w14:textId="18EADF17" w:rsidR="0014389F" w:rsidRPr="00FB0FEC" w:rsidRDefault="00B263FE" w:rsidP="00B263FE">
      <w:pPr>
        <w:pStyle w:val="ListParagraph"/>
        <w:numPr>
          <w:ilvl w:val="0"/>
          <w:numId w:val="22"/>
        </w:numPr>
        <w:tabs>
          <w:tab w:val="left" w:pos="2302"/>
        </w:tabs>
        <w:spacing w:after="0"/>
        <w:rPr>
          <w:rFonts w:ascii="Arial" w:hAnsi="Arial" w:cs="Arial"/>
          <w:b/>
          <w:bCs/>
          <w:sz w:val="16"/>
          <w:szCs w:val="16"/>
        </w:rPr>
      </w:pPr>
      <w:r>
        <w:rPr>
          <w:rFonts w:cs="Times New Roman"/>
          <w:b/>
          <w:bCs/>
          <w:szCs w:val="24"/>
        </w:rPr>
        <w:t xml:space="preserve">                                                                </w:t>
      </w:r>
      <w:r w:rsidR="00FB0FEC">
        <w:rPr>
          <w:rFonts w:cs="Times New Roman"/>
          <w:b/>
          <w:bCs/>
          <w:szCs w:val="24"/>
        </w:rPr>
        <w:t xml:space="preserve">    </w:t>
      </w:r>
      <w:r w:rsidRPr="00FB0FEC">
        <w:rPr>
          <w:rFonts w:ascii="Arial" w:hAnsi="Arial" w:cs="Arial"/>
          <w:b/>
          <w:bCs/>
          <w:sz w:val="16"/>
          <w:szCs w:val="16"/>
        </w:rPr>
        <w:t>(b)</w:t>
      </w:r>
    </w:p>
    <w:p w14:paraId="70CCE602" w14:textId="410D75DC" w:rsidR="00E91847" w:rsidRDefault="00D96872" w:rsidP="00E91847">
      <w:pPr>
        <w:tabs>
          <w:tab w:val="left" w:pos="1754"/>
        </w:tabs>
        <w:jc w:val="center"/>
        <w:rPr>
          <w:rFonts w:ascii="Arial" w:hAnsi="Arial" w:cs="Arial"/>
          <w:b/>
          <w:bCs/>
          <w:sz w:val="16"/>
          <w:szCs w:val="16"/>
        </w:rPr>
      </w:pPr>
      <w:bookmarkStart w:id="107" w:name="_Toc58667187"/>
      <w:r w:rsidRPr="00E91847">
        <w:rPr>
          <w:rFonts w:ascii="Arial" w:hAnsi="Arial" w:cs="Arial"/>
          <w:b/>
          <w:bCs/>
          <w:sz w:val="16"/>
          <w:szCs w:val="16"/>
        </w:rPr>
        <w:t xml:space="preserve">Fig. 3. </w:t>
      </w:r>
      <w:r w:rsidRPr="00E91847">
        <w:rPr>
          <w:rFonts w:ascii="Arial" w:hAnsi="Arial" w:cs="Arial"/>
          <w:b/>
          <w:bCs/>
          <w:sz w:val="16"/>
          <w:szCs w:val="16"/>
        </w:rPr>
        <w:fldChar w:fldCharType="begin"/>
      </w:r>
      <w:r w:rsidRPr="00E91847">
        <w:rPr>
          <w:rFonts w:ascii="Arial" w:hAnsi="Arial" w:cs="Arial"/>
          <w:b/>
          <w:bCs/>
          <w:sz w:val="16"/>
          <w:szCs w:val="16"/>
        </w:rPr>
        <w:instrText xml:space="preserve"> SEQ Fig._3. \* ARABIC </w:instrText>
      </w:r>
      <w:r w:rsidRPr="00E91847">
        <w:rPr>
          <w:rFonts w:ascii="Arial" w:hAnsi="Arial" w:cs="Arial"/>
          <w:b/>
          <w:bCs/>
          <w:sz w:val="16"/>
          <w:szCs w:val="16"/>
        </w:rPr>
        <w:fldChar w:fldCharType="separate"/>
      </w:r>
      <w:r w:rsidR="00D006A5">
        <w:rPr>
          <w:rFonts w:ascii="Arial" w:hAnsi="Arial" w:cs="Arial"/>
          <w:b/>
          <w:bCs/>
          <w:noProof/>
          <w:sz w:val="16"/>
          <w:szCs w:val="16"/>
        </w:rPr>
        <w:t>25</w:t>
      </w:r>
      <w:r w:rsidRPr="00E91847">
        <w:rPr>
          <w:rFonts w:ascii="Arial" w:hAnsi="Arial" w:cs="Arial"/>
          <w:b/>
          <w:bCs/>
          <w:sz w:val="16"/>
          <w:szCs w:val="16"/>
        </w:rPr>
        <w:fldChar w:fldCharType="end"/>
      </w:r>
      <w:r w:rsidR="00E91847" w:rsidRPr="00E91847">
        <w:rPr>
          <w:rFonts w:ascii="Arial" w:hAnsi="Arial" w:cs="Arial"/>
          <w:b/>
          <w:bCs/>
          <w:sz w:val="16"/>
          <w:szCs w:val="16"/>
        </w:rPr>
        <w:t xml:space="preserve">— </w:t>
      </w:r>
      <w:r w:rsidR="00E91847" w:rsidRPr="00887930">
        <w:rPr>
          <w:rFonts w:ascii="Arial" w:hAnsi="Arial" w:cs="Arial"/>
          <w:b/>
          <w:bCs/>
          <w:sz w:val="16"/>
          <w:szCs w:val="16"/>
        </w:rPr>
        <w:t xml:space="preserve">An example of model’s </w:t>
      </w:r>
      <w:r w:rsidR="00E91847">
        <w:rPr>
          <w:rFonts w:ascii="Arial" w:hAnsi="Arial" w:cs="Arial"/>
          <w:b/>
          <w:bCs/>
          <w:sz w:val="16"/>
          <w:szCs w:val="16"/>
        </w:rPr>
        <w:t xml:space="preserve">accurate </w:t>
      </w:r>
      <w:r w:rsidR="00E91847" w:rsidRPr="00887930">
        <w:rPr>
          <w:rFonts w:ascii="Arial" w:hAnsi="Arial" w:cs="Arial"/>
          <w:b/>
          <w:bCs/>
          <w:sz w:val="16"/>
          <w:szCs w:val="16"/>
        </w:rPr>
        <w:t>classification (a) True label related to</w:t>
      </w:r>
      <w:r w:rsidR="00E91847">
        <w:rPr>
          <w:rFonts w:ascii="Arial" w:hAnsi="Arial" w:cs="Arial"/>
          <w:b/>
          <w:bCs/>
          <w:sz w:val="16"/>
          <w:szCs w:val="16"/>
        </w:rPr>
        <w:t xml:space="preserve"> severe case of gas interference</w:t>
      </w:r>
      <w:r w:rsidR="00E91847" w:rsidRPr="00887930">
        <w:rPr>
          <w:rFonts w:ascii="Arial" w:hAnsi="Arial" w:cs="Arial"/>
          <w:b/>
          <w:bCs/>
          <w:sz w:val="16"/>
          <w:szCs w:val="16"/>
        </w:rPr>
        <w:t xml:space="preserve"> (b) Model predicted label related to the </w:t>
      </w:r>
      <w:r w:rsidR="00E91847">
        <w:rPr>
          <w:rFonts w:ascii="Arial" w:hAnsi="Arial" w:cs="Arial"/>
          <w:b/>
          <w:bCs/>
          <w:sz w:val="16"/>
          <w:szCs w:val="16"/>
        </w:rPr>
        <w:t xml:space="preserve">severe gas of gas interference </w:t>
      </w:r>
      <w:r w:rsidR="00E91847" w:rsidRPr="0069167D">
        <w:rPr>
          <w:rFonts w:ascii="Arial" w:hAnsi="Arial" w:cs="Arial"/>
          <w:b/>
          <w:bCs/>
          <w:sz w:val="16"/>
          <w:szCs w:val="16"/>
        </w:rPr>
        <w:t>(Tan et al. 2015).</w:t>
      </w:r>
      <w:bookmarkEnd w:id="107"/>
    </w:p>
    <w:p w14:paraId="2EB78106" w14:textId="7FA0CBA4" w:rsidR="00D96872" w:rsidRPr="00B263FE" w:rsidRDefault="00D96872" w:rsidP="00D96872">
      <w:pPr>
        <w:pStyle w:val="Caption"/>
        <w:ind w:left="2664"/>
        <w:jc w:val="both"/>
        <w:rPr>
          <w:rFonts w:cs="Times New Roman"/>
          <w:b w:val="0"/>
          <w:bCs/>
          <w:szCs w:val="24"/>
        </w:rPr>
      </w:pPr>
    </w:p>
    <w:p w14:paraId="27DC3531" w14:textId="6AD8F38A" w:rsidR="006665BC" w:rsidRDefault="006665BC" w:rsidP="00FD33DD">
      <w:pPr>
        <w:tabs>
          <w:tab w:val="left" w:pos="1754"/>
        </w:tabs>
        <w:spacing w:after="0"/>
        <w:ind w:firstLine="288"/>
        <w:rPr>
          <w:rFonts w:cs="Times New Roman"/>
          <w:szCs w:val="24"/>
        </w:rPr>
      </w:pPr>
      <w:r>
        <w:rPr>
          <w:rFonts w:cs="Times New Roman"/>
          <w:szCs w:val="24"/>
        </w:rPr>
        <w:lastRenderedPageBreak/>
        <w:t>Thus, we can conclude that using transfer learning, a CNN model like VGG16 can be customized as per the application required. Here the application was to identify and classify the rod pump failure cases. The model currently uses synthetic data for pump cards generated from the literature and the results shown can serve as a proof of concept. One can now extend this concept and apply it to real world oil</w:t>
      </w:r>
      <w:r w:rsidR="005E03A1">
        <w:rPr>
          <w:rFonts w:cs="Times New Roman"/>
          <w:szCs w:val="24"/>
        </w:rPr>
        <w:t xml:space="preserve"> </w:t>
      </w:r>
      <w:r>
        <w:rPr>
          <w:rFonts w:cs="Times New Roman"/>
          <w:szCs w:val="24"/>
        </w:rPr>
        <w:t xml:space="preserve">field pump data. By training this model on several thousand downhole pump cards, it can be put to test for classifying online real time pump cards. This can potentially serve as a continuous surveillance system with pre-set alarms conditioned for abnormal failure modes. With the power of Internet of Things (IoT), machine learning algorithms and big data available from downhole sensors, a suitable time series anomaly detection model could be used in conjunction with the CNN model. </w:t>
      </w:r>
    </w:p>
    <w:p w14:paraId="45F1509F" w14:textId="64E7F26D" w:rsidR="006665BC" w:rsidRDefault="006665BC" w:rsidP="00C12B58">
      <w:pPr>
        <w:tabs>
          <w:tab w:val="left" w:pos="1754"/>
        </w:tabs>
        <w:spacing w:after="0"/>
        <w:ind w:firstLine="288"/>
        <w:rPr>
          <w:rFonts w:cs="Times New Roman"/>
          <w:szCs w:val="24"/>
        </w:rPr>
      </w:pPr>
      <w:r>
        <w:rPr>
          <w:rFonts w:cs="Times New Roman"/>
          <w:szCs w:val="24"/>
        </w:rPr>
        <w:t xml:space="preserve">A future work to extend this study would be to predict anomalies in real-time. This will prevent sucker rod pump failures in most cases, increase their efficiency and thus save the operator millions of dollars in potential downtime spent for root cause analysis, equipment repair and costly workovers at the well site. </w:t>
      </w:r>
    </w:p>
    <w:p w14:paraId="314C1D69" w14:textId="50110881" w:rsidR="00FD5147" w:rsidRDefault="00FD5147" w:rsidP="00C12B58">
      <w:pPr>
        <w:tabs>
          <w:tab w:val="left" w:pos="1754"/>
        </w:tabs>
        <w:spacing w:after="0"/>
        <w:ind w:firstLine="288"/>
        <w:rPr>
          <w:rFonts w:cs="Times New Roman"/>
          <w:szCs w:val="24"/>
        </w:rPr>
      </w:pPr>
    </w:p>
    <w:p w14:paraId="38802204" w14:textId="26A5D589" w:rsidR="00FD5147" w:rsidRDefault="00FD5147" w:rsidP="00C12B58">
      <w:pPr>
        <w:tabs>
          <w:tab w:val="left" w:pos="1754"/>
        </w:tabs>
        <w:spacing w:after="0"/>
        <w:ind w:firstLine="288"/>
        <w:rPr>
          <w:rFonts w:cs="Times New Roman"/>
          <w:szCs w:val="24"/>
        </w:rPr>
      </w:pPr>
    </w:p>
    <w:p w14:paraId="42FDB9B1" w14:textId="1AC99BBC" w:rsidR="00FD5147" w:rsidRDefault="00FD5147" w:rsidP="00C12B58">
      <w:pPr>
        <w:tabs>
          <w:tab w:val="left" w:pos="1754"/>
        </w:tabs>
        <w:spacing w:after="0"/>
        <w:ind w:firstLine="288"/>
        <w:rPr>
          <w:rFonts w:cs="Times New Roman"/>
          <w:szCs w:val="24"/>
        </w:rPr>
      </w:pPr>
    </w:p>
    <w:p w14:paraId="43684C5F" w14:textId="1346A085" w:rsidR="00FD5147" w:rsidRDefault="00FD5147" w:rsidP="00C12B58">
      <w:pPr>
        <w:tabs>
          <w:tab w:val="left" w:pos="1754"/>
        </w:tabs>
        <w:spacing w:after="0"/>
        <w:ind w:firstLine="288"/>
        <w:rPr>
          <w:rFonts w:cs="Times New Roman"/>
          <w:szCs w:val="24"/>
        </w:rPr>
      </w:pPr>
    </w:p>
    <w:p w14:paraId="1788D726" w14:textId="77B2958F" w:rsidR="00FD5147" w:rsidRDefault="00FD5147" w:rsidP="00C12B58">
      <w:pPr>
        <w:tabs>
          <w:tab w:val="left" w:pos="1754"/>
        </w:tabs>
        <w:spacing w:after="0"/>
        <w:ind w:firstLine="288"/>
        <w:rPr>
          <w:rFonts w:cs="Times New Roman"/>
          <w:szCs w:val="24"/>
        </w:rPr>
      </w:pPr>
    </w:p>
    <w:p w14:paraId="1920771A" w14:textId="0D85E682" w:rsidR="00FD5147" w:rsidRDefault="00FD5147" w:rsidP="00C12B58">
      <w:pPr>
        <w:tabs>
          <w:tab w:val="left" w:pos="1754"/>
        </w:tabs>
        <w:spacing w:after="0"/>
        <w:ind w:firstLine="288"/>
        <w:rPr>
          <w:rFonts w:cs="Times New Roman"/>
          <w:szCs w:val="24"/>
        </w:rPr>
      </w:pPr>
    </w:p>
    <w:p w14:paraId="64E8B655" w14:textId="4EA7C20E" w:rsidR="00FD5147" w:rsidRDefault="00FD5147" w:rsidP="00C12B58">
      <w:pPr>
        <w:tabs>
          <w:tab w:val="left" w:pos="1754"/>
        </w:tabs>
        <w:spacing w:after="0"/>
        <w:ind w:firstLine="288"/>
        <w:rPr>
          <w:rFonts w:cs="Times New Roman"/>
          <w:szCs w:val="24"/>
        </w:rPr>
      </w:pPr>
    </w:p>
    <w:p w14:paraId="14CC7180" w14:textId="022AE9E2" w:rsidR="00FD5147" w:rsidRDefault="00FD5147" w:rsidP="00C12B58">
      <w:pPr>
        <w:tabs>
          <w:tab w:val="left" w:pos="1754"/>
        </w:tabs>
        <w:spacing w:after="0"/>
        <w:ind w:firstLine="288"/>
        <w:rPr>
          <w:rFonts w:cs="Times New Roman"/>
          <w:szCs w:val="24"/>
        </w:rPr>
      </w:pPr>
    </w:p>
    <w:p w14:paraId="435B4749" w14:textId="1FCAA09A" w:rsidR="00FD5147" w:rsidRDefault="00FD5147" w:rsidP="00C12B58">
      <w:pPr>
        <w:tabs>
          <w:tab w:val="left" w:pos="1754"/>
        </w:tabs>
        <w:spacing w:after="0"/>
        <w:ind w:firstLine="288"/>
        <w:rPr>
          <w:rFonts w:cs="Times New Roman"/>
          <w:szCs w:val="24"/>
        </w:rPr>
      </w:pPr>
    </w:p>
    <w:p w14:paraId="2454C1A0" w14:textId="48454777" w:rsidR="0090180D" w:rsidRDefault="007B0FB4" w:rsidP="0068283F">
      <w:pPr>
        <w:pStyle w:val="Heading1"/>
      </w:pPr>
      <w:bookmarkStart w:id="108" w:name="_Toc58667113"/>
      <w:r w:rsidRPr="007B0FB4">
        <w:lastRenderedPageBreak/>
        <w:t>References</w:t>
      </w:r>
      <w:bookmarkEnd w:id="108"/>
    </w:p>
    <w:p w14:paraId="57E2412D" w14:textId="77777777" w:rsidR="0074611C" w:rsidRDefault="0074611C" w:rsidP="0074611C">
      <w:pPr>
        <w:pStyle w:val="References"/>
        <w:spacing w:line="480" w:lineRule="auto"/>
      </w:pPr>
      <w:r>
        <w:t>Abdalla, R., El Ela, M. A., &amp; El-Banbi, A. (2020). Identification of Downhole Conditions in Sucker Rod Pumped Wells Using Deep Neural Networks and Genetic Algorithms. SPE Production and Operations, 35(2), 435–447. https://doi.org/10.2118/200494-PA</w:t>
      </w:r>
    </w:p>
    <w:p w14:paraId="1DEB4BD1" w14:textId="77777777" w:rsidR="0074611C" w:rsidRDefault="0074611C" w:rsidP="0074611C">
      <w:pPr>
        <w:pStyle w:val="References"/>
        <w:spacing w:line="480" w:lineRule="auto"/>
      </w:pPr>
      <w:r>
        <w:t>Adams, R. P., &amp; MacKay, D. J. C. (2007). Bayesian Online Changepoint Detection. http://arxiv.org/abs/0710.3742</w:t>
      </w:r>
    </w:p>
    <w:p w14:paraId="66C85D0D" w14:textId="77777777" w:rsidR="0074611C" w:rsidRDefault="0074611C" w:rsidP="0074611C">
      <w:pPr>
        <w:pStyle w:val="References"/>
        <w:spacing w:line="480" w:lineRule="auto"/>
      </w:pPr>
      <w:r>
        <w:t>Ajani, A., &amp; Kelkar, M. (2012). Interference study in shale plays. Society of Petroleum Engineers - SPE Hydraulic Fracturing Technology Conference 2012, February, 36–50. https://doi.org/10.2118/151045-ms</w:t>
      </w:r>
    </w:p>
    <w:p w14:paraId="2FA6AA8B" w14:textId="77777777" w:rsidR="0074611C" w:rsidRDefault="0074611C" w:rsidP="0074611C">
      <w:pPr>
        <w:pStyle w:val="References"/>
        <w:spacing w:line="480" w:lineRule="auto"/>
      </w:pPr>
      <w:r>
        <w:t>Ajisafe, F., Solovyeva, I., Morales, A., Ejofodomi, E., &amp; Porcu, M. M. (2017). Impact of well spacing and interference on production performance in unconventional reservoirs, Permian Basin. SPE/AAPG/SEG Unconventional Resources Technology Conference 2017. https://doi.org/10.15530/urtec-2017-2690466</w:t>
      </w:r>
    </w:p>
    <w:p w14:paraId="27E962C6" w14:textId="77777777" w:rsidR="0074611C" w:rsidRDefault="0074611C" w:rsidP="0074611C">
      <w:pPr>
        <w:pStyle w:val="References"/>
        <w:spacing w:line="480" w:lineRule="auto"/>
      </w:pPr>
      <w:r>
        <w:t>Akinsete, O., &amp; Oshingbesan, A. (2019). Leak detection in natural gas pipelines using intelligent models. Society of Petroleum Engineers - SPE Nigeria Annual International Conference and Exhibition 2019, NAIC 2019, August, 5–7. https://doi.org/10.2118/198738-MS</w:t>
      </w:r>
    </w:p>
    <w:p w14:paraId="3F7F1C53" w14:textId="77777777" w:rsidR="0074611C" w:rsidRDefault="0074611C" w:rsidP="0074611C">
      <w:pPr>
        <w:pStyle w:val="References"/>
        <w:spacing w:line="480" w:lineRule="auto"/>
      </w:pPr>
      <w:r>
        <w:t>Apergy Artificial Lift Academy, University of Oklahoma – Artificial Lift (2019). October.</w:t>
      </w:r>
    </w:p>
    <w:p w14:paraId="0A6E6031" w14:textId="77777777" w:rsidR="0074611C" w:rsidRDefault="0074611C" w:rsidP="0074611C">
      <w:pPr>
        <w:pStyle w:val="References"/>
        <w:spacing w:line="480" w:lineRule="auto"/>
      </w:pPr>
      <w:r>
        <w:t xml:space="preserve">Austin, P. C. (2011). An introduction to propensity score methods for reducing the effects of confounding in observational studies. Multivariate Behavioral Research, 46(3), 399–424. </w:t>
      </w:r>
      <w:hyperlink r:id="rId105" w:history="1">
        <w:r>
          <w:rPr>
            <w:rStyle w:val="Hyperlink"/>
            <w:rFonts w:eastAsiaTheme="majorEastAsia"/>
            <w:color w:val="auto"/>
          </w:rPr>
          <w:t>https://doi.org/10.1080/00273171.2011.568786</w:t>
        </w:r>
      </w:hyperlink>
    </w:p>
    <w:p w14:paraId="476CE894" w14:textId="77777777" w:rsidR="0074611C" w:rsidRDefault="0074611C" w:rsidP="0074611C">
      <w:pPr>
        <w:pStyle w:val="References"/>
        <w:spacing w:line="480" w:lineRule="auto"/>
      </w:pPr>
      <w:r>
        <w:t xml:space="preserve">Bangert, P. (2019). Diagnosing and Predicting Problems with Rod Pumps using Machine Learning. SPE Middle East Oil and Gas Show and Conference, MEOS, Proceedings, 2019-March(c), 1–13. </w:t>
      </w:r>
      <w:hyperlink r:id="rId106" w:history="1">
        <w:r>
          <w:rPr>
            <w:rStyle w:val="Hyperlink"/>
            <w:rFonts w:eastAsiaTheme="majorEastAsia"/>
            <w:color w:val="auto"/>
          </w:rPr>
          <w:t>https://doi.org/10.2118/194993-ms</w:t>
        </w:r>
      </w:hyperlink>
    </w:p>
    <w:p w14:paraId="3823591F" w14:textId="77777777" w:rsidR="0074611C" w:rsidRDefault="0074611C" w:rsidP="0074611C">
      <w:pPr>
        <w:pStyle w:val="References"/>
        <w:spacing w:line="480" w:lineRule="auto"/>
      </w:pPr>
      <w:r>
        <w:t>Bello, O., Bale, D. S., Yang, L., Yang, D., Kb, A., Lajith, M., &amp; Lazarus, S. (2018). Integrating downhole temperature sensing datasets and visual analytics for improved gas lift well surveillance. Proceedings - SPE Annual Technical Conference and Exhibition, 2018-Septe. https://doi.org/10.2118/191626-ms</w:t>
      </w:r>
    </w:p>
    <w:p w14:paraId="3F1ECE8E" w14:textId="77777777" w:rsidR="0074611C" w:rsidRDefault="0074611C" w:rsidP="0074611C">
      <w:pPr>
        <w:pStyle w:val="References"/>
        <w:spacing w:line="480" w:lineRule="auto"/>
      </w:pPr>
      <w:r>
        <w:t>Bezerra, M. A. D., Schnitman, L., Barreto Filho, M. D. A., &amp; Felippe De Souza, J. A. M. (2009). Pattern recognition for downhole dynamometer card in oil rod pump system using artificial neural networks. ICEIS 2009 - 11th International Conference on Enterprise Information Systems, Proceedings, AIDSS, 351–355. https://doi.org/10.5220/0002000403510355</w:t>
      </w:r>
    </w:p>
    <w:p w14:paraId="1BE704B1" w14:textId="77777777" w:rsidR="0074611C" w:rsidRDefault="0074611C" w:rsidP="0074611C">
      <w:pPr>
        <w:pStyle w:val="References"/>
        <w:spacing w:line="480" w:lineRule="auto"/>
      </w:pPr>
      <w:r>
        <w:t>Boguslawski, B., Boujonnier, M., Bissuel-Beauvais, L., &amp; Saghir, F. (2019). Edge analytics at the wellhead: Designing robust machine learning models for artificial lift failure detection. Society of Petroleum Engineers - Abu Dhabi International Petroleum Exhibition and Conference 2018, ADIPEC 2018. https://doi.org/10.2118/192886-ms</w:t>
      </w:r>
    </w:p>
    <w:p w14:paraId="08ABAB62" w14:textId="77777777" w:rsidR="0074611C" w:rsidRDefault="0074611C" w:rsidP="0074611C">
      <w:pPr>
        <w:pStyle w:val="References"/>
        <w:spacing w:line="480" w:lineRule="auto"/>
      </w:pPr>
      <w:r>
        <w:t xml:space="preserve">Boguslawski, B., Boujonnier, M., Bissuel-Beauvais, L., Saghir, F., &amp; Sharma, R. D. (2018). IIoT edge analytics: Deploying machine learning at the wellhead to identify rod pump failure. Society of Petroleum Engineers - SPE Middle East Artificial Lift Conference and Exhibition 2018, MEAL 2018. </w:t>
      </w:r>
      <w:hyperlink r:id="rId107" w:history="1">
        <w:r>
          <w:rPr>
            <w:rStyle w:val="Hyperlink"/>
            <w:rFonts w:eastAsiaTheme="majorEastAsia"/>
            <w:color w:val="auto"/>
          </w:rPr>
          <w:t>https://doi.org/10.2118/192513-ms</w:t>
        </w:r>
      </w:hyperlink>
    </w:p>
    <w:p w14:paraId="3CDA811B" w14:textId="77777777" w:rsidR="0074611C" w:rsidRDefault="0074611C" w:rsidP="0074611C">
      <w:pPr>
        <w:pStyle w:val="References"/>
        <w:spacing w:line="480" w:lineRule="auto"/>
      </w:pPr>
      <w:r>
        <w:t>Breiman, L. Random Forests. Machine Learning 45, 5–32 (2001). https://doi.org/10.1023/A:1010933404324</w:t>
      </w:r>
    </w:p>
    <w:p w14:paraId="2597AC9F" w14:textId="77777777" w:rsidR="0074611C" w:rsidRDefault="0074611C" w:rsidP="0074611C">
      <w:pPr>
        <w:pStyle w:val="References"/>
        <w:spacing w:line="480" w:lineRule="auto"/>
      </w:pPr>
      <w:r>
        <w:lastRenderedPageBreak/>
        <w:t xml:space="preserve">Brown, K.E., 1980. The Technology of Artificial Lift Methods, vol. 2a. Petroleum Publishing Co., Tulsa, OK. </w:t>
      </w:r>
    </w:p>
    <w:p w14:paraId="46C61200" w14:textId="7B5FEC86" w:rsidR="0074611C" w:rsidRDefault="0074611C" w:rsidP="0074611C">
      <w:pPr>
        <w:pStyle w:val="References"/>
        <w:spacing w:line="480" w:lineRule="auto"/>
      </w:pPr>
      <w:r>
        <w:t xml:space="preserve">Brown, M. J., Hutchinson, L. A., Rainbow, M. J., Deluzio, K. J., &amp; De Asha, A. R. (2017). A comparison of self-selected walking speeds and walking speed variability when data are collected during repeated discrete trials and during continuous walking. Journal of Applied Biomechanics, 33(5), 384–387. </w:t>
      </w:r>
      <w:hyperlink r:id="rId108" w:history="1">
        <w:r w:rsidR="007663C3" w:rsidRPr="002E5F53">
          <w:t>https://doi.org/10.1123/jab.2016-0355</w:t>
        </w:r>
      </w:hyperlink>
    </w:p>
    <w:p w14:paraId="3BB3CC33" w14:textId="7A3B1EAE" w:rsidR="007663C3" w:rsidRDefault="007663C3" w:rsidP="0074611C">
      <w:pPr>
        <w:pStyle w:val="References"/>
        <w:spacing w:line="480" w:lineRule="auto"/>
      </w:pPr>
      <w:r w:rsidRPr="009A5EE4">
        <w:t>Brownlee</w:t>
      </w:r>
      <w:r w:rsidR="009A5EE4">
        <w:t xml:space="preserve"> (</w:t>
      </w:r>
      <w:r w:rsidRPr="009A5EE4">
        <w:t>2017</w:t>
      </w:r>
      <w:r w:rsidR="009A5EE4">
        <w:t>)</w:t>
      </w:r>
      <w:r w:rsidR="009A5EE4" w:rsidRPr="009A5EE4">
        <w:t xml:space="preserve"> </w:t>
      </w:r>
      <w:hyperlink r:id="rId109" w:history="1">
        <w:r w:rsidR="009A5EE4" w:rsidRPr="009A5EE4">
          <w:t>https://machinelearningmastery.com/rectified-linear-activation-function-for-deep-learning-neural-networks</w:t>
        </w:r>
      </w:hyperlink>
      <w:r w:rsidR="009A5EE4" w:rsidRPr="009A5EE4">
        <w:t xml:space="preserve"> (accessed September 21 2020)</w:t>
      </w:r>
      <w:r w:rsidR="008C6608">
        <w:t>.</w:t>
      </w:r>
    </w:p>
    <w:p w14:paraId="37AD535B" w14:textId="77777777" w:rsidR="0074611C" w:rsidRDefault="0074611C" w:rsidP="0074611C">
      <w:pPr>
        <w:pStyle w:val="References"/>
        <w:spacing w:line="480" w:lineRule="auto"/>
      </w:pPr>
      <w:r>
        <w:t xml:space="preserve">Cadei, L., Rossi, G., Montini, M., Fier, P., Milana, D., Corneo, A., Lancia, L., Loffreno, D., Purlalli, E., Carducci, F., Nizzolo, R., &amp; Sophia, G. (2020). Achieving digital twin through advanced analytics support: A novelty detection framework to highlight real-time anomalies in time series. International Petroleum Technology Conference 2020, IPTC 2020. </w:t>
      </w:r>
      <w:hyperlink r:id="rId110" w:history="1">
        <w:r>
          <w:rPr>
            <w:rStyle w:val="Hyperlink"/>
            <w:rFonts w:eastAsiaTheme="majorEastAsia"/>
            <w:color w:val="auto"/>
          </w:rPr>
          <w:t>https://doi.org/10.2523/iptc-19834-ms</w:t>
        </w:r>
      </w:hyperlink>
    </w:p>
    <w:p w14:paraId="0F639D3B" w14:textId="77777777" w:rsidR="0074611C" w:rsidRDefault="0074611C" w:rsidP="0074611C">
      <w:pPr>
        <w:pStyle w:val="References"/>
        <w:spacing w:line="480" w:lineRule="auto"/>
      </w:pPr>
      <w:r>
        <w:t xml:space="preserve">Cao, R., Li, R., Girardi, A., Chowdhury, N., &amp; Chen, C. (2017). Well interference and optimum   well spacing for Wolfcamp Development at Permian Basin. SPE/AAPG/SEG Unconventional Resources Technology Conference 2017, 1–11. https://doi.org/10.15530/urtec-2017-2691962                                                                                                </w:t>
      </w:r>
    </w:p>
    <w:p w14:paraId="7B93ABBC" w14:textId="77777777" w:rsidR="0074611C" w:rsidRDefault="0074611C" w:rsidP="0074611C">
      <w:pPr>
        <w:pStyle w:val="References"/>
        <w:spacing w:line="480" w:lineRule="auto"/>
        <w:ind w:left="0" w:firstLine="0"/>
      </w:pPr>
      <w:r>
        <w:t>Cox, D. &amp; Reid, N. (2000). The Theory of Design of Experiments.</w:t>
      </w:r>
    </w:p>
    <w:p w14:paraId="6B303A30" w14:textId="77777777" w:rsidR="0074611C" w:rsidRDefault="0074611C" w:rsidP="0074611C">
      <w:pPr>
        <w:pStyle w:val="References"/>
        <w:spacing w:line="480" w:lineRule="auto"/>
      </w:pPr>
      <w:r>
        <w:t>Cochran, W. G. (1972). The planning of observational studies of human populations (with Discussion). Journal of the Royal Statistical Society A, 234-266.</w:t>
      </w:r>
    </w:p>
    <w:p w14:paraId="34353D0C" w14:textId="77777777" w:rsidR="0074611C" w:rsidRDefault="0074611C" w:rsidP="0074611C">
      <w:pPr>
        <w:pStyle w:val="References"/>
        <w:spacing w:line="480" w:lineRule="auto"/>
      </w:pPr>
      <w:r>
        <w:t>Chu, W.-C., Scott, K. D., Flumerfelt, R., Chen, C., &amp; Zuber, M. D. (2020, February 1). A New Technique for Quantifying Pressure Interference in Fractured Horizontal Shale Wells. Society of Petroleum Engineers. doi:10.2118/191407-PA</w:t>
      </w:r>
    </w:p>
    <w:p w14:paraId="7973C7B4" w14:textId="77777777" w:rsidR="0074611C" w:rsidRDefault="0074611C" w:rsidP="0074611C">
      <w:pPr>
        <w:pStyle w:val="References"/>
        <w:spacing w:line="480" w:lineRule="auto"/>
      </w:pPr>
      <w:r>
        <w:t>Daneshy, A. (2018). Analysis of horizontal well fracture interactions, and completion steps for reducing the resulting production interference. Proceedings - SPE Annual Technical Conference and Exhibition, 2018-Septe. https://doi.org/10.2118/191671-ms</w:t>
      </w:r>
    </w:p>
    <w:p w14:paraId="69C13621" w14:textId="77777777" w:rsidR="0074611C" w:rsidRDefault="0074611C" w:rsidP="0074611C">
      <w:pPr>
        <w:pStyle w:val="References"/>
        <w:spacing w:line="480" w:lineRule="auto"/>
      </w:pPr>
      <w:r>
        <w:t xml:space="preserve">Daneshy, A., &amp; King, G. (2019). Horizontal Well Frac-Driven Interactions: Types, Consequences, and Damage Mitigation. Journal of Petroleum Technology, 71(06), 45–47. </w:t>
      </w:r>
      <w:hyperlink r:id="rId111" w:history="1">
        <w:r>
          <w:rPr>
            <w:rStyle w:val="Hyperlink"/>
            <w:rFonts w:eastAsiaTheme="majorEastAsia"/>
            <w:color w:val="auto"/>
          </w:rPr>
          <w:t>https://doi.org/10.2118/0619-0045-jpt</w:t>
        </w:r>
      </w:hyperlink>
    </w:p>
    <w:p w14:paraId="34468600" w14:textId="77777777" w:rsidR="0074611C" w:rsidRDefault="0074611C" w:rsidP="0074611C">
      <w:pPr>
        <w:pStyle w:val="References"/>
        <w:spacing w:line="480" w:lineRule="auto"/>
      </w:pPr>
      <w:r>
        <w:t xml:space="preserve">Dickinson, R. R., &amp; Jennings, J. W. (1990). Use of pattern-recognition techniques in analyzing downhole dynamometer cards. SPE Production Engineering, 5(2), 187–192. </w:t>
      </w:r>
      <w:hyperlink r:id="rId112" w:history="1">
        <w:r>
          <w:rPr>
            <w:rStyle w:val="Hyperlink"/>
            <w:rFonts w:eastAsiaTheme="majorEastAsia"/>
            <w:color w:val="auto"/>
          </w:rPr>
          <w:t>https://doi.org/10.2118/17313-pa</w:t>
        </w:r>
      </w:hyperlink>
    </w:p>
    <w:p w14:paraId="108F8B10" w14:textId="58708480" w:rsidR="0074611C" w:rsidRDefault="0074611C" w:rsidP="0074611C">
      <w:pPr>
        <w:pStyle w:val="References"/>
        <w:spacing w:line="480" w:lineRule="auto"/>
      </w:pPr>
      <w:r>
        <w:t>Economides, M., Hill, D., Economides, C., &amp; Zhu, D. (2012). Petroleum production systems Second edition. In Dairy Science &amp; Technology, CRC Taylor &amp; Francis Group.</w:t>
      </w:r>
    </w:p>
    <w:p w14:paraId="6F97FE49" w14:textId="321C9EFE" w:rsidR="00A11F5D" w:rsidRDefault="00A11F5D" w:rsidP="0074611C">
      <w:pPr>
        <w:pStyle w:val="References"/>
        <w:spacing w:line="480" w:lineRule="auto"/>
      </w:pPr>
      <w:r>
        <w:t xml:space="preserve">EIA (2020). </w:t>
      </w:r>
      <w:r w:rsidRPr="00A11F5D">
        <w:t>https://www.eia.gov/petroleum/drilling/</w:t>
      </w:r>
    </w:p>
    <w:p w14:paraId="6DD6AF37" w14:textId="77777777" w:rsidR="0074611C" w:rsidRDefault="0074611C" w:rsidP="0074611C">
      <w:pPr>
        <w:pStyle w:val="References"/>
        <w:spacing w:line="480" w:lineRule="auto"/>
      </w:pPr>
      <w:r>
        <w:t>Engle, C. H. and A. M. Buswell. “On The Determination of Transmissibility and Storage Coefficients from Pumping Test Data.” (1952).</w:t>
      </w:r>
    </w:p>
    <w:p w14:paraId="600CB8FB" w14:textId="77777777" w:rsidR="0074611C" w:rsidRDefault="0074611C" w:rsidP="0074611C">
      <w:pPr>
        <w:pStyle w:val="References"/>
        <w:spacing w:line="480" w:lineRule="auto"/>
      </w:pPr>
      <w:r>
        <w:lastRenderedPageBreak/>
        <w:t>Esquivel, R., &amp; Blasingame, T. A. (2017). Optimizing the development of the haynesville shale - Lessons-learned from well-to-well hydraulic fracture interference. SPE/AAPG/SEG Unconventional Resources Technology Conference 2017, 1, 1–22. https://doi.org/10.15530/urtec-2017-2670079</w:t>
      </w:r>
    </w:p>
    <w:p w14:paraId="63215384" w14:textId="53CA5A41" w:rsidR="0074611C" w:rsidRDefault="0074611C" w:rsidP="0074611C">
      <w:pPr>
        <w:pStyle w:val="References"/>
        <w:spacing w:line="480" w:lineRule="auto"/>
      </w:pPr>
      <w:r>
        <w:t>Fisher, R. (1958). Cigarettes, cancer, and statistics. In The Centennial Review of Arts &amp; Science (Vol. 2, pp. 151–166).</w:t>
      </w:r>
    </w:p>
    <w:p w14:paraId="14F548B5" w14:textId="5BF44B69" w:rsidR="007A42F5" w:rsidRDefault="007A42F5" w:rsidP="0074611C">
      <w:pPr>
        <w:pStyle w:val="References"/>
        <w:spacing w:line="480" w:lineRule="auto"/>
      </w:pPr>
      <w:r w:rsidRPr="001243BF">
        <w:t>Li</w:t>
      </w:r>
      <w:r w:rsidR="005964BB" w:rsidRPr="001243BF">
        <w:t xml:space="preserve">, F., </w:t>
      </w:r>
      <w:r w:rsidR="00B54CD0" w:rsidRPr="001243BF">
        <w:t xml:space="preserve">Krishna, R., Xu, D., </w:t>
      </w:r>
      <w:r w:rsidR="001243BF">
        <w:t>(</w:t>
      </w:r>
      <w:r w:rsidRPr="001243BF">
        <w:t>2017</w:t>
      </w:r>
      <w:r w:rsidR="001243BF">
        <w:t>)</w:t>
      </w:r>
      <w:r w:rsidR="001243BF" w:rsidRPr="001243BF">
        <w:t xml:space="preserve"> </w:t>
      </w:r>
      <w:r w:rsidR="00321507">
        <w:t xml:space="preserve"> </w:t>
      </w:r>
      <w:hyperlink r:id="rId113" w:history="1">
        <w:r w:rsidR="001243BF" w:rsidRPr="001243BF">
          <w:t>https://cs231n.github.io/convolutional-networks</w:t>
        </w:r>
      </w:hyperlink>
      <w:r w:rsidR="00321507">
        <w:t>.</w:t>
      </w:r>
    </w:p>
    <w:p w14:paraId="108DE318" w14:textId="77777777" w:rsidR="0074611C" w:rsidRDefault="0074611C" w:rsidP="0074611C">
      <w:pPr>
        <w:pStyle w:val="References"/>
        <w:spacing w:line="480" w:lineRule="auto"/>
        <w:rPr>
          <w:rFonts w:ascii="Helvetica" w:hAnsi="Helvetica"/>
          <w:color w:val="333333"/>
          <w:sz w:val="21"/>
          <w:szCs w:val="21"/>
          <w:shd w:val="clear" w:color="auto" w:fill="FFFFFF"/>
        </w:rPr>
      </w:pPr>
      <w:r>
        <w:t>Gao, Q.; Sun, S.; Liu, J. (2015): Fault Diagnosis of Suck Rod Pumping System via Extreme Learning Machines. Proceedings of the 5th IEEE International Conference on Cyber Technology in Automation, Control and Intelligent Systems, June 8-12 2015, Shenyang, China. 503–507</w:t>
      </w:r>
      <w:r>
        <w:rPr>
          <w:rFonts w:ascii="Helvetica" w:hAnsi="Helvetica"/>
          <w:color w:val="333333"/>
          <w:sz w:val="21"/>
          <w:szCs w:val="21"/>
          <w:shd w:val="clear" w:color="auto" w:fill="FFFFFF"/>
        </w:rPr>
        <w:t>.</w:t>
      </w:r>
    </w:p>
    <w:p w14:paraId="2E4DD807" w14:textId="77777777" w:rsidR="0074611C" w:rsidRDefault="0074611C" w:rsidP="0074611C">
      <w:pPr>
        <w:pStyle w:val="References"/>
        <w:spacing w:line="480" w:lineRule="auto"/>
      </w:pPr>
      <w:r>
        <w:t>Gaurav, A., Gibbon, E. J., &amp; Roberson, T. M. (2017, February 15). Asset Evaluation Utilizing Multi-Variate Statistics Integrating Data-Mining, Completion Optimization, and Geology Focused on Multi-Bench Shale Plays. Society of Petroleum Engineers. doi:10.2118/185018-MS</w:t>
      </w:r>
    </w:p>
    <w:p w14:paraId="7B6542E1" w14:textId="77777777" w:rsidR="0074611C" w:rsidRDefault="0074611C" w:rsidP="0074611C">
      <w:pPr>
        <w:pStyle w:val="References"/>
        <w:spacing w:line="480" w:lineRule="auto"/>
      </w:pPr>
      <w:r>
        <w:t>Gibbs, S.G. (1963): Predicting the Behavior of Sucker-Rod Pumping Systems. SPE 588. SPE Rocky Mountain Regional Meeting, Denver, May 27-28, 1963.</w:t>
      </w:r>
    </w:p>
    <w:p w14:paraId="76C3B6BC" w14:textId="77777777" w:rsidR="0074611C" w:rsidRDefault="0074611C" w:rsidP="0074611C">
      <w:pPr>
        <w:pStyle w:val="References"/>
        <w:spacing w:line="480" w:lineRule="auto"/>
      </w:pPr>
      <w:r>
        <w:t>Golan, M, and Whitson, C H. Well test performance. United States: N. p., 1991. Web.</w:t>
      </w:r>
    </w:p>
    <w:p w14:paraId="4D463405" w14:textId="77777777" w:rsidR="0074611C" w:rsidRDefault="0074611C" w:rsidP="0074611C">
      <w:pPr>
        <w:pStyle w:val="References"/>
        <w:spacing w:line="480" w:lineRule="auto"/>
      </w:pPr>
      <w:r>
        <w:t>Guo, B., Liu, X, Tan, X. (2017) Petroleum Production Engineering (Second Edition), Gulf Professional Publishing.</w:t>
      </w:r>
    </w:p>
    <w:p w14:paraId="1946890C" w14:textId="77777777" w:rsidR="0074611C" w:rsidRDefault="0074611C" w:rsidP="0074611C">
      <w:pPr>
        <w:pStyle w:val="References"/>
        <w:spacing w:line="480" w:lineRule="auto"/>
      </w:pPr>
      <w:r>
        <w:t>Guo, X., Wu, K., Killough, J., &amp; Tang, J. (2018). Understanding the mechanism of interwell fracturing interference based on reservoir-geomechanics-fracturing modeling in Eagle Ford Shale. SPE/AAPG/SEG Unconventional Resources Technology Conference 2018, URTC 2018, 2017. https://doi.org/10.15530/urtec-2018-2874464</w:t>
      </w:r>
    </w:p>
    <w:p w14:paraId="4204540C" w14:textId="77777777" w:rsidR="0074611C" w:rsidRDefault="0074611C" w:rsidP="0074611C">
      <w:pPr>
        <w:pStyle w:val="References"/>
        <w:spacing w:line="480" w:lineRule="auto"/>
      </w:pPr>
      <w:r>
        <w:t>Gupta, I., Rai, C., Devegowda, D., &amp; Sondergeld, C. (2020). A Data-Driven Approach to Detect and Quantify the Impact of Frac-Hits on Parent and Child Wells in Unconventional Formations. 71–85. https://doi.org/10.15530/urtec-2020-2190</w:t>
      </w:r>
    </w:p>
    <w:p w14:paraId="3B191D29" w14:textId="77777777" w:rsidR="0074611C" w:rsidRDefault="0074611C" w:rsidP="0074611C">
      <w:pPr>
        <w:pStyle w:val="References"/>
        <w:spacing w:line="480" w:lineRule="auto"/>
      </w:pPr>
      <w:r>
        <w:t xml:space="preserve">Gupta, I., Rai, C., Devegowda, D., &amp; Sondergeld, C. H. (2020). Fracture Hits in Unconventional Reservoirs: A Critical Review. SPE Journal, February 1–23. </w:t>
      </w:r>
      <w:hyperlink r:id="rId114" w:history="1">
        <w:r w:rsidRPr="002E5F53">
          <w:t>https://doi.org/10.2118/203839-pa</w:t>
        </w:r>
      </w:hyperlink>
    </w:p>
    <w:p w14:paraId="4D808EB4" w14:textId="77777777" w:rsidR="0074611C" w:rsidRDefault="0074611C" w:rsidP="0074611C">
      <w:pPr>
        <w:pStyle w:val="References"/>
        <w:spacing w:line="480" w:lineRule="auto"/>
      </w:pPr>
      <w:r>
        <w:t>Gupta, S., Nikolaou, M., Saputelli, L., &amp; Bravo, C. (2016, September 6). ESP Health Monitoring KPI: A Real-Time Predictive Analytics Application. Society of Petroleum Engineers. doi:10.2118/181009-MS</w:t>
      </w:r>
    </w:p>
    <w:p w14:paraId="57EF5CF1" w14:textId="77777777" w:rsidR="0074611C" w:rsidRDefault="0074611C" w:rsidP="0074611C">
      <w:pPr>
        <w:pStyle w:val="References"/>
        <w:spacing w:line="480" w:lineRule="auto"/>
      </w:pPr>
      <w:r>
        <w:t>Gurina, E., Klyuchnikov, N., Zaytsev, A., Romanenkova, E., Antipova, K., Simon, I., Makarov, V., &amp; Koroteev, D. (2019). Failures detection at directional drilling using real-time analogues search. 1–17. http://arxiv.org/abs/1906.02667</w:t>
      </w:r>
    </w:p>
    <w:p w14:paraId="14CD6351" w14:textId="77777777" w:rsidR="0074611C" w:rsidRDefault="0074611C" w:rsidP="0074611C">
      <w:pPr>
        <w:pStyle w:val="References"/>
        <w:spacing w:line="480" w:lineRule="auto"/>
      </w:pPr>
      <w:r>
        <w:t>He, K., Zhang, X., Ren, S., &amp; Sun, J. (2016). Deep residual learning for image recognition. Proceedings of the IEEE Computer Society Conference on Computer Vision and Pattern Recognition, 2016-December, 770–778. https://doi.org/10.1109/CVPR.2016.90</w:t>
      </w:r>
    </w:p>
    <w:p w14:paraId="2667E522" w14:textId="77777777" w:rsidR="0074611C" w:rsidRDefault="0074611C" w:rsidP="0074611C">
      <w:pPr>
        <w:pStyle w:val="References"/>
        <w:spacing w:line="480" w:lineRule="auto"/>
      </w:pPr>
      <w:r>
        <w:t>Hirano, K., Imbens, G. W., &amp; Ridder, G. (2003). Efficient estimation of average treatment effects using the estimated propensity score. Econometrica, 71(4), 1161–1189. https://doi.org/10.1111/1468-0262.00442.</w:t>
      </w:r>
    </w:p>
    <w:p w14:paraId="7ACE007F" w14:textId="77777777" w:rsidR="0074611C" w:rsidRDefault="0074611C" w:rsidP="0074611C">
      <w:pPr>
        <w:pStyle w:val="References"/>
        <w:spacing w:line="480" w:lineRule="auto"/>
      </w:pPr>
      <w:r>
        <w:lastRenderedPageBreak/>
        <w:t xml:space="preserve">Ho, D. E., Imai, K., King, G., &amp; Stuart, E. A. (2011). MatchIt: Nonparametric preprocessing for parametric causal inference. Journal of Statistical Software, 42(8), 1–28. </w:t>
      </w:r>
      <w:hyperlink r:id="rId115" w:history="1">
        <w:r w:rsidRPr="002E5F53">
          <w:t>https://doi.org/10.18637/jss.v042.i08</w:t>
        </w:r>
      </w:hyperlink>
    </w:p>
    <w:p w14:paraId="4BF5FC5A" w14:textId="77777777" w:rsidR="0074611C" w:rsidRDefault="0074611C" w:rsidP="0074611C">
      <w:pPr>
        <w:pStyle w:val="References"/>
        <w:spacing w:line="480" w:lineRule="auto"/>
      </w:pPr>
      <w:r>
        <w:t>Ho, Tin Kam (1995). </w:t>
      </w:r>
      <w:hyperlink r:id="rId116" w:history="1">
        <w:r>
          <w:rPr>
            <w:rStyle w:val="Hyperlink"/>
            <w:rFonts w:eastAsiaTheme="majorEastAsia"/>
            <w:color w:val="auto"/>
          </w:rPr>
          <w:t>Random Decision Forests</w:t>
        </w:r>
      </w:hyperlink>
      <w:r>
        <w:t> (PDF). Proceedings of the 3rd International Conference on Document Analysis and Recognition, Montreal, QC, 14–16 August 1995. pp. 278–282.</w:t>
      </w:r>
    </w:p>
    <w:p w14:paraId="36DED80C" w14:textId="77777777" w:rsidR="0074611C" w:rsidRDefault="0074611C" w:rsidP="0074611C">
      <w:pPr>
        <w:pStyle w:val="References"/>
        <w:spacing w:line="480" w:lineRule="auto"/>
      </w:pPr>
      <w:r>
        <w:t>Hotelling, H.,1933. Analysis of a Complex of Statistical Variables Into Principal Components, Journal of Educational Psychology, volume 24, pages 417-441 and 498-520.</w:t>
      </w:r>
    </w:p>
    <w:p w14:paraId="1E13058D" w14:textId="77777777" w:rsidR="0074611C" w:rsidRDefault="0074611C" w:rsidP="0074611C">
      <w:pPr>
        <w:pStyle w:val="References"/>
        <w:spacing w:line="480" w:lineRule="auto"/>
      </w:pPr>
      <w:r>
        <w:t>Huang, J., Morris, J. P., Fu, P., Settgast, R. R., Sherman, C. S., &amp; Ryerson, F. J. (2019, February 1). Hydraulic-Fracture-Height Growth Under the Combined Influence of Stress Barriers and Natural Fractures. Society of Petroleum Engineers. doi:10.2118/189861-PA</w:t>
      </w:r>
    </w:p>
    <w:p w14:paraId="5AC8A6BF" w14:textId="77777777" w:rsidR="0074611C" w:rsidRDefault="0074611C" w:rsidP="0074611C">
      <w:pPr>
        <w:pStyle w:val="References"/>
        <w:spacing w:line="480" w:lineRule="auto"/>
      </w:pPr>
      <w:r>
        <w:t>Imbens, G., &amp; Rubin, D. (2015). Causal Inference for Statistics, Social, and Biomedical Sciences: An Introduction. Cambridge: Cambridge University Press. doi:10.1017/CBO9781139025751</w:t>
      </w:r>
    </w:p>
    <w:p w14:paraId="5EB1D3E3" w14:textId="77777777" w:rsidR="0074611C" w:rsidRDefault="0074611C" w:rsidP="0074611C">
      <w:pPr>
        <w:pStyle w:val="References"/>
        <w:spacing w:line="480" w:lineRule="auto"/>
      </w:pPr>
      <w:r>
        <w:t xml:space="preserve">Jansen van Rensburg, N. (2019). AI4ESP - Autonomous well surveillance for ESP pumps using artificial intelligence. Society of Petroleum Engineers - SPE Oil and Gas India Conference and Exhibition 2019, OGIC 2019. </w:t>
      </w:r>
      <w:hyperlink r:id="rId117" w:history="1">
        <w:r w:rsidRPr="002E5F53">
          <w:t>https://doi.org/10.2118/194587-ms</w:t>
        </w:r>
      </w:hyperlink>
    </w:p>
    <w:p w14:paraId="671A97E2" w14:textId="77777777" w:rsidR="0074611C" w:rsidRDefault="0074611C" w:rsidP="0074611C">
      <w:pPr>
        <w:pStyle w:val="References"/>
        <w:spacing w:line="480" w:lineRule="auto"/>
      </w:pPr>
      <w:r>
        <w:t>Jolliffe.I.T., 2002. </w:t>
      </w:r>
      <w:hyperlink r:id="rId118" w:history="1">
        <w:r>
          <w:rPr>
            <w:rStyle w:val="Hyperlink"/>
            <w:rFonts w:eastAsiaTheme="majorEastAsia"/>
            <w:color w:val="auto"/>
          </w:rPr>
          <w:t>Principal Component Analysis</w:t>
        </w:r>
      </w:hyperlink>
      <w:r>
        <w:t>, second edition, New York: Springer-Verlag New York, Inc.</w:t>
      </w:r>
    </w:p>
    <w:p w14:paraId="0241B2F0" w14:textId="5AFD7E18" w:rsidR="0074611C" w:rsidRDefault="0074611C" w:rsidP="0074611C">
      <w:pPr>
        <w:pStyle w:val="References"/>
        <w:spacing w:line="480" w:lineRule="auto"/>
      </w:pPr>
      <w:r>
        <w:t>Keating, J.F.; Laine, R.E.; Jennings, J.W. (1991): Application of a Pattern-Matching Expert System to Sucker-Rod, Dynamometer-Card Pattern Recognition. SPE 21666.</w:t>
      </w:r>
    </w:p>
    <w:p w14:paraId="49DB36E9" w14:textId="0265B1DF" w:rsidR="0021527A" w:rsidRDefault="0021527A" w:rsidP="0074611C">
      <w:pPr>
        <w:pStyle w:val="References"/>
        <w:spacing w:line="480" w:lineRule="auto"/>
      </w:pPr>
      <w:r w:rsidRPr="004A101F">
        <w:t xml:space="preserve">Khandelwal </w:t>
      </w:r>
      <w:r w:rsidR="004A101F">
        <w:t>(</w:t>
      </w:r>
      <w:r w:rsidRPr="004A101F">
        <w:t>2020</w:t>
      </w:r>
      <w:r w:rsidR="004A101F">
        <w:t>)</w:t>
      </w:r>
      <w:r w:rsidR="004A101F" w:rsidRPr="004A101F">
        <w:t xml:space="preserve"> VGG16 Architecture https://medium.com/towards-artificial-intelligence/the-architecture-and-implementation-of-vgg-16-b050e5a5920b (accessed 15 September 2020)</w:t>
      </w:r>
      <w:r w:rsidR="004A101F">
        <w:t>.</w:t>
      </w:r>
    </w:p>
    <w:p w14:paraId="2D7A6200" w14:textId="77777777" w:rsidR="0074611C" w:rsidRDefault="0074611C" w:rsidP="0074611C">
      <w:pPr>
        <w:pStyle w:val="References"/>
        <w:spacing w:line="480" w:lineRule="auto"/>
      </w:pPr>
      <w:r>
        <w:t>King, G. E., Rainbolt, M. F., &amp; Swanson, C. (2017). Frac hit induced production losses: Evaluating root causes, damage location, possible prevention methods and success of Remedial treatments. Proceedings - SPE Annual Technical Conference and Exhibition. https://doi.org/10.2118/187192-ms</w:t>
      </w:r>
    </w:p>
    <w:p w14:paraId="4B0E7869" w14:textId="77777777" w:rsidR="0074611C" w:rsidRDefault="0074611C" w:rsidP="0074611C">
      <w:pPr>
        <w:pStyle w:val="References"/>
        <w:spacing w:line="480" w:lineRule="auto"/>
      </w:pPr>
      <w:r>
        <w:t>Kingma, D. P., &amp; Ba, J. L. (2015). Adam: A method for stochastic optimization. 3rd International Conference on Learning Representations, ICLR 2015 - Conference Track Proceedings, 1–15.</w:t>
      </w:r>
    </w:p>
    <w:p w14:paraId="052E3FE5" w14:textId="77777777" w:rsidR="0074611C" w:rsidRDefault="0074611C" w:rsidP="0074611C">
      <w:pPr>
        <w:pStyle w:val="References"/>
        <w:spacing w:line="480" w:lineRule="auto"/>
      </w:pPr>
      <w:r>
        <w:t>Krizhevsky, A. &amp; Sutskever, I. &amp; Hinton, G. (2012). ImageNet Classification with Deep Convolutional Neural Networks. Neural Information Processing Systems. 25. 10.1145/3065386.</w:t>
      </w:r>
    </w:p>
    <w:p w14:paraId="5A55EF4F" w14:textId="77777777" w:rsidR="0074611C" w:rsidRDefault="0074611C" w:rsidP="0074611C">
      <w:pPr>
        <w:pStyle w:val="References"/>
        <w:spacing w:line="480" w:lineRule="auto"/>
      </w:pPr>
      <w:r>
        <w:t>Kuesters, A., Mason, C., Gomes, P., Cockburn, C., &amp; Lodhi, H. (2020). Drillstring failure prevention - A data-driven approach to early washout detection. SPE/IADC Drilling Conference, Proceedings, 2020-March 1–12. https://doi.org/10.2118/199610-ms</w:t>
      </w:r>
    </w:p>
    <w:p w14:paraId="2DCA8F9A" w14:textId="77777777" w:rsidR="0074611C" w:rsidRDefault="0074611C" w:rsidP="0074611C">
      <w:pPr>
        <w:pStyle w:val="References"/>
        <w:spacing w:line="480" w:lineRule="auto"/>
      </w:pPr>
      <w:r>
        <w:t>Kumar, A., Shrivastava, K., Elliott, B., &amp; Sharma, M. (2020). Effect of parent well production on child well stimulation and productivity. Society of Petroleum Engineers - SPE Hydraulic Fracturing Technology Conference and Exhibition 2020, HFTC 2020, 2016. https://doi.org/10.2118/199700-ms</w:t>
      </w:r>
    </w:p>
    <w:p w14:paraId="4EF3E1FC" w14:textId="77777777" w:rsidR="0074611C" w:rsidRDefault="0074611C" w:rsidP="0074611C">
      <w:pPr>
        <w:pStyle w:val="References"/>
        <w:spacing w:line="480" w:lineRule="auto"/>
        <w:rPr>
          <w:rStyle w:val="Hyperlink"/>
          <w:rFonts w:eastAsiaTheme="majorEastAsia"/>
        </w:rPr>
      </w:pPr>
      <w:r>
        <w:lastRenderedPageBreak/>
        <w:t xml:space="preserve">Kurtoglu, B., &amp; Salman, A. (2015). How to utilize hydraulic fracture interference to improve unconventional development. Society of Petroleum Engineers - Abu Dhabi International Petroleum Exhibition and Conference, ADIPEC 2015. </w:t>
      </w:r>
      <w:hyperlink r:id="rId119" w:history="1">
        <w:r w:rsidRPr="002E5F53">
          <w:t>https://doi.org/10.2118/177953-ms</w:t>
        </w:r>
      </w:hyperlink>
    </w:p>
    <w:p w14:paraId="7D314E9E" w14:textId="77777777" w:rsidR="0074611C" w:rsidRDefault="0074611C" w:rsidP="0074611C">
      <w:pPr>
        <w:pStyle w:val="References"/>
        <w:spacing w:line="480" w:lineRule="auto"/>
        <w:rPr>
          <w:rFonts w:eastAsiaTheme="majorEastAsia"/>
        </w:rPr>
      </w:pPr>
      <w:r>
        <w:t>Lanza, S. T., Coffman, D. L., &amp; Xu, S. (2013). Causal Inference in Latent Class Analysis. Structural equation modeling: a multidisciplinary journal, 20(3), 361–383. https://doi.org/10.1080/10705511.2013.797816</w:t>
      </w:r>
    </w:p>
    <w:p w14:paraId="67A20DF0" w14:textId="77777777" w:rsidR="0074611C" w:rsidRDefault="0074611C" w:rsidP="0074611C">
      <w:pPr>
        <w:pStyle w:val="References"/>
        <w:spacing w:line="480" w:lineRule="auto"/>
      </w:pPr>
      <w:r>
        <w:t>Lanzante. A Cautionary Note on the Use of Error Bars. Journal of Climate (2005) vol. 18 pp. 3699-3703.</w:t>
      </w:r>
    </w:p>
    <w:p w14:paraId="4EFDAAD8" w14:textId="77777777" w:rsidR="0074611C" w:rsidRDefault="0074611C" w:rsidP="0074611C">
      <w:pPr>
        <w:pStyle w:val="References"/>
        <w:spacing w:line="480" w:lineRule="auto"/>
      </w:pPr>
      <w:r>
        <w:t>Lea JF (2007) Artificial lift selection. Chapter 10 in SPE petroleum engineering handbook, Vol. IV. Society of Petroleum Engineers, Dallas</w:t>
      </w:r>
    </w:p>
    <w:p w14:paraId="74900791" w14:textId="77777777" w:rsidR="0074611C" w:rsidRDefault="0074611C" w:rsidP="0074611C">
      <w:pPr>
        <w:pStyle w:val="References"/>
        <w:spacing w:line="480" w:lineRule="auto"/>
      </w:pPr>
      <w:r>
        <w:t xml:space="preserve"> Lecun, Y., Bottou, L,,Bengio Y.,  and Haffner, P.  "Gradient-based learning applied to document recognition," in </w:t>
      </w:r>
      <w:r>
        <w:rPr>
          <w:i/>
          <w:iCs/>
        </w:rPr>
        <w:t>Proceedings of the IEEE</w:t>
      </w:r>
      <w:r>
        <w:t xml:space="preserve">, vol. 86, no. 11, pp. 2278-2324, Nov. 1998, doi: 10.1109/5.726791. </w:t>
      </w:r>
    </w:p>
    <w:p w14:paraId="547F437B" w14:textId="77777777" w:rsidR="0074611C" w:rsidRDefault="0074611C" w:rsidP="0074611C">
      <w:pPr>
        <w:pStyle w:val="References"/>
        <w:spacing w:line="480" w:lineRule="auto"/>
      </w:pPr>
      <w:r>
        <w:t xml:space="preserve">Lindsay, G., Miller, G., Xu, T., Shan, D., &amp; Baihly, J. (2018). Production performance of infill horizontal wells vs. Pre-existing wells in the major US unconventional basins. Society of Petroleum Engineers - SPE Hydraulic Fracturing Technology Conference and Exhibition 2018, HFTC 2018. </w:t>
      </w:r>
      <w:hyperlink r:id="rId120" w:history="1">
        <w:r>
          <w:rPr>
            <w:rStyle w:val="Hyperlink"/>
            <w:rFonts w:eastAsiaTheme="majorEastAsia"/>
            <w:color w:val="auto"/>
          </w:rPr>
          <w:t>https://doi.org/10.2118/189875-ms</w:t>
        </w:r>
      </w:hyperlink>
    </w:p>
    <w:p w14:paraId="314C9EA0" w14:textId="77777777" w:rsidR="0074611C" w:rsidRDefault="0074611C" w:rsidP="0074611C">
      <w:pPr>
        <w:pStyle w:val="References"/>
        <w:spacing w:line="480" w:lineRule="auto"/>
      </w:pPr>
      <w:r>
        <w:t>Liu, S., Liu, Y., Usc, K. Y., &amp; Sciences, I. (2011). SPE 146038 Automatic Early Fault Detection for Rod Pump Systems.</w:t>
      </w:r>
    </w:p>
    <w:p w14:paraId="636E2AE7" w14:textId="77777777" w:rsidR="0074611C" w:rsidRDefault="0074611C" w:rsidP="0074611C">
      <w:pPr>
        <w:pStyle w:val="References"/>
        <w:spacing w:line="480" w:lineRule="auto"/>
      </w:pPr>
      <w:r>
        <w:t>Liu, Y., Yao, K. T., Raghavenda, C. S., Wu, A., Guo, D., Zheng, J., Olabinjo, L., Balogun, O., &amp; Ershaghi, I. (2013). Global model for failure prediction for rod pump artificial lift systems. Society of Petroleum Engineers - SPE Western Regional / Pacific Section AAPG Joint Technical Conference 2013: Energy and the Environment Working Together for the Future, 687–696.</w:t>
      </w:r>
    </w:p>
    <w:p w14:paraId="1470C466" w14:textId="77777777" w:rsidR="0074611C" w:rsidRDefault="0074611C" w:rsidP="0074611C">
      <w:pPr>
        <w:pStyle w:val="References"/>
        <w:spacing w:line="480" w:lineRule="auto"/>
      </w:pPr>
      <w:r>
        <w:t>Lunt, M. (2014). Selecting an appropriate caliper can be essential for achieving good balance with propensity score matching. American Journal of Epidemiology, 179(2), 226–235. https://doi.org/10.1093/aje/kwt212</w:t>
      </w:r>
    </w:p>
    <w:p w14:paraId="452B46C9" w14:textId="77777777" w:rsidR="0074611C" w:rsidRDefault="0074611C" w:rsidP="0074611C">
      <w:pPr>
        <w:pStyle w:val="References"/>
        <w:spacing w:line="480" w:lineRule="auto"/>
      </w:pPr>
      <w:r>
        <w:t>Ma, X., &amp; Zoback, M. D. (2016). Laboratory investigation on effective stress in Middle Bakken: Implications on poroelastic stress changes due to depletion and injection. 50th US Rock Mechanics / Geomechanics Symposium 2016, 2, 1014–1019.</w:t>
      </w:r>
    </w:p>
    <w:p w14:paraId="28475CAC" w14:textId="77777777" w:rsidR="0074611C" w:rsidRDefault="0074611C" w:rsidP="0074611C">
      <w:pPr>
        <w:pStyle w:val="References"/>
        <w:spacing w:line="480" w:lineRule="auto"/>
      </w:pPr>
      <w:r>
        <w:t>Manchanda, R., Bhardwaj, P., Hwang, J., &amp; Sharma, M. M. (2018). Parent-child fracture interference: Explanation and mitigation of child well underperformance. Society of Petroleum Engineers - SPE Hydraulic Fracturing Technology Conference and Exhibition 2018, HFTC 2018. https://doi.org/10.2118/189849-ms</w:t>
      </w:r>
    </w:p>
    <w:p w14:paraId="54BAE92E" w14:textId="77777777" w:rsidR="0074611C" w:rsidRDefault="0074611C" w:rsidP="0074611C">
      <w:pPr>
        <w:pStyle w:val="References"/>
        <w:spacing w:line="480" w:lineRule="auto"/>
      </w:pPr>
      <w:r>
        <w:t>Martí, L., Sanchez-Pi, N., Molina, J. M., &amp; Garcia, A. C. B. (2015). Anomaly detection based on sensor data in petroleum industry applications. Sensors (Switzerland), 15(2), 2774–2797. https://doi.org/10.3390/s150202774</w:t>
      </w:r>
    </w:p>
    <w:p w14:paraId="21907A7B" w14:textId="77777777" w:rsidR="0074611C" w:rsidRDefault="0074611C" w:rsidP="0074611C">
      <w:pPr>
        <w:pStyle w:val="References"/>
        <w:spacing w:line="480" w:lineRule="auto"/>
      </w:pPr>
      <w:r>
        <w:t xml:space="preserve">McDowell, B., Yoelin, A., &amp; Pottebaum, B. (2019, July 25). Production Effects From Frac-Driven Interactions in the Southeastern Midland Basin, Reagan County, Texas. Unconventional Resources Technology Conference. doi:10.15530/urtec-2019-125 </w:t>
      </w:r>
    </w:p>
    <w:p w14:paraId="3EB78252" w14:textId="77777777" w:rsidR="0074611C" w:rsidRDefault="0074611C" w:rsidP="0074611C">
      <w:pPr>
        <w:pStyle w:val="References"/>
        <w:spacing w:line="480" w:lineRule="auto"/>
      </w:pPr>
      <w:r>
        <w:t>Miller, G., Lindsay, G., Baihly, J., &amp; Xu, T. (2016). Parent well refracturing: Economic safety nets in an uneconomic market. Society of Petroleum Engineers - SPE Low Perm Symposium, May 5–6. https://doi.org/10.2118/180200-ms</w:t>
      </w:r>
    </w:p>
    <w:p w14:paraId="210F6220" w14:textId="77777777" w:rsidR="0074611C" w:rsidRDefault="0074611C" w:rsidP="0074611C">
      <w:pPr>
        <w:pStyle w:val="References"/>
        <w:spacing w:line="480" w:lineRule="auto"/>
      </w:pPr>
      <w:r>
        <w:lastRenderedPageBreak/>
        <w:t>Morgan, S., &amp; Winship, C. (2014). Counterfactuals and Causal inference: Methods and Principles for Social Research (2nd ed., Analytical Methods for Social Research). Cambridge: Cambridge University Press. doi:10.1017/CBO9781107587991.</w:t>
      </w:r>
    </w:p>
    <w:p w14:paraId="66343366" w14:textId="77777777" w:rsidR="0074611C" w:rsidRDefault="0074611C" w:rsidP="0074611C">
      <w:pPr>
        <w:pStyle w:val="References"/>
        <w:spacing w:line="480" w:lineRule="auto"/>
      </w:pPr>
      <w:r>
        <w:t>Nielsen, M. (2019). Neural Networks and Deep_Learning.</w:t>
      </w:r>
    </w:p>
    <w:p w14:paraId="7BA4BEB8" w14:textId="77777777" w:rsidR="0074611C" w:rsidRDefault="0074611C" w:rsidP="0074611C">
      <w:pPr>
        <w:pStyle w:val="References"/>
        <w:spacing w:line="480" w:lineRule="auto"/>
      </w:pPr>
      <w:r>
        <w:t>Nind, T.E.W., 1964. Principles of Oil Well Production. McGraw-Hill Book Co, New York.</w:t>
      </w:r>
    </w:p>
    <w:p w14:paraId="7A35A3E8" w14:textId="77777777" w:rsidR="0074611C" w:rsidRDefault="0074611C" w:rsidP="0074611C">
      <w:pPr>
        <w:pStyle w:val="References"/>
        <w:spacing w:line="480" w:lineRule="auto"/>
      </w:pPr>
      <w:r>
        <w:t>Olmos, A., &amp; Govindasamy, P. (2015).  Propensity Scores: A Practical Introduction Using R. Journal of MultiDisciplinary Evaluation, 11(25), 68–88.</w:t>
      </w:r>
    </w:p>
    <w:p w14:paraId="76DE0047" w14:textId="77777777" w:rsidR="0074611C" w:rsidRDefault="0074611C" w:rsidP="0074611C">
      <w:pPr>
        <w:pStyle w:val="References"/>
        <w:spacing w:line="480" w:lineRule="auto"/>
      </w:pPr>
      <w:r>
        <w:t>Pearl, J. 2009. Causality: Models, Reasoning and Inference (2nd. ed.). Cambridge University Press, USA.</w:t>
      </w:r>
    </w:p>
    <w:p w14:paraId="3DBD8D84" w14:textId="77777777" w:rsidR="0074611C" w:rsidRDefault="0074611C" w:rsidP="0074611C">
      <w:pPr>
        <w:pStyle w:val="References"/>
        <w:spacing w:line="480" w:lineRule="auto"/>
      </w:pPr>
      <w:r>
        <w:t>Pearl, J. and Mackenzie, D. 2017. The Book of Why: The New Science of Cause and Effect (1st. ed.). Basic Books, Inc., USA.</w:t>
      </w:r>
    </w:p>
    <w:p w14:paraId="2BEAE62F" w14:textId="77777777" w:rsidR="0074611C" w:rsidRDefault="0074611C" w:rsidP="0074611C">
      <w:pPr>
        <w:pStyle w:val="References"/>
        <w:spacing w:line="480" w:lineRule="auto"/>
      </w:pPr>
      <w:r>
        <w:t>Pearson, Karl, 1901. </w:t>
      </w:r>
      <w:hyperlink r:id="rId121" w:history="1">
        <w:r>
          <w:rPr>
            <w:rStyle w:val="Hyperlink"/>
            <w:rFonts w:eastAsiaTheme="majorEastAsia"/>
            <w:color w:val="auto"/>
          </w:rPr>
          <w:t>On lines and planes of closest fit to systems of points in space</w:t>
        </w:r>
      </w:hyperlink>
      <w:r>
        <w:t>, Philosophical Magazine, Series 6, vol. 2, no. 11, pp. 559-572.</w:t>
      </w:r>
    </w:p>
    <w:p w14:paraId="6D8D5BC2" w14:textId="77777777" w:rsidR="0074611C" w:rsidRDefault="0074611C" w:rsidP="0074611C">
      <w:pPr>
        <w:pStyle w:val="References"/>
        <w:spacing w:line="480" w:lineRule="auto"/>
      </w:pPr>
      <w:r>
        <w:t>Peng, Y., &amp; Riped, P. (2019). SPE-196159-MS Artificial Intelligence Applied in Sucker Rod Pumping Wells: Intelligent Dynamometer Card Generation, Diagnosis, and Failure Detection Using Deep Neural Networks. 2, 196159.</w:t>
      </w:r>
    </w:p>
    <w:p w14:paraId="630614A4" w14:textId="77777777" w:rsidR="0074611C" w:rsidRDefault="0074611C" w:rsidP="0074611C">
      <w:pPr>
        <w:pStyle w:val="References"/>
        <w:spacing w:line="480" w:lineRule="auto"/>
      </w:pPr>
      <w:r>
        <w:t>Pennel, M., Hsiung, J., &amp; Putcha, V. B. (2018). Detecting failures and optimizing performance in artificial lift using machine learning models. SPE Western Regional Meeting Proceedings, 2018-April. https://doi.org/10.2118/190090-ms</w:t>
      </w:r>
    </w:p>
    <w:p w14:paraId="7B52B875" w14:textId="77777777" w:rsidR="0074611C" w:rsidRDefault="0074611C" w:rsidP="0074611C">
      <w:pPr>
        <w:pStyle w:val="References"/>
        <w:spacing w:line="480" w:lineRule="auto"/>
      </w:pPr>
      <w:r>
        <w:t xml:space="preserve">Portis, D. H., Bello, H., Murray, M., Barzola, G., Clarke, P., &amp; Canan, K. (2013). Searching for the optimal well spacing in the eagle ford shale: A practical toolkit. Unconventional Resources Technology Conference 2013, URTC 2013, 1–8. </w:t>
      </w:r>
      <w:hyperlink r:id="rId122" w:history="1">
        <w:r w:rsidRPr="002E5F53">
          <w:t>https://doi.org/10.1190/urtec2013-027</w:t>
        </w:r>
      </w:hyperlink>
    </w:p>
    <w:p w14:paraId="2F7B5B63" w14:textId="77777777" w:rsidR="0074611C" w:rsidRDefault="0074611C" w:rsidP="0074611C">
      <w:pPr>
        <w:pStyle w:val="References"/>
        <w:spacing w:line="480" w:lineRule="auto"/>
      </w:pPr>
      <w:r>
        <w:t>Price, B., Haustveit, K., &amp; Lamb, A. (2017, July 24). Influence of Stratigraphy on Barriers to Fracture Growth and Completion Optimization in the Meramec Stack Play, Anadarko Basin, Oklahoma. Unconventional Resources Technology Conference. doi:10.15530/URTEC-2017-2697585</w:t>
      </w:r>
    </w:p>
    <w:p w14:paraId="2A6DBA9C" w14:textId="77777777" w:rsidR="0074611C" w:rsidRDefault="0074611C" w:rsidP="0074611C">
      <w:pPr>
        <w:pStyle w:val="References"/>
        <w:spacing w:line="480" w:lineRule="auto"/>
      </w:pPr>
      <w:r>
        <w:t>Rafiee, M., &amp; Grover, T. (2017). Well spacing optimization in Eagle Ford shale: An operator’s experience. SPE/AAPG/SEG Unconventional Resources Technology Conference 2017. https://doi.org/10.15530/urtec-2017-2695433.</w:t>
      </w:r>
    </w:p>
    <w:p w14:paraId="4E9CBDC0" w14:textId="77777777" w:rsidR="0074611C" w:rsidRDefault="0074611C" w:rsidP="0074611C">
      <w:pPr>
        <w:pStyle w:val="References"/>
        <w:spacing w:line="480" w:lineRule="auto"/>
      </w:pPr>
      <w:r>
        <w:t>Rainbolt, M. F., &amp; Esco, J. (2018). Paper title: Frac hit induced production losses: Evaluating root causes, damage location, possible prevention methods and success of remediation treatments, part II. Society of Petroleum Engineers - SPE Hydraulic Fracturing Technology Conference and Exhibition 2018, HFTC 2018, 187192(part I).</w:t>
      </w:r>
    </w:p>
    <w:p w14:paraId="6E2848BD" w14:textId="77777777" w:rsidR="0074611C" w:rsidRDefault="0074611C" w:rsidP="0074611C">
      <w:pPr>
        <w:pStyle w:val="References"/>
        <w:spacing w:line="480" w:lineRule="auto"/>
      </w:pPr>
      <w:r>
        <w:t>Reges, G. D., Schnitman, L., Reis, R., &amp; Mota, F. (2015). A new approach to diagnosis of Sucker Rod Pump Systems by analyzing segments of Downhole Dynamometer Cards. 2015 SPE Artificial Lift Conference - Latin America and Caribbean, 1936(Figure 1), 414–426. https://doi.org/10.2118/173964-ms</w:t>
      </w:r>
    </w:p>
    <w:p w14:paraId="1A7B5A45" w14:textId="77777777" w:rsidR="0074611C" w:rsidRDefault="0074611C" w:rsidP="0074611C">
      <w:pPr>
        <w:pStyle w:val="References"/>
        <w:spacing w:line="480" w:lineRule="auto"/>
      </w:pPr>
      <w:r>
        <w:t>Romanenkova, E., Zaytsev, A., Klyuchnikov, N., Gruzdev, A., Antipova, K., Ismailova, L., Burnaev, E., Semenikhin, A., Koryabkin, V., Simon, I., &amp; Koroteev, D. (2019). Real-Time Data-Driven Detection of the Rock-Type Alteration During a Directional Drilling. IEEE Geoscience and Remote Sensing Letters, 1–5. https://doi.org/10.1109/lgrs.2019.2959845</w:t>
      </w:r>
    </w:p>
    <w:p w14:paraId="0942DA38" w14:textId="77777777" w:rsidR="0074611C" w:rsidRDefault="0074611C" w:rsidP="0074611C">
      <w:pPr>
        <w:pStyle w:val="References"/>
        <w:tabs>
          <w:tab w:val="clear" w:pos="374"/>
          <w:tab w:val="left" w:pos="450"/>
        </w:tabs>
        <w:spacing w:line="480" w:lineRule="auto"/>
        <w:ind w:left="475" w:hanging="475"/>
      </w:pPr>
      <w:r>
        <w:lastRenderedPageBreak/>
        <w:t>Rosenbaum, P. R., &amp; Rubin, D. B. (1983a). The central role of the propensity score in observational studies for causal effects. Biometrika, 70, 41–55.</w:t>
      </w:r>
    </w:p>
    <w:p w14:paraId="64BA3EF4" w14:textId="77777777" w:rsidR="0074611C" w:rsidRDefault="0074611C" w:rsidP="0074611C">
      <w:pPr>
        <w:pStyle w:val="References"/>
        <w:spacing w:line="480" w:lineRule="auto"/>
      </w:pPr>
      <w:r>
        <w:t xml:space="preserve">Rosenbaum, P. R., &amp; Rubin, D. B. (2006). The central role of the propensity score in observational studies for causal effects. Matched Sampling for Causal Effects, 1083, 170–184. </w:t>
      </w:r>
      <w:hyperlink r:id="rId123" w:history="1">
        <w:r>
          <w:rPr>
            <w:rStyle w:val="Hyperlink"/>
            <w:rFonts w:eastAsiaTheme="majorEastAsia"/>
            <w:color w:val="auto"/>
          </w:rPr>
          <w:t>https://doi.org/10.1017/CBO9780511810725.016</w:t>
        </w:r>
      </w:hyperlink>
      <w:r>
        <w:t>.</w:t>
      </w:r>
    </w:p>
    <w:p w14:paraId="580E01B6" w14:textId="3A8D483A" w:rsidR="0074611C" w:rsidRDefault="0074611C" w:rsidP="0074611C">
      <w:pPr>
        <w:pStyle w:val="References"/>
        <w:spacing w:line="480" w:lineRule="auto"/>
      </w:pPr>
      <w:r>
        <w:t xml:space="preserve">Roy, J., (2019). A Crash Course in Causality: Inferring Causal Effects from Observational Data, University of Pennsylvania. </w:t>
      </w:r>
    </w:p>
    <w:p w14:paraId="5918AE43" w14:textId="34EEA056" w:rsidR="00F274C0" w:rsidRPr="00B93B89" w:rsidRDefault="00F274C0" w:rsidP="0074611C">
      <w:pPr>
        <w:pStyle w:val="References"/>
        <w:spacing w:line="480" w:lineRule="auto"/>
      </w:pPr>
      <w:r w:rsidRPr="00B93B89">
        <w:rPr>
          <w:rFonts w:ascii="Arial" w:hAnsi="Arial"/>
          <w:sz w:val="16"/>
        </w:rPr>
        <w:t>Rohrer</w:t>
      </w:r>
      <w:r w:rsidR="00B93B89" w:rsidRPr="00B93B89">
        <w:rPr>
          <w:rFonts w:ascii="Arial" w:hAnsi="Arial"/>
          <w:sz w:val="16"/>
        </w:rPr>
        <w:t xml:space="preserve"> </w:t>
      </w:r>
      <w:r w:rsidRPr="00B93B89">
        <w:rPr>
          <w:rFonts w:ascii="Arial" w:hAnsi="Arial"/>
          <w:sz w:val="16"/>
        </w:rPr>
        <w:t>(2019</w:t>
      </w:r>
      <w:r w:rsidR="00B93B89" w:rsidRPr="00B93B89">
        <w:rPr>
          <w:rFonts w:ascii="Arial" w:hAnsi="Arial"/>
          <w:sz w:val="16"/>
        </w:rPr>
        <w:t>)</w:t>
      </w:r>
      <w:r w:rsidR="00B93B89">
        <w:rPr>
          <w:rFonts w:ascii="Arial" w:hAnsi="Arial"/>
          <w:sz w:val="16"/>
        </w:rPr>
        <w:t xml:space="preserve">. </w:t>
      </w:r>
      <w:hyperlink r:id="rId124" w:history="1">
        <w:r w:rsidR="00BF355F" w:rsidRPr="00BF355F">
          <w:t>https://e2eml.school/how_convolutional_neural_networks_work.html</w:t>
        </w:r>
      </w:hyperlink>
      <w:r w:rsidR="00BF355F" w:rsidRPr="00BF355F">
        <w:t xml:space="preserve"> </w:t>
      </w:r>
    </w:p>
    <w:p w14:paraId="2C64929D" w14:textId="77777777" w:rsidR="0074611C" w:rsidRDefault="0074611C" w:rsidP="0074611C">
      <w:pPr>
        <w:pStyle w:val="References"/>
        <w:spacing w:line="480" w:lineRule="auto"/>
        <w:ind w:left="475" w:hanging="475"/>
      </w:pPr>
      <w:r>
        <w:t>Rubin, D. B (1986) “Which Ifs Have Causal Answers (Comment on ‘Statistics and Causal inference’ by Paul W. Holland).” Journal of the American Statistical Association 81:961–2.</w:t>
      </w:r>
    </w:p>
    <w:p w14:paraId="29594F4D" w14:textId="77777777" w:rsidR="0074611C" w:rsidRDefault="0074611C" w:rsidP="0074611C">
      <w:pPr>
        <w:pStyle w:val="References"/>
        <w:spacing w:line="480" w:lineRule="auto"/>
      </w:pPr>
      <w:r>
        <w:t xml:space="preserve">Rubin, D. B. (2005). Causal inference using potential outcomes: Design, modeling, decisions. Journal of the American Statistical Association, 100(469), 322–331. </w:t>
      </w:r>
      <w:hyperlink r:id="rId125" w:history="1">
        <w:r w:rsidRPr="00BF355F">
          <w:t>https://doi.org/10.1198/016214504000001880</w:t>
        </w:r>
      </w:hyperlink>
    </w:p>
    <w:p w14:paraId="624414A3" w14:textId="77777777" w:rsidR="0074611C" w:rsidRDefault="0074611C" w:rsidP="0074611C">
      <w:pPr>
        <w:pStyle w:val="References"/>
        <w:spacing w:line="480" w:lineRule="auto"/>
      </w:pPr>
      <w:r>
        <w:t>Russakovsky, O., Deng, J., Su, H. et al. ImageNet Large Scale Visual Recognition Challenge. Int J Comput Vis 115, 211–252 (2015). https://doi.org/10.1007/s11263-015-0816-y</w:t>
      </w:r>
    </w:p>
    <w:p w14:paraId="68D89EFC" w14:textId="77777777" w:rsidR="0074611C" w:rsidRDefault="0074611C" w:rsidP="0074611C">
      <w:pPr>
        <w:pStyle w:val="References"/>
        <w:spacing w:line="480" w:lineRule="auto"/>
      </w:pPr>
      <w:r>
        <w:t>Saghir, F., Gonzalez Perdomo, M. E., &amp; Behrenbruch, P. (2019). Converting time series data into images: An innovative approach to detect abnormal behavior of progressive cavity pumps deployed in coal seam gas wells. Proceedings - SPE Annual Technical Conference and Exhibition, 2019-Septe. https://doi.org/10.2118/195905-ms</w:t>
      </w:r>
    </w:p>
    <w:p w14:paraId="5958075B" w14:textId="77777777" w:rsidR="0074611C" w:rsidRDefault="0074611C" w:rsidP="0074611C">
      <w:pPr>
        <w:pStyle w:val="References"/>
        <w:spacing w:line="480" w:lineRule="auto"/>
      </w:pPr>
      <w:r>
        <w:t xml:space="preserve">Sakhardande, R., Devegowda, D. (2021). Data-Driven Causal Analyses of Parent-child Well Interactions for Well Spacing Decisions. Society of Petroleum Engineers - SPE Hydraulic Fracturing Technology Conference and Exhibition 2021, HFTC 2021. </w:t>
      </w:r>
    </w:p>
    <w:p w14:paraId="211F17C9" w14:textId="77777777" w:rsidR="0074611C" w:rsidRDefault="0074611C" w:rsidP="0074611C">
      <w:pPr>
        <w:pStyle w:val="References"/>
        <w:spacing w:line="480" w:lineRule="auto"/>
      </w:pPr>
      <w:r>
        <w:t>Sani, A. M., Podhoretz, S. B., &amp; Chambers, B. D. (2015). The use of completion diagnostics in Haynesville shale horizontal wells to monitor fracture propagation, well communication, and production impact. Society of Petroleum Engineers - SPE/CSUR Unconventional Resources Conference, 1–35. https://doi.org/10.2118/175917-ms</w:t>
      </w:r>
    </w:p>
    <w:p w14:paraId="40E038CF" w14:textId="77777777" w:rsidR="0074611C" w:rsidRDefault="0074611C" w:rsidP="0074611C">
      <w:pPr>
        <w:pStyle w:val="References"/>
        <w:spacing w:line="480" w:lineRule="auto"/>
      </w:pPr>
      <w:r>
        <w:t>Scherz, R. Y., Resources, E. E., Rainbolt, M. F., Corporation, A. C., Pradhan, Y., Resources, E. E., &amp; Tian, W. (2019). Parent, Child, and Vertical Wells in the Midland Basin Lower Spraberry and Wolfcamp Reservoirs.</w:t>
      </w:r>
    </w:p>
    <w:p w14:paraId="74F03F47" w14:textId="77777777" w:rsidR="0074611C" w:rsidRDefault="0074611C" w:rsidP="0074611C">
      <w:pPr>
        <w:pStyle w:val="References"/>
        <w:spacing w:line="480" w:lineRule="auto"/>
      </w:pPr>
      <w:r>
        <w:t>Shahkarami, A., &amp; Wang, G. (2017). Horizontal Well Spacing and Hydraulic Fracturing Design Optimization: A Case Study on Utica-Point Pleasant Shale Play. Journal of Sustainable Energy Engineering, 5(2), 148–162.https://doi.org/10.7569/jsee.2017.629508.</w:t>
      </w:r>
    </w:p>
    <w:p w14:paraId="3FB87E14" w14:textId="77777777" w:rsidR="0074611C" w:rsidRDefault="0074611C" w:rsidP="0074611C">
      <w:pPr>
        <w:pStyle w:val="References"/>
        <w:spacing w:line="480" w:lineRule="auto"/>
      </w:pPr>
      <w:r>
        <w:t>Sharaf, S. A., Bangert, P., Fardan, M., Alqassab, K., Abubakr, M., &amp; Ahmed, M. (2019). Beam pump dynamometer card classification using machine learning. SPE Middle East Oil and Gas Show and Conference, MEOS, Proceedings, 2019-March. https://doi.org/10.2118/194949-ms</w:t>
      </w:r>
    </w:p>
    <w:p w14:paraId="23C9A5B3" w14:textId="77777777" w:rsidR="0074611C" w:rsidRDefault="0074611C" w:rsidP="0074611C">
      <w:pPr>
        <w:pStyle w:val="References"/>
        <w:spacing w:line="480" w:lineRule="auto"/>
      </w:pPr>
      <w:r>
        <w:t>Sidahmed, M., &amp; Bailey, R. (2016). Machine learning approach for irregularity detection in dynamic operating conditions. Proceedings - SPE Annual Technical Conference and Exhibition, 2016-Janua. https://doi.org/10.2118/181435-ms</w:t>
      </w:r>
    </w:p>
    <w:p w14:paraId="09E6951A" w14:textId="77777777" w:rsidR="0074611C" w:rsidRDefault="0074611C" w:rsidP="0074611C">
      <w:pPr>
        <w:pStyle w:val="References"/>
        <w:spacing w:line="480" w:lineRule="auto"/>
      </w:pPr>
      <w:r>
        <w:lastRenderedPageBreak/>
        <w:t>Simonyan, K., &amp; Zisserman, A. (2015). Very deep convolutional networks for large-scale image recognition. 3rd International Conference on Learning Representations, ICLR 2015 - Conference Track Proceedings, 1–14.</w:t>
      </w:r>
    </w:p>
    <w:p w14:paraId="6DF2CE73" w14:textId="77777777" w:rsidR="0074611C" w:rsidRDefault="0074611C" w:rsidP="0074611C">
      <w:pPr>
        <w:pStyle w:val="References"/>
        <w:spacing w:line="480" w:lineRule="auto"/>
      </w:pPr>
      <w:r>
        <w:t xml:space="preserve">Snyder, J., Scott, S., &amp; Kassim, R. (2019). Self-adjusting anomaly detection model for well operation and production in real-time. Society of Petroleum Engineers - SPE Oklahoma City Oil and Gas Symposium 2019, OKOG 2019. </w:t>
      </w:r>
      <w:hyperlink r:id="rId126" w:history="1">
        <w:r w:rsidRPr="002E5F53">
          <w:t>https://doi.org/10.2118/195234-ms</w:t>
        </w:r>
      </w:hyperlink>
    </w:p>
    <w:p w14:paraId="16E700F9" w14:textId="77777777" w:rsidR="0074611C" w:rsidRDefault="0074611C" w:rsidP="0074611C">
      <w:pPr>
        <w:pStyle w:val="References"/>
        <w:spacing w:line="480" w:lineRule="auto"/>
      </w:pPr>
      <w:r>
        <w:t>Stuart, E. A., Lee, B. K., &amp; Leacy, F. P. (2013). Prognostic score-based balance measures can be a useful diagnostic for propensity score methods in comparative effectiveness research. Journal of clinical epidemiology, 66(8 Suppl), S84–S90.e1. https://doi.org/10.1016/j.jclinepi.2013.01.013</w:t>
      </w:r>
    </w:p>
    <w:p w14:paraId="371D1937" w14:textId="77777777" w:rsidR="0074611C" w:rsidRDefault="0074611C" w:rsidP="0074611C">
      <w:pPr>
        <w:pStyle w:val="References"/>
        <w:spacing w:line="480" w:lineRule="auto"/>
      </w:pPr>
      <w:r>
        <w:t>Takacs, G., (2015): Sucker-Rod Pumping Handbook. Gulf Professional Publishing.</w:t>
      </w:r>
    </w:p>
    <w:p w14:paraId="725D14C4" w14:textId="179D9B42" w:rsidR="0074611C" w:rsidRDefault="0074611C" w:rsidP="0074611C">
      <w:pPr>
        <w:pStyle w:val="References"/>
        <w:spacing w:line="480" w:lineRule="auto"/>
      </w:pPr>
      <w:r>
        <w:t>Tan, C., Li, G., &amp; No, P. (n.d.). Predicting the Dynamometer Card of a Rod Pump. 2015.</w:t>
      </w:r>
    </w:p>
    <w:p w14:paraId="1459F8BD" w14:textId="3E8C6A25" w:rsidR="004C0680" w:rsidRDefault="004C0680" w:rsidP="0074611C">
      <w:pPr>
        <w:pStyle w:val="References"/>
        <w:spacing w:line="480" w:lineRule="auto"/>
      </w:pPr>
      <w:r w:rsidRPr="006D414C">
        <w:t xml:space="preserve">Trial Run </w:t>
      </w:r>
      <w:r w:rsidR="006D414C">
        <w:t>(</w:t>
      </w:r>
      <w:r w:rsidRPr="006D414C">
        <w:t>2020</w:t>
      </w:r>
      <w:r w:rsidR="006D414C">
        <w:t xml:space="preserve">). </w:t>
      </w:r>
      <w:r w:rsidR="006D414C" w:rsidRPr="006D414C">
        <w:t xml:space="preserve">Rooster’s crow heralds the sunrise </w:t>
      </w:r>
      <w:hyperlink r:id="rId127" w:history="1">
        <w:r w:rsidR="006D414C" w:rsidRPr="006D414C">
          <w:t>https://www.trialrun.us/roosters-crow-causes-sun-rise-eat-chocolate-win-nobel-prize-statements-not-make-sense-blog-will/</w:t>
        </w:r>
      </w:hyperlink>
      <w:r w:rsidR="006D414C" w:rsidRPr="006D414C">
        <w:t xml:space="preserve"> (accessed 11 October 2020).</w:t>
      </w:r>
    </w:p>
    <w:p w14:paraId="77F28F79" w14:textId="4DC02C0C" w:rsidR="0074611C" w:rsidRDefault="0074611C" w:rsidP="0074611C">
      <w:pPr>
        <w:pStyle w:val="References"/>
        <w:spacing w:line="480" w:lineRule="auto"/>
      </w:pPr>
      <w:r>
        <w:t>Truong, C., Oudre, L., &amp; Vayatis, N. (2020). Selective review of offline change point detection methods. </w:t>
      </w:r>
      <w:r>
        <w:rPr>
          <w:i/>
          <w:iCs/>
        </w:rPr>
        <w:t>Signal Processing</w:t>
      </w:r>
      <w:r>
        <w:t>, 167.</w:t>
      </w:r>
    </w:p>
    <w:p w14:paraId="6066B12F" w14:textId="68C05A8B" w:rsidR="009F34C9" w:rsidRDefault="009F34C9" w:rsidP="0074611C">
      <w:pPr>
        <w:pStyle w:val="References"/>
        <w:spacing w:line="480" w:lineRule="auto"/>
      </w:pPr>
      <w:r w:rsidRPr="00A231B9">
        <w:t>Vigen (2014).</w:t>
      </w:r>
      <w:r w:rsidR="00A231B9" w:rsidRPr="00A231B9">
        <w:t xml:space="preserve"> Divorce rate in Maine and per capita consumption of margarine plotted versus time between years 2000 and 2009 </w:t>
      </w:r>
      <w:hyperlink r:id="rId128" w:history="1">
        <w:r w:rsidR="00A231B9" w:rsidRPr="00A231B9">
          <w:t>https://blogs.ams.org/blogonmathblogs/2017/04/10/divorce-and-margarine/</w:t>
        </w:r>
      </w:hyperlink>
      <w:r w:rsidR="00A231B9" w:rsidRPr="00A231B9">
        <w:t xml:space="preserve"> (accessed 11 October 2020)</w:t>
      </w:r>
      <w:r w:rsidR="00A231B9">
        <w:t>.</w:t>
      </w:r>
    </w:p>
    <w:p w14:paraId="2F7700EE" w14:textId="77777777" w:rsidR="0074611C" w:rsidRDefault="0074611C" w:rsidP="0074611C">
      <w:pPr>
        <w:pStyle w:val="References"/>
        <w:spacing w:line="480" w:lineRule="auto"/>
      </w:pPr>
      <w:r>
        <w:t xml:space="preserve">Whitfield, T., Hunter Watkins, M., &amp; James Dickinson, L. (2018). Pre-loads: Successful mitigation of damaging frac hits in the eagle ford. Proceedings - SPE Annual Technical Conference and Exhibition, 2018-(September), 24–26. </w:t>
      </w:r>
      <w:hyperlink r:id="rId129" w:history="1">
        <w:r w:rsidRPr="002E5F53">
          <w:t>https://doi.org/10.2118/191712-ms</w:t>
        </w:r>
      </w:hyperlink>
    </w:p>
    <w:p w14:paraId="036B7A90" w14:textId="77777777" w:rsidR="0074611C" w:rsidRDefault="0074611C" w:rsidP="0074611C">
      <w:pPr>
        <w:pStyle w:val="References"/>
        <w:spacing w:line="480" w:lineRule="auto"/>
      </w:pPr>
      <w:r>
        <w:t>Xu, W., Prioul, R., Berard, T., Weng, X., &amp; Kresse, O. (2019, January 29). Barriers to Hydraulic Fracture Height Growth: A New Model for Sliding Interfaces. Society of Petroleum Engineers. doi:10.2118/194327-MS</w:t>
      </w:r>
    </w:p>
    <w:p w14:paraId="4D49A075" w14:textId="77777777" w:rsidR="0074611C" w:rsidRDefault="0074611C" w:rsidP="0074611C">
      <w:pPr>
        <w:pStyle w:val="References"/>
        <w:spacing w:line="480" w:lineRule="auto"/>
      </w:pPr>
      <w:r>
        <w:t>Xu, T., Lindsay, G., Zheng, W., Yan, Q., Patron, K. E., Alimahomed, F., Panjaitan, M. L., &amp; Malpani, R. (2018). Advanced modeling of production induced pressure depletion and well spacing impact on infill wells in spraberry, Permian basin. Proceedings - SPE Annual Technical Conference and Exhibition, 2018-Septe. https://doi.org/10.2118/191696-ms</w:t>
      </w:r>
    </w:p>
    <w:p w14:paraId="1C9D808C" w14:textId="77777777" w:rsidR="0074611C" w:rsidRDefault="0074611C" w:rsidP="0074611C">
      <w:pPr>
        <w:pStyle w:val="References"/>
        <w:spacing w:line="480" w:lineRule="auto"/>
      </w:pPr>
      <w:r>
        <w:t>Xu, T., Zheng, W., Baihly, J., Dwivedi, P., Shan, D., Utech, R., &amp; Miller, G. (2019). Permian basin production performance comparison over time and the parent-child well study. Society of Petroleum Engineers - SPE Hydraulic Fracturing Technology Conference and Exhibition 2019, HFTC 2019, 1–38.</w:t>
      </w:r>
    </w:p>
    <w:p w14:paraId="61593EBE" w14:textId="77777777" w:rsidR="0074611C" w:rsidRDefault="0074611C" w:rsidP="0074611C">
      <w:pPr>
        <w:pStyle w:val="References"/>
        <w:spacing w:line="480" w:lineRule="auto"/>
      </w:pPr>
      <w:r>
        <w:t>Yaich, E., De Souza, O. C. D., Foster, R. A., &amp; Abou-Sayed, I. (2014). A methodology to quantify the impact of well interference and optimize well spacing in the marcellus shale. Society of Petroleum Engineers - SPE Canadian Unconventional Resources Conference 2014, 1, 107–117. https://doi.org/10.2118/171578-ms</w:t>
      </w:r>
    </w:p>
    <w:p w14:paraId="37C8EE98" w14:textId="77777777" w:rsidR="0074611C" w:rsidRDefault="0074611C" w:rsidP="0074611C">
      <w:pPr>
        <w:pStyle w:val="References"/>
        <w:spacing w:line="480" w:lineRule="auto"/>
      </w:pPr>
      <w:r>
        <w:t>Yan, W., &amp; Yu, L. (2015). On accurate and reliable anomaly detection for gas turbine combustors: A deep learning approach. Proceedings of the Annual Conference of the Prognostics and Health Management Society, PHM, 440–447.</w:t>
      </w:r>
    </w:p>
    <w:p w14:paraId="32760274" w14:textId="77777777" w:rsidR="0074611C" w:rsidRDefault="0074611C" w:rsidP="0074611C">
      <w:pPr>
        <w:pStyle w:val="References"/>
        <w:spacing w:line="480" w:lineRule="auto"/>
      </w:pPr>
      <w:r>
        <w:lastRenderedPageBreak/>
        <w:t>Yazdani A, Boerwinkle E. Causal inference in the Age of Decision Medicine. J Data Mining Genomics Proteomics. 2015;6(1):163. doi:10.4172/2153-0602.1000163.</w:t>
      </w:r>
    </w:p>
    <w:p w14:paraId="7448EFAF" w14:textId="77777777" w:rsidR="0074611C" w:rsidRDefault="0074611C" w:rsidP="0074611C">
      <w:pPr>
        <w:pStyle w:val="References"/>
        <w:spacing w:line="480" w:lineRule="auto"/>
      </w:pPr>
      <w:r>
        <w:t>Yu, W., Weijermars, R., Xu, Y., Wu, K., &amp; Sepehrnoori, K. (2017). Impact of well interference on shale oil production performance: A numerical model for analyzing pressure response of fracture hits with complex geometries. Society of Petroleum Engineers - SPE Hydraulic Fracturing Technology Conference and Exhibition 2017, 196–220. https://doi.org/10.2118/184825-ms</w:t>
      </w:r>
    </w:p>
    <w:p w14:paraId="2D1FFAB8" w14:textId="77777777" w:rsidR="0074611C" w:rsidRDefault="0074611C" w:rsidP="0074611C">
      <w:pPr>
        <w:pStyle w:val="References"/>
        <w:spacing w:line="480" w:lineRule="auto"/>
      </w:pPr>
      <w:r>
        <w:t>Zhang, H., Zeng, Y., Bao, H., Liao, L., Song, J., Huang, Z., Chen, X., Wang, Z., Xu, Y., &amp; Jin, X. (2020). Drilling and Completion Anomaly Detection in Daily Reports by Deep Learning and Natural Language Processing Techniques. https://doi.org/10.15530/urtec-2020-2885</w:t>
      </w:r>
    </w:p>
    <w:p w14:paraId="3EE23F48" w14:textId="77777777" w:rsidR="0074611C" w:rsidRDefault="0074611C" w:rsidP="0074611C">
      <w:pPr>
        <w:pStyle w:val="References"/>
        <w:spacing w:line="480" w:lineRule="auto"/>
      </w:pPr>
      <w:r>
        <w:t xml:space="preserve">Zhang, J., Cramer, D. D., McEwen, J., White, M., &amp; Bjornen, K. (2020, May 1). Use of Far-Field Diverters To Mitigate Parent- and Infill-Well-Fracture Interactions in Shale Formations. Society of Petroleum Engineers. doi:10.2118/194329-PA </w:t>
      </w:r>
    </w:p>
    <w:p w14:paraId="08A29037" w14:textId="77777777" w:rsidR="0074611C" w:rsidRDefault="0074611C" w:rsidP="0074611C">
      <w:pPr>
        <w:pStyle w:val="References"/>
        <w:spacing w:line="480" w:lineRule="auto"/>
      </w:pPr>
      <w:r>
        <w:t>Zoback, M.D, Kohli, A.H. (2019) Unconventional reservoir geomechanics: shale gas, tight oil and induced seismicity. Mark D. Zoback and Arjun H. Kohli. Cambridge, United Kingdom: Cambridge University Press.</w:t>
      </w:r>
    </w:p>
    <w:p w14:paraId="24D38BE8" w14:textId="62AAF76E" w:rsidR="0074611C" w:rsidRDefault="0074611C" w:rsidP="0074611C"/>
    <w:p w14:paraId="53E320FC" w14:textId="4B753E36" w:rsidR="0074611C" w:rsidRDefault="0074611C" w:rsidP="0074611C"/>
    <w:p w14:paraId="6BE06F36" w14:textId="1C176367" w:rsidR="0074611C" w:rsidRDefault="0074611C" w:rsidP="0074611C"/>
    <w:p w14:paraId="1C5B9230" w14:textId="0003F942" w:rsidR="005A7AC7" w:rsidRDefault="005A7AC7" w:rsidP="00F77298">
      <w:pPr>
        <w:pStyle w:val="References"/>
        <w:spacing w:line="480" w:lineRule="auto"/>
      </w:pPr>
    </w:p>
    <w:p w14:paraId="337E06D5" w14:textId="04D8F984" w:rsidR="005A7AC7" w:rsidRDefault="005A7AC7" w:rsidP="00F77298">
      <w:pPr>
        <w:pStyle w:val="References"/>
        <w:spacing w:line="480" w:lineRule="auto"/>
      </w:pPr>
    </w:p>
    <w:p w14:paraId="12E8FFFB" w14:textId="274204F0" w:rsidR="005A7AC7" w:rsidRDefault="005A7AC7" w:rsidP="00F77298">
      <w:pPr>
        <w:pStyle w:val="References"/>
        <w:spacing w:line="480" w:lineRule="auto"/>
      </w:pPr>
    </w:p>
    <w:p w14:paraId="2AC43C09" w14:textId="453FFEBC" w:rsidR="00F06B17" w:rsidRDefault="00F06B17" w:rsidP="00F77298">
      <w:pPr>
        <w:pStyle w:val="References"/>
        <w:spacing w:line="480" w:lineRule="auto"/>
      </w:pPr>
    </w:p>
    <w:p w14:paraId="431C477E" w14:textId="2EEF7468" w:rsidR="00F06B17" w:rsidRDefault="00F06B17" w:rsidP="00F77298">
      <w:pPr>
        <w:pStyle w:val="References"/>
        <w:spacing w:line="480" w:lineRule="auto"/>
      </w:pPr>
    </w:p>
    <w:p w14:paraId="684667E1" w14:textId="5722F28D" w:rsidR="000A1575" w:rsidRDefault="005A7AC7" w:rsidP="0068283F">
      <w:pPr>
        <w:pStyle w:val="Heading1"/>
      </w:pPr>
      <w:bookmarkStart w:id="109" w:name="_Toc58667114"/>
      <w:r w:rsidRPr="005A7AC7">
        <w:rPr>
          <w:noProof/>
        </w:rPr>
        <w:lastRenderedPageBreak/>
        <w:t>Appendix</w:t>
      </w:r>
      <w:bookmarkEnd w:id="109"/>
    </w:p>
    <w:p w14:paraId="06BC8EDA" w14:textId="77777777" w:rsidR="00D66DDD" w:rsidRDefault="00905258" w:rsidP="00D66DDD">
      <w:pPr>
        <w:pStyle w:val="References"/>
        <w:keepNext/>
        <w:spacing w:line="480" w:lineRule="auto"/>
        <w:jc w:val="center"/>
      </w:pPr>
      <w:r w:rsidRPr="00905258">
        <w:rPr>
          <w:noProof/>
        </w:rPr>
        <w:drawing>
          <wp:inline distT="0" distB="0" distL="0" distR="0" wp14:anchorId="4BC9162D" wp14:editId="0A477945">
            <wp:extent cx="4462272" cy="4344844"/>
            <wp:effectExtent l="0" t="0" r="0" b="0"/>
            <wp:docPr id="17" name="Content Placeholder 3">
              <a:extLst xmlns:a="http://schemas.openxmlformats.org/drawingml/2006/main">
                <a:ext uri="{FF2B5EF4-FFF2-40B4-BE49-F238E27FC236}">
                  <a16:creationId xmlns:a16="http://schemas.microsoft.com/office/drawing/2014/main" id="{F2913A09-A5DF-4A94-A264-773E0DC7BD6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F2913A09-A5DF-4A94-A264-773E0DC7BD6C}"/>
                        </a:ext>
                      </a:extLst>
                    </pic:cNvPr>
                    <pic:cNvPicPr>
                      <a:picLocks noGrp="1" noChangeAspect="1"/>
                    </pic:cNvPicPr>
                  </pic:nvPicPr>
                  <pic:blipFill>
                    <a:blip r:embed="rId130"/>
                    <a:stretch>
                      <a:fillRect/>
                    </a:stretch>
                  </pic:blipFill>
                  <pic:spPr>
                    <a:xfrm>
                      <a:off x="0" y="0"/>
                      <a:ext cx="4462272" cy="4344844"/>
                    </a:xfrm>
                    <a:prstGeom prst="rect">
                      <a:avLst/>
                    </a:prstGeom>
                  </pic:spPr>
                </pic:pic>
              </a:graphicData>
            </a:graphic>
          </wp:inline>
        </w:drawing>
      </w:r>
    </w:p>
    <w:p w14:paraId="74B6598A" w14:textId="5B551543" w:rsidR="00F91E82" w:rsidRPr="00DC2B34" w:rsidRDefault="00D66DDD" w:rsidP="00F91E82">
      <w:pPr>
        <w:tabs>
          <w:tab w:val="left" w:pos="1754"/>
        </w:tabs>
        <w:jc w:val="center"/>
        <w:rPr>
          <w:rFonts w:ascii="Arial" w:hAnsi="Arial" w:cs="Arial"/>
          <w:b/>
          <w:bCs/>
          <w:sz w:val="16"/>
          <w:szCs w:val="16"/>
        </w:rPr>
      </w:pPr>
      <w:bookmarkStart w:id="110" w:name="_Toc58625276"/>
      <w:r w:rsidRPr="00905EA4">
        <w:rPr>
          <w:rFonts w:ascii="Arial" w:hAnsi="Arial" w:cs="Arial"/>
          <w:b/>
          <w:bCs/>
          <w:sz w:val="16"/>
          <w:szCs w:val="16"/>
        </w:rPr>
        <w:t>Fig. A</w:t>
      </w:r>
      <w:r w:rsidRPr="00905EA4">
        <w:rPr>
          <w:rFonts w:ascii="Arial" w:hAnsi="Arial" w:cs="Arial"/>
          <w:b/>
          <w:bCs/>
          <w:sz w:val="16"/>
          <w:szCs w:val="16"/>
        </w:rPr>
        <w:fldChar w:fldCharType="begin"/>
      </w:r>
      <w:r w:rsidRPr="00905EA4">
        <w:rPr>
          <w:rFonts w:ascii="Arial" w:hAnsi="Arial" w:cs="Arial"/>
          <w:b/>
          <w:bCs/>
          <w:sz w:val="16"/>
          <w:szCs w:val="16"/>
        </w:rPr>
        <w:instrText xml:space="preserve"> SEQ Fig._A \* ARABIC </w:instrText>
      </w:r>
      <w:r w:rsidRPr="00905EA4">
        <w:rPr>
          <w:rFonts w:ascii="Arial" w:hAnsi="Arial" w:cs="Arial"/>
          <w:b/>
          <w:bCs/>
          <w:sz w:val="16"/>
          <w:szCs w:val="16"/>
        </w:rPr>
        <w:fldChar w:fldCharType="separate"/>
      </w:r>
      <w:r w:rsidR="00D006A5">
        <w:rPr>
          <w:rFonts w:ascii="Arial" w:hAnsi="Arial" w:cs="Arial"/>
          <w:b/>
          <w:bCs/>
          <w:noProof/>
          <w:sz w:val="16"/>
          <w:szCs w:val="16"/>
        </w:rPr>
        <w:t>1</w:t>
      </w:r>
      <w:r w:rsidRPr="00905EA4">
        <w:rPr>
          <w:rFonts w:ascii="Arial" w:hAnsi="Arial" w:cs="Arial"/>
          <w:b/>
          <w:bCs/>
          <w:sz w:val="16"/>
          <w:szCs w:val="16"/>
        </w:rPr>
        <w:fldChar w:fldCharType="end"/>
      </w:r>
      <w:r w:rsidR="0086556F">
        <w:rPr>
          <w:rFonts w:ascii="Arial" w:hAnsi="Arial" w:cs="Arial"/>
          <w:b/>
          <w:bCs/>
          <w:sz w:val="16"/>
          <w:szCs w:val="16"/>
        </w:rPr>
        <w:t>—</w:t>
      </w:r>
      <w:r w:rsidRPr="00905EA4">
        <w:rPr>
          <w:rFonts w:ascii="Arial" w:hAnsi="Arial" w:cs="Arial"/>
          <w:b/>
          <w:bCs/>
          <w:sz w:val="16"/>
          <w:szCs w:val="16"/>
        </w:rPr>
        <w:t xml:space="preserve">Propensity Score Distribution before and after matching at 500 ft well spacing with outcome </w:t>
      </w:r>
      <w:r w:rsidR="00F91E82">
        <w:rPr>
          <w:rFonts w:ascii="Arial" w:hAnsi="Arial" w:cs="Arial"/>
          <w:b/>
          <w:bCs/>
          <w:sz w:val="16"/>
          <w:szCs w:val="16"/>
        </w:rPr>
        <w:t>18</w:t>
      </w:r>
      <w:r w:rsidR="00F91E82" w:rsidRPr="0036163C">
        <w:rPr>
          <w:rFonts w:ascii="Arial" w:hAnsi="Arial" w:cs="Arial"/>
          <w:b/>
          <w:bCs/>
          <w:sz w:val="16"/>
          <w:szCs w:val="16"/>
        </w:rPr>
        <w:t>0-day cumulative production</w:t>
      </w:r>
      <w:r w:rsidR="00F91E82">
        <w:rPr>
          <w:rFonts w:ascii="Arial" w:eastAsia="Times New Roman" w:hAnsi="Arial" w:cs="Times New Roman"/>
          <w:i/>
          <w:iCs/>
          <w:sz w:val="16"/>
          <w:szCs w:val="20"/>
        </w:rPr>
        <w:t xml:space="preserve"> </w:t>
      </w:r>
      <w:r w:rsidR="00F91E82">
        <w:rPr>
          <w:rFonts w:ascii="Arial" w:hAnsi="Arial" w:cs="Arial"/>
          <w:b/>
          <w:bCs/>
          <w:sz w:val="16"/>
          <w:szCs w:val="16"/>
        </w:rPr>
        <w:t>normalized to lateral length (bbl/ft).</w:t>
      </w:r>
      <w:bookmarkEnd w:id="110"/>
    </w:p>
    <w:p w14:paraId="759C7A55" w14:textId="1295EC1C" w:rsidR="003F6E47" w:rsidRDefault="003F6E47" w:rsidP="00F91E82">
      <w:pPr>
        <w:tabs>
          <w:tab w:val="left" w:pos="1754"/>
        </w:tabs>
        <w:jc w:val="center"/>
        <w:rPr>
          <w:b/>
          <w:bCs/>
        </w:rPr>
      </w:pPr>
    </w:p>
    <w:p w14:paraId="57FF2031" w14:textId="77777777" w:rsidR="00560903" w:rsidRDefault="003F6E47" w:rsidP="00560903">
      <w:pPr>
        <w:pStyle w:val="References"/>
        <w:keepNext/>
        <w:spacing w:line="480" w:lineRule="auto"/>
        <w:jc w:val="center"/>
      </w:pPr>
      <w:r w:rsidRPr="003F6E47">
        <w:rPr>
          <w:noProof/>
        </w:rPr>
        <w:lastRenderedPageBreak/>
        <w:drawing>
          <wp:inline distT="0" distB="0" distL="0" distR="0" wp14:anchorId="0B44ACA7" wp14:editId="3562ED3D">
            <wp:extent cx="3685032" cy="3519206"/>
            <wp:effectExtent l="0" t="0" r="0" b="5080"/>
            <wp:docPr id="37" name="Picture 4">
              <a:extLst xmlns:a="http://schemas.openxmlformats.org/drawingml/2006/main">
                <a:ext uri="{FF2B5EF4-FFF2-40B4-BE49-F238E27FC236}">
                  <a16:creationId xmlns:a16="http://schemas.microsoft.com/office/drawing/2014/main" id="{C4660C41-23F9-4A70-AAA0-FA40C40C25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C4660C41-23F9-4A70-AAA0-FA40C40C25EF}"/>
                        </a:ext>
                      </a:extLst>
                    </pic:cNvPr>
                    <pic:cNvPicPr>
                      <a:picLocks noChangeAspect="1"/>
                    </pic:cNvPicPr>
                  </pic:nvPicPr>
                  <pic:blipFill>
                    <a:blip r:embed="rId131"/>
                    <a:stretch>
                      <a:fillRect/>
                    </a:stretch>
                  </pic:blipFill>
                  <pic:spPr>
                    <a:xfrm>
                      <a:off x="0" y="0"/>
                      <a:ext cx="3685032" cy="3519206"/>
                    </a:xfrm>
                    <a:prstGeom prst="rect">
                      <a:avLst/>
                    </a:prstGeom>
                  </pic:spPr>
                </pic:pic>
              </a:graphicData>
            </a:graphic>
          </wp:inline>
        </w:drawing>
      </w:r>
    </w:p>
    <w:p w14:paraId="25C82ECB" w14:textId="5CBD2C63" w:rsidR="00560903" w:rsidRPr="00905EA4" w:rsidRDefault="00560903" w:rsidP="00905EA4">
      <w:pPr>
        <w:tabs>
          <w:tab w:val="left" w:pos="1754"/>
        </w:tabs>
        <w:jc w:val="center"/>
        <w:rPr>
          <w:rFonts w:ascii="Arial" w:hAnsi="Arial" w:cs="Arial"/>
          <w:b/>
          <w:bCs/>
          <w:sz w:val="16"/>
          <w:szCs w:val="16"/>
        </w:rPr>
      </w:pPr>
      <w:bookmarkStart w:id="111" w:name="_Toc58625277"/>
      <w:r w:rsidRPr="00905EA4">
        <w:rPr>
          <w:rFonts w:ascii="Arial" w:hAnsi="Arial" w:cs="Arial"/>
          <w:b/>
          <w:bCs/>
          <w:sz w:val="16"/>
          <w:szCs w:val="16"/>
        </w:rPr>
        <w:t>Fig. A</w:t>
      </w:r>
      <w:r w:rsidRPr="00905EA4">
        <w:rPr>
          <w:rFonts w:ascii="Arial" w:hAnsi="Arial" w:cs="Arial"/>
          <w:b/>
          <w:bCs/>
          <w:sz w:val="16"/>
          <w:szCs w:val="16"/>
        </w:rPr>
        <w:fldChar w:fldCharType="begin"/>
      </w:r>
      <w:r w:rsidRPr="00905EA4">
        <w:rPr>
          <w:rFonts w:ascii="Arial" w:hAnsi="Arial" w:cs="Arial"/>
          <w:b/>
          <w:bCs/>
          <w:sz w:val="16"/>
          <w:szCs w:val="16"/>
        </w:rPr>
        <w:instrText xml:space="preserve"> SEQ Fig._A \* ARABIC </w:instrText>
      </w:r>
      <w:r w:rsidRPr="00905EA4">
        <w:rPr>
          <w:rFonts w:ascii="Arial" w:hAnsi="Arial" w:cs="Arial"/>
          <w:b/>
          <w:bCs/>
          <w:sz w:val="16"/>
          <w:szCs w:val="16"/>
        </w:rPr>
        <w:fldChar w:fldCharType="separate"/>
      </w:r>
      <w:r w:rsidR="00D006A5">
        <w:rPr>
          <w:rFonts w:ascii="Arial" w:hAnsi="Arial" w:cs="Arial"/>
          <w:b/>
          <w:bCs/>
          <w:noProof/>
          <w:sz w:val="16"/>
          <w:szCs w:val="16"/>
        </w:rPr>
        <w:t>2</w:t>
      </w:r>
      <w:r w:rsidRPr="00905EA4">
        <w:rPr>
          <w:rFonts w:ascii="Arial" w:hAnsi="Arial" w:cs="Arial"/>
          <w:b/>
          <w:bCs/>
          <w:sz w:val="16"/>
          <w:szCs w:val="16"/>
        </w:rPr>
        <w:fldChar w:fldCharType="end"/>
      </w:r>
      <w:r w:rsidR="0086556F">
        <w:rPr>
          <w:rFonts w:ascii="Arial" w:hAnsi="Arial" w:cs="Arial"/>
          <w:b/>
          <w:bCs/>
          <w:sz w:val="16"/>
          <w:szCs w:val="16"/>
        </w:rPr>
        <w:t>—</w:t>
      </w:r>
      <w:r w:rsidRPr="00905EA4">
        <w:rPr>
          <w:rFonts w:ascii="Arial" w:hAnsi="Arial" w:cs="Arial"/>
          <w:b/>
          <w:bCs/>
          <w:sz w:val="16"/>
          <w:szCs w:val="16"/>
        </w:rPr>
        <w:t xml:space="preserve">Density of the propensity scores at 500 ft well spacing across matched and unmatched parent-child well groups with outcome 180-day </w:t>
      </w:r>
      <w:r w:rsidR="0046352B">
        <w:rPr>
          <w:rFonts w:ascii="Arial" w:hAnsi="Arial" w:cs="Arial"/>
          <w:b/>
          <w:bCs/>
          <w:sz w:val="16"/>
          <w:szCs w:val="16"/>
        </w:rPr>
        <w:t xml:space="preserve">cumulative </w:t>
      </w:r>
      <w:r w:rsidRPr="00905EA4">
        <w:rPr>
          <w:rFonts w:ascii="Arial" w:hAnsi="Arial" w:cs="Arial"/>
          <w:b/>
          <w:bCs/>
          <w:sz w:val="16"/>
          <w:szCs w:val="16"/>
        </w:rPr>
        <w:t xml:space="preserve">production </w:t>
      </w:r>
      <w:r w:rsidR="0046352B">
        <w:rPr>
          <w:rFonts w:ascii="Arial" w:hAnsi="Arial" w:cs="Arial"/>
          <w:b/>
          <w:bCs/>
          <w:sz w:val="16"/>
          <w:szCs w:val="16"/>
        </w:rPr>
        <w:t>n</w:t>
      </w:r>
      <w:r w:rsidR="0046352B" w:rsidRPr="00905EA4">
        <w:rPr>
          <w:rFonts w:ascii="Arial" w:hAnsi="Arial" w:cs="Arial"/>
          <w:b/>
          <w:bCs/>
          <w:sz w:val="16"/>
          <w:szCs w:val="16"/>
        </w:rPr>
        <w:t xml:space="preserve">ormalized </w:t>
      </w:r>
      <w:r w:rsidR="0046352B">
        <w:rPr>
          <w:rFonts w:ascii="Arial" w:hAnsi="Arial" w:cs="Arial"/>
          <w:b/>
          <w:bCs/>
          <w:sz w:val="16"/>
          <w:szCs w:val="16"/>
        </w:rPr>
        <w:t>to lateral length</w:t>
      </w:r>
      <w:r w:rsidR="0046352B" w:rsidRPr="00905EA4">
        <w:rPr>
          <w:rFonts w:ascii="Arial" w:hAnsi="Arial" w:cs="Arial"/>
          <w:b/>
          <w:bCs/>
          <w:sz w:val="16"/>
          <w:szCs w:val="16"/>
        </w:rPr>
        <w:t xml:space="preserve"> </w:t>
      </w:r>
      <w:r w:rsidRPr="00905EA4">
        <w:rPr>
          <w:rFonts w:ascii="Arial" w:hAnsi="Arial" w:cs="Arial"/>
          <w:b/>
          <w:bCs/>
          <w:sz w:val="16"/>
          <w:szCs w:val="16"/>
        </w:rPr>
        <w:t>(bbl/ft)</w:t>
      </w:r>
      <w:r w:rsidR="00E67DCA">
        <w:rPr>
          <w:rFonts w:ascii="Arial" w:hAnsi="Arial" w:cs="Arial"/>
          <w:b/>
          <w:bCs/>
          <w:sz w:val="16"/>
          <w:szCs w:val="16"/>
        </w:rPr>
        <w:t>.</w:t>
      </w:r>
      <w:bookmarkEnd w:id="111"/>
    </w:p>
    <w:p w14:paraId="26AA94D9" w14:textId="0BB7EA81" w:rsidR="003F6E47" w:rsidRDefault="003F6E47" w:rsidP="00560903">
      <w:pPr>
        <w:pStyle w:val="Caption"/>
        <w:rPr>
          <w:b w:val="0"/>
          <w:bCs/>
        </w:rPr>
      </w:pPr>
    </w:p>
    <w:p w14:paraId="08529B25" w14:textId="7CC8323F" w:rsidR="008379EA" w:rsidRDefault="008379EA" w:rsidP="00F77298">
      <w:pPr>
        <w:pStyle w:val="References"/>
        <w:tabs>
          <w:tab w:val="left" w:pos="2900"/>
        </w:tabs>
        <w:spacing w:line="480" w:lineRule="auto"/>
        <w:jc w:val="center"/>
      </w:pPr>
    </w:p>
    <w:p w14:paraId="51A83286" w14:textId="3CA71C44" w:rsidR="008379EA" w:rsidRDefault="008379EA" w:rsidP="00F77298">
      <w:pPr>
        <w:pStyle w:val="References"/>
        <w:tabs>
          <w:tab w:val="left" w:pos="2900"/>
        </w:tabs>
        <w:spacing w:line="480" w:lineRule="auto"/>
      </w:pPr>
    </w:p>
    <w:p w14:paraId="71F43185" w14:textId="401CACD5" w:rsidR="008379EA" w:rsidRDefault="008379EA" w:rsidP="00F77298">
      <w:pPr>
        <w:pStyle w:val="References"/>
        <w:tabs>
          <w:tab w:val="left" w:pos="2900"/>
        </w:tabs>
        <w:spacing w:line="480" w:lineRule="auto"/>
      </w:pPr>
    </w:p>
    <w:p w14:paraId="45867AD3" w14:textId="77777777" w:rsidR="00D97004" w:rsidRDefault="00A00E94" w:rsidP="00D97004">
      <w:pPr>
        <w:pStyle w:val="References"/>
        <w:keepNext/>
        <w:spacing w:line="480" w:lineRule="auto"/>
        <w:jc w:val="center"/>
      </w:pPr>
      <w:r w:rsidRPr="00A00E94">
        <w:rPr>
          <w:noProof/>
        </w:rPr>
        <w:lastRenderedPageBreak/>
        <w:drawing>
          <wp:inline distT="0" distB="0" distL="0" distR="0" wp14:anchorId="1ADEBB06" wp14:editId="4365D9D7">
            <wp:extent cx="4764024" cy="4343400"/>
            <wp:effectExtent l="0" t="0" r="0" b="0"/>
            <wp:docPr id="18" name="Picture 8">
              <a:extLst xmlns:a="http://schemas.openxmlformats.org/drawingml/2006/main">
                <a:ext uri="{FF2B5EF4-FFF2-40B4-BE49-F238E27FC236}">
                  <a16:creationId xmlns:a16="http://schemas.microsoft.com/office/drawing/2014/main" id="{34FBF2B7-2743-416C-929A-469D6CD9CB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34FBF2B7-2743-416C-929A-469D6CD9CB69}"/>
                        </a:ext>
                      </a:extLst>
                    </pic:cNvPr>
                    <pic:cNvPicPr>
                      <a:picLocks noChangeAspect="1"/>
                    </pic:cNvPicPr>
                  </pic:nvPicPr>
                  <pic:blipFill>
                    <a:blip r:embed="rId132"/>
                    <a:stretch>
                      <a:fillRect/>
                    </a:stretch>
                  </pic:blipFill>
                  <pic:spPr>
                    <a:xfrm>
                      <a:off x="0" y="0"/>
                      <a:ext cx="4764024" cy="4343400"/>
                    </a:xfrm>
                    <a:prstGeom prst="rect">
                      <a:avLst/>
                    </a:prstGeom>
                  </pic:spPr>
                </pic:pic>
              </a:graphicData>
            </a:graphic>
          </wp:inline>
        </w:drawing>
      </w:r>
    </w:p>
    <w:p w14:paraId="4E983094" w14:textId="0E1EF931" w:rsidR="00F91E82" w:rsidRPr="00DC2B34" w:rsidRDefault="00D97004" w:rsidP="00F91E82">
      <w:pPr>
        <w:tabs>
          <w:tab w:val="left" w:pos="1754"/>
        </w:tabs>
        <w:jc w:val="center"/>
        <w:rPr>
          <w:rFonts w:ascii="Arial" w:hAnsi="Arial" w:cs="Arial"/>
          <w:b/>
          <w:bCs/>
          <w:sz w:val="16"/>
          <w:szCs w:val="16"/>
        </w:rPr>
      </w:pPr>
      <w:bookmarkStart w:id="112" w:name="_Toc58625278"/>
      <w:r w:rsidRPr="00905EA4">
        <w:rPr>
          <w:rFonts w:ascii="Arial" w:hAnsi="Arial" w:cs="Arial"/>
          <w:b/>
          <w:bCs/>
          <w:sz w:val="16"/>
          <w:szCs w:val="16"/>
        </w:rPr>
        <w:t>Fig. A</w:t>
      </w:r>
      <w:r w:rsidRPr="00905EA4">
        <w:rPr>
          <w:rFonts w:ascii="Arial" w:hAnsi="Arial" w:cs="Arial"/>
          <w:b/>
          <w:bCs/>
          <w:sz w:val="16"/>
          <w:szCs w:val="16"/>
        </w:rPr>
        <w:fldChar w:fldCharType="begin"/>
      </w:r>
      <w:r w:rsidRPr="00905EA4">
        <w:rPr>
          <w:rFonts w:ascii="Arial" w:hAnsi="Arial" w:cs="Arial"/>
          <w:b/>
          <w:bCs/>
          <w:sz w:val="16"/>
          <w:szCs w:val="16"/>
        </w:rPr>
        <w:instrText xml:space="preserve"> SEQ Fig._A \* ARABIC </w:instrText>
      </w:r>
      <w:r w:rsidRPr="00905EA4">
        <w:rPr>
          <w:rFonts w:ascii="Arial" w:hAnsi="Arial" w:cs="Arial"/>
          <w:b/>
          <w:bCs/>
          <w:sz w:val="16"/>
          <w:szCs w:val="16"/>
        </w:rPr>
        <w:fldChar w:fldCharType="separate"/>
      </w:r>
      <w:r w:rsidR="00D006A5">
        <w:rPr>
          <w:rFonts w:ascii="Arial" w:hAnsi="Arial" w:cs="Arial"/>
          <w:b/>
          <w:bCs/>
          <w:noProof/>
          <w:sz w:val="16"/>
          <w:szCs w:val="16"/>
        </w:rPr>
        <w:t>3</w:t>
      </w:r>
      <w:r w:rsidRPr="00905EA4">
        <w:rPr>
          <w:rFonts w:ascii="Arial" w:hAnsi="Arial" w:cs="Arial"/>
          <w:b/>
          <w:bCs/>
          <w:sz w:val="16"/>
          <w:szCs w:val="16"/>
        </w:rPr>
        <w:fldChar w:fldCharType="end"/>
      </w:r>
      <w:r w:rsidR="0086556F">
        <w:rPr>
          <w:rFonts w:ascii="Arial" w:hAnsi="Arial" w:cs="Arial"/>
          <w:b/>
          <w:bCs/>
          <w:sz w:val="16"/>
          <w:szCs w:val="16"/>
        </w:rPr>
        <w:t>—</w:t>
      </w:r>
      <w:r w:rsidRPr="00905EA4">
        <w:rPr>
          <w:rFonts w:ascii="Arial" w:hAnsi="Arial" w:cs="Arial"/>
          <w:b/>
          <w:bCs/>
          <w:sz w:val="16"/>
          <w:szCs w:val="16"/>
        </w:rPr>
        <w:t xml:space="preserve">Propensity Score Distribution before and after matching at 600 ft well spacing with outcome </w:t>
      </w:r>
      <w:r w:rsidR="00F91E82">
        <w:rPr>
          <w:rFonts w:ascii="Arial" w:hAnsi="Arial" w:cs="Arial"/>
          <w:b/>
          <w:bCs/>
          <w:sz w:val="16"/>
          <w:szCs w:val="16"/>
        </w:rPr>
        <w:t>18</w:t>
      </w:r>
      <w:r w:rsidR="00F91E82" w:rsidRPr="0036163C">
        <w:rPr>
          <w:rFonts w:ascii="Arial" w:hAnsi="Arial" w:cs="Arial"/>
          <w:b/>
          <w:bCs/>
          <w:sz w:val="16"/>
          <w:szCs w:val="16"/>
        </w:rPr>
        <w:t>0-day cumulative production</w:t>
      </w:r>
      <w:r w:rsidR="00F91E82">
        <w:rPr>
          <w:rFonts w:ascii="Arial" w:eastAsia="Times New Roman" w:hAnsi="Arial" w:cs="Times New Roman"/>
          <w:i/>
          <w:iCs/>
          <w:sz w:val="16"/>
          <w:szCs w:val="20"/>
        </w:rPr>
        <w:t xml:space="preserve"> </w:t>
      </w:r>
      <w:r w:rsidR="00F91E82">
        <w:rPr>
          <w:rFonts w:ascii="Arial" w:hAnsi="Arial" w:cs="Arial"/>
          <w:b/>
          <w:bCs/>
          <w:sz w:val="16"/>
          <w:szCs w:val="16"/>
        </w:rPr>
        <w:t>normalized to lateral length (bbl/ft).</w:t>
      </w:r>
      <w:bookmarkEnd w:id="112"/>
    </w:p>
    <w:p w14:paraId="7EE7DBE3" w14:textId="3F8C797A" w:rsidR="008379EA" w:rsidRDefault="008379EA" w:rsidP="00F91E82">
      <w:pPr>
        <w:tabs>
          <w:tab w:val="left" w:pos="1754"/>
        </w:tabs>
        <w:jc w:val="center"/>
      </w:pPr>
    </w:p>
    <w:p w14:paraId="511B1AED" w14:textId="17E4DD6D" w:rsidR="008379EA" w:rsidRDefault="008379EA" w:rsidP="00F77298">
      <w:pPr>
        <w:pStyle w:val="References"/>
        <w:spacing w:line="480" w:lineRule="auto"/>
        <w:jc w:val="center"/>
      </w:pPr>
    </w:p>
    <w:p w14:paraId="3ECA3A7E" w14:textId="77777777" w:rsidR="00D97004" w:rsidRDefault="00DC1562" w:rsidP="00383AFA">
      <w:pPr>
        <w:pStyle w:val="References"/>
        <w:keepNext/>
        <w:spacing w:line="480" w:lineRule="auto"/>
        <w:jc w:val="center"/>
      </w:pPr>
      <w:r w:rsidRPr="00DC1562">
        <w:rPr>
          <w:noProof/>
        </w:rPr>
        <w:lastRenderedPageBreak/>
        <w:drawing>
          <wp:inline distT="0" distB="0" distL="0" distR="0" wp14:anchorId="14E678B3" wp14:editId="7CA549B2">
            <wp:extent cx="3538728" cy="3520440"/>
            <wp:effectExtent l="0" t="0" r="5080" b="3810"/>
            <wp:docPr id="50" name="Picture 14">
              <a:extLst xmlns:a="http://schemas.openxmlformats.org/drawingml/2006/main">
                <a:ext uri="{FF2B5EF4-FFF2-40B4-BE49-F238E27FC236}">
                  <a16:creationId xmlns:a16="http://schemas.microsoft.com/office/drawing/2014/main" id="{D4445370-9EDA-4B14-B0C6-6272241C8D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4445370-9EDA-4B14-B0C6-6272241C8DA6}"/>
                        </a:ext>
                      </a:extLst>
                    </pic:cNvPr>
                    <pic:cNvPicPr>
                      <a:picLocks noChangeAspect="1"/>
                    </pic:cNvPicPr>
                  </pic:nvPicPr>
                  <pic:blipFill>
                    <a:blip r:embed="rId133"/>
                    <a:stretch>
                      <a:fillRect/>
                    </a:stretch>
                  </pic:blipFill>
                  <pic:spPr>
                    <a:xfrm>
                      <a:off x="0" y="0"/>
                      <a:ext cx="3538728" cy="3520440"/>
                    </a:xfrm>
                    <a:prstGeom prst="rect">
                      <a:avLst/>
                    </a:prstGeom>
                  </pic:spPr>
                </pic:pic>
              </a:graphicData>
            </a:graphic>
          </wp:inline>
        </w:drawing>
      </w:r>
    </w:p>
    <w:p w14:paraId="4C695BA2" w14:textId="1CCB47CF" w:rsidR="00F91E82" w:rsidRPr="00DC2B34" w:rsidRDefault="00D97004" w:rsidP="00F91E82">
      <w:pPr>
        <w:tabs>
          <w:tab w:val="left" w:pos="1754"/>
        </w:tabs>
        <w:jc w:val="center"/>
        <w:rPr>
          <w:rFonts w:ascii="Arial" w:hAnsi="Arial" w:cs="Arial"/>
          <w:b/>
          <w:bCs/>
          <w:sz w:val="16"/>
          <w:szCs w:val="16"/>
        </w:rPr>
      </w:pPr>
      <w:bookmarkStart w:id="113" w:name="_Toc58625279"/>
      <w:r w:rsidRPr="00905EA4">
        <w:rPr>
          <w:rFonts w:ascii="Arial" w:hAnsi="Arial" w:cs="Arial"/>
          <w:b/>
          <w:bCs/>
          <w:sz w:val="16"/>
          <w:szCs w:val="16"/>
        </w:rPr>
        <w:t>Fig. A</w:t>
      </w:r>
      <w:r w:rsidRPr="00905EA4">
        <w:rPr>
          <w:rFonts w:ascii="Arial" w:hAnsi="Arial" w:cs="Arial"/>
          <w:b/>
          <w:bCs/>
          <w:sz w:val="16"/>
          <w:szCs w:val="16"/>
        </w:rPr>
        <w:fldChar w:fldCharType="begin"/>
      </w:r>
      <w:r w:rsidRPr="00905EA4">
        <w:rPr>
          <w:rFonts w:ascii="Arial" w:hAnsi="Arial" w:cs="Arial"/>
          <w:b/>
          <w:bCs/>
          <w:sz w:val="16"/>
          <w:szCs w:val="16"/>
        </w:rPr>
        <w:instrText xml:space="preserve"> SEQ Fig._A \* ARABIC </w:instrText>
      </w:r>
      <w:r w:rsidRPr="00905EA4">
        <w:rPr>
          <w:rFonts w:ascii="Arial" w:hAnsi="Arial" w:cs="Arial"/>
          <w:b/>
          <w:bCs/>
          <w:sz w:val="16"/>
          <w:szCs w:val="16"/>
        </w:rPr>
        <w:fldChar w:fldCharType="separate"/>
      </w:r>
      <w:r w:rsidR="00D006A5">
        <w:rPr>
          <w:rFonts w:ascii="Arial" w:hAnsi="Arial" w:cs="Arial"/>
          <w:b/>
          <w:bCs/>
          <w:noProof/>
          <w:sz w:val="16"/>
          <w:szCs w:val="16"/>
        </w:rPr>
        <w:t>4</w:t>
      </w:r>
      <w:r w:rsidRPr="00905EA4">
        <w:rPr>
          <w:rFonts w:ascii="Arial" w:hAnsi="Arial" w:cs="Arial"/>
          <w:b/>
          <w:bCs/>
          <w:sz w:val="16"/>
          <w:szCs w:val="16"/>
        </w:rPr>
        <w:fldChar w:fldCharType="end"/>
      </w:r>
      <w:r w:rsidR="0086556F">
        <w:rPr>
          <w:rFonts w:ascii="Arial" w:hAnsi="Arial" w:cs="Arial"/>
          <w:b/>
          <w:bCs/>
          <w:sz w:val="16"/>
          <w:szCs w:val="16"/>
        </w:rPr>
        <w:t>—</w:t>
      </w:r>
      <w:r w:rsidRPr="00905EA4">
        <w:rPr>
          <w:rFonts w:ascii="Arial" w:hAnsi="Arial" w:cs="Arial"/>
          <w:b/>
          <w:bCs/>
          <w:sz w:val="16"/>
          <w:szCs w:val="16"/>
        </w:rPr>
        <w:t xml:space="preserve">Density of the propensity scores at 600 ft well spacing across matched and unmatched parent-child well groups with outcome </w:t>
      </w:r>
      <w:r w:rsidR="00F91E82">
        <w:rPr>
          <w:rFonts w:ascii="Arial" w:hAnsi="Arial" w:cs="Arial"/>
          <w:b/>
          <w:bCs/>
          <w:sz w:val="16"/>
          <w:szCs w:val="16"/>
        </w:rPr>
        <w:t>18</w:t>
      </w:r>
      <w:r w:rsidR="00F91E82" w:rsidRPr="0036163C">
        <w:rPr>
          <w:rFonts w:ascii="Arial" w:hAnsi="Arial" w:cs="Arial"/>
          <w:b/>
          <w:bCs/>
          <w:sz w:val="16"/>
          <w:szCs w:val="16"/>
        </w:rPr>
        <w:t>0-day cumulative production</w:t>
      </w:r>
      <w:r w:rsidR="00F91E82">
        <w:rPr>
          <w:rFonts w:ascii="Arial" w:eastAsia="Times New Roman" w:hAnsi="Arial" w:cs="Times New Roman"/>
          <w:i/>
          <w:iCs/>
          <w:sz w:val="16"/>
          <w:szCs w:val="20"/>
        </w:rPr>
        <w:t xml:space="preserve"> </w:t>
      </w:r>
      <w:r w:rsidR="00F91E82">
        <w:rPr>
          <w:rFonts w:ascii="Arial" w:hAnsi="Arial" w:cs="Arial"/>
          <w:b/>
          <w:bCs/>
          <w:sz w:val="16"/>
          <w:szCs w:val="16"/>
        </w:rPr>
        <w:t>normalized to lateral length (bbl/ft).</w:t>
      </w:r>
      <w:bookmarkEnd w:id="113"/>
    </w:p>
    <w:p w14:paraId="420F6495" w14:textId="00ED45A6" w:rsidR="008379EA" w:rsidRPr="00905EA4" w:rsidRDefault="008379EA" w:rsidP="00905EA4">
      <w:pPr>
        <w:tabs>
          <w:tab w:val="left" w:pos="1754"/>
        </w:tabs>
        <w:jc w:val="center"/>
        <w:rPr>
          <w:rFonts w:ascii="Arial" w:hAnsi="Arial" w:cs="Arial"/>
          <w:bCs/>
          <w:sz w:val="16"/>
          <w:szCs w:val="16"/>
        </w:rPr>
      </w:pPr>
    </w:p>
    <w:p w14:paraId="21A87563" w14:textId="56AC086B" w:rsidR="004E1B31" w:rsidRDefault="004E1B31" w:rsidP="004E1B31"/>
    <w:p w14:paraId="35741028" w14:textId="77777777" w:rsidR="004E1B31" w:rsidRDefault="004E1B31" w:rsidP="00905EA4">
      <w:pPr>
        <w:keepNext/>
        <w:jc w:val="center"/>
      </w:pPr>
      <w:r>
        <w:rPr>
          <w:noProof/>
        </w:rPr>
        <w:lastRenderedPageBreak/>
        <w:drawing>
          <wp:inline distT="0" distB="0" distL="0" distR="0" wp14:anchorId="4EBEF504" wp14:editId="6C091F5B">
            <wp:extent cx="4718304" cy="4343400"/>
            <wp:effectExtent l="0" t="0" r="635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4718304" cy="4343400"/>
                    </a:xfrm>
                    <a:prstGeom prst="rect">
                      <a:avLst/>
                    </a:prstGeom>
                  </pic:spPr>
                </pic:pic>
              </a:graphicData>
            </a:graphic>
          </wp:inline>
        </w:drawing>
      </w:r>
    </w:p>
    <w:p w14:paraId="11D8D7DF" w14:textId="09A2C431" w:rsidR="00F91E82" w:rsidRPr="00DC2B34" w:rsidRDefault="004E1B31" w:rsidP="00F91E82">
      <w:pPr>
        <w:tabs>
          <w:tab w:val="left" w:pos="1754"/>
        </w:tabs>
        <w:jc w:val="center"/>
        <w:rPr>
          <w:rFonts w:ascii="Arial" w:hAnsi="Arial" w:cs="Arial"/>
          <w:b/>
          <w:bCs/>
          <w:sz w:val="16"/>
          <w:szCs w:val="16"/>
        </w:rPr>
      </w:pPr>
      <w:bookmarkStart w:id="114" w:name="_Toc58625280"/>
      <w:r w:rsidRPr="00905EA4">
        <w:rPr>
          <w:rFonts w:ascii="Arial" w:hAnsi="Arial" w:cs="Arial"/>
          <w:b/>
          <w:bCs/>
          <w:sz w:val="16"/>
          <w:szCs w:val="16"/>
        </w:rPr>
        <w:t>Fig. A</w:t>
      </w:r>
      <w:r w:rsidRPr="00905EA4">
        <w:rPr>
          <w:rFonts w:ascii="Arial" w:hAnsi="Arial" w:cs="Arial"/>
          <w:b/>
          <w:bCs/>
          <w:sz w:val="16"/>
          <w:szCs w:val="16"/>
        </w:rPr>
        <w:fldChar w:fldCharType="begin"/>
      </w:r>
      <w:r w:rsidRPr="00905EA4">
        <w:rPr>
          <w:rFonts w:ascii="Arial" w:hAnsi="Arial" w:cs="Arial"/>
          <w:b/>
          <w:bCs/>
          <w:sz w:val="16"/>
          <w:szCs w:val="16"/>
        </w:rPr>
        <w:instrText xml:space="preserve"> SEQ Fig._A \* ARABIC </w:instrText>
      </w:r>
      <w:r w:rsidRPr="00905EA4">
        <w:rPr>
          <w:rFonts w:ascii="Arial" w:hAnsi="Arial" w:cs="Arial"/>
          <w:b/>
          <w:bCs/>
          <w:sz w:val="16"/>
          <w:szCs w:val="16"/>
        </w:rPr>
        <w:fldChar w:fldCharType="separate"/>
      </w:r>
      <w:r w:rsidR="00D006A5">
        <w:rPr>
          <w:rFonts w:ascii="Arial" w:hAnsi="Arial" w:cs="Arial"/>
          <w:b/>
          <w:bCs/>
          <w:noProof/>
          <w:sz w:val="16"/>
          <w:szCs w:val="16"/>
        </w:rPr>
        <w:t>5</w:t>
      </w:r>
      <w:r w:rsidRPr="00905EA4">
        <w:rPr>
          <w:rFonts w:ascii="Arial" w:hAnsi="Arial" w:cs="Arial"/>
          <w:b/>
          <w:bCs/>
          <w:sz w:val="16"/>
          <w:szCs w:val="16"/>
        </w:rPr>
        <w:fldChar w:fldCharType="end"/>
      </w:r>
      <w:r w:rsidR="0086556F">
        <w:rPr>
          <w:rFonts w:ascii="Arial" w:hAnsi="Arial" w:cs="Arial"/>
          <w:b/>
          <w:bCs/>
          <w:sz w:val="16"/>
          <w:szCs w:val="16"/>
        </w:rPr>
        <w:t>—</w:t>
      </w:r>
      <w:r w:rsidRPr="00905EA4">
        <w:rPr>
          <w:rFonts w:ascii="Arial" w:hAnsi="Arial" w:cs="Arial"/>
          <w:b/>
          <w:bCs/>
          <w:sz w:val="16"/>
          <w:szCs w:val="16"/>
        </w:rPr>
        <w:t xml:space="preserve">Propensity Score Distribution before and after matching at 700 ft well spacing with outcome </w:t>
      </w:r>
      <w:r w:rsidR="00F91E82">
        <w:rPr>
          <w:rFonts w:ascii="Arial" w:hAnsi="Arial" w:cs="Arial"/>
          <w:b/>
          <w:bCs/>
          <w:sz w:val="16"/>
          <w:szCs w:val="16"/>
        </w:rPr>
        <w:t>18</w:t>
      </w:r>
      <w:r w:rsidR="00F91E82" w:rsidRPr="0036163C">
        <w:rPr>
          <w:rFonts w:ascii="Arial" w:hAnsi="Arial" w:cs="Arial"/>
          <w:b/>
          <w:bCs/>
          <w:sz w:val="16"/>
          <w:szCs w:val="16"/>
        </w:rPr>
        <w:t>0-day cumulative production</w:t>
      </w:r>
      <w:r w:rsidR="00F91E82">
        <w:rPr>
          <w:rFonts w:ascii="Arial" w:eastAsia="Times New Roman" w:hAnsi="Arial" w:cs="Times New Roman"/>
          <w:i/>
          <w:iCs/>
          <w:sz w:val="16"/>
          <w:szCs w:val="20"/>
        </w:rPr>
        <w:t xml:space="preserve"> </w:t>
      </w:r>
      <w:r w:rsidR="00F91E82">
        <w:rPr>
          <w:rFonts w:ascii="Arial" w:hAnsi="Arial" w:cs="Arial"/>
          <w:b/>
          <w:bCs/>
          <w:sz w:val="16"/>
          <w:szCs w:val="16"/>
        </w:rPr>
        <w:t>normalized to lateral length (bbl/ft).</w:t>
      </w:r>
      <w:bookmarkEnd w:id="114"/>
    </w:p>
    <w:p w14:paraId="20CBC637" w14:textId="46DE318C" w:rsidR="004E1B31" w:rsidRPr="00383AFA" w:rsidRDefault="004E1B31" w:rsidP="00F91E82">
      <w:pPr>
        <w:tabs>
          <w:tab w:val="left" w:pos="1754"/>
        </w:tabs>
        <w:jc w:val="center"/>
      </w:pPr>
    </w:p>
    <w:p w14:paraId="465520F3" w14:textId="77777777" w:rsidR="00DC1562" w:rsidRDefault="00DC1562" w:rsidP="00F77298">
      <w:pPr>
        <w:pStyle w:val="References"/>
        <w:tabs>
          <w:tab w:val="left" w:pos="2900"/>
        </w:tabs>
        <w:spacing w:line="480" w:lineRule="auto"/>
        <w:jc w:val="center"/>
        <w:rPr>
          <w:b/>
          <w:bCs/>
        </w:rPr>
      </w:pPr>
    </w:p>
    <w:p w14:paraId="686D6203" w14:textId="0AC0D809" w:rsidR="00DC1562" w:rsidRDefault="00DC1562" w:rsidP="00F77298">
      <w:pPr>
        <w:pStyle w:val="References"/>
        <w:tabs>
          <w:tab w:val="left" w:pos="2900"/>
        </w:tabs>
        <w:spacing w:line="480" w:lineRule="auto"/>
        <w:jc w:val="center"/>
      </w:pPr>
    </w:p>
    <w:p w14:paraId="22A6EC89" w14:textId="78CD05A1" w:rsidR="008379EA" w:rsidRDefault="008379EA" w:rsidP="00F77298">
      <w:pPr>
        <w:pStyle w:val="References"/>
        <w:spacing w:line="480" w:lineRule="auto"/>
        <w:jc w:val="center"/>
      </w:pPr>
    </w:p>
    <w:p w14:paraId="7E4A8EEE" w14:textId="12EAF6BA" w:rsidR="00D97004" w:rsidRDefault="00D97004" w:rsidP="00D97004">
      <w:pPr>
        <w:keepNext/>
        <w:ind w:firstLine="720"/>
        <w:jc w:val="center"/>
      </w:pPr>
    </w:p>
    <w:p w14:paraId="52547ED4" w14:textId="5AEAE8B4" w:rsidR="00646D85" w:rsidRDefault="00646D85" w:rsidP="002A66EF">
      <w:pPr>
        <w:pStyle w:val="References"/>
        <w:spacing w:line="480" w:lineRule="auto"/>
        <w:ind w:left="0" w:firstLine="0"/>
        <w:jc w:val="left"/>
      </w:pPr>
    </w:p>
    <w:p w14:paraId="26BF96F6" w14:textId="77777777" w:rsidR="008643D6" w:rsidRDefault="004A4B07" w:rsidP="008643D6">
      <w:pPr>
        <w:pStyle w:val="References"/>
        <w:keepNext/>
        <w:spacing w:line="480" w:lineRule="auto"/>
        <w:jc w:val="center"/>
      </w:pPr>
      <w:r w:rsidRPr="004A4B07">
        <w:rPr>
          <w:b/>
          <w:bCs/>
          <w:noProof/>
        </w:rPr>
        <w:lastRenderedPageBreak/>
        <w:drawing>
          <wp:inline distT="0" distB="0" distL="0" distR="0" wp14:anchorId="37E45E37" wp14:editId="74AC22B8">
            <wp:extent cx="3538728" cy="3557016"/>
            <wp:effectExtent l="0" t="0" r="5080" b="5715"/>
            <wp:docPr id="57" name="Picture 11">
              <a:extLst xmlns:a="http://schemas.openxmlformats.org/drawingml/2006/main">
                <a:ext uri="{FF2B5EF4-FFF2-40B4-BE49-F238E27FC236}">
                  <a16:creationId xmlns:a16="http://schemas.microsoft.com/office/drawing/2014/main" id="{863DD631-2815-48BF-BC85-44978A53A4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63DD631-2815-48BF-BC85-44978A53A4F7}"/>
                        </a:ext>
                      </a:extLst>
                    </pic:cNvPr>
                    <pic:cNvPicPr>
                      <a:picLocks noChangeAspect="1"/>
                    </pic:cNvPicPr>
                  </pic:nvPicPr>
                  <pic:blipFill>
                    <a:blip r:embed="rId135"/>
                    <a:stretch>
                      <a:fillRect/>
                    </a:stretch>
                  </pic:blipFill>
                  <pic:spPr>
                    <a:xfrm>
                      <a:off x="0" y="0"/>
                      <a:ext cx="3538728" cy="3557016"/>
                    </a:xfrm>
                    <a:prstGeom prst="rect">
                      <a:avLst/>
                    </a:prstGeom>
                  </pic:spPr>
                </pic:pic>
              </a:graphicData>
            </a:graphic>
          </wp:inline>
        </w:drawing>
      </w:r>
    </w:p>
    <w:p w14:paraId="07B239A5" w14:textId="6A79A840" w:rsidR="008643D6" w:rsidRPr="00DC2B34" w:rsidRDefault="008643D6" w:rsidP="008643D6">
      <w:pPr>
        <w:tabs>
          <w:tab w:val="left" w:pos="1754"/>
        </w:tabs>
        <w:jc w:val="center"/>
        <w:rPr>
          <w:rFonts w:ascii="Arial" w:hAnsi="Arial" w:cs="Arial"/>
          <w:b/>
          <w:bCs/>
          <w:sz w:val="16"/>
          <w:szCs w:val="16"/>
        </w:rPr>
      </w:pPr>
      <w:bookmarkStart w:id="115" w:name="_Toc58625281"/>
      <w:r w:rsidRPr="008643D6">
        <w:rPr>
          <w:rFonts w:ascii="Arial" w:hAnsi="Arial" w:cs="Arial"/>
          <w:b/>
          <w:bCs/>
          <w:sz w:val="16"/>
          <w:szCs w:val="16"/>
        </w:rPr>
        <w:t xml:space="preserve">Fig. A </w:t>
      </w:r>
      <w:r w:rsidRPr="008643D6">
        <w:rPr>
          <w:rFonts w:ascii="Arial" w:hAnsi="Arial" w:cs="Arial"/>
          <w:b/>
          <w:bCs/>
          <w:sz w:val="16"/>
          <w:szCs w:val="16"/>
        </w:rPr>
        <w:fldChar w:fldCharType="begin"/>
      </w:r>
      <w:r w:rsidRPr="008643D6">
        <w:rPr>
          <w:rFonts w:ascii="Arial" w:hAnsi="Arial" w:cs="Arial"/>
          <w:b/>
          <w:bCs/>
          <w:sz w:val="16"/>
          <w:szCs w:val="16"/>
        </w:rPr>
        <w:instrText xml:space="preserve"> SEQ Fig._A \* ARABIC </w:instrText>
      </w:r>
      <w:r w:rsidRPr="008643D6">
        <w:rPr>
          <w:rFonts w:ascii="Arial" w:hAnsi="Arial" w:cs="Arial"/>
          <w:b/>
          <w:bCs/>
          <w:sz w:val="16"/>
          <w:szCs w:val="16"/>
        </w:rPr>
        <w:fldChar w:fldCharType="separate"/>
      </w:r>
      <w:r w:rsidR="00D006A5">
        <w:rPr>
          <w:rFonts w:ascii="Arial" w:hAnsi="Arial" w:cs="Arial"/>
          <w:b/>
          <w:bCs/>
          <w:noProof/>
          <w:sz w:val="16"/>
          <w:szCs w:val="16"/>
        </w:rPr>
        <w:t>6</w:t>
      </w:r>
      <w:r w:rsidRPr="008643D6">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Density of the propensity scores at 700 ft well spacing across matched and unmatched parent-child well groups with outcome </w:t>
      </w:r>
      <w:r>
        <w:rPr>
          <w:rFonts w:ascii="Arial" w:hAnsi="Arial" w:cs="Arial"/>
          <w:b/>
          <w:bCs/>
          <w:sz w:val="16"/>
          <w:szCs w:val="16"/>
        </w:rPr>
        <w:t>18</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15"/>
    </w:p>
    <w:p w14:paraId="5A3F5E60" w14:textId="5B5A299C" w:rsidR="00CE2C65" w:rsidRDefault="00CE2C65" w:rsidP="008643D6">
      <w:pPr>
        <w:pStyle w:val="Caption"/>
      </w:pPr>
    </w:p>
    <w:p w14:paraId="3981A2A9" w14:textId="538A51CB" w:rsidR="004A4B07" w:rsidRPr="004A4B07" w:rsidRDefault="004A4B07" w:rsidP="00F91E82">
      <w:pPr>
        <w:tabs>
          <w:tab w:val="left" w:pos="1754"/>
        </w:tabs>
        <w:jc w:val="center"/>
        <w:rPr>
          <w:b/>
          <w:bCs/>
        </w:rPr>
      </w:pPr>
    </w:p>
    <w:p w14:paraId="3D3ABEE0" w14:textId="205E8744" w:rsidR="004A4B07" w:rsidRDefault="004A4B07" w:rsidP="00F77298">
      <w:pPr>
        <w:pStyle w:val="References"/>
        <w:tabs>
          <w:tab w:val="left" w:pos="2900"/>
        </w:tabs>
        <w:spacing w:line="480" w:lineRule="auto"/>
        <w:jc w:val="center"/>
      </w:pPr>
    </w:p>
    <w:p w14:paraId="6EB79572" w14:textId="649473B3" w:rsidR="006E2A3D" w:rsidRDefault="006E2A3D" w:rsidP="00F77298">
      <w:pPr>
        <w:ind w:firstLine="720"/>
        <w:jc w:val="center"/>
      </w:pPr>
    </w:p>
    <w:p w14:paraId="558FA213" w14:textId="77777777" w:rsidR="00103311" w:rsidRDefault="00A17A9E" w:rsidP="00103311">
      <w:pPr>
        <w:keepNext/>
        <w:ind w:firstLine="720"/>
        <w:jc w:val="center"/>
      </w:pPr>
      <w:r w:rsidRPr="00A17A9E">
        <w:rPr>
          <w:noProof/>
        </w:rPr>
        <w:lastRenderedPageBreak/>
        <w:drawing>
          <wp:inline distT="0" distB="0" distL="0" distR="0" wp14:anchorId="2C381650" wp14:editId="0E03E9EB">
            <wp:extent cx="4828032" cy="4498848"/>
            <wp:effectExtent l="0" t="0" r="0" b="0"/>
            <wp:docPr id="21" name="Content Placeholder 3">
              <a:extLst xmlns:a="http://schemas.openxmlformats.org/drawingml/2006/main">
                <a:ext uri="{FF2B5EF4-FFF2-40B4-BE49-F238E27FC236}">
                  <a16:creationId xmlns:a16="http://schemas.microsoft.com/office/drawing/2014/main" id="{792423ED-F448-4FE7-9027-EA8A2DFA1B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92423ED-F448-4FE7-9027-EA8A2DFA1BFD}"/>
                        </a:ext>
                      </a:extLst>
                    </pic:cNvPr>
                    <pic:cNvPicPr>
                      <a:picLocks noGrp="1" noChangeAspect="1"/>
                    </pic:cNvPicPr>
                  </pic:nvPicPr>
                  <pic:blipFill>
                    <a:blip r:embed="rId136"/>
                    <a:stretch>
                      <a:fillRect/>
                    </a:stretch>
                  </pic:blipFill>
                  <pic:spPr>
                    <a:xfrm>
                      <a:off x="0" y="0"/>
                      <a:ext cx="4828032" cy="4498848"/>
                    </a:xfrm>
                    <a:prstGeom prst="rect">
                      <a:avLst/>
                    </a:prstGeom>
                  </pic:spPr>
                </pic:pic>
              </a:graphicData>
            </a:graphic>
          </wp:inline>
        </w:drawing>
      </w:r>
    </w:p>
    <w:p w14:paraId="668CED50" w14:textId="224C4958" w:rsidR="00103311" w:rsidRPr="00DC2B34" w:rsidRDefault="00103311" w:rsidP="00103311">
      <w:pPr>
        <w:tabs>
          <w:tab w:val="left" w:pos="1754"/>
        </w:tabs>
        <w:jc w:val="center"/>
        <w:rPr>
          <w:rFonts w:ascii="Arial" w:hAnsi="Arial" w:cs="Arial"/>
          <w:b/>
          <w:bCs/>
          <w:sz w:val="16"/>
          <w:szCs w:val="16"/>
        </w:rPr>
      </w:pPr>
      <w:bookmarkStart w:id="116" w:name="_Toc58625282"/>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7</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Propensity Score Distribution before and after matching at 800 ft well spacing with outcome </w:t>
      </w:r>
      <w:r>
        <w:rPr>
          <w:rFonts w:ascii="Arial" w:hAnsi="Arial" w:cs="Arial"/>
          <w:b/>
          <w:bCs/>
          <w:sz w:val="16"/>
          <w:szCs w:val="16"/>
        </w:rPr>
        <w:t>18</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16"/>
    </w:p>
    <w:p w14:paraId="21C2E409" w14:textId="477907BB" w:rsidR="00CE2C65" w:rsidRDefault="00CE2C65" w:rsidP="00103311">
      <w:pPr>
        <w:pStyle w:val="Caption"/>
      </w:pPr>
    </w:p>
    <w:p w14:paraId="68D53034" w14:textId="42215DBC" w:rsidR="00CA599B" w:rsidRDefault="00CA599B" w:rsidP="00F91E82">
      <w:pPr>
        <w:tabs>
          <w:tab w:val="left" w:pos="1754"/>
        </w:tabs>
        <w:jc w:val="center"/>
      </w:pPr>
    </w:p>
    <w:p w14:paraId="303659A2" w14:textId="77777777" w:rsidR="00D87ADA" w:rsidRDefault="00CC4FA2" w:rsidP="00D87ADA">
      <w:pPr>
        <w:keepNext/>
        <w:ind w:firstLine="720"/>
        <w:jc w:val="center"/>
      </w:pPr>
      <w:r w:rsidRPr="00CC4FA2">
        <w:rPr>
          <w:noProof/>
        </w:rPr>
        <w:lastRenderedPageBreak/>
        <w:drawing>
          <wp:inline distT="0" distB="0" distL="0" distR="0" wp14:anchorId="1CC44A8A" wp14:editId="339F3E4D">
            <wp:extent cx="3685032" cy="3236976"/>
            <wp:effectExtent l="0" t="0" r="0" b="1905"/>
            <wp:docPr id="66" name="Picture 7">
              <a:extLst xmlns:a="http://schemas.openxmlformats.org/drawingml/2006/main">
                <a:ext uri="{FF2B5EF4-FFF2-40B4-BE49-F238E27FC236}">
                  <a16:creationId xmlns:a16="http://schemas.microsoft.com/office/drawing/2014/main" id="{B728AEED-028A-43F7-8827-E3107C2428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B728AEED-028A-43F7-8827-E3107C242832}"/>
                        </a:ext>
                      </a:extLst>
                    </pic:cNvPr>
                    <pic:cNvPicPr>
                      <a:picLocks noChangeAspect="1"/>
                    </pic:cNvPicPr>
                  </pic:nvPicPr>
                  <pic:blipFill>
                    <a:blip r:embed="rId137"/>
                    <a:stretch>
                      <a:fillRect/>
                    </a:stretch>
                  </pic:blipFill>
                  <pic:spPr>
                    <a:xfrm>
                      <a:off x="0" y="0"/>
                      <a:ext cx="3685032" cy="3236976"/>
                    </a:xfrm>
                    <a:prstGeom prst="rect">
                      <a:avLst/>
                    </a:prstGeom>
                  </pic:spPr>
                </pic:pic>
              </a:graphicData>
            </a:graphic>
          </wp:inline>
        </w:drawing>
      </w:r>
    </w:p>
    <w:p w14:paraId="62E48BE8" w14:textId="2302F317" w:rsidR="00D87ADA" w:rsidRPr="00DC2B34" w:rsidRDefault="00D87ADA" w:rsidP="00D87ADA">
      <w:pPr>
        <w:tabs>
          <w:tab w:val="left" w:pos="1754"/>
        </w:tabs>
        <w:jc w:val="center"/>
        <w:rPr>
          <w:rFonts w:ascii="Arial" w:hAnsi="Arial" w:cs="Arial"/>
          <w:b/>
          <w:bCs/>
          <w:sz w:val="16"/>
          <w:szCs w:val="16"/>
        </w:rPr>
      </w:pPr>
      <w:bookmarkStart w:id="117" w:name="_Toc58625283"/>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8</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Density of the propensity scores at 800 ft well spacing across matched and unmatched parent-child well groups with outcome </w:t>
      </w:r>
      <w:r>
        <w:rPr>
          <w:rFonts w:ascii="Arial" w:hAnsi="Arial" w:cs="Arial"/>
          <w:b/>
          <w:bCs/>
          <w:sz w:val="16"/>
          <w:szCs w:val="16"/>
        </w:rPr>
        <w:t>18</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17"/>
    </w:p>
    <w:p w14:paraId="455228E2" w14:textId="74D832B3" w:rsidR="00CE2C65" w:rsidRDefault="00CE2C65" w:rsidP="00D87ADA">
      <w:pPr>
        <w:pStyle w:val="Caption"/>
      </w:pPr>
    </w:p>
    <w:p w14:paraId="50D6E874" w14:textId="4CE7D74E" w:rsidR="00CA599B" w:rsidRDefault="00CA599B" w:rsidP="00F91E82">
      <w:pPr>
        <w:tabs>
          <w:tab w:val="left" w:pos="1754"/>
        </w:tabs>
        <w:jc w:val="center"/>
      </w:pPr>
    </w:p>
    <w:p w14:paraId="40D3EA3D" w14:textId="3EC98AEB" w:rsidR="00CC4FA2" w:rsidRPr="00770AB0" w:rsidRDefault="00CC4FA2" w:rsidP="00F77298">
      <w:pPr>
        <w:pStyle w:val="References"/>
        <w:spacing w:line="480" w:lineRule="auto"/>
        <w:ind w:left="0" w:firstLine="0"/>
        <w:rPr>
          <w:b/>
          <w:bCs/>
        </w:rPr>
      </w:pPr>
    </w:p>
    <w:p w14:paraId="2A3F1984" w14:textId="51C29C91" w:rsidR="00CA599B" w:rsidRDefault="00CA599B" w:rsidP="00F77298">
      <w:pPr>
        <w:ind w:firstLine="720"/>
        <w:jc w:val="center"/>
      </w:pPr>
    </w:p>
    <w:p w14:paraId="31FD48AF" w14:textId="5CDA2B87" w:rsidR="00CA599B" w:rsidRDefault="00CA599B" w:rsidP="00F77298">
      <w:pPr>
        <w:ind w:firstLine="720"/>
        <w:jc w:val="center"/>
      </w:pPr>
    </w:p>
    <w:p w14:paraId="6BD9DF11" w14:textId="77777777" w:rsidR="00D87ADA" w:rsidRDefault="00CD3343" w:rsidP="00D87ADA">
      <w:pPr>
        <w:keepNext/>
        <w:ind w:firstLine="720"/>
        <w:jc w:val="center"/>
      </w:pPr>
      <w:r w:rsidRPr="00CD3343">
        <w:rPr>
          <w:noProof/>
        </w:rPr>
        <w:lastRenderedPageBreak/>
        <w:drawing>
          <wp:inline distT="0" distB="0" distL="0" distR="0" wp14:anchorId="64FE28D1" wp14:editId="6DBB3465">
            <wp:extent cx="5038344" cy="4343400"/>
            <wp:effectExtent l="0" t="0" r="0" b="0"/>
            <wp:docPr id="78" name="Content Placeholder 3">
              <a:extLst xmlns:a="http://schemas.openxmlformats.org/drawingml/2006/main">
                <a:ext uri="{FF2B5EF4-FFF2-40B4-BE49-F238E27FC236}">
                  <a16:creationId xmlns:a16="http://schemas.microsoft.com/office/drawing/2014/main" id="{55641CC4-4AC3-4103-AF67-B738B81FCD5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55641CC4-4AC3-4103-AF67-B738B81FCD54}"/>
                        </a:ext>
                      </a:extLst>
                    </pic:cNvPr>
                    <pic:cNvPicPr>
                      <a:picLocks noGrp="1" noChangeAspect="1"/>
                    </pic:cNvPicPr>
                  </pic:nvPicPr>
                  <pic:blipFill>
                    <a:blip r:embed="rId138"/>
                    <a:stretch>
                      <a:fillRect/>
                    </a:stretch>
                  </pic:blipFill>
                  <pic:spPr>
                    <a:xfrm>
                      <a:off x="0" y="0"/>
                      <a:ext cx="5038344" cy="4343400"/>
                    </a:xfrm>
                    <a:prstGeom prst="rect">
                      <a:avLst/>
                    </a:prstGeom>
                  </pic:spPr>
                </pic:pic>
              </a:graphicData>
            </a:graphic>
          </wp:inline>
        </w:drawing>
      </w:r>
    </w:p>
    <w:p w14:paraId="4251CF53" w14:textId="2871E5C0" w:rsidR="00D87ADA" w:rsidRPr="00DC2B34" w:rsidRDefault="00D87ADA" w:rsidP="00D87ADA">
      <w:pPr>
        <w:tabs>
          <w:tab w:val="left" w:pos="1754"/>
        </w:tabs>
        <w:jc w:val="center"/>
        <w:rPr>
          <w:rFonts w:ascii="Arial" w:hAnsi="Arial" w:cs="Arial"/>
          <w:b/>
          <w:bCs/>
          <w:sz w:val="16"/>
          <w:szCs w:val="16"/>
        </w:rPr>
      </w:pPr>
      <w:bookmarkStart w:id="118" w:name="_Toc58625284"/>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9</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Propensity </w:t>
      </w:r>
      <w:r>
        <w:rPr>
          <w:rFonts w:ascii="Arial" w:hAnsi="Arial" w:cs="Arial"/>
          <w:b/>
          <w:bCs/>
          <w:sz w:val="16"/>
          <w:szCs w:val="16"/>
        </w:rPr>
        <w:t>s</w:t>
      </w:r>
      <w:r w:rsidRPr="00905EA4">
        <w:rPr>
          <w:rFonts w:ascii="Arial" w:hAnsi="Arial" w:cs="Arial"/>
          <w:b/>
          <w:bCs/>
          <w:sz w:val="16"/>
          <w:szCs w:val="16"/>
        </w:rPr>
        <w:t xml:space="preserve">core </w:t>
      </w:r>
      <w:r>
        <w:rPr>
          <w:rFonts w:ascii="Arial" w:hAnsi="Arial" w:cs="Arial"/>
          <w:b/>
          <w:bCs/>
          <w:sz w:val="16"/>
          <w:szCs w:val="16"/>
        </w:rPr>
        <w:t>d</w:t>
      </w:r>
      <w:r w:rsidRPr="00905EA4">
        <w:rPr>
          <w:rFonts w:ascii="Arial" w:hAnsi="Arial" w:cs="Arial"/>
          <w:b/>
          <w:bCs/>
          <w:sz w:val="16"/>
          <w:szCs w:val="16"/>
        </w:rPr>
        <w:t xml:space="preserve">istribution before and after matching at 500 ft well spacing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18"/>
    </w:p>
    <w:p w14:paraId="381B0EF5" w14:textId="578B6D68" w:rsidR="00CE2C65" w:rsidRDefault="00CE2C65" w:rsidP="00D87ADA">
      <w:pPr>
        <w:pStyle w:val="Caption"/>
      </w:pPr>
    </w:p>
    <w:p w14:paraId="47EDB24E" w14:textId="72C15008" w:rsidR="00521DED" w:rsidRDefault="00521DED" w:rsidP="00216C85">
      <w:pPr>
        <w:tabs>
          <w:tab w:val="left" w:pos="1754"/>
        </w:tabs>
        <w:jc w:val="center"/>
        <w:rPr>
          <w:b/>
          <w:bCs/>
        </w:rPr>
      </w:pPr>
    </w:p>
    <w:p w14:paraId="12757D64" w14:textId="77777777" w:rsidR="00CE2C65" w:rsidRDefault="00CE2C65" w:rsidP="00F77298">
      <w:pPr>
        <w:pStyle w:val="References"/>
        <w:spacing w:line="480" w:lineRule="auto"/>
        <w:ind w:left="0" w:firstLine="0"/>
        <w:rPr>
          <w:b/>
          <w:bCs/>
        </w:rPr>
      </w:pPr>
    </w:p>
    <w:p w14:paraId="318E29B7" w14:textId="77777777" w:rsidR="00770AB0" w:rsidRDefault="00770AB0" w:rsidP="00F77298">
      <w:pPr>
        <w:pStyle w:val="References"/>
        <w:spacing w:line="480" w:lineRule="auto"/>
        <w:ind w:left="0" w:firstLine="0"/>
        <w:rPr>
          <w:b/>
          <w:bCs/>
        </w:rPr>
      </w:pPr>
    </w:p>
    <w:p w14:paraId="41FACFBF" w14:textId="77777777" w:rsidR="00D87ADA" w:rsidRDefault="00886835" w:rsidP="00D87ADA">
      <w:pPr>
        <w:keepNext/>
        <w:ind w:firstLine="720"/>
        <w:jc w:val="center"/>
      </w:pPr>
      <w:r w:rsidRPr="00886835">
        <w:rPr>
          <w:noProof/>
        </w:rPr>
        <w:lastRenderedPageBreak/>
        <w:drawing>
          <wp:inline distT="0" distB="0" distL="0" distR="0" wp14:anchorId="29CAF473" wp14:editId="04DE2FC2">
            <wp:extent cx="3767328" cy="3273552"/>
            <wp:effectExtent l="0" t="0" r="5080" b="3175"/>
            <wp:docPr id="79" name="Picture 6">
              <a:extLst xmlns:a="http://schemas.openxmlformats.org/drawingml/2006/main">
                <a:ext uri="{FF2B5EF4-FFF2-40B4-BE49-F238E27FC236}">
                  <a16:creationId xmlns:a16="http://schemas.microsoft.com/office/drawing/2014/main" id="{2F4475DC-6405-4AC4-958B-5751F01844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2F4475DC-6405-4AC4-958B-5751F018446A}"/>
                        </a:ext>
                      </a:extLst>
                    </pic:cNvPr>
                    <pic:cNvPicPr>
                      <a:picLocks noChangeAspect="1"/>
                    </pic:cNvPicPr>
                  </pic:nvPicPr>
                  <pic:blipFill>
                    <a:blip r:embed="rId139"/>
                    <a:stretch>
                      <a:fillRect/>
                    </a:stretch>
                  </pic:blipFill>
                  <pic:spPr>
                    <a:xfrm>
                      <a:off x="0" y="0"/>
                      <a:ext cx="3767328" cy="3273552"/>
                    </a:xfrm>
                    <a:prstGeom prst="rect">
                      <a:avLst/>
                    </a:prstGeom>
                  </pic:spPr>
                </pic:pic>
              </a:graphicData>
            </a:graphic>
          </wp:inline>
        </w:drawing>
      </w:r>
    </w:p>
    <w:p w14:paraId="36735669" w14:textId="7C21F0F4" w:rsidR="00D87ADA" w:rsidRPr="00905EA4" w:rsidRDefault="00D87ADA" w:rsidP="00D87ADA">
      <w:pPr>
        <w:tabs>
          <w:tab w:val="left" w:pos="1754"/>
        </w:tabs>
        <w:spacing w:after="0"/>
        <w:jc w:val="center"/>
        <w:rPr>
          <w:rFonts w:ascii="Arial" w:hAnsi="Arial" w:cs="Arial"/>
          <w:b/>
          <w:bCs/>
          <w:sz w:val="16"/>
          <w:szCs w:val="16"/>
        </w:rPr>
      </w:pPr>
      <w:bookmarkStart w:id="119" w:name="_Toc58625285"/>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10</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Density of the propensity scores at 500 ft well spacing across matched and unmatched parent-child well groups</w:t>
      </w:r>
      <w:bookmarkEnd w:id="119"/>
    </w:p>
    <w:p w14:paraId="01C6C29B" w14:textId="77777777" w:rsidR="00D87ADA" w:rsidRPr="00DC2B34" w:rsidRDefault="00D87ADA" w:rsidP="00D87ADA">
      <w:pPr>
        <w:tabs>
          <w:tab w:val="left" w:pos="1754"/>
        </w:tabs>
        <w:spacing w:after="0"/>
        <w:jc w:val="center"/>
        <w:rPr>
          <w:rFonts w:ascii="Arial" w:hAnsi="Arial" w:cs="Arial"/>
          <w:b/>
          <w:bCs/>
          <w:sz w:val="16"/>
          <w:szCs w:val="16"/>
        </w:rPr>
      </w:pPr>
      <w:r w:rsidRPr="00905EA4">
        <w:rPr>
          <w:rFonts w:ascii="Arial" w:hAnsi="Arial" w:cs="Arial"/>
          <w:b/>
          <w:bCs/>
          <w:sz w:val="16"/>
          <w:szCs w:val="16"/>
        </w:rPr>
        <w:t xml:space="preserve">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p>
    <w:p w14:paraId="368B73B5" w14:textId="41245A39" w:rsidR="00D87ADA" w:rsidRDefault="00D87ADA" w:rsidP="00D87ADA">
      <w:pPr>
        <w:pStyle w:val="Caption"/>
      </w:pPr>
    </w:p>
    <w:p w14:paraId="35F1A407" w14:textId="32CF9653" w:rsidR="00CE2C65" w:rsidRPr="00905EA4" w:rsidRDefault="00CE2C65" w:rsidP="00905EA4">
      <w:pPr>
        <w:tabs>
          <w:tab w:val="left" w:pos="1754"/>
        </w:tabs>
        <w:jc w:val="center"/>
        <w:rPr>
          <w:rFonts w:ascii="Arial" w:hAnsi="Arial" w:cs="Arial"/>
          <w:b/>
          <w:bCs/>
          <w:sz w:val="16"/>
          <w:szCs w:val="16"/>
        </w:rPr>
      </w:pPr>
    </w:p>
    <w:p w14:paraId="1CC67E5F" w14:textId="05EAB6BE" w:rsidR="00C943F0" w:rsidRDefault="00C943F0" w:rsidP="002A66EF">
      <w:pPr>
        <w:pStyle w:val="References"/>
        <w:spacing w:line="480" w:lineRule="auto"/>
        <w:ind w:left="0" w:firstLine="0"/>
        <w:jc w:val="left"/>
        <w:rPr>
          <w:b/>
          <w:bCs/>
        </w:rPr>
      </w:pPr>
    </w:p>
    <w:p w14:paraId="18713B4B" w14:textId="4AFC5C6D" w:rsidR="00C943F0" w:rsidRDefault="00C943F0" w:rsidP="002A66EF">
      <w:pPr>
        <w:pStyle w:val="References"/>
        <w:spacing w:line="480" w:lineRule="auto"/>
        <w:ind w:left="0" w:firstLine="0"/>
        <w:jc w:val="left"/>
        <w:rPr>
          <w:b/>
          <w:bCs/>
        </w:rPr>
      </w:pPr>
    </w:p>
    <w:p w14:paraId="4E729392" w14:textId="1C9416F1" w:rsidR="00C943F0" w:rsidRDefault="00C943F0" w:rsidP="002A66EF">
      <w:pPr>
        <w:pStyle w:val="References"/>
        <w:spacing w:line="480" w:lineRule="auto"/>
        <w:ind w:left="0" w:firstLine="0"/>
        <w:jc w:val="left"/>
        <w:rPr>
          <w:b/>
          <w:bCs/>
        </w:rPr>
      </w:pPr>
    </w:p>
    <w:p w14:paraId="3445DBE5" w14:textId="77777777" w:rsidR="00D87ADA" w:rsidRDefault="00C943F0" w:rsidP="00D87ADA">
      <w:pPr>
        <w:pStyle w:val="References"/>
        <w:keepNext/>
        <w:spacing w:line="480" w:lineRule="auto"/>
        <w:ind w:left="0" w:firstLine="0"/>
        <w:jc w:val="center"/>
      </w:pPr>
      <w:r>
        <w:rPr>
          <w:noProof/>
        </w:rPr>
        <w:lastRenderedPageBreak/>
        <w:drawing>
          <wp:inline distT="0" distB="0" distL="0" distR="0" wp14:anchorId="5D1BDD30" wp14:editId="43A3FEF5">
            <wp:extent cx="4462272" cy="3849624"/>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4462272" cy="3849624"/>
                    </a:xfrm>
                    <a:prstGeom prst="rect">
                      <a:avLst/>
                    </a:prstGeom>
                  </pic:spPr>
                </pic:pic>
              </a:graphicData>
            </a:graphic>
          </wp:inline>
        </w:drawing>
      </w:r>
    </w:p>
    <w:p w14:paraId="54EB0811" w14:textId="2AC5616B" w:rsidR="00D87ADA" w:rsidRPr="00DC2B34" w:rsidRDefault="00D87ADA" w:rsidP="00D87ADA">
      <w:pPr>
        <w:tabs>
          <w:tab w:val="left" w:pos="1754"/>
        </w:tabs>
        <w:jc w:val="center"/>
        <w:rPr>
          <w:rFonts w:ascii="Arial" w:hAnsi="Arial" w:cs="Arial"/>
          <w:b/>
          <w:bCs/>
          <w:sz w:val="16"/>
          <w:szCs w:val="16"/>
        </w:rPr>
      </w:pPr>
      <w:bookmarkStart w:id="120" w:name="_Toc58625286"/>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11</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Propensity Score Distribution before and after matching at 600 ft well spacing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0"/>
    </w:p>
    <w:p w14:paraId="2CF52A49" w14:textId="57A14745" w:rsidR="00C943F0" w:rsidRDefault="00C943F0" w:rsidP="00D87ADA">
      <w:pPr>
        <w:pStyle w:val="Caption"/>
      </w:pPr>
    </w:p>
    <w:p w14:paraId="72E2E7A6" w14:textId="3AF6C695" w:rsidR="00521DED" w:rsidRDefault="00521DED" w:rsidP="00521DED">
      <w:pPr>
        <w:pStyle w:val="References"/>
        <w:tabs>
          <w:tab w:val="left" w:pos="1754"/>
        </w:tabs>
        <w:spacing w:line="480" w:lineRule="auto"/>
        <w:ind w:left="0" w:firstLine="0"/>
        <w:jc w:val="center"/>
        <w:rPr>
          <w:rFonts w:ascii="Arial" w:eastAsiaTheme="minorHAnsi" w:hAnsi="Arial" w:cs="Arial"/>
          <w:b/>
          <w:bCs/>
          <w:sz w:val="16"/>
          <w:szCs w:val="16"/>
        </w:rPr>
      </w:pPr>
    </w:p>
    <w:p w14:paraId="50003C02" w14:textId="77777777" w:rsidR="00521DED" w:rsidRPr="00905EA4" w:rsidRDefault="00521DED" w:rsidP="00905EA4">
      <w:pPr>
        <w:pStyle w:val="References"/>
        <w:tabs>
          <w:tab w:val="left" w:pos="1754"/>
        </w:tabs>
        <w:spacing w:line="480" w:lineRule="auto"/>
        <w:ind w:left="0" w:firstLine="0"/>
        <w:jc w:val="center"/>
        <w:rPr>
          <w:rFonts w:ascii="Arial" w:hAnsi="Arial" w:cs="Arial"/>
          <w:b/>
          <w:bCs/>
          <w:sz w:val="16"/>
          <w:szCs w:val="16"/>
        </w:rPr>
      </w:pPr>
    </w:p>
    <w:p w14:paraId="27DC77FC" w14:textId="19E69CB0" w:rsidR="00CA599B" w:rsidRPr="00905EA4" w:rsidRDefault="00CA599B" w:rsidP="00905EA4">
      <w:pPr>
        <w:tabs>
          <w:tab w:val="left" w:pos="1754"/>
        </w:tabs>
        <w:jc w:val="center"/>
        <w:rPr>
          <w:rFonts w:ascii="Arial" w:hAnsi="Arial" w:cs="Arial"/>
          <w:b/>
          <w:bCs/>
          <w:sz w:val="16"/>
          <w:szCs w:val="16"/>
        </w:rPr>
      </w:pPr>
    </w:p>
    <w:p w14:paraId="6419E9D7" w14:textId="77777777" w:rsidR="00D87ADA" w:rsidRDefault="00683548" w:rsidP="00D87ADA">
      <w:pPr>
        <w:keepNext/>
        <w:spacing w:after="0"/>
        <w:ind w:firstLine="720"/>
        <w:jc w:val="center"/>
      </w:pPr>
      <w:r w:rsidRPr="00683548">
        <w:rPr>
          <w:noProof/>
        </w:rPr>
        <w:lastRenderedPageBreak/>
        <w:drawing>
          <wp:inline distT="0" distB="0" distL="0" distR="0" wp14:anchorId="61450276" wp14:editId="53F5D4BB">
            <wp:extent cx="3685032" cy="3392424"/>
            <wp:effectExtent l="0" t="0" r="0" b="0"/>
            <wp:docPr id="88" name="Picture 8">
              <a:extLst xmlns:a="http://schemas.openxmlformats.org/drawingml/2006/main">
                <a:ext uri="{FF2B5EF4-FFF2-40B4-BE49-F238E27FC236}">
                  <a16:creationId xmlns:a16="http://schemas.microsoft.com/office/drawing/2014/main" id="{4FD748AF-8CE9-4AC5-B704-888FA9825B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4FD748AF-8CE9-4AC5-B704-888FA9825B17}"/>
                        </a:ext>
                      </a:extLst>
                    </pic:cNvPr>
                    <pic:cNvPicPr>
                      <a:picLocks noChangeAspect="1"/>
                    </pic:cNvPicPr>
                  </pic:nvPicPr>
                  <pic:blipFill>
                    <a:blip r:embed="rId141"/>
                    <a:stretch>
                      <a:fillRect/>
                    </a:stretch>
                  </pic:blipFill>
                  <pic:spPr>
                    <a:xfrm>
                      <a:off x="0" y="0"/>
                      <a:ext cx="3685032" cy="3392424"/>
                    </a:xfrm>
                    <a:prstGeom prst="rect">
                      <a:avLst/>
                    </a:prstGeom>
                  </pic:spPr>
                </pic:pic>
              </a:graphicData>
            </a:graphic>
          </wp:inline>
        </w:drawing>
      </w:r>
    </w:p>
    <w:p w14:paraId="613C9893" w14:textId="7CBA2DEA" w:rsidR="00D87ADA" w:rsidRPr="00DC2B34" w:rsidRDefault="00D87ADA" w:rsidP="00D87ADA">
      <w:pPr>
        <w:tabs>
          <w:tab w:val="left" w:pos="1754"/>
        </w:tabs>
        <w:spacing w:after="0"/>
        <w:jc w:val="center"/>
        <w:rPr>
          <w:rFonts w:ascii="Arial" w:hAnsi="Arial" w:cs="Arial"/>
          <w:b/>
          <w:bCs/>
          <w:sz w:val="16"/>
          <w:szCs w:val="16"/>
        </w:rPr>
      </w:pPr>
      <w:bookmarkStart w:id="121" w:name="_Toc58625287"/>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12</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Density of the propensity scores at 600 f</w:t>
      </w:r>
      <w:r>
        <w:rPr>
          <w:rFonts w:ascii="Arial" w:hAnsi="Arial" w:cs="Arial"/>
          <w:b/>
          <w:bCs/>
          <w:sz w:val="16"/>
          <w:szCs w:val="16"/>
        </w:rPr>
        <w:t>t</w:t>
      </w:r>
      <w:r w:rsidRPr="00905EA4">
        <w:rPr>
          <w:rFonts w:ascii="Arial" w:hAnsi="Arial" w:cs="Arial"/>
          <w:b/>
          <w:bCs/>
          <w:sz w:val="16"/>
          <w:szCs w:val="16"/>
        </w:rPr>
        <w:t xml:space="preserve"> well spacing across matched and unmatched parent-child well groups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1"/>
    </w:p>
    <w:p w14:paraId="54404253" w14:textId="6CB62CF2" w:rsidR="00344977" w:rsidRDefault="00344977" w:rsidP="00D87ADA">
      <w:pPr>
        <w:pStyle w:val="Caption"/>
      </w:pPr>
    </w:p>
    <w:p w14:paraId="787CA408" w14:textId="39C9ADCA" w:rsidR="00913261" w:rsidRDefault="00913261" w:rsidP="006B33EC">
      <w:pPr>
        <w:tabs>
          <w:tab w:val="left" w:pos="1754"/>
        </w:tabs>
        <w:jc w:val="center"/>
      </w:pPr>
    </w:p>
    <w:p w14:paraId="45B24E14" w14:textId="073EA2D2" w:rsidR="00683548" w:rsidRDefault="00683548" w:rsidP="00F77298">
      <w:pPr>
        <w:ind w:firstLine="720"/>
        <w:jc w:val="center"/>
      </w:pPr>
    </w:p>
    <w:p w14:paraId="08F9180D" w14:textId="571C6252" w:rsidR="00683548" w:rsidRDefault="00683548" w:rsidP="00F77298">
      <w:pPr>
        <w:ind w:firstLine="720"/>
        <w:jc w:val="center"/>
      </w:pPr>
    </w:p>
    <w:p w14:paraId="5CA6D64F" w14:textId="77777777" w:rsidR="00D87ADA" w:rsidRDefault="00344977" w:rsidP="00D87ADA">
      <w:pPr>
        <w:keepNext/>
        <w:ind w:firstLine="720"/>
        <w:jc w:val="center"/>
      </w:pPr>
      <w:r w:rsidRPr="00D5088E">
        <w:rPr>
          <w:noProof/>
        </w:rPr>
        <w:lastRenderedPageBreak/>
        <w:drawing>
          <wp:inline distT="0" distB="0" distL="0" distR="0" wp14:anchorId="67FD0297" wp14:editId="18EEF84E">
            <wp:extent cx="4462272" cy="3822192"/>
            <wp:effectExtent l="0" t="0" r="0" b="6985"/>
            <wp:docPr id="89" name="Content Placeholder 3">
              <a:extLst xmlns:a="http://schemas.openxmlformats.org/drawingml/2006/main">
                <a:ext uri="{FF2B5EF4-FFF2-40B4-BE49-F238E27FC236}">
                  <a16:creationId xmlns:a16="http://schemas.microsoft.com/office/drawing/2014/main" id="{787D3446-5FCE-4C31-8088-2666543D871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787D3446-5FCE-4C31-8088-2666543D871A}"/>
                        </a:ext>
                      </a:extLst>
                    </pic:cNvPr>
                    <pic:cNvPicPr>
                      <a:picLocks noGrp="1" noChangeAspect="1"/>
                    </pic:cNvPicPr>
                  </pic:nvPicPr>
                  <pic:blipFill>
                    <a:blip r:embed="rId142" cstate="print">
                      <a:extLst>
                        <a:ext uri="{28A0092B-C50C-407E-A947-70E740481C1C}">
                          <a14:useLocalDpi xmlns:a14="http://schemas.microsoft.com/office/drawing/2010/main" val="0"/>
                        </a:ext>
                      </a:extLst>
                    </a:blip>
                    <a:stretch>
                      <a:fillRect/>
                    </a:stretch>
                  </pic:blipFill>
                  <pic:spPr>
                    <a:xfrm>
                      <a:off x="0" y="0"/>
                      <a:ext cx="4462272" cy="3822192"/>
                    </a:xfrm>
                    <a:prstGeom prst="rect">
                      <a:avLst/>
                    </a:prstGeom>
                  </pic:spPr>
                </pic:pic>
              </a:graphicData>
            </a:graphic>
          </wp:inline>
        </w:drawing>
      </w:r>
    </w:p>
    <w:p w14:paraId="2174E04A" w14:textId="09316871" w:rsidR="00D87ADA" w:rsidRPr="00DC2B34" w:rsidRDefault="00D87ADA" w:rsidP="00D87ADA">
      <w:pPr>
        <w:tabs>
          <w:tab w:val="left" w:pos="1754"/>
        </w:tabs>
        <w:jc w:val="center"/>
        <w:rPr>
          <w:rFonts w:ascii="Arial" w:hAnsi="Arial" w:cs="Arial"/>
          <w:b/>
          <w:bCs/>
          <w:sz w:val="16"/>
          <w:szCs w:val="16"/>
        </w:rPr>
      </w:pPr>
      <w:bookmarkStart w:id="122" w:name="_Toc58625288"/>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13</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Propensity Score Distribution before and after matching at 700 ft well spacing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2"/>
    </w:p>
    <w:p w14:paraId="32746C2D" w14:textId="1BCD4363" w:rsidR="00344977" w:rsidRDefault="00344977" w:rsidP="00D87ADA">
      <w:pPr>
        <w:pStyle w:val="Caption"/>
      </w:pPr>
    </w:p>
    <w:p w14:paraId="1DA5E761" w14:textId="6E5A1903" w:rsidR="00521DED" w:rsidRDefault="00521DED" w:rsidP="00521DED">
      <w:pPr>
        <w:tabs>
          <w:tab w:val="left" w:pos="1754"/>
        </w:tabs>
        <w:jc w:val="center"/>
        <w:rPr>
          <w:rFonts w:ascii="Arial" w:hAnsi="Arial" w:cs="Arial"/>
          <w:b/>
          <w:bCs/>
          <w:sz w:val="16"/>
          <w:szCs w:val="16"/>
        </w:rPr>
      </w:pPr>
    </w:p>
    <w:p w14:paraId="0E4BDC68" w14:textId="77777777" w:rsidR="00521DED" w:rsidRPr="00905EA4" w:rsidRDefault="00521DED" w:rsidP="00905EA4">
      <w:pPr>
        <w:tabs>
          <w:tab w:val="left" w:pos="1754"/>
        </w:tabs>
        <w:jc w:val="center"/>
        <w:rPr>
          <w:rFonts w:ascii="Arial" w:hAnsi="Arial" w:cs="Arial"/>
          <w:b/>
          <w:bCs/>
          <w:sz w:val="16"/>
          <w:szCs w:val="16"/>
        </w:rPr>
      </w:pPr>
    </w:p>
    <w:p w14:paraId="3FA0C035" w14:textId="14FA772A" w:rsidR="00344977" w:rsidRDefault="00344977" w:rsidP="00F77298">
      <w:pPr>
        <w:pStyle w:val="References"/>
        <w:spacing w:line="480" w:lineRule="auto"/>
        <w:ind w:left="0" w:firstLine="0"/>
        <w:rPr>
          <w:b/>
          <w:bCs/>
        </w:rPr>
      </w:pPr>
    </w:p>
    <w:p w14:paraId="67BA4BCA" w14:textId="70FA73CC" w:rsidR="00344977" w:rsidRDefault="00344977" w:rsidP="00F77298">
      <w:pPr>
        <w:pStyle w:val="References"/>
        <w:spacing w:line="480" w:lineRule="auto"/>
        <w:ind w:left="0" w:firstLine="0"/>
        <w:rPr>
          <w:b/>
          <w:bCs/>
        </w:rPr>
      </w:pPr>
    </w:p>
    <w:p w14:paraId="53395D22" w14:textId="77777777" w:rsidR="00344977" w:rsidRDefault="00344977" w:rsidP="00F77298">
      <w:pPr>
        <w:pStyle w:val="References"/>
        <w:spacing w:line="480" w:lineRule="auto"/>
        <w:ind w:left="0" w:firstLine="0"/>
        <w:rPr>
          <w:b/>
          <w:bCs/>
        </w:rPr>
      </w:pPr>
    </w:p>
    <w:p w14:paraId="6E312A20" w14:textId="77777777" w:rsidR="00D87ADA" w:rsidRDefault="00D5088E" w:rsidP="00D87ADA">
      <w:pPr>
        <w:pStyle w:val="References"/>
        <w:keepNext/>
        <w:spacing w:line="480" w:lineRule="auto"/>
        <w:ind w:left="0" w:firstLine="0"/>
        <w:jc w:val="center"/>
      </w:pPr>
      <w:r w:rsidRPr="00770AB0">
        <w:rPr>
          <w:b/>
          <w:bCs/>
          <w:noProof/>
        </w:rPr>
        <w:lastRenderedPageBreak/>
        <w:drawing>
          <wp:inline distT="0" distB="0" distL="0" distR="0" wp14:anchorId="2CA89B69" wp14:editId="2FBF1F6C">
            <wp:extent cx="3685032" cy="3392424"/>
            <wp:effectExtent l="0" t="0" r="0" b="0"/>
            <wp:docPr id="90" name="Picture 6">
              <a:extLst xmlns:a="http://schemas.openxmlformats.org/drawingml/2006/main">
                <a:ext uri="{FF2B5EF4-FFF2-40B4-BE49-F238E27FC236}">
                  <a16:creationId xmlns:a16="http://schemas.microsoft.com/office/drawing/2014/main" id="{C16C94C5-DE45-4B2A-8099-784AA4E6E1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C16C94C5-DE45-4B2A-8099-784AA4E6E14F}"/>
                        </a:ext>
                      </a:extLst>
                    </pic:cNvPr>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3685032" cy="3392424"/>
                    </a:xfrm>
                    <a:prstGeom prst="rect">
                      <a:avLst/>
                    </a:prstGeom>
                  </pic:spPr>
                </pic:pic>
              </a:graphicData>
            </a:graphic>
          </wp:inline>
        </w:drawing>
      </w:r>
    </w:p>
    <w:p w14:paraId="223B956C" w14:textId="3B4706CA" w:rsidR="00D87ADA" w:rsidRPr="00DC2B34" w:rsidRDefault="00D87ADA" w:rsidP="00D87ADA">
      <w:pPr>
        <w:tabs>
          <w:tab w:val="left" w:pos="1754"/>
        </w:tabs>
        <w:jc w:val="center"/>
        <w:rPr>
          <w:rFonts w:ascii="Arial" w:hAnsi="Arial" w:cs="Arial"/>
          <w:b/>
          <w:bCs/>
          <w:sz w:val="16"/>
          <w:szCs w:val="16"/>
        </w:rPr>
      </w:pPr>
      <w:bookmarkStart w:id="123" w:name="_Toc58625289"/>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14</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Density of the propensity scores at 700 ft well spacing across matched and unmatched parent-child well groups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3"/>
    </w:p>
    <w:p w14:paraId="55E89145" w14:textId="62E01D2F" w:rsidR="00344977" w:rsidRDefault="00344977" w:rsidP="00D87ADA">
      <w:pPr>
        <w:pStyle w:val="Caption"/>
      </w:pPr>
    </w:p>
    <w:p w14:paraId="5DD23877" w14:textId="45D268F9" w:rsidR="00683548" w:rsidRDefault="00683548" w:rsidP="00F22AD8">
      <w:pPr>
        <w:tabs>
          <w:tab w:val="left" w:pos="1754"/>
        </w:tabs>
        <w:jc w:val="center"/>
        <w:rPr>
          <w:b/>
          <w:bCs/>
        </w:rPr>
      </w:pPr>
    </w:p>
    <w:p w14:paraId="38384DED" w14:textId="7D7044AE" w:rsidR="00D5088E" w:rsidRDefault="00D5088E" w:rsidP="00F77298"/>
    <w:p w14:paraId="5707C191" w14:textId="5F99C957" w:rsidR="00D5088E" w:rsidRDefault="00D5088E" w:rsidP="00F77298"/>
    <w:p w14:paraId="0EF1C630" w14:textId="77777777" w:rsidR="00D87ADA" w:rsidRDefault="009D10D1" w:rsidP="00D87ADA">
      <w:pPr>
        <w:keepNext/>
        <w:tabs>
          <w:tab w:val="left" w:pos="4150"/>
        </w:tabs>
        <w:jc w:val="center"/>
      </w:pPr>
      <w:r w:rsidRPr="009D10D1">
        <w:rPr>
          <w:noProof/>
        </w:rPr>
        <w:lastRenderedPageBreak/>
        <w:drawing>
          <wp:inline distT="0" distB="0" distL="0" distR="0" wp14:anchorId="3C8BEE9B" wp14:editId="7DFE65DE">
            <wp:extent cx="5093208" cy="4343400"/>
            <wp:effectExtent l="0" t="0" r="0" b="0"/>
            <wp:docPr id="91" name="Picture 4">
              <a:extLst xmlns:a="http://schemas.openxmlformats.org/drawingml/2006/main">
                <a:ext uri="{FF2B5EF4-FFF2-40B4-BE49-F238E27FC236}">
                  <a16:creationId xmlns:a16="http://schemas.microsoft.com/office/drawing/2014/main" id="{B0330D1D-C449-4D5A-BF35-ED9737CF15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B0330D1D-C449-4D5A-BF35-ED9737CF158C}"/>
                        </a:ext>
                      </a:extLst>
                    </pic:cNvPr>
                    <pic:cNvPicPr>
                      <a:picLocks noChangeAspect="1"/>
                    </pic:cNvPicPr>
                  </pic:nvPicPr>
                  <pic:blipFill>
                    <a:blip r:embed="rId143"/>
                    <a:stretch>
                      <a:fillRect/>
                    </a:stretch>
                  </pic:blipFill>
                  <pic:spPr>
                    <a:xfrm>
                      <a:off x="0" y="0"/>
                      <a:ext cx="5093208" cy="4343400"/>
                    </a:xfrm>
                    <a:prstGeom prst="rect">
                      <a:avLst/>
                    </a:prstGeom>
                  </pic:spPr>
                </pic:pic>
              </a:graphicData>
            </a:graphic>
          </wp:inline>
        </w:drawing>
      </w:r>
    </w:p>
    <w:p w14:paraId="0AEE9B7E" w14:textId="4A3191A3" w:rsidR="00D87ADA" w:rsidRPr="00DC2B34" w:rsidRDefault="00D87ADA" w:rsidP="00D87ADA">
      <w:pPr>
        <w:tabs>
          <w:tab w:val="left" w:pos="1754"/>
        </w:tabs>
        <w:jc w:val="center"/>
        <w:rPr>
          <w:rFonts w:ascii="Arial" w:hAnsi="Arial" w:cs="Arial"/>
          <w:b/>
          <w:bCs/>
          <w:sz w:val="16"/>
          <w:szCs w:val="16"/>
        </w:rPr>
      </w:pPr>
      <w:bookmarkStart w:id="124" w:name="_Toc58625290"/>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15</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Propensity Score Distribution before and after matching at 800 ft well spacing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4"/>
    </w:p>
    <w:p w14:paraId="70DB63F1" w14:textId="7061C18B" w:rsidR="0024798D" w:rsidRPr="00905EA4" w:rsidRDefault="0024798D" w:rsidP="00905EA4">
      <w:pPr>
        <w:tabs>
          <w:tab w:val="left" w:pos="1754"/>
        </w:tabs>
        <w:jc w:val="center"/>
        <w:rPr>
          <w:rFonts w:ascii="Arial" w:hAnsi="Arial" w:cs="Arial"/>
          <w:b/>
          <w:bCs/>
          <w:sz w:val="16"/>
          <w:szCs w:val="16"/>
        </w:rPr>
      </w:pPr>
    </w:p>
    <w:p w14:paraId="7B4BF6A4" w14:textId="77777777" w:rsidR="00D87ADA" w:rsidRDefault="009D10D1" w:rsidP="00D87ADA">
      <w:pPr>
        <w:keepNext/>
        <w:tabs>
          <w:tab w:val="left" w:pos="3430"/>
        </w:tabs>
        <w:jc w:val="center"/>
      </w:pPr>
      <w:r w:rsidRPr="009D10D1">
        <w:rPr>
          <w:noProof/>
        </w:rPr>
        <w:lastRenderedPageBreak/>
        <w:drawing>
          <wp:inline distT="0" distB="0" distL="0" distR="0" wp14:anchorId="2B21838C" wp14:editId="2B96162E">
            <wp:extent cx="3895344" cy="3520440"/>
            <wp:effectExtent l="0" t="0" r="0" b="3810"/>
            <wp:docPr id="92" name="Picture 7">
              <a:extLst xmlns:a="http://schemas.openxmlformats.org/drawingml/2006/main">
                <a:ext uri="{FF2B5EF4-FFF2-40B4-BE49-F238E27FC236}">
                  <a16:creationId xmlns:a16="http://schemas.microsoft.com/office/drawing/2014/main" id="{AEC96454-E02D-4119-B9DF-3D23603E77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AEC96454-E02D-4119-B9DF-3D23603E77ED}"/>
                        </a:ext>
                      </a:extLst>
                    </pic:cNvPr>
                    <pic:cNvPicPr>
                      <a:picLocks noChangeAspect="1"/>
                    </pic:cNvPicPr>
                  </pic:nvPicPr>
                  <pic:blipFill>
                    <a:blip r:embed="rId144"/>
                    <a:stretch>
                      <a:fillRect/>
                    </a:stretch>
                  </pic:blipFill>
                  <pic:spPr>
                    <a:xfrm>
                      <a:off x="0" y="0"/>
                      <a:ext cx="3895344" cy="3520440"/>
                    </a:xfrm>
                    <a:prstGeom prst="rect">
                      <a:avLst/>
                    </a:prstGeom>
                  </pic:spPr>
                </pic:pic>
              </a:graphicData>
            </a:graphic>
          </wp:inline>
        </w:drawing>
      </w:r>
    </w:p>
    <w:p w14:paraId="0C81A6A6" w14:textId="6B970502" w:rsidR="00D87ADA" w:rsidRDefault="00D87ADA" w:rsidP="00D87ADA">
      <w:pPr>
        <w:tabs>
          <w:tab w:val="left" w:pos="1754"/>
        </w:tabs>
        <w:jc w:val="center"/>
        <w:rPr>
          <w:rFonts w:ascii="Arial" w:hAnsi="Arial" w:cs="Arial"/>
          <w:b/>
          <w:bCs/>
          <w:sz w:val="16"/>
          <w:szCs w:val="16"/>
        </w:rPr>
      </w:pPr>
      <w:bookmarkStart w:id="125" w:name="_Toc58625291"/>
      <w:r w:rsidRPr="00D87ADA">
        <w:rPr>
          <w:rFonts w:ascii="Arial" w:hAnsi="Arial" w:cs="Arial"/>
          <w:b/>
          <w:bCs/>
          <w:sz w:val="16"/>
          <w:szCs w:val="16"/>
        </w:rPr>
        <w:t xml:space="preserve">Fig. A </w:t>
      </w:r>
      <w:r w:rsidRPr="00D87ADA">
        <w:rPr>
          <w:rFonts w:ascii="Arial" w:hAnsi="Arial" w:cs="Arial"/>
          <w:b/>
          <w:bCs/>
          <w:sz w:val="16"/>
          <w:szCs w:val="16"/>
        </w:rPr>
        <w:fldChar w:fldCharType="begin"/>
      </w:r>
      <w:r w:rsidRPr="00D87ADA">
        <w:rPr>
          <w:rFonts w:ascii="Arial" w:hAnsi="Arial" w:cs="Arial"/>
          <w:b/>
          <w:bCs/>
          <w:sz w:val="16"/>
          <w:szCs w:val="16"/>
        </w:rPr>
        <w:instrText xml:space="preserve"> SEQ Fig._A \* ARABIC </w:instrText>
      </w:r>
      <w:r w:rsidRPr="00D87ADA">
        <w:rPr>
          <w:rFonts w:ascii="Arial" w:hAnsi="Arial" w:cs="Arial"/>
          <w:b/>
          <w:bCs/>
          <w:sz w:val="16"/>
          <w:szCs w:val="16"/>
        </w:rPr>
        <w:fldChar w:fldCharType="separate"/>
      </w:r>
      <w:r w:rsidR="00D006A5">
        <w:rPr>
          <w:rFonts w:ascii="Arial" w:hAnsi="Arial" w:cs="Arial"/>
          <w:b/>
          <w:bCs/>
          <w:noProof/>
          <w:sz w:val="16"/>
          <w:szCs w:val="16"/>
        </w:rPr>
        <w:t>16</w:t>
      </w:r>
      <w:r w:rsidRPr="00D87ADA">
        <w:rPr>
          <w:rFonts w:ascii="Arial" w:hAnsi="Arial" w:cs="Arial"/>
          <w:b/>
          <w:bCs/>
          <w:sz w:val="16"/>
          <w:szCs w:val="16"/>
        </w:rPr>
        <w:fldChar w:fldCharType="end"/>
      </w:r>
      <w:r>
        <w:rPr>
          <w:rFonts w:ascii="Arial" w:hAnsi="Arial" w:cs="Arial"/>
          <w:b/>
          <w:bCs/>
          <w:sz w:val="16"/>
          <w:szCs w:val="16"/>
        </w:rPr>
        <w:t>—</w:t>
      </w:r>
      <w:r w:rsidRPr="00905EA4">
        <w:rPr>
          <w:rFonts w:ascii="Arial" w:hAnsi="Arial" w:cs="Arial"/>
          <w:b/>
          <w:bCs/>
          <w:sz w:val="16"/>
          <w:szCs w:val="16"/>
        </w:rPr>
        <w:t xml:space="preserve">Density of the propensity scores at 800 ft well spacing across matched and unmatched parent-child well groups with outcome </w:t>
      </w:r>
      <w:r>
        <w:rPr>
          <w:rFonts w:ascii="Arial" w:hAnsi="Arial" w:cs="Arial"/>
          <w:b/>
          <w:bCs/>
          <w:sz w:val="16"/>
          <w:szCs w:val="16"/>
        </w:rPr>
        <w:t>36</w:t>
      </w:r>
      <w:r w:rsidRPr="0036163C">
        <w:rPr>
          <w:rFonts w:ascii="Arial" w:hAnsi="Arial" w:cs="Arial"/>
          <w:b/>
          <w:bCs/>
          <w:sz w:val="16"/>
          <w:szCs w:val="16"/>
        </w:rPr>
        <w:t>0-day cumulative production</w:t>
      </w:r>
      <w:r>
        <w:rPr>
          <w:rFonts w:ascii="Arial" w:eastAsia="Times New Roman" w:hAnsi="Arial" w:cs="Times New Roman"/>
          <w:i/>
          <w:iCs/>
          <w:sz w:val="16"/>
          <w:szCs w:val="20"/>
        </w:rPr>
        <w:t xml:space="preserve"> </w:t>
      </w:r>
      <w:r>
        <w:rPr>
          <w:rFonts w:ascii="Arial" w:hAnsi="Arial" w:cs="Arial"/>
          <w:b/>
          <w:bCs/>
          <w:sz w:val="16"/>
          <w:szCs w:val="16"/>
        </w:rPr>
        <w:t>normalized to lateral length (bbl/ft).</w:t>
      </w:r>
      <w:bookmarkEnd w:id="125"/>
    </w:p>
    <w:p w14:paraId="4E3475D8" w14:textId="04679344" w:rsidR="00F37364" w:rsidRDefault="00F37364" w:rsidP="00D87ADA">
      <w:pPr>
        <w:tabs>
          <w:tab w:val="left" w:pos="1754"/>
        </w:tabs>
        <w:jc w:val="center"/>
        <w:rPr>
          <w:rFonts w:ascii="Arial" w:hAnsi="Arial" w:cs="Arial"/>
          <w:b/>
          <w:bCs/>
          <w:sz w:val="16"/>
          <w:szCs w:val="16"/>
        </w:rPr>
      </w:pPr>
    </w:p>
    <w:p w14:paraId="4FBA1BCF" w14:textId="77777777" w:rsidR="004053CA" w:rsidRDefault="00EA72C2" w:rsidP="004053CA">
      <w:pPr>
        <w:keepNext/>
        <w:tabs>
          <w:tab w:val="left" w:pos="1754"/>
        </w:tabs>
        <w:jc w:val="center"/>
      </w:pPr>
      <w:r>
        <w:rPr>
          <w:noProof/>
        </w:rPr>
        <w:drawing>
          <wp:inline distT="0" distB="0" distL="0" distR="0" wp14:anchorId="3E801699" wp14:editId="047D692F">
            <wp:extent cx="2987040" cy="1767840"/>
            <wp:effectExtent l="0" t="0" r="3810" b="381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987040" cy="1767840"/>
                    </a:xfrm>
                    <a:prstGeom prst="rect">
                      <a:avLst/>
                    </a:prstGeom>
                    <a:noFill/>
                    <a:ln>
                      <a:noFill/>
                    </a:ln>
                  </pic:spPr>
                </pic:pic>
              </a:graphicData>
            </a:graphic>
          </wp:inline>
        </w:drawing>
      </w:r>
    </w:p>
    <w:p w14:paraId="5C5BEB2F" w14:textId="73CC44FD" w:rsidR="00F321BA" w:rsidRDefault="004053CA" w:rsidP="00F321BA">
      <w:pPr>
        <w:spacing w:after="0"/>
        <w:ind w:firstLine="288"/>
        <w:jc w:val="center"/>
      </w:pPr>
      <w:bookmarkStart w:id="126" w:name="_Toc58625292"/>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17</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w:t>
      </w:r>
      <w:r w:rsidR="00846C99" w:rsidRPr="00F321BA">
        <w:rPr>
          <w:rFonts w:ascii="Arial" w:eastAsia="Times New Roman" w:hAnsi="Arial" w:cs="Times New Roman"/>
          <w:b/>
          <w:sz w:val="16"/>
          <w:szCs w:val="20"/>
        </w:rPr>
        <w:t>Normal Pump card</w:t>
      </w:r>
      <w:r w:rsidR="00F321BA">
        <w:rPr>
          <w:i/>
          <w:iCs/>
        </w:rPr>
        <w:t xml:space="preserve"> </w:t>
      </w:r>
      <w:r w:rsidR="00F321BA" w:rsidRPr="0069167D">
        <w:rPr>
          <w:rFonts w:ascii="Arial" w:eastAsia="Times New Roman" w:hAnsi="Arial" w:cs="Times New Roman"/>
          <w:b/>
          <w:sz w:val="16"/>
          <w:szCs w:val="20"/>
        </w:rPr>
        <w:t>(Tan et al. 2015).</w:t>
      </w:r>
      <w:bookmarkEnd w:id="126"/>
    </w:p>
    <w:p w14:paraId="14894530" w14:textId="4D5A4A22" w:rsidR="00F37364" w:rsidRDefault="00F37364" w:rsidP="004053CA">
      <w:pPr>
        <w:pStyle w:val="Caption"/>
        <w:rPr>
          <w:i w:val="0"/>
          <w:iCs w:val="0"/>
        </w:rPr>
      </w:pPr>
    </w:p>
    <w:p w14:paraId="2011BCE1" w14:textId="6387D02A" w:rsidR="00846C99" w:rsidRDefault="00846C99" w:rsidP="00846C99"/>
    <w:p w14:paraId="6C49BF96" w14:textId="6447BFA5" w:rsidR="00846C99" w:rsidRDefault="00846C99" w:rsidP="00846C99"/>
    <w:p w14:paraId="5D71AD6E" w14:textId="77777777" w:rsidR="00F103B9" w:rsidRDefault="00F103B9" w:rsidP="00F103B9">
      <w:pPr>
        <w:keepNext/>
        <w:jc w:val="center"/>
      </w:pPr>
      <w:r>
        <w:rPr>
          <w:noProof/>
        </w:rPr>
        <w:lastRenderedPageBreak/>
        <w:drawing>
          <wp:inline distT="0" distB="0" distL="0" distR="0" wp14:anchorId="0C1F4404" wp14:editId="27CF6137">
            <wp:extent cx="2979420" cy="176022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979420" cy="1760220"/>
                    </a:xfrm>
                    <a:prstGeom prst="rect">
                      <a:avLst/>
                    </a:prstGeom>
                    <a:noFill/>
                    <a:ln>
                      <a:noFill/>
                    </a:ln>
                  </pic:spPr>
                </pic:pic>
              </a:graphicData>
            </a:graphic>
          </wp:inline>
        </w:drawing>
      </w:r>
    </w:p>
    <w:p w14:paraId="20BEBA5E" w14:textId="70287D1B" w:rsidR="00F321BA" w:rsidRDefault="00F103B9" w:rsidP="00F321BA">
      <w:pPr>
        <w:spacing w:after="0"/>
        <w:ind w:firstLine="288"/>
        <w:jc w:val="center"/>
      </w:pPr>
      <w:bookmarkStart w:id="127" w:name="_Toc58625293"/>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18</w:t>
      </w:r>
      <w:r w:rsidRPr="00F321BA">
        <w:rPr>
          <w:rFonts w:ascii="Arial" w:eastAsia="Times New Roman" w:hAnsi="Arial" w:cs="Times New Roman"/>
          <w:b/>
          <w:sz w:val="16"/>
          <w:szCs w:val="20"/>
        </w:rPr>
        <w:fldChar w:fldCharType="end"/>
      </w:r>
      <w:r w:rsidR="00664623" w:rsidRPr="00F321BA">
        <w:rPr>
          <w:rFonts w:ascii="Arial" w:eastAsia="Times New Roman" w:hAnsi="Arial" w:cs="Times New Roman"/>
          <w:b/>
          <w:sz w:val="16"/>
          <w:szCs w:val="20"/>
        </w:rPr>
        <w:t>—Severe case of fluid pound</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27"/>
    </w:p>
    <w:p w14:paraId="2F901B59" w14:textId="50005DDF" w:rsidR="00846C99" w:rsidRDefault="00846C99" w:rsidP="00F103B9">
      <w:pPr>
        <w:pStyle w:val="Caption"/>
        <w:rPr>
          <w:i w:val="0"/>
          <w:iCs w:val="0"/>
        </w:rPr>
      </w:pPr>
    </w:p>
    <w:p w14:paraId="26B4A719" w14:textId="77777777" w:rsidR="00F10C56" w:rsidRDefault="00F10C56" w:rsidP="00F10C56">
      <w:pPr>
        <w:keepNext/>
        <w:jc w:val="center"/>
      </w:pPr>
      <w:r>
        <w:rPr>
          <w:noProof/>
        </w:rPr>
        <w:drawing>
          <wp:inline distT="0" distB="0" distL="0" distR="0" wp14:anchorId="7A29A332" wp14:editId="100B6647">
            <wp:extent cx="3025140" cy="1805940"/>
            <wp:effectExtent l="0" t="0" r="381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025140" cy="1805940"/>
                    </a:xfrm>
                    <a:prstGeom prst="rect">
                      <a:avLst/>
                    </a:prstGeom>
                    <a:noFill/>
                    <a:ln>
                      <a:noFill/>
                    </a:ln>
                  </pic:spPr>
                </pic:pic>
              </a:graphicData>
            </a:graphic>
          </wp:inline>
        </w:drawing>
      </w:r>
    </w:p>
    <w:p w14:paraId="52620638" w14:textId="35ED1150" w:rsidR="00F321BA" w:rsidRDefault="00F10C56" w:rsidP="00F321BA">
      <w:pPr>
        <w:spacing w:after="0"/>
        <w:ind w:firstLine="288"/>
        <w:jc w:val="center"/>
      </w:pPr>
      <w:bookmarkStart w:id="128" w:name="_Toc58625294"/>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19</w:t>
      </w:r>
      <w:r w:rsidRPr="00F321BA">
        <w:rPr>
          <w:rFonts w:ascii="Arial" w:eastAsia="Times New Roman" w:hAnsi="Arial" w:cs="Times New Roman"/>
          <w:b/>
          <w:sz w:val="16"/>
          <w:szCs w:val="20"/>
        </w:rPr>
        <w:fldChar w:fldCharType="end"/>
      </w:r>
      <w:r w:rsidR="008C6D3F" w:rsidRPr="00F321BA">
        <w:rPr>
          <w:rFonts w:ascii="Arial" w:eastAsia="Times New Roman" w:hAnsi="Arial" w:cs="Times New Roman"/>
          <w:b/>
          <w:sz w:val="16"/>
          <w:szCs w:val="20"/>
        </w:rPr>
        <w:t>—</w:t>
      </w:r>
      <w:r w:rsidRPr="00F321BA">
        <w:rPr>
          <w:rFonts w:ascii="Arial" w:eastAsia="Times New Roman" w:hAnsi="Arial" w:cs="Times New Roman"/>
          <w:b/>
          <w:sz w:val="16"/>
          <w:szCs w:val="20"/>
        </w:rPr>
        <w:t>Light case of fluid pound</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28"/>
    </w:p>
    <w:p w14:paraId="4026FE42" w14:textId="15956BD0" w:rsidR="00664623" w:rsidRPr="001943DC" w:rsidRDefault="00664623" w:rsidP="00F10C56">
      <w:pPr>
        <w:pStyle w:val="Caption"/>
        <w:rPr>
          <w:i w:val="0"/>
          <w:iCs w:val="0"/>
        </w:rPr>
      </w:pPr>
    </w:p>
    <w:p w14:paraId="0F6CB8C9" w14:textId="77777777" w:rsidR="00BD6266" w:rsidRDefault="008C6D3F" w:rsidP="00BD6266">
      <w:pPr>
        <w:keepNext/>
        <w:jc w:val="center"/>
      </w:pPr>
      <w:r>
        <w:rPr>
          <w:noProof/>
        </w:rPr>
        <w:drawing>
          <wp:inline distT="0" distB="0" distL="0" distR="0" wp14:anchorId="7D136342" wp14:editId="1FFA6380">
            <wp:extent cx="2948940" cy="1790700"/>
            <wp:effectExtent l="0" t="0" r="381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948940" cy="1790700"/>
                    </a:xfrm>
                    <a:prstGeom prst="rect">
                      <a:avLst/>
                    </a:prstGeom>
                    <a:noFill/>
                    <a:ln>
                      <a:noFill/>
                    </a:ln>
                  </pic:spPr>
                </pic:pic>
              </a:graphicData>
            </a:graphic>
          </wp:inline>
        </w:drawing>
      </w:r>
    </w:p>
    <w:p w14:paraId="13B61F53" w14:textId="3EE14ABD" w:rsidR="00F321BA" w:rsidRPr="00F321BA" w:rsidRDefault="00BD6266" w:rsidP="00F321BA">
      <w:pPr>
        <w:spacing w:after="0"/>
        <w:ind w:firstLine="288"/>
        <w:jc w:val="center"/>
        <w:rPr>
          <w:rFonts w:ascii="Arial" w:eastAsia="Times New Roman" w:hAnsi="Arial" w:cs="Times New Roman"/>
          <w:b/>
          <w:sz w:val="16"/>
          <w:szCs w:val="20"/>
        </w:rPr>
      </w:pPr>
      <w:bookmarkStart w:id="129" w:name="_Toc58625295"/>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20</w:t>
      </w:r>
      <w:r w:rsidRPr="00F321BA">
        <w:rPr>
          <w:rFonts w:ascii="Arial" w:eastAsia="Times New Roman" w:hAnsi="Arial" w:cs="Times New Roman"/>
          <w:b/>
          <w:sz w:val="16"/>
          <w:szCs w:val="20"/>
        </w:rPr>
        <w:fldChar w:fldCharType="end"/>
      </w:r>
      <w:r w:rsidR="00677DBF" w:rsidRPr="00F321BA">
        <w:rPr>
          <w:rFonts w:ascii="Arial" w:eastAsia="Times New Roman" w:hAnsi="Arial" w:cs="Times New Roman"/>
          <w:b/>
          <w:sz w:val="16"/>
          <w:szCs w:val="20"/>
        </w:rPr>
        <w:t>—</w:t>
      </w:r>
      <w:r w:rsidRPr="00F321BA">
        <w:rPr>
          <w:rFonts w:ascii="Arial" w:eastAsia="Times New Roman" w:hAnsi="Arial" w:cs="Times New Roman"/>
          <w:b/>
          <w:sz w:val="16"/>
          <w:szCs w:val="20"/>
        </w:rPr>
        <w:t>Pump with high viscosity oil</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29"/>
    </w:p>
    <w:p w14:paraId="22086250" w14:textId="4CDC7F81" w:rsidR="00BD6266" w:rsidRPr="00677DBF" w:rsidRDefault="00BD6266" w:rsidP="00BD6266">
      <w:pPr>
        <w:jc w:val="center"/>
        <w:rPr>
          <w:b/>
          <w:bCs/>
        </w:rPr>
      </w:pPr>
    </w:p>
    <w:p w14:paraId="12034D3A" w14:textId="36B058DA" w:rsidR="008C6D3F" w:rsidRPr="008C6D3F" w:rsidRDefault="008C6D3F" w:rsidP="00BD6266">
      <w:pPr>
        <w:pStyle w:val="Caption"/>
      </w:pPr>
    </w:p>
    <w:p w14:paraId="597272BD" w14:textId="16A8935B" w:rsidR="00F37364" w:rsidRDefault="00F37364" w:rsidP="00D87ADA">
      <w:pPr>
        <w:tabs>
          <w:tab w:val="left" w:pos="1754"/>
        </w:tabs>
        <w:jc w:val="center"/>
        <w:rPr>
          <w:rFonts w:ascii="Arial" w:hAnsi="Arial" w:cs="Arial"/>
          <w:b/>
          <w:bCs/>
          <w:sz w:val="16"/>
          <w:szCs w:val="16"/>
        </w:rPr>
      </w:pPr>
    </w:p>
    <w:p w14:paraId="154DCDD4" w14:textId="77777777" w:rsidR="005D59F7" w:rsidRDefault="005D59F7" w:rsidP="005D59F7">
      <w:pPr>
        <w:keepNext/>
        <w:tabs>
          <w:tab w:val="left" w:pos="1754"/>
        </w:tabs>
        <w:jc w:val="center"/>
      </w:pPr>
      <w:r>
        <w:rPr>
          <w:noProof/>
        </w:rPr>
        <w:drawing>
          <wp:inline distT="0" distB="0" distL="0" distR="0" wp14:anchorId="316BF90D" wp14:editId="3412B411">
            <wp:extent cx="2987040" cy="1798320"/>
            <wp:effectExtent l="0" t="0" r="381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987040" cy="1798320"/>
                    </a:xfrm>
                    <a:prstGeom prst="rect">
                      <a:avLst/>
                    </a:prstGeom>
                    <a:noFill/>
                    <a:ln>
                      <a:noFill/>
                    </a:ln>
                  </pic:spPr>
                </pic:pic>
              </a:graphicData>
            </a:graphic>
          </wp:inline>
        </w:drawing>
      </w:r>
    </w:p>
    <w:p w14:paraId="211651FD" w14:textId="23E9CAC4" w:rsidR="00F321BA" w:rsidRDefault="005D59F7" w:rsidP="00F321BA">
      <w:pPr>
        <w:spacing w:after="0"/>
        <w:ind w:firstLine="288"/>
        <w:jc w:val="center"/>
      </w:pPr>
      <w:bookmarkStart w:id="130" w:name="_Toc58625296"/>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21</w:t>
      </w:r>
      <w:r w:rsidRPr="00F321BA">
        <w:rPr>
          <w:rFonts w:ascii="Arial" w:eastAsia="Times New Roman" w:hAnsi="Arial" w:cs="Times New Roman"/>
          <w:b/>
          <w:sz w:val="16"/>
          <w:szCs w:val="20"/>
        </w:rPr>
        <w:fldChar w:fldCharType="end"/>
      </w:r>
      <w:r w:rsidR="007B2F75" w:rsidRPr="00F321BA">
        <w:rPr>
          <w:rFonts w:ascii="Arial" w:eastAsia="Times New Roman" w:hAnsi="Arial" w:cs="Times New Roman"/>
          <w:b/>
          <w:sz w:val="16"/>
          <w:szCs w:val="20"/>
        </w:rPr>
        <w:t>—</w:t>
      </w:r>
      <w:r w:rsidRPr="00F321BA">
        <w:rPr>
          <w:rFonts w:ascii="Arial" w:eastAsia="Times New Roman" w:hAnsi="Arial" w:cs="Times New Roman"/>
          <w:b/>
          <w:sz w:val="16"/>
          <w:szCs w:val="20"/>
        </w:rPr>
        <w:t xml:space="preserve">Sand </w:t>
      </w:r>
      <w:r w:rsidR="00B450A4" w:rsidRPr="00F321BA">
        <w:rPr>
          <w:rFonts w:ascii="Arial" w:eastAsia="Times New Roman" w:hAnsi="Arial" w:cs="Times New Roman"/>
          <w:b/>
          <w:sz w:val="16"/>
          <w:szCs w:val="20"/>
        </w:rPr>
        <w:t>i</w:t>
      </w:r>
      <w:r w:rsidRPr="00F321BA">
        <w:rPr>
          <w:rFonts w:ascii="Arial" w:eastAsia="Times New Roman" w:hAnsi="Arial" w:cs="Times New Roman"/>
          <w:b/>
          <w:sz w:val="16"/>
          <w:szCs w:val="20"/>
        </w:rPr>
        <w:t>nterference</w:t>
      </w:r>
      <w:r w:rsidR="007B2F75" w:rsidRPr="00F321BA">
        <w:rPr>
          <w:rFonts w:ascii="Arial" w:eastAsia="Times New Roman" w:hAnsi="Arial" w:cs="Times New Roman"/>
          <w:b/>
          <w:sz w:val="16"/>
          <w:szCs w:val="20"/>
        </w:rPr>
        <w:t xml:space="preserve"> inside the pump</w:t>
      </w:r>
      <w:r w:rsidR="00F321BA">
        <w:rPr>
          <w:i/>
          <w:iCs/>
        </w:rPr>
        <w:t xml:space="preserve"> </w:t>
      </w:r>
      <w:r w:rsidR="00F321BA" w:rsidRPr="0069167D">
        <w:rPr>
          <w:rFonts w:ascii="Arial" w:eastAsia="Times New Roman" w:hAnsi="Arial" w:cs="Times New Roman"/>
          <w:b/>
          <w:sz w:val="16"/>
          <w:szCs w:val="20"/>
        </w:rPr>
        <w:t>(Tan et al. 2015).</w:t>
      </w:r>
      <w:bookmarkEnd w:id="130"/>
    </w:p>
    <w:p w14:paraId="5C29C39A" w14:textId="7054080F" w:rsidR="00F37364" w:rsidRDefault="00F37364" w:rsidP="005D59F7">
      <w:pPr>
        <w:pStyle w:val="Caption"/>
        <w:rPr>
          <w:i w:val="0"/>
          <w:iCs w:val="0"/>
        </w:rPr>
      </w:pPr>
    </w:p>
    <w:p w14:paraId="5ABE35E5" w14:textId="77777777" w:rsidR="00947386" w:rsidRDefault="00E02521" w:rsidP="00947386">
      <w:pPr>
        <w:keepNext/>
        <w:jc w:val="center"/>
      </w:pPr>
      <w:r>
        <w:rPr>
          <w:noProof/>
        </w:rPr>
        <w:drawing>
          <wp:inline distT="0" distB="0" distL="0" distR="0" wp14:anchorId="1A51DBE7" wp14:editId="1CB939A1">
            <wp:extent cx="2956560" cy="17526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956560" cy="1752600"/>
                    </a:xfrm>
                    <a:prstGeom prst="rect">
                      <a:avLst/>
                    </a:prstGeom>
                    <a:noFill/>
                    <a:ln>
                      <a:noFill/>
                    </a:ln>
                  </pic:spPr>
                </pic:pic>
              </a:graphicData>
            </a:graphic>
          </wp:inline>
        </w:drawing>
      </w:r>
    </w:p>
    <w:p w14:paraId="67D1F911" w14:textId="29F4CFFD" w:rsidR="00F321BA" w:rsidRDefault="00947386" w:rsidP="00F321BA">
      <w:pPr>
        <w:spacing w:after="0"/>
        <w:ind w:firstLine="288"/>
        <w:jc w:val="center"/>
      </w:pPr>
      <w:bookmarkStart w:id="131" w:name="_Toc58625297"/>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22</w:t>
      </w:r>
      <w:r w:rsidRPr="00F321BA">
        <w:rPr>
          <w:rFonts w:ascii="Arial" w:eastAsia="Times New Roman" w:hAnsi="Arial" w:cs="Times New Roman"/>
          <w:b/>
          <w:sz w:val="16"/>
          <w:szCs w:val="20"/>
        </w:rPr>
        <w:fldChar w:fldCharType="end"/>
      </w:r>
      <w:r w:rsidR="00E841CB" w:rsidRPr="00F321BA">
        <w:rPr>
          <w:rFonts w:ascii="Arial" w:eastAsia="Times New Roman" w:hAnsi="Arial" w:cs="Times New Roman"/>
          <w:b/>
          <w:sz w:val="16"/>
          <w:szCs w:val="20"/>
        </w:rPr>
        <w:t>—</w:t>
      </w:r>
      <w:r w:rsidRPr="00F321BA">
        <w:rPr>
          <w:rFonts w:ascii="Arial" w:eastAsia="Times New Roman" w:hAnsi="Arial" w:cs="Times New Roman"/>
          <w:b/>
          <w:sz w:val="16"/>
          <w:szCs w:val="20"/>
        </w:rPr>
        <w:t xml:space="preserve">Severe </w:t>
      </w:r>
      <w:r w:rsidR="00B450A4" w:rsidRPr="00F321BA">
        <w:rPr>
          <w:rFonts w:ascii="Arial" w:eastAsia="Times New Roman" w:hAnsi="Arial" w:cs="Times New Roman"/>
          <w:b/>
          <w:sz w:val="16"/>
          <w:szCs w:val="20"/>
        </w:rPr>
        <w:t>g</w:t>
      </w:r>
      <w:r w:rsidRPr="00F321BA">
        <w:rPr>
          <w:rFonts w:ascii="Arial" w:eastAsia="Times New Roman" w:hAnsi="Arial" w:cs="Times New Roman"/>
          <w:b/>
          <w:sz w:val="16"/>
          <w:szCs w:val="20"/>
        </w:rPr>
        <w:t xml:space="preserve">as </w:t>
      </w:r>
      <w:r w:rsidR="00B450A4" w:rsidRPr="00F321BA">
        <w:rPr>
          <w:rFonts w:ascii="Arial" w:eastAsia="Times New Roman" w:hAnsi="Arial" w:cs="Times New Roman"/>
          <w:b/>
          <w:sz w:val="16"/>
          <w:szCs w:val="20"/>
        </w:rPr>
        <w:t>i</w:t>
      </w:r>
      <w:r w:rsidRPr="00F321BA">
        <w:rPr>
          <w:rFonts w:ascii="Arial" w:eastAsia="Times New Roman" w:hAnsi="Arial" w:cs="Times New Roman"/>
          <w:b/>
          <w:sz w:val="16"/>
          <w:szCs w:val="20"/>
        </w:rPr>
        <w:t>nterference</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1"/>
    </w:p>
    <w:p w14:paraId="213E7AFE" w14:textId="7D4CF11D" w:rsidR="007B2F75" w:rsidRDefault="007B2F75" w:rsidP="00947386">
      <w:pPr>
        <w:pStyle w:val="Caption"/>
        <w:rPr>
          <w:i w:val="0"/>
          <w:iCs w:val="0"/>
        </w:rPr>
      </w:pPr>
    </w:p>
    <w:p w14:paraId="281F2C92" w14:textId="77777777" w:rsidR="002571C0" w:rsidRDefault="002571C0" w:rsidP="002571C0">
      <w:pPr>
        <w:keepNext/>
        <w:jc w:val="center"/>
      </w:pPr>
      <w:r>
        <w:rPr>
          <w:noProof/>
        </w:rPr>
        <w:lastRenderedPageBreak/>
        <w:drawing>
          <wp:inline distT="0" distB="0" distL="0" distR="0" wp14:anchorId="4AA46617" wp14:editId="20F0B0CC">
            <wp:extent cx="3002280" cy="177546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02280" cy="1775460"/>
                    </a:xfrm>
                    <a:prstGeom prst="rect">
                      <a:avLst/>
                    </a:prstGeom>
                    <a:noFill/>
                    <a:ln>
                      <a:noFill/>
                    </a:ln>
                  </pic:spPr>
                </pic:pic>
              </a:graphicData>
            </a:graphic>
          </wp:inline>
        </w:drawing>
      </w:r>
    </w:p>
    <w:p w14:paraId="03FE7CD7" w14:textId="3E7ED691" w:rsidR="00F321BA" w:rsidRDefault="002571C0" w:rsidP="00F321BA">
      <w:pPr>
        <w:spacing w:after="0"/>
        <w:ind w:firstLine="288"/>
        <w:jc w:val="center"/>
      </w:pPr>
      <w:bookmarkStart w:id="132" w:name="_Toc58625298"/>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23</w:t>
      </w:r>
      <w:r w:rsidRPr="00F321BA">
        <w:rPr>
          <w:rFonts w:ascii="Arial" w:eastAsia="Times New Roman" w:hAnsi="Arial" w:cs="Times New Roman"/>
          <w:b/>
          <w:sz w:val="16"/>
          <w:szCs w:val="20"/>
        </w:rPr>
        <w:fldChar w:fldCharType="end"/>
      </w:r>
      <w:r w:rsidR="00E841CB" w:rsidRPr="00F321BA">
        <w:rPr>
          <w:rFonts w:ascii="Arial" w:eastAsia="Times New Roman" w:hAnsi="Arial" w:cs="Times New Roman"/>
          <w:b/>
          <w:sz w:val="16"/>
          <w:szCs w:val="20"/>
        </w:rPr>
        <w:t>—</w:t>
      </w:r>
      <w:r w:rsidRPr="00F321BA">
        <w:rPr>
          <w:rFonts w:ascii="Arial" w:eastAsia="Times New Roman" w:hAnsi="Arial" w:cs="Times New Roman"/>
          <w:b/>
          <w:sz w:val="16"/>
          <w:szCs w:val="20"/>
        </w:rPr>
        <w:t>Light</w:t>
      </w:r>
      <w:r w:rsidR="00E841CB" w:rsidRPr="00F321BA">
        <w:rPr>
          <w:rFonts w:ascii="Arial" w:eastAsia="Times New Roman" w:hAnsi="Arial" w:cs="Times New Roman"/>
          <w:b/>
          <w:sz w:val="16"/>
          <w:szCs w:val="20"/>
        </w:rPr>
        <w:t xml:space="preserve"> case of</w:t>
      </w:r>
      <w:r w:rsidRPr="00F321BA">
        <w:rPr>
          <w:rFonts w:ascii="Arial" w:eastAsia="Times New Roman" w:hAnsi="Arial" w:cs="Times New Roman"/>
          <w:b/>
          <w:sz w:val="16"/>
          <w:szCs w:val="20"/>
        </w:rPr>
        <w:t xml:space="preserve"> </w:t>
      </w:r>
      <w:r w:rsidR="00B450A4" w:rsidRPr="00F321BA">
        <w:rPr>
          <w:rFonts w:ascii="Arial" w:eastAsia="Times New Roman" w:hAnsi="Arial" w:cs="Times New Roman"/>
          <w:b/>
          <w:sz w:val="16"/>
          <w:szCs w:val="20"/>
        </w:rPr>
        <w:t>g</w:t>
      </w:r>
      <w:r w:rsidRPr="00F321BA">
        <w:rPr>
          <w:rFonts w:ascii="Arial" w:eastAsia="Times New Roman" w:hAnsi="Arial" w:cs="Times New Roman"/>
          <w:b/>
          <w:sz w:val="16"/>
          <w:szCs w:val="20"/>
        </w:rPr>
        <w:t>as</w:t>
      </w:r>
      <w:r w:rsidR="00E841CB" w:rsidRPr="00F321BA">
        <w:rPr>
          <w:rFonts w:ascii="Arial" w:eastAsia="Times New Roman" w:hAnsi="Arial" w:cs="Times New Roman"/>
          <w:b/>
          <w:sz w:val="16"/>
          <w:szCs w:val="20"/>
        </w:rPr>
        <w:t xml:space="preserve"> </w:t>
      </w:r>
      <w:r w:rsidR="00B450A4" w:rsidRPr="00F321BA">
        <w:rPr>
          <w:rFonts w:ascii="Arial" w:eastAsia="Times New Roman" w:hAnsi="Arial" w:cs="Times New Roman"/>
          <w:b/>
          <w:sz w:val="16"/>
          <w:szCs w:val="20"/>
        </w:rPr>
        <w:t>i</w:t>
      </w:r>
      <w:r w:rsidR="00E841CB" w:rsidRPr="00F321BA">
        <w:rPr>
          <w:rFonts w:ascii="Arial" w:eastAsia="Times New Roman" w:hAnsi="Arial" w:cs="Times New Roman"/>
          <w:b/>
          <w:sz w:val="16"/>
          <w:szCs w:val="20"/>
        </w:rPr>
        <w:t>nterference</w:t>
      </w:r>
      <w:r w:rsidR="00F321BA">
        <w:rPr>
          <w:i/>
          <w:iCs/>
        </w:rPr>
        <w:t xml:space="preserve"> </w:t>
      </w:r>
      <w:r w:rsidR="00F321BA" w:rsidRPr="0069167D">
        <w:rPr>
          <w:rFonts w:ascii="Arial" w:eastAsia="Times New Roman" w:hAnsi="Arial" w:cs="Times New Roman"/>
          <w:b/>
          <w:sz w:val="16"/>
          <w:szCs w:val="20"/>
        </w:rPr>
        <w:t>(Tan et al. 2015).</w:t>
      </w:r>
      <w:bookmarkEnd w:id="132"/>
    </w:p>
    <w:p w14:paraId="7E070395" w14:textId="6E2157B3" w:rsidR="00F37364" w:rsidRDefault="00F37364" w:rsidP="00D87ADA">
      <w:pPr>
        <w:tabs>
          <w:tab w:val="left" w:pos="1754"/>
        </w:tabs>
        <w:jc w:val="center"/>
        <w:rPr>
          <w:rFonts w:ascii="Arial" w:hAnsi="Arial" w:cs="Arial"/>
          <w:b/>
          <w:bCs/>
          <w:sz w:val="16"/>
          <w:szCs w:val="16"/>
        </w:rPr>
      </w:pPr>
    </w:p>
    <w:p w14:paraId="0150D6EE" w14:textId="77777777" w:rsidR="00B1407F" w:rsidRDefault="00062749" w:rsidP="00B1407F">
      <w:pPr>
        <w:keepNext/>
        <w:tabs>
          <w:tab w:val="left" w:pos="1754"/>
        </w:tabs>
        <w:jc w:val="center"/>
      </w:pPr>
      <w:r>
        <w:rPr>
          <w:noProof/>
        </w:rPr>
        <w:drawing>
          <wp:inline distT="0" distB="0" distL="0" distR="0" wp14:anchorId="35AB1C43" wp14:editId="640042C5">
            <wp:extent cx="2979420" cy="17602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979420" cy="1760220"/>
                    </a:xfrm>
                    <a:prstGeom prst="rect">
                      <a:avLst/>
                    </a:prstGeom>
                    <a:noFill/>
                    <a:ln>
                      <a:noFill/>
                    </a:ln>
                  </pic:spPr>
                </pic:pic>
              </a:graphicData>
            </a:graphic>
          </wp:inline>
        </w:drawing>
      </w:r>
    </w:p>
    <w:p w14:paraId="20351150" w14:textId="608689DA" w:rsidR="00F321BA" w:rsidRDefault="00B1407F" w:rsidP="00F321BA">
      <w:pPr>
        <w:spacing w:after="0"/>
        <w:ind w:firstLine="288"/>
        <w:jc w:val="center"/>
        <w:rPr>
          <w:rFonts w:ascii="Arial" w:eastAsia="Times New Roman" w:hAnsi="Arial" w:cs="Times New Roman"/>
          <w:b/>
          <w:sz w:val="16"/>
          <w:szCs w:val="20"/>
        </w:rPr>
      </w:pPr>
      <w:bookmarkStart w:id="133" w:name="_Toc58625299"/>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24</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w:t>
      </w:r>
      <w:r w:rsidR="00C42EC4" w:rsidRPr="00F321BA">
        <w:rPr>
          <w:rFonts w:ascii="Arial" w:eastAsia="Times New Roman" w:hAnsi="Arial" w:cs="Times New Roman"/>
          <w:b/>
          <w:sz w:val="16"/>
          <w:szCs w:val="20"/>
        </w:rPr>
        <w:t xml:space="preserve">Leaking </w:t>
      </w:r>
      <w:r w:rsidR="00B450A4" w:rsidRPr="00F321BA">
        <w:rPr>
          <w:rFonts w:ascii="Arial" w:eastAsia="Times New Roman" w:hAnsi="Arial" w:cs="Times New Roman"/>
          <w:b/>
          <w:sz w:val="16"/>
          <w:szCs w:val="20"/>
        </w:rPr>
        <w:t>i</w:t>
      </w:r>
      <w:r w:rsidR="00C42EC4" w:rsidRPr="00F321BA">
        <w:rPr>
          <w:rFonts w:ascii="Arial" w:eastAsia="Times New Roman" w:hAnsi="Arial" w:cs="Times New Roman"/>
          <w:b/>
          <w:sz w:val="16"/>
          <w:szCs w:val="20"/>
        </w:rPr>
        <w:t xml:space="preserve">nlet </w:t>
      </w:r>
      <w:r w:rsidR="00B450A4" w:rsidRPr="00F321BA">
        <w:rPr>
          <w:rFonts w:ascii="Arial" w:eastAsia="Times New Roman" w:hAnsi="Arial" w:cs="Times New Roman"/>
          <w:b/>
          <w:sz w:val="16"/>
          <w:szCs w:val="20"/>
        </w:rPr>
        <w:t>v</w:t>
      </w:r>
      <w:r w:rsidR="00C42EC4" w:rsidRPr="00F321BA">
        <w:rPr>
          <w:rFonts w:ascii="Arial" w:eastAsia="Times New Roman" w:hAnsi="Arial" w:cs="Times New Roman"/>
          <w:b/>
          <w:sz w:val="16"/>
          <w:szCs w:val="20"/>
        </w:rPr>
        <w:t>alve</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3"/>
    </w:p>
    <w:p w14:paraId="3FFA2561" w14:textId="77777777" w:rsidR="00D83E5D" w:rsidRDefault="00D83E5D" w:rsidP="00F321BA">
      <w:pPr>
        <w:spacing w:after="0"/>
        <w:ind w:firstLine="288"/>
        <w:jc w:val="center"/>
      </w:pPr>
    </w:p>
    <w:p w14:paraId="10709F58" w14:textId="77777777" w:rsidR="00B55835" w:rsidRDefault="00B55835" w:rsidP="00B55835">
      <w:pPr>
        <w:keepNext/>
        <w:jc w:val="center"/>
      </w:pPr>
      <w:r>
        <w:rPr>
          <w:noProof/>
        </w:rPr>
        <w:drawing>
          <wp:inline distT="0" distB="0" distL="0" distR="0" wp14:anchorId="7032E30F" wp14:editId="5F36126D">
            <wp:extent cx="3009900" cy="17754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009900" cy="1775460"/>
                    </a:xfrm>
                    <a:prstGeom prst="rect">
                      <a:avLst/>
                    </a:prstGeom>
                    <a:noFill/>
                    <a:ln>
                      <a:noFill/>
                    </a:ln>
                  </pic:spPr>
                </pic:pic>
              </a:graphicData>
            </a:graphic>
          </wp:inline>
        </w:drawing>
      </w:r>
    </w:p>
    <w:p w14:paraId="42B17074" w14:textId="37C3D2EE" w:rsidR="00F321BA" w:rsidRDefault="00B55835" w:rsidP="00F321BA">
      <w:pPr>
        <w:spacing w:after="0"/>
        <w:ind w:firstLine="288"/>
        <w:jc w:val="center"/>
      </w:pPr>
      <w:bookmarkStart w:id="134" w:name="_Toc58625300"/>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25</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 xml:space="preserve">—Leaking </w:t>
      </w:r>
      <w:r w:rsidR="00B450A4" w:rsidRPr="00F321BA">
        <w:rPr>
          <w:rFonts w:ascii="Arial" w:eastAsia="Times New Roman" w:hAnsi="Arial" w:cs="Times New Roman"/>
          <w:b/>
          <w:sz w:val="16"/>
          <w:szCs w:val="20"/>
        </w:rPr>
        <w:t>o</w:t>
      </w:r>
      <w:r w:rsidRPr="00F321BA">
        <w:rPr>
          <w:rFonts w:ascii="Arial" w:eastAsia="Times New Roman" w:hAnsi="Arial" w:cs="Times New Roman"/>
          <w:b/>
          <w:sz w:val="16"/>
          <w:szCs w:val="20"/>
        </w:rPr>
        <w:t xml:space="preserve">utlet </w:t>
      </w:r>
      <w:r w:rsidR="00B450A4" w:rsidRPr="00F321BA">
        <w:rPr>
          <w:rFonts w:ascii="Arial" w:eastAsia="Times New Roman" w:hAnsi="Arial" w:cs="Times New Roman"/>
          <w:b/>
          <w:sz w:val="16"/>
          <w:szCs w:val="20"/>
        </w:rPr>
        <w:t>v</w:t>
      </w:r>
      <w:r w:rsidRPr="00F321BA">
        <w:rPr>
          <w:rFonts w:ascii="Arial" w:eastAsia="Times New Roman" w:hAnsi="Arial" w:cs="Times New Roman"/>
          <w:b/>
          <w:sz w:val="16"/>
          <w:szCs w:val="20"/>
        </w:rPr>
        <w:t>alve</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4"/>
    </w:p>
    <w:p w14:paraId="2BCB41F0" w14:textId="2C33F2CD" w:rsidR="00B55835" w:rsidRPr="00C42EC4" w:rsidRDefault="00B55835" w:rsidP="00C147A4">
      <w:pPr>
        <w:pStyle w:val="Caption"/>
      </w:pPr>
    </w:p>
    <w:p w14:paraId="37CA79D5" w14:textId="77777777" w:rsidR="00C147A4" w:rsidRDefault="00B72FD2" w:rsidP="00C147A4">
      <w:pPr>
        <w:keepNext/>
        <w:tabs>
          <w:tab w:val="left" w:pos="1754"/>
        </w:tabs>
        <w:jc w:val="center"/>
      </w:pPr>
      <w:r>
        <w:rPr>
          <w:noProof/>
        </w:rPr>
        <w:lastRenderedPageBreak/>
        <w:drawing>
          <wp:inline distT="0" distB="0" distL="0" distR="0" wp14:anchorId="754FF07A" wp14:editId="61086074">
            <wp:extent cx="3009900" cy="1790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009900" cy="1790700"/>
                    </a:xfrm>
                    <a:prstGeom prst="rect">
                      <a:avLst/>
                    </a:prstGeom>
                    <a:noFill/>
                    <a:ln>
                      <a:noFill/>
                    </a:ln>
                  </pic:spPr>
                </pic:pic>
              </a:graphicData>
            </a:graphic>
          </wp:inline>
        </w:drawing>
      </w:r>
    </w:p>
    <w:p w14:paraId="0A1DC801" w14:textId="0C8372DF" w:rsidR="00F321BA" w:rsidRDefault="00C147A4" w:rsidP="00F321BA">
      <w:pPr>
        <w:spacing w:after="0"/>
        <w:ind w:firstLine="288"/>
        <w:jc w:val="center"/>
      </w:pPr>
      <w:bookmarkStart w:id="135" w:name="_Toc58625301"/>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26</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 xml:space="preserve">—Both </w:t>
      </w:r>
      <w:r w:rsidR="00B450A4" w:rsidRPr="00F321BA">
        <w:rPr>
          <w:rFonts w:ascii="Arial" w:eastAsia="Times New Roman" w:hAnsi="Arial" w:cs="Times New Roman"/>
          <w:b/>
          <w:sz w:val="16"/>
          <w:szCs w:val="20"/>
        </w:rPr>
        <w:t>v</w:t>
      </w:r>
      <w:r w:rsidRPr="00F321BA">
        <w:rPr>
          <w:rFonts w:ascii="Arial" w:eastAsia="Times New Roman" w:hAnsi="Arial" w:cs="Times New Roman"/>
          <w:b/>
          <w:sz w:val="16"/>
          <w:szCs w:val="20"/>
        </w:rPr>
        <w:t xml:space="preserve">alves </w:t>
      </w:r>
      <w:r w:rsidR="00B450A4" w:rsidRPr="00F321BA">
        <w:rPr>
          <w:rFonts w:ascii="Arial" w:eastAsia="Times New Roman" w:hAnsi="Arial" w:cs="Times New Roman"/>
          <w:b/>
          <w:sz w:val="16"/>
          <w:szCs w:val="20"/>
        </w:rPr>
        <w:t>l</w:t>
      </w:r>
      <w:r w:rsidRPr="00F321BA">
        <w:rPr>
          <w:rFonts w:ascii="Arial" w:eastAsia="Times New Roman" w:hAnsi="Arial" w:cs="Times New Roman"/>
          <w:b/>
          <w:sz w:val="16"/>
          <w:szCs w:val="20"/>
        </w:rPr>
        <w:t>eaking</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5"/>
    </w:p>
    <w:p w14:paraId="36B287AE" w14:textId="7A0BFA5F" w:rsidR="00062749" w:rsidRDefault="00062749" w:rsidP="00D87ADA">
      <w:pPr>
        <w:tabs>
          <w:tab w:val="left" w:pos="1754"/>
        </w:tabs>
        <w:jc w:val="center"/>
        <w:rPr>
          <w:rFonts w:ascii="Arial" w:hAnsi="Arial" w:cs="Arial"/>
          <w:b/>
          <w:bCs/>
          <w:sz w:val="16"/>
          <w:szCs w:val="16"/>
        </w:rPr>
      </w:pPr>
    </w:p>
    <w:p w14:paraId="53917E68" w14:textId="77777777" w:rsidR="00791C4E" w:rsidRDefault="00791C4E" w:rsidP="00791C4E">
      <w:pPr>
        <w:keepNext/>
        <w:tabs>
          <w:tab w:val="left" w:pos="1754"/>
        </w:tabs>
        <w:jc w:val="center"/>
      </w:pPr>
      <w:r>
        <w:rPr>
          <w:noProof/>
        </w:rPr>
        <w:drawing>
          <wp:inline distT="0" distB="0" distL="0" distR="0" wp14:anchorId="40F063B8" wp14:editId="57D19914">
            <wp:extent cx="3009900" cy="1783080"/>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009900" cy="1783080"/>
                    </a:xfrm>
                    <a:prstGeom prst="rect">
                      <a:avLst/>
                    </a:prstGeom>
                    <a:noFill/>
                    <a:ln>
                      <a:noFill/>
                    </a:ln>
                  </pic:spPr>
                </pic:pic>
              </a:graphicData>
            </a:graphic>
          </wp:inline>
        </w:drawing>
      </w:r>
    </w:p>
    <w:p w14:paraId="46AD88DD" w14:textId="058A1EFF" w:rsidR="00F321BA" w:rsidRDefault="00791C4E" w:rsidP="00F321BA">
      <w:pPr>
        <w:spacing w:after="0"/>
        <w:ind w:firstLine="288"/>
        <w:jc w:val="center"/>
      </w:pPr>
      <w:bookmarkStart w:id="136" w:name="_Toc58625302"/>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27</w:t>
      </w:r>
      <w:r w:rsidRPr="00F321BA">
        <w:rPr>
          <w:rFonts w:ascii="Arial" w:eastAsia="Times New Roman" w:hAnsi="Arial" w:cs="Times New Roman"/>
          <w:b/>
          <w:sz w:val="16"/>
          <w:szCs w:val="20"/>
        </w:rPr>
        <w:fldChar w:fldCharType="end"/>
      </w:r>
      <w:r w:rsidR="00553472" w:rsidRPr="00F321BA">
        <w:rPr>
          <w:rFonts w:ascii="Arial" w:eastAsia="Times New Roman" w:hAnsi="Arial" w:cs="Times New Roman"/>
          <w:b/>
          <w:sz w:val="16"/>
          <w:szCs w:val="20"/>
        </w:rPr>
        <w:t>—</w:t>
      </w:r>
      <w:r w:rsidRPr="00F321BA">
        <w:rPr>
          <w:rFonts w:ascii="Arial" w:eastAsia="Times New Roman" w:hAnsi="Arial" w:cs="Times New Roman"/>
          <w:b/>
          <w:sz w:val="16"/>
          <w:szCs w:val="20"/>
        </w:rPr>
        <w:t xml:space="preserve">Delay in closing of </w:t>
      </w:r>
      <w:r w:rsidR="00553472" w:rsidRPr="00F321BA">
        <w:rPr>
          <w:rFonts w:ascii="Arial" w:eastAsia="Times New Roman" w:hAnsi="Arial" w:cs="Times New Roman"/>
          <w:b/>
          <w:sz w:val="16"/>
          <w:szCs w:val="20"/>
        </w:rPr>
        <w:t>Standing valve</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6"/>
    </w:p>
    <w:p w14:paraId="3890F863" w14:textId="0A6851E4" w:rsidR="00062749" w:rsidRDefault="00062749" w:rsidP="00791C4E">
      <w:pPr>
        <w:pStyle w:val="Caption"/>
        <w:rPr>
          <w:i w:val="0"/>
          <w:iCs w:val="0"/>
        </w:rPr>
      </w:pPr>
    </w:p>
    <w:p w14:paraId="780CA9E1" w14:textId="77777777" w:rsidR="0050610A" w:rsidRDefault="0050610A" w:rsidP="0050610A">
      <w:pPr>
        <w:keepNext/>
        <w:jc w:val="center"/>
      </w:pPr>
      <w:r>
        <w:rPr>
          <w:noProof/>
        </w:rPr>
        <w:drawing>
          <wp:inline distT="0" distB="0" distL="0" distR="0" wp14:anchorId="77702D24" wp14:editId="0F2EC85F">
            <wp:extent cx="2994660" cy="1790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994660" cy="1790700"/>
                    </a:xfrm>
                    <a:prstGeom prst="rect">
                      <a:avLst/>
                    </a:prstGeom>
                    <a:noFill/>
                    <a:ln>
                      <a:noFill/>
                    </a:ln>
                  </pic:spPr>
                </pic:pic>
              </a:graphicData>
            </a:graphic>
          </wp:inline>
        </w:drawing>
      </w:r>
    </w:p>
    <w:p w14:paraId="105D0EC7" w14:textId="65C1786D" w:rsidR="00F321BA" w:rsidRDefault="0050610A" w:rsidP="00F321BA">
      <w:pPr>
        <w:spacing w:after="0"/>
        <w:ind w:firstLine="288"/>
        <w:jc w:val="center"/>
      </w:pPr>
      <w:bookmarkStart w:id="137" w:name="_Toc58625303"/>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28</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 xml:space="preserve">—Collision </w:t>
      </w:r>
      <w:r w:rsidR="00A851DE" w:rsidRPr="00F321BA">
        <w:rPr>
          <w:rFonts w:ascii="Arial" w:eastAsia="Times New Roman" w:hAnsi="Arial" w:cs="Times New Roman"/>
          <w:b/>
          <w:sz w:val="16"/>
          <w:szCs w:val="20"/>
        </w:rPr>
        <w:t>between plunger and guide ring</w:t>
      </w:r>
      <w:r w:rsidR="00F321BA" w:rsidRPr="00F321BA">
        <w:rPr>
          <w:rFonts w:ascii="Arial" w:eastAsia="Times New Roman" w:hAnsi="Arial" w:cs="Times New Roman"/>
          <w:b/>
          <w:sz w:val="16"/>
          <w:szCs w:val="20"/>
        </w:rPr>
        <w:t xml:space="preserve"> </w:t>
      </w:r>
      <w:r w:rsidR="00F321BA" w:rsidRPr="0069167D">
        <w:rPr>
          <w:rFonts w:ascii="Arial" w:eastAsia="Times New Roman" w:hAnsi="Arial" w:cs="Times New Roman"/>
          <w:b/>
          <w:sz w:val="16"/>
          <w:szCs w:val="20"/>
        </w:rPr>
        <w:t>(Tan et al. 2015).</w:t>
      </w:r>
      <w:bookmarkEnd w:id="137"/>
    </w:p>
    <w:p w14:paraId="3816C95E" w14:textId="5D0C95B3" w:rsidR="00553472" w:rsidRDefault="00553472" w:rsidP="0050610A">
      <w:pPr>
        <w:pStyle w:val="Caption"/>
        <w:rPr>
          <w:i w:val="0"/>
          <w:iCs w:val="0"/>
        </w:rPr>
      </w:pPr>
    </w:p>
    <w:p w14:paraId="3E284374" w14:textId="77777777" w:rsidR="00922C8F" w:rsidRDefault="00922C8F" w:rsidP="00922C8F">
      <w:pPr>
        <w:keepNext/>
        <w:jc w:val="center"/>
      </w:pPr>
      <w:r>
        <w:rPr>
          <w:noProof/>
        </w:rPr>
        <w:lastRenderedPageBreak/>
        <w:drawing>
          <wp:inline distT="0" distB="0" distL="0" distR="0" wp14:anchorId="352D462E" wp14:editId="0770BA48">
            <wp:extent cx="2987040" cy="1767840"/>
            <wp:effectExtent l="0" t="0" r="381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987040" cy="1767840"/>
                    </a:xfrm>
                    <a:prstGeom prst="rect">
                      <a:avLst/>
                    </a:prstGeom>
                    <a:noFill/>
                    <a:ln>
                      <a:noFill/>
                    </a:ln>
                  </pic:spPr>
                </pic:pic>
              </a:graphicData>
            </a:graphic>
          </wp:inline>
        </w:drawing>
      </w:r>
    </w:p>
    <w:p w14:paraId="060A836C" w14:textId="605C1A68" w:rsidR="00F37364" w:rsidRDefault="00922C8F" w:rsidP="00D83E5D">
      <w:pPr>
        <w:spacing w:after="0"/>
        <w:ind w:firstLine="288"/>
        <w:jc w:val="center"/>
        <w:rPr>
          <w:rFonts w:ascii="Arial" w:hAnsi="Arial" w:cs="Arial"/>
          <w:b/>
          <w:bCs/>
          <w:sz w:val="16"/>
          <w:szCs w:val="16"/>
        </w:rPr>
      </w:pPr>
      <w:bookmarkStart w:id="138" w:name="_Toc58625304"/>
      <w:r w:rsidRPr="00F321BA">
        <w:rPr>
          <w:rFonts w:ascii="Arial" w:eastAsia="Times New Roman" w:hAnsi="Arial" w:cs="Times New Roman"/>
          <w:b/>
          <w:sz w:val="16"/>
          <w:szCs w:val="20"/>
        </w:rPr>
        <w:t xml:space="preserve">Fig. A </w:t>
      </w:r>
      <w:r w:rsidRPr="00F321BA">
        <w:rPr>
          <w:rFonts w:ascii="Arial" w:eastAsia="Times New Roman" w:hAnsi="Arial" w:cs="Times New Roman"/>
          <w:b/>
          <w:sz w:val="16"/>
          <w:szCs w:val="20"/>
        </w:rPr>
        <w:fldChar w:fldCharType="begin"/>
      </w:r>
      <w:r w:rsidRPr="00F321BA">
        <w:rPr>
          <w:rFonts w:ascii="Arial" w:eastAsia="Times New Roman" w:hAnsi="Arial" w:cs="Times New Roman"/>
          <w:b/>
          <w:sz w:val="16"/>
          <w:szCs w:val="20"/>
        </w:rPr>
        <w:instrText xml:space="preserve"> SEQ Fig._A \* ARABIC </w:instrText>
      </w:r>
      <w:r w:rsidRPr="00F321BA">
        <w:rPr>
          <w:rFonts w:ascii="Arial" w:eastAsia="Times New Roman" w:hAnsi="Arial" w:cs="Times New Roman"/>
          <w:b/>
          <w:sz w:val="16"/>
          <w:szCs w:val="20"/>
        </w:rPr>
        <w:fldChar w:fldCharType="separate"/>
      </w:r>
      <w:r w:rsidR="00D006A5">
        <w:rPr>
          <w:rFonts w:ascii="Arial" w:eastAsia="Times New Roman" w:hAnsi="Arial" w:cs="Times New Roman"/>
          <w:b/>
          <w:noProof/>
          <w:sz w:val="16"/>
          <w:szCs w:val="20"/>
        </w:rPr>
        <w:t>29</w:t>
      </w:r>
      <w:r w:rsidRPr="00F321BA">
        <w:rPr>
          <w:rFonts w:ascii="Arial" w:eastAsia="Times New Roman" w:hAnsi="Arial" w:cs="Times New Roman"/>
          <w:b/>
          <w:sz w:val="16"/>
          <w:szCs w:val="20"/>
        </w:rPr>
        <w:fldChar w:fldCharType="end"/>
      </w:r>
      <w:r w:rsidRPr="00F321BA">
        <w:rPr>
          <w:rFonts w:ascii="Arial" w:eastAsia="Times New Roman" w:hAnsi="Arial" w:cs="Times New Roman"/>
          <w:b/>
          <w:sz w:val="16"/>
          <w:szCs w:val="20"/>
        </w:rPr>
        <w:t>—Resistance to oil</w:t>
      </w:r>
      <w:r w:rsidR="001943DC" w:rsidRPr="00F321BA">
        <w:rPr>
          <w:rFonts w:ascii="Arial" w:eastAsia="Times New Roman" w:hAnsi="Arial" w:cs="Times New Roman"/>
          <w:b/>
          <w:sz w:val="16"/>
          <w:szCs w:val="20"/>
        </w:rPr>
        <w:t xml:space="preserve"> flow</w:t>
      </w:r>
      <w:r w:rsidR="00F321BA">
        <w:rPr>
          <w:i/>
          <w:iCs/>
        </w:rPr>
        <w:t xml:space="preserve"> </w:t>
      </w:r>
      <w:r w:rsidR="00F321BA" w:rsidRPr="0069167D">
        <w:rPr>
          <w:rFonts w:ascii="Arial" w:eastAsia="Times New Roman" w:hAnsi="Arial" w:cs="Times New Roman"/>
          <w:b/>
          <w:sz w:val="16"/>
          <w:szCs w:val="20"/>
        </w:rPr>
        <w:t>(Tan et al. 2015).</w:t>
      </w:r>
      <w:bookmarkEnd w:id="138"/>
    </w:p>
    <w:p w14:paraId="7C3E2BE1" w14:textId="78266001" w:rsidR="00F37364" w:rsidRDefault="00F37364" w:rsidP="00D87ADA">
      <w:pPr>
        <w:tabs>
          <w:tab w:val="left" w:pos="1754"/>
        </w:tabs>
        <w:jc w:val="center"/>
        <w:rPr>
          <w:rFonts w:ascii="Arial" w:hAnsi="Arial" w:cs="Arial"/>
          <w:b/>
          <w:bCs/>
          <w:sz w:val="16"/>
          <w:szCs w:val="16"/>
        </w:rPr>
      </w:pPr>
    </w:p>
    <w:p w14:paraId="733DFD92" w14:textId="2C35C9F1" w:rsidR="00F37364" w:rsidRDefault="00F37364" w:rsidP="00D87ADA">
      <w:pPr>
        <w:tabs>
          <w:tab w:val="left" w:pos="1754"/>
        </w:tabs>
        <w:jc w:val="center"/>
        <w:rPr>
          <w:rFonts w:ascii="Arial" w:hAnsi="Arial" w:cs="Arial"/>
          <w:b/>
          <w:bCs/>
          <w:sz w:val="16"/>
          <w:szCs w:val="16"/>
        </w:rPr>
      </w:pPr>
    </w:p>
    <w:p w14:paraId="2690FECA" w14:textId="238B55DD" w:rsidR="00F37364" w:rsidRDefault="00F37364" w:rsidP="00D87ADA">
      <w:pPr>
        <w:tabs>
          <w:tab w:val="left" w:pos="1754"/>
        </w:tabs>
        <w:jc w:val="center"/>
        <w:rPr>
          <w:rFonts w:ascii="Arial" w:hAnsi="Arial" w:cs="Arial"/>
          <w:b/>
          <w:bCs/>
          <w:sz w:val="16"/>
          <w:szCs w:val="16"/>
        </w:rPr>
      </w:pPr>
    </w:p>
    <w:p w14:paraId="3369C7E4" w14:textId="7C26500A" w:rsidR="00F37364" w:rsidRDefault="00F37364" w:rsidP="00D87ADA">
      <w:pPr>
        <w:tabs>
          <w:tab w:val="left" w:pos="1754"/>
        </w:tabs>
        <w:jc w:val="center"/>
        <w:rPr>
          <w:rFonts w:ascii="Arial" w:hAnsi="Arial" w:cs="Arial"/>
          <w:b/>
          <w:bCs/>
          <w:sz w:val="16"/>
          <w:szCs w:val="16"/>
        </w:rPr>
      </w:pPr>
    </w:p>
    <w:p w14:paraId="64D98425" w14:textId="07AF6AAB" w:rsidR="00F37364" w:rsidRDefault="00F37364" w:rsidP="00D87ADA">
      <w:pPr>
        <w:tabs>
          <w:tab w:val="left" w:pos="1754"/>
        </w:tabs>
        <w:jc w:val="center"/>
        <w:rPr>
          <w:rFonts w:ascii="Arial" w:hAnsi="Arial" w:cs="Arial"/>
          <w:b/>
          <w:bCs/>
          <w:sz w:val="16"/>
          <w:szCs w:val="16"/>
        </w:rPr>
      </w:pPr>
    </w:p>
    <w:p w14:paraId="6F9BD2D2" w14:textId="47F3C50A" w:rsidR="00F37364" w:rsidRDefault="00F37364" w:rsidP="00D87ADA">
      <w:pPr>
        <w:tabs>
          <w:tab w:val="left" w:pos="1754"/>
        </w:tabs>
        <w:jc w:val="center"/>
        <w:rPr>
          <w:rFonts w:ascii="Arial" w:hAnsi="Arial" w:cs="Arial"/>
          <w:b/>
          <w:bCs/>
          <w:sz w:val="16"/>
          <w:szCs w:val="16"/>
        </w:rPr>
      </w:pPr>
    </w:p>
    <w:p w14:paraId="6DDAE91F" w14:textId="022E37F6" w:rsidR="00F37364" w:rsidRDefault="00F37364" w:rsidP="00D87ADA">
      <w:pPr>
        <w:tabs>
          <w:tab w:val="left" w:pos="1754"/>
        </w:tabs>
        <w:jc w:val="center"/>
        <w:rPr>
          <w:rFonts w:ascii="Arial" w:hAnsi="Arial" w:cs="Arial"/>
          <w:b/>
          <w:bCs/>
          <w:sz w:val="16"/>
          <w:szCs w:val="16"/>
        </w:rPr>
      </w:pPr>
    </w:p>
    <w:p w14:paraId="422588D9" w14:textId="34FFB451" w:rsidR="00F37364" w:rsidRDefault="00F37364" w:rsidP="00D87ADA">
      <w:pPr>
        <w:tabs>
          <w:tab w:val="left" w:pos="1754"/>
        </w:tabs>
        <w:jc w:val="center"/>
        <w:rPr>
          <w:rFonts w:ascii="Arial" w:hAnsi="Arial" w:cs="Arial"/>
          <w:b/>
          <w:bCs/>
          <w:sz w:val="16"/>
          <w:szCs w:val="16"/>
        </w:rPr>
      </w:pPr>
    </w:p>
    <w:p w14:paraId="50B55CD8" w14:textId="58B7A701" w:rsidR="00F37364" w:rsidRDefault="00F37364" w:rsidP="00D87ADA">
      <w:pPr>
        <w:tabs>
          <w:tab w:val="left" w:pos="1754"/>
        </w:tabs>
        <w:jc w:val="center"/>
        <w:rPr>
          <w:rFonts w:ascii="Arial" w:hAnsi="Arial" w:cs="Arial"/>
          <w:b/>
          <w:bCs/>
          <w:sz w:val="16"/>
          <w:szCs w:val="16"/>
        </w:rPr>
      </w:pPr>
    </w:p>
    <w:p w14:paraId="188EB7B8" w14:textId="362AC5F7" w:rsidR="00F37364" w:rsidRDefault="00F37364" w:rsidP="00D87ADA">
      <w:pPr>
        <w:tabs>
          <w:tab w:val="left" w:pos="1754"/>
        </w:tabs>
        <w:jc w:val="center"/>
        <w:rPr>
          <w:rFonts w:ascii="Arial" w:hAnsi="Arial" w:cs="Arial"/>
          <w:b/>
          <w:bCs/>
          <w:sz w:val="16"/>
          <w:szCs w:val="16"/>
        </w:rPr>
      </w:pPr>
    </w:p>
    <w:p w14:paraId="21F97072" w14:textId="795B8579" w:rsidR="00F37364" w:rsidRDefault="00F37364" w:rsidP="00D87ADA">
      <w:pPr>
        <w:tabs>
          <w:tab w:val="left" w:pos="1754"/>
        </w:tabs>
        <w:jc w:val="center"/>
        <w:rPr>
          <w:rFonts w:ascii="Arial" w:hAnsi="Arial" w:cs="Arial"/>
          <w:b/>
          <w:bCs/>
          <w:sz w:val="16"/>
          <w:szCs w:val="16"/>
        </w:rPr>
      </w:pPr>
    </w:p>
    <w:p w14:paraId="471C7EC6" w14:textId="2B3849AC" w:rsidR="00F37364" w:rsidRDefault="00F37364" w:rsidP="00D87ADA">
      <w:pPr>
        <w:tabs>
          <w:tab w:val="left" w:pos="1754"/>
        </w:tabs>
        <w:jc w:val="center"/>
        <w:rPr>
          <w:rFonts w:ascii="Arial" w:hAnsi="Arial" w:cs="Arial"/>
          <w:b/>
          <w:bCs/>
          <w:sz w:val="16"/>
          <w:szCs w:val="16"/>
        </w:rPr>
      </w:pPr>
    </w:p>
    <w:p w14:paraId="296F19DC" w14:textId="263FE69D" w:rsidR="00F37364" w:rsidRDefault="00F37364" w:rsidP="00D87ADA">
      <w:pPr>
        <w:tabs>
          <w:tab w:val="left" w:pos="1754"/>
        </w:tabs>
        <w:jc w:val="center"/>
        <w:rPr>
          <w:rFonts w:ascii="Arial" w:hAnsi="Arial" w:cs="Arial"/>
          <w:b/>
          <w:bCs/>
          <w:sz w:val="16"/>
          <w:szCs w:val="16"/>
        </w:rPr>
      </w:pPr>
    </w:p>
    <w:p w14:paraId="7C7ED8C4" w14:textId="294EDF33" w:rsidR="00F37364" w:rsidRDefault="00F37364" w:rsidP="00D87ADA">
      <w:pPr>
        <w:tabs>
          <w:tab w:val="left" w:pos="1754"/>
        </w:tabs>
        <w:jc w:val="center"/>
        <w:rPr>
          <w:rFonts w:ascii="Arial" w:hAnsi="Arial" w:cs="Arial"/>
          <w:b/>
          <w:bCs/>
          <w:sz w:val="16"/>
          <w:szCs w:val="16"/>
        </w:rPr>
      </w:pPr>
    </w:p>
    <w:p w14:paraId="51D57514" w14:textId="04F95A09" w:rsidR="00F37364" w:rsidRDefault="00F37364" w:rsidP="00D87ADA">
      <w:pPr>
        <w:tabs>
          <w:tab w:val="left" w:pos="1754"/>
        </w:tabs>
        <w:jc w:val="center"/>
        <w:rPr>
          <w:rFonts w:ascii="Arial" w:hAnsi="Arial" w:cs="Arial"/>
          <w:b/>
          <w:bCs/>
          <w:sz w:val="16"/>
          <w:szCs w:val="16"/>
        </w:rPr>
      </w:pPr>
    </w:p>
    <w:p w14:paraId="6CFFAF9B" w14:textId="77777777" w:rsidR="00F37364" w:rsidRPr="00DC2B34" w:rsidRDefault="00F37364" w:rsidP="00D87ADA">
      <w:pPr>
        <w:tabs>
          <w:tab w:val="left" w:pos="1754"/>
        </w:tabs>
        <w:jc w:val="center"/>
        <w:rPr>
          <w:rFonts w:ascii="Arial" w:hAnsi="Arial" w:cs="Arial"/>
          <w:b/>
          <w:bCs/>
          <w:sz w:val="16"/>
          <w:szCs w:val="16"/>
        </w:rPr>
      </w:pPr>
    </w:p>
    <w:p w14:paraId="2A6C76B0" w14:textId="64E2EBAB" w:rsidR="002929E6" w:rsidRDefault="002929E6" w:rsidP="00D87ADA">
      <w:pPr>
        <w:pStyle w:val="Caption"/>
      </w:pPr>
    </w:p>
    <w:tbl>
      <w:tblPr>
        <w:tblStyle w:val="TableGrid"/>
        <w:tblW w:w="9075" w:type="dxa"/>
        <w:jc w:val="center"/>
        <w:tblLook w:val="04A0" w:firstRow="1" w:lastRow="0" w:firstColumn="1" w:lastColumn="0" w:noHBand="0" w:noVBand="1"/>
      </w:tblPr>
      <w:tblGrid>
        <w:gridCol w:w="1030"/>
        <w:gridCol w:w="1411"/>
        <w:gridCol w:w="1403"/>
        <w:gridCol w:w="1403"/>
        <w:gridCol w:w="883"/>
        <w:gridCol w:w="870"/>
        <w:gridCol w:w="1005"/>
        <w:gridCol w:w="1070"/>
      </w:tblGrid>
      <w:tr w:rsidR="00EB596E" w:rsidRPr="00DE487E" w14:paraId="7F8F827E" w14:textId="2C73648D" w:rsidTr="00D83E5D">
        <w:trPr>
          <w:trHeight w:val="288"/>
          <w:jc w:val="center"/>
        </w:trPr>
        <w:tc>
          <w:tcPr>
            <w:tcW w:w="1030" w:type="dxa"/>
            <w:noWrap/>
            <w:hideMark/>
          </w:tcPr>
          <w:p w14:paraId="1B49F4F0" w14:textId="77777777" w:rsidR="00475E69" w:rsidRPr="0030536F" w:rsidRDefault="00475E69" w:rsidP="0030536F">
            <w:pPr>
              <w:pStyle w:val="NoSpacing"/>
              <w:jc w:val="center"/>
            </w:pPr>
            <w:r w:rsidRPr="0030536F">
              <w:lastRenderedPageBreak/>
              <w:t>Well Spacing (ft)</w:t>
            </w:r>
          </w:p>
        </w:tc>
        <w:tc>
          <w:tcPr>
            <w:tcW w:w="1411" w:type="dxa"/>
            <w:noWrap/>
            <w:hideMark/>
          </w:tcPr>
          <w:p w14:paraId="7D0FF513" w14:textId="22FF3E4F" w:rsidR="00475E69" w:rsidRPr="0030536F" w:rsidRDefault="00475E69" w:rsidP="0030536F">
            <w:pPr>
              <w:pStyle w:val="NoSpacing"/>
              <w:jc w:val="center"/>
            </w:pPr>
            <w:r w:rsidRPr="0030536F">
              <w:t>Child</w:t>
            </w:r>
          </w:p>
          <w:p w14:paraId="10511A09" w14:textId="3506230F" w:rsidR="00475E69" w:rsidRPr="0030536F" w:rsidRDefault="00475E69" w:rsidP="0030536F">
            <w:pPr>
              <w:pStyle w:val="NoSpacing"/>
              <w:jc w:val="center"/>
            </w:pPr>
            <w:r w:rsidRPr="0030536F">
              <w:t xml:space="preserve">Wells </w:t>
            </w:r>
            <w:r w:rsidR="007B4EC6" w:rsidRPr="0030536F">
              <w:t>Mean</w:t>
            </w:r>
          </w:p>
          <w:p w14:paraId="3BA3263F" w14:textId="77777777" w:rsidR="00475E69" w:rsidRDefault="00475E69" w:rsidP="0030536F">
            <w:pPr>
              <w:pStyle w:val="NoSpacing"/>
              <w:jc w:val="center"/>
            </w:pPr>
            <w:r w:rsidRPr="0030536F">
              <w:t xml:space="preserve">(Cum. </w:t>
            </w:r>
            <w:r w:rsidR="0022760E">
              <w:t>18</w:t>
            </w:r>
            <w:r w:rsidRPr="0030536F">
              <w:t>0/Lateral Length)</w:t>
            </w:r>
          </w:p>
          <w:p w14:paraId="7F464D29" w14:textId="52E76F97" w:rsidR="00CD135A" w:rsidRPr="0030536F" w:rsidRDefault="00CD135A" w:rsidP="0030536F">
            <w:pPr>
              <w:pStyle w:val="NoSpacing"/>
              <w:jc w:val="center"/>
            </w:pPr>
            <w:r>
              <w:t>(bbl/ft)</w:t>
            </w:r>
          </w:p>
        </w:tc>
        <w:tc>
          <w:tcPr>
            <w:tcW w:w="1403" w:type="dxa"/>
            <w:noWrap/>
            <w:hideMark/>
          </w:tcPr>
          <w:p w14:paraId="15375660" w14:textId="477BBF6E" w:rsidR="00475E69" w:rsidRPr="0030536F" w:rsidRDefault="00475E69" w:rsidP="0030536F">
            <w:pPr>
              <w:pStyle w:val="NoSpacing"/>
              <w:jc w:val="center"/>
            </w:pPr>
            <w:r w:rsidRPr="0030536F">
              <w:t>Parent</w:t>
            </w:r>
          </w:p>
          <w:p w14:paraId="02D56010" w14:textId="77777777" w:rsidR="00475E69" w:rsidRDefault="00475E69" w:rsidP="0030536F">
            <w:pPr>
              <w:pStyle w:val="NoSpacing"/>
              <w:jc w:val="center"/>
            </w:pPr>
            <w:r w:rsidRPr="0030536F">
              <w:t>Wells</w:t>
            </w:r>
            <w:r w:rsidR="007B4EC6" w:rsidRPr="0030536F">
              <w:t xml:space="preserve"> Mean</w:t>
            </w:r>
            <w:r w:rsidRPr="0030536F">
              <w:t xml:space="preserve"> (Cum. </w:t>
            </w:r>
            <w:r w:rsidR="0022760E">
              <w:t>18</w:t>
            </w:r>
            <w:r w:rsidRPr="0030536F">
              <w:t>0/Lateral Length)</w:t>
            </w:r>
          </w:p>
          <w:p w14:paraId="470B2404" w14:textId="0CE87672" w:rsidR="00CD135A" w:rsidRPr="0030536F" w:rsidRDefault="00CD135A" w:rsidP="0030536F">
            <w:pPr>
              <w:pStyle w:val="NoSpacing"/>
              <w:jc w:val="center"/>
            </w:pPr>
            <w:r>
              <w:t>(bbl/ft)</w:t>
            </w:r>
          </w:p>
        </w:tc>
        <w:tc>
          <w:tcPr>
            <w:tcW w:w="1403" w:type="dxa"/>
            <w:noWrap/>
            <w:hideMark/>
          </w:tcPr>
          <w:p w14:paraId="07B661FE" w14:textId="716BB5A6" w:rsidR="00475E69" w:rsidRPr="0030536F" w:rsidRDefault="00475E69" w:rsidP="0030536F">
            <w:pPr>
              <w:pStyle w:val="NoSpacing"/>
              <w:jc w:val="center"/>
            </w:pPr>
            <w:r w:rsidRPr="0030536F">
              <w:t>Causal</w:t>
            </w:r>
          </w:p>
          <w:p w14:paraId="16956BDC" w14:textId="4C24A793" w:rsidR="00475E69" w:rsidRPr="0030536F" w:rsidRDefault="00475E69" w:rsidP="0030536F">
            <w:pPr>
              <w:pStyle w:val="NoSpacing"/>
              <w:jc w:val="center"/>
            </w:pPr>
            <w:r w:rsidRPr="0030536F">
              <w:t>Estimate</w:t>
            </w:r>
          </w:p>
          <w:p w14:paraId="49FA2958" w14:textId="77777777" w:rsidR="00EB596E" w:rsidRPr="0030536F" w:rsidRDefault="00475E69" w:rsidP="0030536F">
            <w:pPr>
              <w:pStyle w:val="NoSpacing"/>
              <w:jc w:val="center"/>
            </w:pPr>
            <w:r w:rsidRPr="0030536F">
              <w:t>(Cum.</w:t>
            </w:r>
          </w:p>
          <w:p w14:paraId="2BCC3094" w14:textId="77777777" w:rsidR="00475E69" w:rsidRDefault="0022760E" w:rsidP="0030536F">
            <w:pPr>
              <w:pStyle w:val="NoSpacing"/>
              <w:jc w:val="center"/>
            </w:pPr>
            <w:r>
              <w:t>18</w:t>
            </w:r>
            <w:r w:rsidR="00475E69" w:rsidRPr="0030536F">
              <w:t>0/Lateral Length)</w:t>
            </w:r>
          </w:p>
          <w:p w14:paraId="11718CB1" w14:textId="76497B70" w:rsidR="00CD135A" w:rsidRPr="0030536F" w:rsidRDefault="00CD135A" w:rsidP="0030536F">
            <w:pPr>
              <w:pStyle w:val="NoSpacing"/>
              <w:jc w:val="center"/>
            </w:pPr>
            <w:r>
              <w:t>(bbl/ft)</w:t>
            </w:r>
          </w:p>
        </w:tc>
        <w:tc>
          <w:tcPr>
            <w:tcW w:w="883" w:type="dxa"/>
            <w:noWrap/>
            <w:hideMark/>
          </w:tcPr>
          <w:p w14:paraId="4C2F109B" w14:textId="77777777" w:rsidR="00475E69" w:rsidRPr="0030536F" w:rsidRDefault="00475E69" w:rsidP="0030536F">
            <w:pPr>
              <w:pStyle w:val="NoSpacing"/>
              <w:jc w:val="center"/>
            </w:pPr>
            <w:r w:rsidRPr="0030536F">
              <w:t>Lower 95 % CI</w:t>
            </w:r>
          </w:p>
        </w:tc>
        <w:tc>
          <w:tcPr>
            <w:tcW w:w="870" w:type="dxa"/>
            <w:noWrap/>
            <w:hideMark/>
          </w:tcPr>
          <w:p w14:paraId="449CEDE3" w14:textId="77777777" w:rsidR="00475E69" w:rsidRPr="0030536F" w:rsidRDefault="00475E69" w:rsidP="0030536F">
            <w:pPr>
              <w:pStyle w:val="NoSpacing"/>
              <w:jc w:val="center"/>
            </w:pPr>
            <w:r w:rsidRPr="0030536F">
              <w:t>Upper 95 % CI</w:t>
            </w:r>
          </w:p>
        </w:tc>
        <w:tc>
          <w:tcPr>
            <w:tcW w:w="1005" w:type="dxa"/>
            <w:noWrap/>
            <w:hideMark/>
          </w:tcPr>
          <w:p w14:paraId="2D0BC667" w14:textId="77777777" w:rsidR="00475E69" w:rsidRPr="0030536F" w:rsidRDefault="00475E69" w:rsidP="0030536F">
            <w:pPr>
              <w:pStyle w:val="NoSpacing"/>
              <w:jc w:val="center"/>
            </w:pPr>
          </w:p>
          <w:p w14:paraId="535F06AA" w14:textId="4F8499C4" w:rsidR="00475E69" w:rsidRPr="0030536F" w:rsidRDefault="00475E69" w:rsidP="0030536F">
            <w:pPr>
              <w:pStyle w:val="NoSpacing"/>
              <w:jc w:val="center"/>
            </w:pPr>
            <w:r w:rsidRPr="0030536F">
              <w:t>P-value</w:t>
            </w:r>
          </w:p>
        </w:tc>
        <w:tc>
          <w:tcPr>
            <w:tcW w:w="1070" w:type="dxa"/>
          </w:tcPr>
          <w:p w14:paraId="61E53F66" w14:textId="7FBBF9FA" w:rsidR="00475E69" w:rsidRPr="0030536F" w:rsidRDefault="00475E69" w:rsidP="0030536F">
            <w:pPr>
              <w:pStyle w:val="NoSpacing"/>
              <w:jc w:val="center"/>
            </w:pPr>
            <w:r w:rsidRPr="0030536F">
              <w:t>Degrees of Freedom</w:t>
            </w:r>
          </w:p>
        </w:tc>
      </w:tr>
      <w:tr w:rsidR="00EB596E" w:rsidRPr="00DE487E" w14:paraId="6C59A387" w14:textId="1D458048" w:rsidTr="00D83E5D">
        <w:trPr>
          <w:trHeight w:val="288"/>
          <w:jc w:val="center"/>
        </w:trPr>
        <w:tc>
          <w:tcPr>
            <w:tcW w:w="1030" w:type="dxa"/>
            <w:noWrap/>
            <w:hideMark/>
          </w:tcPr>
          <w:p w14:paraId="3F8E1AB4"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800 ft</w:t>
            </w:r>
          </w:p>
        </w:tc>
        <w:tc>
          <w:tcPr>
            <w:tcW w:w="1411" w:type="dxa"/>
            <w:noWrap/>
            <w:hideMark/>
          </w:tcPr>
          <w:p w14:paraId="49A339D7"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11.37</w:t>
            </w:r>
          </w:p>
        </w:tc>
        <w:tc>
          <w:tcPr>
            <w:tcW w:w="1403" w:type="dxa"/>
            <w:noWrap/>
            <w:hideMark/>
          </w:tcPr>
          <w:p w14:paraId="15EECDC4"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12.85</w:t>
            </w:r>
          </w:p>
        </w:tc>
        <w:tc>
          <w:tcPr>
            <w:tcW w:w="1403" w:type="dxa"/>
            <w:noWrap/>
            <w:hideMark/>
          </w:tcPr>
          <w:p w14:paraId="055897D2"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-1.45</w:t>
            </w:r>
          </w:p>
        </w:tc>
        <w:tc>
          <w:tcPr>
            <w:tcW w:w="883" w:type="dxa"/>
            <w:noWrap/>
            <w:hideMark/>
          </w:tcPr>
          <w:p w14:paraId="32C50EEF"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-1.93</w:t>
            </w:r>
          </w:p>
        </w:tc>
        <w:tc>
          <w:tcPr>
            <w:tcW w:w="870" w:type="dxa"/>
            <w:noWrap/>
            <w:hideMark/>
          </w:tcPr>
          <w:p w14:paraId="4CDAB0C7"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-0.97</w:t>
            </w:r>
          </w:p>
        </w:tc>
        <w:tc>
          <w:tcPr>
            <w:tcW w:w="1005" w:type="dxa"/>
            <w:noWrap/>
            <w:hideMark/>
          </w:tcPr>
          <w:p w14:paraId="7CBCA6D8" w14:textId="353D9F6D" w:rsidR="00475E69" w:rsidRPr="0030536F" w:rsidRDefault="00834169" w:rsidP="0030536F">
            <w:pPr>
              <w:jc w:val="center"/>
              <w:rPr>
                <w:rFonts w:eastAsia="Times New Roman" w:cs="Times New Roman"/>
                <w:szCs w:val="24"/>
              </w:rPr>
            </w:pPr>
            <w:r w:rsidRPr="0030536F">
              <w:rPr>
                <w:rFonts w:eastAsia="Times New Roman" w:cs="Times New Roman"/>
                <w:szCs w:val="24"/>
              </w:rPr>
              <w:t>1.9E-9</w:t>
            </w:r>
          </w:p>
        </w:tc>
        <w:tc>
          <w:tcPr>
            <w:tcW w:w="1070" w:type="dxa"/>
          </w:tcPr>
          <w:p w14:paraId="0E56FDDD" w14:textId="6CC2D15E" w:rsidR="00475E69" w:rsidRPr="0030536F" w:rsidRDefault="00834169" w:rsidP="0030536F">
            <w:pPr>
              <w:jc w:val="center"/>
              <w:rPr>
                <w:rFonts w:eastAsia="Times New Roman" w:cs="Times New Roman"/>
                <w:szCs w:val="24"/>
              </w:rPr>
            </w:pPr>
            <w:r w:rsidRPr="0030536F">
              <w:rPr>
                <w:rFonts w:eastAsia="Times New Roman" w:cs="Times New Roman"/>
                <w:szCs w:val="24"/>
              </w:rPr>
              <w:t>135</w:t>
            </w:r>
          </w:p>
        </w:tc>
      </w:tr>
      <w:tr w:rsidR="00EB596E" w:rsidRPr="00DE487E" w14:paraId="1E593A1F" w14:textId="1B06A236" w:rsidTr="00D83E5D">
        <w:trPr>
          <w:trHeight w:val="288"/>
          <w:jc w:val="center"/>
        </w:trPr>
        <w:tc>
          <w:tcPr>
            <w:tcW w:w="1030" w:type="dxa"/>
            <w:noWrap/>
            <w:hideMark/>
          </w:tcPr>
          <w:p w14:paraId="45E36402"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700 ft</w:t>
            </w:r>
          </w:p>
        </w:tc>
        <w:tc>
          <w:tcPr>
            <w:tcW w:w="1411" w:type="dxa"/>
            <w:noWrap/>
            <w:hideMark/>
          </w:tcPr>
          <w:p w14:paraId="3F808535"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11.52</w:t>
            </w:r>
          </w:p>
        </w:tc>
        <w:tc>
          <w:tcPr>
            <w:tcW w:w="1403" w:type="dxa"/>
            <w:noWrap/>
            <w:hideMark/>
          </w:tcPr>
          <w:p w14:paraId="40830BFC"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12.36</w:t>
            </w:r>
          </w:p>
        </w:tc>
        <w:tc>
          <w:tcPr>
            <w:tcW w:w="1403" w:type="dxa"/>
            <w:noWrap/>
            <w:hideMark/>
          </w:tcPr>
          <w:p w14:paraId="7E6F9231"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-0.84</w:t>
            </w:r>
          </w:p>
        </w:tc>
        <w:tc>
          <w:tcPr>
            <w:tcW w:w="883" w:type="dxa"/>
            <w:noWrap/>
            <w:hideMark/>
          </w:tcPr>
          <w:p w14:paraId="1948653A"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-1.23</w:t>
            </w:r>
          </w:p>
        </w:tc>
        <w:tc>
          <w:tcPr>
            <w:tcW w:w="870" w:type="dxa"/>
            <w:noWrap/>
            <w:hideMark/>
          </w:tcPr>
          <w:p w14:paraId="09602CA1"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-0.44</w:t>
            </w:r>
          </w:p>
        </w:tc>
        <w:tc>
          <w:tcPr>
            <w:tcW w:w="1005" w:type="dxa"/>
            <w:noWrap/>
            <w:hideMark/>
          </w:tcPr>
          <w:p w14:paraId="499CC5B3" w14:textId="1819D717" w:rsidR="00475E69" w:rsidRPr="0030536F" w:rsidRDefault="00876FAE" w:rsidP="0030536F">
            <w:pPr>
              <w:jc w:val="center"/>
              <w:rPr>
                <w:rFonts w:eastAsia="Times New Roman" w:cs="Times New Roman"/>
                <w:szCs w:val="24"/>
              </w:rPr>
            </w:pPr>
            <w:r w:rsidRPr="0030536F">
              <w:rPr>
                <w:rFonts w:eastAsia="Times New Roman" w:cs="Times New Roman"/>
                <w:szCs w:val="24"/>
              </w:rPr>
              <w:t>4.2E-5</w:t>
            </w:r>
          </w:p>
        </w:tc>
        <w:tc>
          <w:tcPr>
            <w:tcW w:w="1070" w:type="dxa"/>
          </w:tcPr>
          <w:p w14:paraId="6889A47E" w14:textId="0D42257A" w:rsidR="00475E69" w:rsidRPr="0030536F" w:rsidRDefault="00D3765F" w:rsidP="0030536F">
            <w:pPr>
              <w:jc w:val="center"/>
              <w:rPr>
                <w:rFonts w:eastAsia="Times New Roman" w:cs="Times New Roman"/>
                <w:szCs w:val="24"/>
              </w:rPr>
            </w:pPr>
            <w:r w:rsidRPr="0030536F">
              <w:rPr>
                <w:rFonts w:eastAsia="Times New Roman" w:cs="Times New Roman"/>
                <w:szCs w:val="24"/>
              </w:rPr>
              <w:t>192</w:t>
            </w:r>
          </w:p>
        </w:tc>
      </w:tr>
      <w:tr w:rsidR="00EB596E" w:rsidRPr="00DE487E" w14:paraId="59497410" w14:textId="0B07FBFE" w:rsidTr="00D83E5D">
        <w:trPr>
          <w:trHeight w:val="288"/>
          <w:jc w:val="center"/>
        </w:trPr>
        <w:tc>
          <w:tcPr>
            <w:tcW w:w="1030" w:type="dxa"/>
            <w:noWrap/>
            <w:hideMark/>
          </w:tcPr>
          <w:p w14:paraId="601785C9"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600 ft</w:t>
            </w:r>
          </w:p>
        </w:tc>
        <w:tc>
          <w:tcPr>
            <w:tcW w:w="1411" w:type="dxa"/>
            <w:noWrap/>
            <w:hideMark/>
          </w:tcPr>
          <w:p w14:paraId="017457A6"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11.57</w:t>
            </w:r>
          </w:p>
        </w:tc>
        <w:tc>
          <w:tcPr>
            <w:tcW w:w="1403" w:type="dxa"/>
            <w:noWrap/>
            <w:hideMark/>
          </w:tcPr>
          <w:p w14:paraId="675336CC"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12.4</w:t>
            </w:r>
          </w:p>
        </w:tc>
        <w:tc>
          <w:tcPr>
            <w:tcW w:w="1403" w:type="dxa"/>
            <w:noWrap/>
            <w:hideMark/>
          </w:tcPr>
          <w:p w14:paraId="7E6A127D"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-0.84</w:t>
            </w:r>
          </w:p>
        </w:tc>
        <w:tc>
          <w:tcPr>
            <w:tcW w:w="883" w:type="dxa"/>
            <w:noWrap/>
            <w:hideMark/>
          </w:tcPr>
          <w:p w14:paraId="46543DAC"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-1.25</w:t>
            </w:r>
          </w:p>
        </w:tc>
        <w:tc>
          <w:tcPr>
            <w:tcW w:w="870" w:type="dxa"/>
            <w:noWrap/>
            <w:hideMark/>
          </w:tcPr>
          <w:p w14:paraId="28CEB77E"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-0.41</w:t>
            </w:r>
          </w:p>
        </w:tc>
        <w:tc>
          <w:tcPr>
            <w:tcW w:w="1005" w:type="dxa"/>
            <w:noWrap/>
            <w:hideMark/>
          </w:tcPr>
          <w:p w14:paraId="1D62259B" w14:textId="325D5390" w:rsidR="00475E69" w:rsidRPr="0030536F" w:rsidRDefault="008E5EA0" w:rsidP="0030536F">
            <w:pPr>
              <w:jc w:val="center"/>
              <w:rPr>
                <w:rFonts w:eastAsia="Times New Roman" w:cs="Times New Roman"/>
                <w:szCs w:val="24"/>
              </w:rPr>
            </w:pPr>
            <w:r w:rsidRPr="0030536F">
              <w:rPr>
                <w:rFonts w:eastAsia="Times New Roman" w:cs="Times New Roman"/>
                <w:szCs w:val="24"/>
              </w:rPr>
              <w:t>0.00013</w:t>
            </w:r>
          </w:p>
        </w:tc>
        <w:tc>
          <w:tcPr>
            <w:tcW w:w="1070" w:type="dxa"/>
          </w:tcPr>
          <w:p w14:paraId="4C5B07A7" w14:textId="14BDA152" w:rsidR="00475E69" w:rsidRPr="0030536F" w:rsidRDefault="000553AD" w:rsidP="0030536F">
            <w:pPr>
              <w:jc w:val="center"/>
              <w:rPr>
                <w:rFonts w:eastAsia="Times New Roman" w:cs="Times New Roman"/>
                <w:szCs w:val="24"/>
              </w:rPr>
            </w:pPr>
            <w:r w:rsidRPr="0030536F">
              <w:rPr>
                <w:rFonts w:eastAsia="Times New Roman" w:cs="Times New Roman"/>
                <w:szCs w:val="24"/>
              </w:rPr>
              <w:t>167</w:t>
            </w:r>
          </w:p>
        </w:tc>
      </w:tr>
      <w:tr w:rsidR="00EB596E" w:rsidRPr="00DE487E" w14:paraId="05C5945E" w14:textId="06BA0246" w:rsidTr="00D83E5D">
        <w:trPr>
          <w:trHeight w:val="300"/>
          <w:jc w:val="center"/>
        </w:trPr>
        <w:tc>
          <w:tcPr>
            <w:tcW w:w="1030" w:type="dxa"/>
            <w:noWrap/>
            <w:hideMark/>
          </w:tcPr>
          <w:p w14:paraId="71F671F6"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500 ft</w:t>
            </w:r>
          </w:p>
        </w:tc>
        <w:tc>
          <w:tcPr>
            <w:tcW w:w="1411" w:type="dxa"/>
            <w:noWrap/>
            <w:hideMark/>
          </w:tcPr>
          <w:p w14:paraId="167ED6A4"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11.7</w:t>
            </w:r>
          </w:p>
        </w:tc>
        <w:tc>
          <w:tcPr>
            <w:tcW w:w="1403" w:type="dxa"/>
            <w:noWrap/>
            <w:hideMark/>
          </w:tcPr>
          <w:p w14:paraId="1AFD1730"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12.5</w:t>
            </w:r>
          </w:p>
        </w:tc>
        <w:tc>
          <w:tcPr>
            <w:tcW w:w="1403" w:type="dxa"/>
            <w:noWrap/>
            <w:hideMark/>
          </w:tcPr>
          <w:p w14:paraId="7A6F5C75"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-0.8</w:t>
            </w:r>
          </w:p>
        </w:tc>
        <w:tc>
          <w:tcPr>
            <w:tcW w:w="883" w:type="dxa"/>
            <w:noWrap/>
            <w:hideMark/>
          </w:tcPr>
          <w:p w14:paraId="1D3AF469"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-1.25</w:t>
            </w:r>
          </w:p>
        </w:tc>
        <w:tc>
          <w:tcPr>
            <w:tcW w:w="870" w:type="dxa"/>
            <w:noWrap/>
            <w:hideMark/>
          </w:tcPr>
          <w:p w14:paraId="79BF1604" w14:textId="77777777" w:rsidR="00475E69" w:rsidRPr="0030536F" w:rsidRDefault="00475E69" w:rsidP="0030536F">
            <w:pPr>
              <w:jc w:val="center"/>
              <w:rPr>
                <w:rFonts w:eastAsia="Times New Roman" w:cs="Times New Roman"/>
                <w:szCs w:val="24"/>
              </w:rPr>
            </w:pPr>
            <w:r w:rsidRPr="0030536F">
              <w:rPr>
                <w:rFonts w:eastAsia="Times New Roman" w:cs="Times New Roman"/>
                <w:szCs w:val="24"/>
              </w:rPr>
              <w:t>-0.34</w:t>
            </w:r>
          </w:p>
        </w:tc>
        <w:tc>
          <w:tcPr>
            <w:tcW w:w="1005" w:type="dxa"/>
            <w:noWrap/>
            <w:hideMark/>
          </w:tcPr>
          <w:p w14:paraId="32BC884C" w14:textId="415B9CB8" w:rsidR="00475E69" w:rsidRPr="0030536F" w:rsidRDefault="008E5EA0" w:rsidP="0030536F">
            <w:pPr>
              <w:jc w:val="center"/>
              <w:rPr>
                <w:rFonts w:eastAsia="Times New Roman" w:cs="Times New Roman"/>
                <w:szCs w:val="24"/>
              </w:rPr>
            </w:pPr>
            <w:r w:rsidRPr="0030536F">
              <w:rPr>
                <w:rFonts w:eastAsia="Times New Roman" w:cs="Times New Roman"/>
                <w:szCs w:val="24"/>
              </w:rPr>
              <w:t>0.00074</w:t>
            </w:r>
          </w:p>
        </w:tc>
        <w:tc>
          <w:tcPr>
            <w:tcW w:w="1070" w:type="dxa"/>
          </w:tcPr>
          <w:p w14:paraId="28F5DB66" w14:textId="0211604D" w:rsidR="00475E69" w:rsidRPr="0030536F" w:rsidRDefault="008E5EA0" w:rsidP="0030536F">
            <w:pPr>
              <w:keepNext/>
              <w:jc w:val="center"/>
              <w:rPr>
                <w:rFonts w:eastAsia="Times New Roman" w:cs="Times New Roman"/>
                <w:szCs w:val="24"/>
              </w:rPr>
            </w:pPr>
            <w:r w:rsidRPr="0030536F">
              <w:rPr>
                <w:rFonts w:eastAsia="Times New Roman" w:cs="Times New Roman"/>
                <w:szCs w:val="24"/>
              </w:rPr>
              <w:t>156</w:t>
            </w:r>
          </w:p>
        </w:tc>
      </w:tr>
    </w:tbl>
    <w:p w14:paraId="0C89A91C" w14:textId="77777777" w:rsidR="00296E01" w:rsidRDefault="00296E01" w:rsidP="00F50D0A">
      <w:pPr>
        <w:pStyle w:val="Caption"/>
        <w:spacing w:after="0"/>
      </w:pPr>
    </w:p>
    <w:p w14:paraId="04D0C095" w14:textId="72597E7B" w:rsidR="00296E01" w:rsidRPr="00DC2B34" w:rsidRDefault="00296E01" w:rsidP="00296E01">
      <w:pPr>
        <w:tabs>
          <w:tab w:val="left" w:pos="1754"/>
        </w:tabs>
        <w:jc w:val="center"/>
        <w:rPr>
          <w:rFonts w:ascii="Arial" w:hAnsi="Arial" w:cs="Arial"/>
          <w:b/>
          <w:bCs/>
          <w:sz w:val="16"/>
          <w:szCs w:val="16"/>
        </w:rPr>
      </w:pPr>
      <w:bookmarkStart w:id="139" w:name="_Toc58621624"/>
      <w:r w:rsidRPr="00905EA4">
        <w:rPr>
          <w:rFonts w:ascii="Arial" w:hAnsi="Arial" w:cs="Arial"/>
          <w:b/>
          <w:bCs/>
          <w:sz w:val="16"/>
          <w:szCs w:val="16"/>
        </w:rPr>
        <w:t>Table A</w:t>
      </w:r>
      <w:r w:rsidRPr="00905EA4">
        <w:rPr>
          <w:rFonts w:ascii="Arial" w:hAnsi="Arial" w:cs="Arial"/>
          <w:b/>
          <w:bCs/>
          <w:sz w:val="16"/>
          <w:szCs w:val="16"/>
        </w:rPr>
        <w:fldChar w:fldCharType="begin"/>
      </w:r>
      <w:r w:rsidRPr="00905EA4">
        <w:rPr>
          <w:rFonts w:ascii="Arial" w:hAnsi="Arial" w:cs="Arial"/>
          <w:b/>
          <w:bCs/>
          <w:sz w:val="16"/>
          <w:szCs w:val="16"/>
        </w:rPr>
        <w:instrText xml:space="preserve"> SEQ Table_A \* ARABIC </w:instrText>
      </w:r>
      <w:r w:rsidRPr="00905EA4">
        <w:rPr>
          <w:rFonts w:ascii="Arial" w:hAnsi="Arial" w:cs="Arial"/>
          <w:b/>
          <w:bCs/>
          <w:sz w:val="16"/>
          <w:szCs w:val="16"/>
        </w:rPr>
        <w:fldChar w:fldCharType="separate"/>
      </w:r>
      <w:r w:rsidR="00D006A5">
        <w:rPr>
          <w:rFonts w:ascii="Arial" w:hAnsi="Arial" w:cs="Arial"/>
          <w:b/>
          <w:bCs/>
          <w:noProof/>
          <w:sz w:val="16"/>
          <w:szCs w:val="16"/>
        </w:rPr>
        <w:t>1</w:t>
      </w:r>
      <w:r w:rsidRPr="00905EA4">
        <w:rPr>
          <w:rFonts w:ascii="Arial" w:hAnsi="Arial" w:cs="Arial"/>
          <w:b/>
          <w:bCs/>
          <w:sz w:val="16"/>
          <w:szCs w:val="16"/>
        </w:rPr>
        <w:fldChar w:fldCharType="end"/>
      </w:r>
      <w:r w:rsidR="00510E81">
        <w:rPr>
          <w:rFonts w:ascii="Arial" w:hAnsi="Arial" w:cs="Arial"/>
          <w:b/>
          <w:bCs/>
          <w:sz w:val="16"/>
          <w:szCs w:val="16"/>
        </w:rPr>
        <w:t>—</w:t>
      </w:r>
      <w:r>
        <w:rPr>
          <w:rFonts w:ascii="Arial" w:hAnsi="Arial" w:cs="Arial"/>
          <w:b/>
          <w:bCs/>
          <w:sz w:val="16"/>
          <w:szCs w:val="16"/>
        </w:rPr>
        <w:t xml:space="preserve">Causal estimates for all well spacing options with 95% </w:t>
      </w:r>
      <w:r w:rsidR="00B934D2">
        <w:rPr>
          <w:rFonts w:ascii="Arial" w:hAnsi="Arial" w:cs="Arial"/>
          <w:b/>
          <w:bCs/>
          <w:sz w:val="16"/>
          <w:szCs w:val="16"/>
        </w:rPr>
        <w:t>confidence</w:t>
      </w:r>
      <w:r>
        <w:rPr>
          <w:rFonts w:ascii="Arial" w:hAnsi="Arial" w:cs="Arial"/>
          <w:b/>
          <w:bCs/>
          <w:sz w:val="16"/>
          <w:szCs w:val="16"/>
        </w:rPr>
        <w:t xml:space="preserve"> intervals</w:t>
      </w:r>
      <w:r w:rsidR="00B83936">
        <w:rPr>
          <w:rFonts w:ascii="Arial" w:hAnsi="Arial" w:cs="Arial"/>
          <w:b/>
          <w:bCs/>
          <w:sz w:val="16"/>
          <w:szCs w:val="16"/>
        </w:rPr>
        <w:t>. Outcome is</w:t>
      </w:r>
      <w:r w:rsidR="00584112">
        <w:rPr>
          <w:rFonts w:ascii="Arial" w:hAnsi="Arial" w:cs="Arial"/>
          <w:b/>
          <w:bCs/>
          <w:sz w:val="16"/>
          <w:szCs w:val="16"/>
        </w:rPr>
        <w:t xml:space="preserve"> </w:t>
      </w:r>
      <w:r w:rsidR="00B83936">
        <w:rPr>
          <w:rFonts w:ascii="Arial" w:hAnsi="Arial" w:cs="Arial"/>
          <w:b/>
          <w:bCs/>
          <w:sz w:val="16"/>
          <w:szCs w:val="16"/>
        </w:rPr>
        <w:t>180-day</w:t>
      </w:r>
      <w:r w:rsidR="00C2799D">
        <w:rPr>
          <w:rFonts w:ascii="Arial" w:hAnsi="Arial" w:cs="Arial"/>
          <w:b/>
          <w:bCs/>
          <w:sz w:val="16"/>
          <w:szCs w:val="16"/>
        </w:rPr>
        <w:t xml:space="preserve"> </w:t>
      </w:r>
      <w:r w:rsidR="00584112">
        <w:rPr>
          <w:rFonts w:ascii="Arial" w:hAnsi="Arial" w:cs="Arial"/>
          <w:b/>
          <w:bCs/>
          <w:sz w:val="16"/>
          <w:szCs w:val="16"/>
        </w:rPr>
        <w:t xml:space="preserve">cumulative </w:t>
      </w:r>
      <w:r w:rsidR="0036163C">
        <w:rPr>
          <w:rFonts w:ascii="Arial" w:hAnsi="Arial" w:cs="Arial"/>
          <w:b/>
          <w:bCs/>
          <w:sz w:val="16"/>
          <w:szCs w:val="16"/>
        </w:rPr>
        <w:t xml:space="preserve">production </w:t>
      </w:r>
      <w:r w:rsidR="00584112">
        <w:rPr>
          <w:rFonts w:ascii="Arial" w:hAnsi="Arial" w:cs="Arial"/>
          <w:b/>
          <w:bCs/>
          <w:sz w:val="16"/>
          <w:szCs w:val="16"/>
        </w:rPr>
        <w:t xml:space="preserve">normalized </w:t>
      </w:r>
      <w:r w:rsidR="00C2799D">
        <w:rPr>
          <w:rFonts w:ascii="Arial" w:hAnsi="Arial" w:cs="Arial"/>
          <w:b/>
          <w:bCs/>
          <w:sz w:val="16"/>
          <w:szCs w:val="16"/>
        </w:rPr>
        <w:t>to lateral length</w:t>
      </w:r>
      <w:r w:rsidR="00B83936">
        <w:rPr>
          <w:rFonts w:ascii="Arial" w:hAnsi="Arial" w:cs="Arial"/>
          <w:b/>
          <w:bCs/>
          <w:sz w:val="16"/>
          <w:szCs w:val="16"/>
        </w:rPr>
        <w:t xml:space="preserve"> (bbl/ft)</w:t>
      </w:r>
      <w:r w:rsidR="00C67B18">
        <w:rPr>
          <w:rFonts w:ascii="Arial" w:hAnsi="Arial" w:cs="Arial"/>
          <w:b/>
          <w:bCs/>
          <w:sz w:val="16"/>
          <w:szCs w:val="16"/>
        </w:rPr>
        <w:t>.</w:t>
      </w:r>
      <w:bookmarkEnd w:id="139"/>
    </w:p>
    <w:tbl>
      <w:tblPr>
        <w:tblStyle w:val="TableGrid"/>
        <w:tblW w:w="9445" w:type="dxa"/>
        <w:jc w:val="center"/>
        <w:tblLook w:val="04A0" w:firstRow="1" w:lastRow="0" w:firstColumn="1" w:lastColumn="0" w:noHBand="0" w:noVBand="1"/>
      </w:tblPr>
      <w:tblGrid>
        <w:gridCol w:w="1015"/>
        <w:gridCol w:w="1459"/>
        <w:gridCol w:w="1508"/>
        <w:gridCol w:w="1405"/>
        <w:gridCol w:w="902"/>
        <w:gridCol w:w="947"/>
        <w:gridCol w:w="996"/>
        <w:gridCol w:w="1213"/>
      </w:tblGrid>
      <w:tr w:rsidR="00ED1455" w:rsidRPr="00EB596E" w14:paraId="03D79490" w14:textId="77777777" w:rsidTr="00905EA4">
        <w:trPr>
          <w:trHeight w:val="288"/>
          <w:jc w:val="center"/>
        </w:trPr>
        <w:tc>
          <w:tcPr>
            <w:tcW w:w="1015" w:type="dxa"/>
            <w:noWrap/>
            <w:hideMark/>
          </w:tcPr>
          <w:p w14:paraId="73678C42" w14:textId="77777777" w:rsidR="00EB596E" w:rsidRPr="0030536F" w:rsidRDefault="00EB596E" w:rsidP="0030536F">
            <w:pPr>
              <w:pStyle w:val="NoSpacing"/>
              <w:jc w:val="center"/>
            </w:pPr>
            <w:r w:rsidRPr="0030536F">
              <w:t>Well Spacing (ft)</w:t>
            </w:r>
          </w:p>
        </w:tc>
        <w:tc>
          <w:tcPr>
            <w:tcW w:w="1459" w:type="dxa"/>
            <w:noWrap/>
            <w:hideMark/>
          </w:tcPr>
          <w:p w14:paraId="25D88F25" w14:textId="72981DC6" w:rsidR="00EB596E" w:rsidRPr="0030536F" w:rsidRDefault="00EB596E" w:rsidP="0030536F">
            <w:pPr>
              <w:pStyle w:val="NoSpacing"/>
              <w:jc w:val="center"/>
            </w:pPr>
            <w:r w:rsidRPr="0030536F">
              <w:t>Child</w:t>
            </w:r>
          </w:p>
          <w:p w14:paraId="721559B8" w14:textId="50BB3A74" w:rsidR="00EB596E" w:rsidRPr="0030536F" w:rsidRDefault="00EB596E" w:rsidP="0030536F">
            <w:pPr>
              <w:pStyle w:val="NoSpacing"/>
              <w:jc w:val="center"/>
            </w:pPr>
            <w:r w:rsidRPr="0030536F">
              <w:t>Wells</w:t>
            </w:r>
            <w:r w:rsidR="007B4EC6" w:rsidRPr="0030536F">
              <w:t xml:space="preserve"> Mean</w:t>
            </w:r>
          </w:p>
          <w:p w14:paraId="2E7AFDBC" w14:textId="77777777" w:rsidR="00EB596E" w:rsidRDefault="00EB596E" w:rsidP="0030536F">
            <w:pPr>
              <w:pStyle w:val="NoSpacing"/>
              <w:jc w:val="center"/>
            </w:pPr>
            <w:r w:rsidRPr="0030536F">
              <w:t>(Cum</w:t>
            </w:r>
            <w:r w:rsidR="00F50D0A">
              <w:t>.</w:t>
            </w:r>
            <w:r w:rsidRPr="0030536F">
              <w:t xml:space="preserve"> 360/Lateral Length)</w:t>
            </w:r>
          </w:p>
          <w:p w14:paraId="667CAF65" w14:textId="6A67A1AB" w:rsidR="006C1E1C" w:rsidRPr="0030536F" w:rsidRDefault="006C1E1C" w:rsidP="0030536F">
            <w:pPr>
              <w:pStyle w:val="NoSpacing"/>
              <w:jc w:val="center"/>
            </w:pPr>
            <w:r>
              <w:t>(bbl/ft)</w:t>
            </w:r>
          </w:p>
        </w:tc>
        <w:tc>
          <w:tcPr>
            <w:tcW w:w="1508" w:type="dxa"/>
            <w:noWrap/>
            <w:hideMark/>
          </w:tcPr>
          <w:p w14:paraId="7744BF77" w14:textId="39BE41FE" w:rsidR="00EB596E" w:rsidRPr="0030536F" w:rsidRDefault="00EB596E" w:rsidP="0030536F">
            <w:pPr>
              <w:pStyle w:val="NoSpacing"/>
              <w:jc w:val="center"/>
            </w:pPr>
            <w:r w:rsidRPr="0030536F">
              <w:t>Parent</w:t>
            </w:r>
          </w:p>
          <w:p w14:paraId="6F47F384" w14:textId="05C51464" w:rsidR="00EB596E" w:rsidRPr="0030536F" w:rsidRDefault="00EB596E" w:rsidP="0030536F">
            <w:pPr>
              <w:pStyle w:val="NoSpacing"/>
              <w:jc w:val="center"/>
            </w:pPr>
            <w:r w:rsidRPr="0030536F">
              <w:t xml:space="preserve">Wells </w:t>
            </w:r>
            <w:r w:rsidR="007B4EC6" w:rsidRPr="0030536F">
              <w:t>Mean</w:t>
            </w:r>
          </w:p>
          <w:p w14:paraId="5861936D" w14:textId="739E27F7" w:rsidR="00EB596E" w:rsidRPr="0030536F" w:rsidRDefault="00EB596E" w:rsidP="0030536F">
            <w:pPr>
              <w:pStyle w:val="NoSpacing"/>
              <w:jc w:val="center"/>
            </w:pPr>
            <w:r w:rsidRPr="0030536F">
              <w:t>(Cum</w:t>
            </w:r>
            <w:r w:rsidR="00F50D0A">
              <w:t>.</w:t>
            </w:r>
            <w:r w:rsidRPr="0030536F">
              <w:t xml:space="preserve"> 360/Lateral Length)</w:t>
            </w:r>
            <w:r w:rsidR="00CD135A">
              <w:t xml:space="preserve"> (bbl/ft)</w:t>
            </w:r>
          </w:p>
        </w:tc>
        <w:tc>
          <w:tcPr>
            <w:tcW w:w="1405" w:type="dxa"/>
            <w:noWrap/>
            <w:hideMark/>
          </w:tcPr>
          <w:p w14:paraId="705D8FAE" w14:textId="77777777" w:rsidR="00EB596E" w:rsidRPr="0030536F" w:rsidRDefault="00EB596E" w:rsidP="0030536F">
            <w:pPr>
              <w:pStyle w:val="NoSpacing"/>
              <w:jc w:val="center"/>
            </w:pPr>
            <w:r w:rsidRPr="0030536F">
              <w:t>Causal Estimate</w:t>
            </w:r>
          </w:p>
          <w:p w14:paraId="0A5E08D1" w14:textId="77777777" w:rsidR="00EB596E" w:rsidRDefault="00EB596E" w:rsidP="0030536F">
            <w:pPr>
              <w:pStyle w:val="NoSpacing"/>
              <w:jc w:val="center"/>
            </w:pPr>
            <w:r w:rsidRPr="0030536F">
              <w:t>(Cum</w:t>
            </w:r>
            <w:r w:rsidR="00F50D0A">
              <w:t>.</w:t>
            </w:r>
            <w:r w:rsidRPr="0030536F">
              <w:t xml:space="preserve"> 360/Lateral Length)</w:t>
            </w:r>
          </w:p>
          <w:p w14:paraId="32619F5B" w14:textId="5EAF1B8B" w:rsidR="00CD135A" w:rsidRPr="0030536F" w:rsidRDefault="00CD135A" w:rsidP="0030536F">
            <w:pPr>
              <w:pStyle w:val="NoSpacing"/>
              <w:jc w:val="center"/>
            </w:pPr>
            <w:r>
              <w:t>(bbl/ft)</w:t>
            </w:r>
          </w:p>
        </w:tc>
        <w:tc>
          <w:tcPr>
            <w:tcW w:w="902" w:type="dxa"/>
            <w:noWrap/>
            <w:hideMark/>
          </w:tcPr>
          <w:p w14:paraId="662B28F8" w14:textId="77777777" w:rsidR="00EB596E" w:rsidRPr="0030536F" w:rsidRDefault="00EB596E" w:rsidP="0030536F">
            <w:pPr>
              <w:pStyle w:val="NoSpacing"/>
              <w:jc w:val="center"/>
            </w:pPr>
            <w:r w:rsidRPr="0030536F">
              <w:t>Lower 95 % CI</w:t>
            </w:r>
          </w:p>
        </w:tc>
        <w:tc>
          <w:tcPr>
            <w:tcW w:w="947" w:type="dxa"/>
            <w:noWrap/>
            <w:hideMark/>
          </w:tcPr>
          <w:p w14:paraId="20CF93CD" w14:textId="77777777" w:rsidR="00EB596E" w:rsidRPr="0030536F" w:rsidRDefault="00EB596E" w:rsidP="0030536F">
            <w:pPr>
              <w:pStyle w:val="NoSpacing"/>
              <w:jc w:val="center"/>
            </w:pPr>
            <w:r w:rsidRPr="0030536F">
              <w:t>Upper 95 % CI</w:t>
            </w:r>
          </w:p>
        </w:tc>
        <w:tc>
          <w:tcPr>
            <w:tcW w:w="996" w:type="dxa"/>
            <w:noWrap/>
            <w:hideMark/>
          </w:tcPr>
          <w:p w14:paraId="68A88863" w14:textId="77777777" w:rsidR="00EB596E" w:rsidRPr="0030536F" w:rsidRDefault="00EB596E" w:rsidP="0030536F">
            <w:pPr>
              <w:pStyle w:val="NoSpacing"/>
              <w:jc w:val="center"/>
            </w:pPr>
          </w:p>
          <w:p w14:paraId="5665F3EA" w14:textId="6A70137D" w:rsidR="00EB596E" w:rsidRPr="0030536F" w:rsidRDefault="00EB596E" w:rsidP="0030536F">
            <w:pPr>
              <w:pStyle w:val="NoSpacing"/>
              <w:jc w:val="center"/>
            </w:pPr>
            <w:r w:rsidRPr="0030536F">
              <w:t>P-value</w:t>
            </w:r>
          </w:p>
        </w:tc>
        <w:tc>
          <w:tcPr>
            <w:tcW w:w="1213" w:type="dxa"/>
            <w:noWrap/>
            <w:hideMark/>
          </w:tcPr>
          <w:p w14:paraId="204B4D0C" w14:textId="77777777" w:rsidR="00EB596E" w:rsidRPr="0030536F" w:rsidRDefault="00EB596E" w:rsidP="0030536F">
            <w:pPr>
              <w:pStyle w:val="NoSpacing"/>
              <w:jc w:val="center"/>
            </w:pPr>
            <w:r w:rsidRPr="0030536F">
              <w:t>Degrees of Freedom</w:t>
            </w:r>
          </w:p>
        </w:tc>
      </w:tr>
      <w:tr w:rsidR="00ED1455" w:rsidRPr="00EB596E" w14:paraId="69ECFFE5" w14:textId="77777777" w:rsidTr="00905EA4">
        <w:trPr>
          <w:trHeight w:val="288"/>
          <w:jc w:val="center"/>
        </w:trPr>
        <w:tc>
          <w:tcPr>
            <w:tcW w:w="1015" w:type="dxa"/>
            <w:noWrap/>
            <w:hideMark/>
          </w:tcPr>
          <w:p w14:paraId="006B0B91"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800 ft</w:t>
            </w:r>
          </w:p>
        </w:tc>
        <w:tc>
          <w:tcPr>
            <w:tcW w:w="1459" w:type="dxa"/>
            <w:noWrap/>
            <w:hideMark/>
          </w:tcPr>
          <w:p w14:paraId="25A77672"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16.23</w:t>
            </w:r>
          </w:p>
        </w:tc>
        <w:tc>
          <w:tcPr>
            <w:tcW w:w="1508" w:type="dxa"/>
            <w:noWrap/>
            <w:hideMark/>
          </w:tcPr>
          <w:p w14:paraId="2477B2CE"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18.8</w:t>
            </w:r>
          </w:p>
        </w:tc>
        <w:tc>
          <w:tcPr>
            <w:tcW w:w="1405" w:type="dxa"/>
            <w:noWrap/>
            <w:hideMark/>
          </w:tcPr>
          <w:p w14:paraId="1F136171" w14:textId="5C35FB95" w:rsidR="00EB596E" w:rsidRPr="0030536F" w:rsidRDefault="00EB596E" w:rsidP="0030536F">
            <w:pPr>
              <w:jc w:val="center"/>
              <w:rPr>
                <w:rFonts w:eastAsia="Times New Roman" w:cs="Times New Roman"/>
                <w:szCs w:val="24"/>
              </w:rPr>
            </w:pPr>
            <w:r w:rsidRPr="0030536F">
              <w:rPr>
                <w:rFonts w:eastAsia="Times New Roman" w:cs="Times New Roman"/>
                <w:szCs w:val="24"/>
              </w:rPr>
              <w:t>-2.</w:t>
            </w:r>
            <w:r w:rsidR="009D44CC" w:rsidRPr="0030536F">
              <w:rPr>
                <w:rFonts w:eastAsia="Times New Roman" w:cs="Times New Roman"/>
                <w:szCs w:val="24"/>
              </w:rPr>
              <w:t>51</w:t>
            </w:r>
          </w:p>
        </w:tc>
        <w:tc>
          <w:tcPr>
            <w:tcW w:w="902" w:type="dxa"/>
            <w:noWrap/>
            <w:hideMark/>
          </w:tcPr>
          <w:p w14:paraId="458DEAA7" w14:textId="35571873" w:rsidR="00EB596E" w:rsidRPr="0030536F" w:rsidRDefault="00EB596E" w:rsidP="0030536F">
            <w:pPr>
              <w:jc w:val="center"/>
              <w:rPr>
                <w:rFonts w:eastAsia="Times New Roman" w:cs="Times New Roman"/>
                <w:szCs w:val="24"/>
              </w:rPr>
            </w:pPr>
            <w:r w:rsidRPr="0030536F">
              <w:rPr>
                <w:rFonts w:eastAsia="Times New Roman" w:cs="Times New Roman"/>
                <w:szCs w:val="24"/>
              </w:rPr>
              <w:t>-</w:t>
            </w:r>
            <w:r w:rsidR="005A1A06" w:rsidRPr="0030536F">
              <w:rPr>
                <w:rFonts w:eastAsia="Times New Roman" w:cs="Times New Roman"/>
                <w:szCs w:val="24"/>
              </w:rPr>
              <w:t>3.4</w:t>
            </w:r>
          </w:p>
        </w:tc>
        <w:tc>
          <w:tcPr>
            <w:tcW w:w="947" w:type="dxa"/>
            <w:noWrap/>
            <w:hideMark/>
          </w:tcPr>
          <w:p w14:paraId="706FEC82" w14:textId="4B35A4D9" w:rsidR="00EB596E" w:rsidRPr="0030536F" w:rsidRDefault="005A1A06" w:rsidP="0030536F">
            <w:pPr>
              <w:jc w:val="center"/>
              <w:rPr>
                <w:rFonts w:eastAsia="Times New Roman" w:cs="Times New Roman"/>
                <w:szCs w:val="24"/>
              </w:rPr>
            </w:pPr>
            <w:r w:rsidRPr="0030536F">
              <w:rPr>
                <w:rFonts w:eastAsia="Times New Roman" w:cs="Times New Roman"/>
                <w:szCs w:val="24"/>
              </w:rPr>
              <w:t>-1.63</w:t>
            </w:r>
          </w:p>
        </w:tc>
        <w:tc>
          <w:tcPr>
            <w:tcW w:w="996" w:type="dxa"/>
            <w:noWrap/>
            <w:hideMark/>
          </w:tcPr>
          <w:p w14:paraId="10D125AD" w14:textId="5514E771" w:rsidR="00EB596E" w:rsidRPr="0030536F" w:rsidRDefault="005A1A06" w:rsidP="0030536F">
            <w:pPr>
              <w:pStyle w:val="Caption"/>
              <w:rPr>
                <w:rFonts w:eastAsia="Times New Roman" w:cs="Times New Roman"/>
                <w:b w:val="0"/>
                <w:i w:val="0"/>
                <w:iCs w:val="0"/>
                <w:szCs w:val="24"/>
              </w:rPr>
            </w:pPr>
            <w:r w:rsidRPr="0030536F">
              <w:rPr>
                <w:rFonts w:eastAsia="Times New Roman" w:cs="Times New Roman"/>
                <w:b w:val="0"/>
                <w:i w:val="0"/>
                <w:iCs w:val="0"/>
                <w:szCs w:val="24"/>
              </w:rPr>
              <w:t>1.5E-7</w:t>
            </w:r>
          </w:p>
        </w:tc>
        <w:tc>
          <w:tcPr>
            <w:tcW w:w="1213" w:type="dxa"/>
            <w:noWrap/>
            <w:hideMark/>
          </w:tcPr>
          <w:p w14:paraId="429F076F" w14:textId="1DFFB910" w:rsidR="00EB596E" w:rsidRPr="0030536F" w:rsidRDefault="00A025AA" w:rsidP="0030536F">
            <w:pPr>
              <w:pStyle w:val="Caption"/>
              <w:rPr>
                <w:rFonts w:eastAsia="Times New Roman" w:cs="Times New Roman"/>
                <w:b w:val="0"/>
                <w:i w:val="0"/>
                <w:iCs w:val="0"/>
                <w:szCs w:val="24"/>
              </w:rPr>
            </w:pPr>
            <w:r w:rsidRPr="0030536F">
              <w:rPr>
                <w:rFonts w:eastAsia="Times New Roman" w:cs="Times New Roman"/>
                <w:b w:val="0"/>
                <w:i w:val="0"/>
                <w:iCs w:val="0"/>
                <w:szCs w:val="24"/>
              </w:rPr>
              <w:t>104</w:t>
            </w:r>
          </w:p>
        </w:tc>
      </w:tr>
      <w:tr w:rsidR="00ED1455" w:rsidRPr="00EB596E" w14:paraId="15214A12" w14:textId="77777777" w:rsidTr="00905EA4">
        <w:trPr>
          <w:trHeight w:val="288"/>
          <w:jc w:val="center"/>
        </w:trPr>
        <w:tc>
          <w:tcPr>
            <w:tcW w:w="1015" w:type="dxa"/>
            <w:noWrap/>
            <w:hideMark/>
          </w:tcPr>
          <w:p w14:paraId="4421D479"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700 ft</w:t>
            </w:r>
          </w:p>
        </w:tc>
        <w:tc>
          <w:tcPr>
            <w:tcW w:w="1459" w:type="dxa"/>
            <w:noWrap/>
            <w:hideMark/>
          </w:tcPr>
          <w:p w14:paraId="60E10F74"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16.78</w:t>
            </w:r>
          </w:p>
        </w:tc>
        <w:tc>
          <w:tcPr>
            <w:tcW w:w="1508" w:type="dxa"/>
            <w:noWrap/>
            <w:hideMark/>
          </w:tcPr>
          <w:p w14:paraId="351ACBC1"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17.64</w:t>
            </w:r>
          </w:p>
        </w:tc>
        <w:tc>
          <w:tcPr>
            <w:tcW w:w="1405" w:type="dxa"/>
            <w:noWrap/>
            <w:hideMark/>
          </w:tcPr>
          <w:p w14:paraId="60077331"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-0.87</w:t>
            </w:r>
          </w:p>
        </w:tc>
        <w:tc>
          <w:tcPr>
            <w:tcW w:w="902" w:type="dxa"/>
            <w:noWrap/>
            <w:hideMark/>
          </w:tcPr>
          <w:p w14:paraId="18DB14F7" w14:textId="7B458C2C" w:rsidR="00EB596E" w:rsidRPr="0030536F" w:rsidRDefault="00194091" w:rsidP="0030536F">
            <w:pPr>
              <w:jc w:val="center"/>
              <w:rPr>
                <w:rFonts w:eastAsia="Times New Roman" w:cs="Times New Roman"/>
                <w:szCs w:val="24"/>
              </w:rPr>
            </w:pPr>
            <w:r w:rsidRPr="0030536F">
              <w:rPr>
                <w:rFonts w:eastAsia="Times New Roman" w:cs="Times New Roman"/>
                <w:szCs w:val="24"/>
              </w:rPr>
              <w:t>-1.64</w:t>
            </w:r>
          </w:p>
        </w:tc>
        <w:tc>
          <w:tcPr>
            <w:tcW w:w="947" w:type="dxa"/>
            <w:noWrap/>
            <w:hideMark/>
          </w:tcPr>
          <w:p w14:paraId="27C00C5E" w14:textId="273DA016" w:rsidR="00EB596E" w:rsidRPr="0030536F" w:rsidRDefault="00194091" w:rsidP="0030536F">
            <w:pPr>
              <w:jc w:val="center"/>
              <w:rPr>
                <w:rFonts w:eastAsia="Times New Roman" w:cs="Times New Roman"/>
                <w:szCs w:val="24"/>
              </w:rPr>
            </w:pPr>
            <w:r w:rsidRPr="0030536F">
              <w:rPr>
                <w:rFonts w:eastAsia="Times New Roman" w:cs="Times New Roman"/>
                <w:szCs w:val="24"/>
              </w:rPr>
              <w:t>-0.1</w:t>
            </w:r>
          </w:p>
        </w:tc>
        <w:tc>
          <w:tcPr>
            <w:tcW w:w="996" w:type="dxa"/>
            <w:noWrap/>
            <w:hideMark/>
          </w:tcPr>
          <w:p w14:paraId="0DA73450" w14:textId="766B5A93" w:rsidR="00EB596E" w:rsidRPr="0030536F" w:rsidRDefault="009B0DEF" w:rsidP="0030536F">
            <w:pPr>
              <w:pStyle w:val="Caption"/>
              <w:rPr>
                <w:rFonts w:eastAsia="Times New Roman" w:cs="Times New Roman"/>
                <w:b w:val="0"/>
                <w:i w:val="0"/>
                <w:iCs w:val="0"/>
                <w:szCs w:val="24"/>
              </w:rPr>
            </w:pPr>
            <w:r w:rsidRPr="0030536F">
              <w:rPr>
                <w:rFonts w:eastAsia="Times New Roman" w:cs="Times New Roman"/>
                <w:b w:val="0"/>
                <w:i w:val="0"/>
                <w:iCs w:val="0"/>
                <w:szCs w:val="24"/>
              </w:rPr>
              <w:t>0.026</w:t>
            </w:r>
          </w:p>
        </w:tc>
        <w:tc>
          <w:tcPr>
            <w:tcW w:w="1213" w:type="dxa"/>
            <w:noWrap/>
            <w:hideMark/>
          </w:tcPr>
          <w:p w14:paraId="628EA372" w14:textId="0F7EA959" w:rsidR="00EB596E" w:rsidRPr="0030536F" w:rsidRDefault="00DA02CF" w:rsidP="0030536F">
            <w:pPr>
              <w:pStyle w:val="Caption"/>
              <w:rPr>
                <w:rFonts w:eastAsia="Times New Roman" w:cs="Times New Roman"/>
                <w:b w:val="0"/>
                <w:i w:val="0"/>
                <w:iCs w:val="0"/>
                <w:szCs w:val="24"/>
              </w:rPr>
            </w:pPr>
            <w:r w:rsidRPr="0030536F">
              <w:rPr>
                <w:rFonts w:eastAsia="Times New Roman" w:cs="Times New Roman"/>
                <w:b w:val="0"/>
                <w:i w:val="0"/>
                <w:iCs w:val="0"/>
                <w:szCs w:val="24"/>
              </w:rPr>
              <w:t>138</w:t>
            </w:r>
          </w:p>
        </w:tc>
      </w:tr>
      <w:tr w:rsidR="00ED1455" w:rsidRPr="00EB596E" w14:paraId="5F3DCF8D" w14:textId="77777777" w:rsidTr="00905EA4">
        <w:trPr>
          <w:trHeight w:val="288"/>
          <w:jc w:val="center"/>
        </w:trPr>
        <w:tc>
          <w:tcPr>
            <w:tcW w:w="1015" w:type="dxa"/>
            <w:noWrap/>
            <w:hideMark/>
          </w:tcPr>
          <w:p w14:paraId="39235F78"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600 ft</w:t>
            </w:r>
          </w:p>
        </w:tc>
        <w:tc>
          <w:tcPr>
            <w:tcW w:w="1459" w:type="dxa"/>
            <w:noWrap/>
            <w:hideMark/>
          </w:tcPr>
          <w:p w14:paraId="1D124AA6"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16.31</w:t>
            </w:r>
          </w:p>
        </w:tc>
        <w:tc>
          <w:tcPr>
            <w:tcW w:w="1508" w:type="dxa"/>
            <w:noWrap/>
            <w:hideMark/>
          </w:tcPr>
          <w:p w14:paraId="61C683CA"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17.19</w:t>
            </w:r>
          </w:p>
        </w:tc>
        <w:tc>
          <w:tcPr>
            <w:tcW w:w="1405" w:type="dxa"/>
            <w:noWrap/>
            <w:hideMark/>
          </w:tcPr>
          <w:p w14:paraId="17BAD326"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-0.87</w:t>
            </w:r>
          </w:p>
        </w:tc>
        <w:tc>
          <w:tcPr>
            <w:tcW w:w="902" w:type="dxa"/>
            <w:noWrap/>
            <w:hideMark/>
          </w:tcPr>
          <w:p w14:paraId="75430875" w14:textId="64C58F8F" w:rsidR="00EB596E" w:rsidRPr="0030536F" w:rsidRDefault="00194091" w:rsidP="0030536F">
            <w:pPr>
              <w:jc w:val="center"/>
              <w:rPr>
                <w:rFonts w:eastAsia="Times New Roman" w:cs="Times New Roman"/>
                <w:szCs w:val="24"/>
              </w:rPr>
            </w:pPr>
            <w:r w:rsidRPr="0030536F">
              <w:rPr>
                <w:rFonts w:eastAsia="Times New Roman" w:cs="Times New Roman"/>
                <w:szCs w:val="24"/>
              </w:rPr>
              <w:t>-1.67</w:t>
            </w:r>
          </w:p>
        </w:tc>
        <w:tc>
          <w:tcPr>
            <w:tcW w:w="947" w:type="dxa"/>
            <w:noWrap/>
            <w:hideMark/>
          </w:tcPr>
          <w:p w14:paraId="27A85E6D" w14:textId="10474BC2" w:rsidR="00EB596E" w:rsidRPr="0030536F" w:rsidRDefault="00194091" w:rsidP="0030536F">
            <w:pPr>
              <w:jc w:val="center"/>
              <w:rPr>
                <w:rFonts w:eastAsia="Times New Roman" w:cs="Times New Roman"/>
                <w:szCs w:val="24"/>
              </w:rPr>
            </w:pPr>
            <w:r w:rsidRPr="0030536F">
              <w:rPr>
                <w:rFonts w:eastAsia="Times New Roman" w:cs="Times New Roman"/>
                <w:szCs w:val="24"/>
              </w:rPr>
              <w:t>-0.069</w:t>
            </w:r>
          </w:p>
        </w:tc>
        <w:tc>
          <w:tcPr>
            <w:tcW w:w="996" w:type="dxa"/>
            <w:noWrap/>
            <w:hideMark/>
          </w:tcPr>
          <w:p w14:paraId="013B410F" w14:textId="09337D33" w:rsidR="00EB596E" w:rsidRPr="0030536F" w:rsidRDefault="00A025AA" w:rsidP="0030536F">
            <w:pPr>
              <w:pStyle w:val="Caption"/>
              <w:rPr>
                <w:rFonts w:eastAsia="Times New Roman" w:cs="Times New Roman"/>
                <w:b w:val="0"/>
                <w:i w:val="0"/>
                <w:iCs w:val="0"/>
                <w:szCs w:val="24"/>
              </w:rPr>
            </w:pPr>
            <w:r w:rsidRPr="0030536F">
              <w:rPr>
                <w:rFonts w:eastAsia="Times New Roman" w:cs="Times New Roman"/>
                <w:b w:val="0"/>
                <w:i w:val="0"/>
                <w:iCs w:val="0"/>
                <w:szCs w:val="24"/>
              </w:rPr>
              <w:t>0.033</w:t>
            </w:r>
          </w:p>
        </w:tc>
        <w:tc>
          <w:tcPr>
            <w:tcW w:w="1213" w:type="dxa"/>
            <w:noWrap/>
            <w:hideMark/>
          </w:tcPr>
          <w:p w14:paraId="593B9E89" w14:textId="1756B40B" w:rsidR="00EB596E" w:rsidRPr="0030536F" w:rsidRDefault="00DA02CF" w:rsidP="0030536F">
            <w:pPr>
              <w:pStyle w:val="Caption"/>
              <w:rPr>
                <w:rFonts w:eastAsia="Times New Roman" w:cs="Times New Roman"/>
                <w:b w:val="0"/>
                <w:i w:val="0"/>
                <w:iCs w:val="0"/>
                <w:szCs w:val="24"/>
              </w:rPr>
            </w:pPr>
            <w:r w:rsidRPr="0030536F">
              <w:rPr>
                <w:rFonts w:eastAsia="Times New Roman" w:cs="Times New Roman"/>
                <w:b w:val="0"/>
                <w:i w:val="0"/>
                <w:iCs w:val="0"/>
                <w:szCs w:val="24"/>
              </w:rPr>
              <w:t>136</w:t>
            </w:r>
          </w:p>
        </w:tc>
      </w:tr>
      <w:tr w:rsidR="00ED1455" w:rsidRPr="00EB596E" w14:paraId="4B0C4D2E" w14:textId="77777777" w:rsidTr="00905EA4">
        <w:trPr>
          <w:trHeight w:val="300"/>
          <w:jc w:val="center"/>
        </w:trPr>
        <w:tc>
          <w:tcPr>
            <w:tcW w:w="1015" w:type="dxa"/>
            <w:noWrap/>
            <w:hideMark/>
          </w:tcPr>
          <w:p w14:paraId="61503B19"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500 ft</w:t>
            </w:r>
          </w:p>
        </w:tc>
        <w:tc>
          <w:tcPr>
            <w:tcW w:w="1459" w:type="dxa"/>
            <w:noWrap/>
            <w:hideMark/>
          </w:tcPr>
          <w:p w14:paraId="5DF816FB"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16.32</w:t>
            </w:r>
          </w:p>
        </w:tc>
        <w:tc>
          <w:tcPr>
            <w:tcW w:w="1508" w:type="dxa"/>
            <w:noWrap/>
            <w:hideMark/>
          </w:tcPr>
          <w:p w14:paraId="1196806A"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17.39</w:t>
            </w:r>
          </w:p>
        </w:tc>
        <w:tc>
          <w:tcPr>
            <w:tcW w:w="1405" w:type="dxa"/>
            <w:noWrap/>
            <w:hideMark/>
          </w:tcPr>
          <w:p w14:paraId="55C92531" w14:textId="77777777" w:rsidR="00EB596E" w:rsidRPr="0030536F" w:rsidRDefault="00EB596E" w:rsidP="0030536F">
            <w:pPr>
              <w:jc w:val="center"/>
              <w:rPr>
                <w:rFonts w:eastAsia="Times New Roman" w:cs="Times New Roman"/>
                <w:szCs w:val="24"/>
              </w:rPr>
            </w:pPr>
            <w:r w:rsidRPr="0030536F">
              <w:rPr>
                <w:rFonts w:eastAsia="Times New Roman" w:cs="Times New Roman"/>
                <w:szCs w:val="24"/>
              </w:rPr>
              <w:t>-1.07</w:t>
            </w:r>
          </w:p>
        </w:tc>
        <w:tc>
          <w:tcPr>
            <w:tcW w:w="902" w:type="dxa"/>
            <w:noWrap/>
            <w:hideMark/>
          </w:tcPr>
          <w:p w14:paraId="20A4BBF8" w14:textId="07850D2F" w:rsidR="00EB596E" w:rsidRPr="0030536F" w:rsidRDefault="00A12422" w:rsidP="0030536F">
            <w:pPr>
              <w:jc w:val="center"/>
              <w:rPr>
                <w:rFonts w:eastAsia="Times New Roman" w:cs="Times New Roman"/>
                <w:szCs w:val="24"/>
              </w:rPr>
            </w:pPr>
            <w:r w:rsidRPr="0030536F">
              <w:rPr>
                <w:rFonts w:eastAsia="Times New Roman" w:cs="Times New Roman"/>
                <w:szCs w:val="24"/>
              </w:rPr>
              <w:t>-1.8</w:t>
            </w:r>
          </w:p>
        </w:tc>
        <w:tc>
          <w:tcPr>
            <w:tcW w:w="947" w:type="dxa"/>
            <w:noWrap/>
            <w:hideMark/>
          </w:tcPr>
          <w:p w14:paraId="6ACBD389" w14:textId="1963D23A" w:rsidR="00EB596E" w:rsidRPr="0030536F" w:rsidRDefault="00A12422" w:rsidP="0030536F">
            <w:pPr>
              <w:jc w:val="center"/>
              <w:rPr>
                <w:rFonts w:eastAsia="Times New Roman" w:cs="Times New Roman"/>
                <w:szCs w:val="24"/>
              </w:rPr>
            </w:pPr>
            <w:r w:rsidRPr="0030536F">
              <w:rPr>
                <w:rFonts w:eastAsia="Times New Roman" w:cs="Times New Roman"/>
                <w:szCs w:val="24"/>
              </w:rPr>
              <w:t>-0.33</w:t>
            </w:r>
          </w:p>
        </w:tc>
        <w:tc>
          <w:tcPr>
            <w:tcW w:w="996" w:type="dxa"/>
            <w:noWrap/>
            <w:hideMark/>
          </w:tcPr>
          <w:p w14:paraId="287F22AF" w14:textId="7445CB68" w:rsidR="00EB596E" w:rsidRPr="0030536F" w:rsidRDefault="005125E2" w:rsidP="0030536F">
            <w:pPr>
              <w:pStyle w:val="Caption"/>
              <w:tabs>
                <w:tab w:val="left" w:pos="216"/>
                <w:tab w:val="center" w:pos="390"/>
              </w:tabs>
              <w:rPr>
                <w:rFonts w:eastAsia="Times New Roman" w:cs="Times New Roman"/>
                <w:b w:val="0"/>
                <w:i w:val="0"/>
                <w:iCs w:val="0"/>
                <w:szCs w:val="24"/>
              </w:rPr>
            </w:pPr>
            <w:r w:rsidRPr="0030536F">
              <w:rPr>
                <w:rFonts w:eastAsia="Times New Roman" w:cs="Times New Roman"/>
                <w:b w:val="0"/>
                <w:i w:val="0"/>
                <w:iCs w:val="0"/>
                <w:szCs w:val="24"/>
              </w:rPr>
              <w:t>0.004</w:t>
            </w:r>
          </w:p>
        </w:tc>
        <w:tc>
          <w:tcPr>
            <w:tcW w:w="1213" w:type="dxa"/>
            <w:noWrap/>
            <w:hideMark/>
          </w:tcPr>
          <w:p w14:paraId="30626D6A" w14:textId="34994493" w:rsidR="00EB596E" w:rsidRPr="0030536F" w:rsidRDefault="00DA02CF" w:rsidP="0030536F">
            <w:pPr>
              <w:pStyle w:val="Caption"/>
              <w:keepNext/>
              <w:rPr>
                <w:rFonts w:eastAsia="Times New Roman" w:cs="Times New Roman"/>
                <w:b w:val="0"/>
                <w:i w:val="0"/>
                <w:iCs w:val="0"/>
                <w:szCs w:val="24"/>
              </w:rPr>
            </w:pPr>
            <w:r w:rsidRPr="0030536F">
              <w:rPr>
                <w:rFonts w:eastAsia="Times New Roman" w:cs="Times New Roman"/>
                <w:b w:val="0"/>
                <w:i w:val="0"/>
                <w:iCs w:val="0"/>
                <w:szCs w:val="24"/>
              </w:rPr>
              <w:t>112</w:t>
            </w:r>
          </w:p>
        </w:tc>
      </w:tr>
    </w:tbl>
    <w:p w14:paraId="0298FB65" w14:textId="77777777" w:rsidR="005A1A06" w:rsidRDefault="005A1A06" w:rsidP="00F50D0A">
      <w:pPr>
        <w:pStyle w:val="Caption"/>
        <w:spacing w:after="0"/>
      </w:pPr>
    </w:p>
    <w:p w14:paraId="53B11334" w14:textId="0EF73F2D" w:rsidR="005A1A06" w:rsidRPr="00DC2B34" w:rsidRDefault="005A1A06" w:rsidP="005A1A06">
      <w:pPr>
        <w:tabs>
          <w:tab w:val="left" w:pos="1754"/>
        </w:tabs>
        <w:jc w:val="center"/>
        <w:rPr>
          <w:rFonts w:ascii="Arial" w:hAnsi="Arial" w:cs="Arial"/>
          <w:b/>
          <w:bCs/>
          <w:sz w:val="16"/>
          <w:szCs w:val="16"/>
        </w:rPr>
      </w:pPr>
      <w:bookmarkStart w:id="140" w:name="_Toc58621625"/>
      <w:r w:rsidRPr="00905EA4">
        <w:rPr>
          <w:rFonts w:ascii="Arial" w:hAnsi="Arial" w:cs="Arial"/>
          <w:b/>
          <w:bCs/>
          <w:sz w:val="16"/>
          <w:szCs w:val="16"/>
        </w:rPr>
        <w:t>Table A</w:t>
      </w:r>
      <w:r w:rsidRPr="00905EA4">
        <w:rPr>
          <w:rFonts w:ascii="Arial" w:hAnsi="Arial" w:cs="Arial"/>
          <w:b/>
          <w:bCs/>
          <w:sz w:val="16"/>
          <w:szCs w:val="16"/>
        </w:rPr>
        <w:fldChar w:fldCharType="begin"/>
      </w:r>
      <w:r w:rsidRPr="00905EA4">
        <w:rPr>
          <w:rFonts w:ascii="Arial" w:hAnsi="Arial" w:cs="Arial"/>
          <w:b/>
          <w:bCs/>
          <w:sz w:val="16"/>
          <w:szCs w:val="16"/>
        </w:rPr>
        <w:instrText xml:space="preserve"> SEQ Table_A \* ARABIC </w:instrText>
      </w:r>
      <w:r w:rsidRPr="00905EA4">
        <w:rPr>
          <w:rFonts w:ascii="Arial" w:hAnsi="Arial" w:cs="Arial"/>
          <w:b/>
          <w:bCs/>
          <w:sz w:val="16"/>
          <w:szCs w:val="16"/>
        </w:rPr>
        <w:fldChar w:fldCharType="separate"/>
      </w:r>
      <w:r w:rsidR="00D006A5">
        <w:rPr>
          <w:rFonts w:ascii="Arial" w:hAnsi="Arial" w:cs="Arial"/>
          <w:b/>
          <w:bCs/>
          <w:noProof/>
          <w:sz w:val="16"/>
          <w:szCs w:val="16"/>
        </w:rPr>
        <w:t>2</w:t>
      </w:r>
      <w:r w:rsidRPr="00905EA4">
        <w:rPr>
          <w:rFonts w:ascii="Arial" w:hAnsi="Arial" w:cs="Arial"/>
          <w:b/>
          <w:bCs/>
          <w:sz w:val="16"/>
          <w:szCs w:val="16"/>
        </w:rPr>
        <w:fldChar w:fldCharType="end"/>
      </w:r>
      <w:r w:rsidR="00AA0DBD">
        <w:rPr>
          <w:rFonts w:ascii="Arial" w:hAnsi="Arial" w:cs="Arial"/>
          <w:b/>
          <w:bCs/>
          <w:sz w:val="16"/>
          <w:szCs w:val="16"/>
        </w:rPr>
        <w:t>—</w:t>
      </w:r>
      <w:r>
        <w:rPr>
          <w:rFonts w:ascii="Arial" w:hAnsi="Arial" w:cs="Arial"/>
          <w:b/>
          <w:bCs/>
          <w:sz w:val="16"/>
          <w:szCs w:val="16"/>
        </w:rPr>
        <w:t xml:space="preserve">Causal estimates for all well spacing options with 95% confidence intervals. Outcome is 360-day </w:t>
      </w:r>
      <w:r w:rsidR="0036163C">
        <w:rPr>
          <w:rFonts w:ascii="Arial" w:hAnsi="Arial" w:cs="Arial"/>
          <w:b/>
          <w:bCs/>
          <w:sz w:val="16"/>
          <w:szCs w:val="16"/>
        </w:rPr>
        <w:t xml:space="preserve">cumulative </w:t>
      </w:r>
      <w:r>
        <w:rPr>
          <w:rFonts w:ascii="Arial" w:hAnsi="Arial" w:cs="Arial"/>
          <w:b/>
          <w:bCs/>
          <w:sz w:val="16"/>
          <w:szCs w:val="16"/>
        </w:rPr>
        <w:t xml:space="preserve">production </w:t>
      </w:r>
      <w:r w:rsidR="00C2799D">
        <w:rPr>
          <w:rFonts w:ascii="Arial" w:hAnsi="Arial" w:cs="Arial"/>
          <w:b/>
          <w:bCs/>
          <w:sz w:val="16"/>
          <w:szCs w:val="16"/>
        </w:rPr>
        <w:t xml:space="preserve">normalized to lateral length production </w:t>
      </w:r>
      <w:r>
        <w:rPr>
          <w:rFonts w:ascii="Arial" w:hAnsi="Arial" w:cs="Arial"/>
          <w:b/>
          <w:bCs/>
          <w:sz w:val="16"/>
          <w:szCs w:val="16"/>
        </w:rPr>
        <w:t>(bbl/ft)</w:t>
      </w:r>
      <w:r w:rsidR="00C67B18">
        <w:rPr>
          <w:rFonts w:ascii="Arial" w:hAnsi="Arial" w:cs="Arial"/>
          <w:b/>
          <w:bCs/>
          <w:sz w:val="16"/>
          <w:szCs w:val="16"/>
        </w:rPr>
        <w:t>.</w:t>
      </w:r>
      <w:bookmarkEnd w:id="140"/>
    </w:p>
    <w:p w14:paraId="7C1BEE09" w14:textId="4B3A95C5" w:rsidR="00C86C43" w:rsidRPr="00905EA4" w:rsidRDefault="00C86C43" w:rsidP="00905EA4">
      <w:pPr>
        <w:pStyle w:val="Caption"/>
        <w:rPr>
          <w:rFonts w:eastAsia="Times New Roman" w:cs="Times New Roman"/>
          <w:b w:val="0"/>
          <w:bCs/>
          <w:sz w:val="18"/>
          <w:szCs w:val="20"/>
        </w:rPr>
      </w:pPr>
    </w:p>
    <w:p w14:paraId="2DB9858C" w14:textId="414513CA" w:rsidR="002929E6" w:rsidRDefault="002929E6" w:rsidP="002929E6">
      <w:pPr>
        <w:jc w:val="left"/>
        <w:rPr>
          <w:rFonts w:eastAsia="Times New Roman" w:cs="Times New Roman"/>
          <w:b/>
          <w:bCs/>
          <w:sz w:val="18"/>
          <w:szCs w:val="20"/>
        </w:rPr>
      </w:pPr>
    </w:p>
    <w:p w14:paraId="1215149C" w14:textId="67776848" w:rsidR="002929E6" w:rsidRDefault="002929E6" w:rsidP="002929E6">
      <w:pPr>
        <w:jc w:val="left"/>
        <w:rPr>
          <w:rFonts w:eastAsia="Times New Roman" w:cs="Times New Roman"/>
          <w:b/>
          <w:bCs/>
          <w:sz w:val="18"/>
          <w:szCs w:val="20"/>
        </w:rPr>
      </w:pPr>
    </w:p>
    <w:tbl>
      <w:tblPr>
        <w:tblStyle w:val="TableGrid"/>
        <w:tblW w:w="9535" w:type="dxa"/>
        <w:jc w:val="center"/>
        <w:tblLook w:val="04A0" w:firstRow="1" w:lastRow="0" w:firstColumn="1" w:lastColumn="0" w:noHBand="0" w:noVBand="1"/>
      </w:tblPr>
      <w:tblGrid>
        <w:gridCol w:w="1450"/>
        <w:gridCol w:w="1372"/>
        <w:gridCol w:w="1384"/>
        <w:gridCol w:w="1562"/>
        <w:gridCol w:w="1496"/>
        <w:gridCol w:w="974"/>
        <w:gridCol w:w="1297"/>
      </w:tblGrid>
      <w:tr w:rsidR="00ED3309" w:rsidRPr="00EB596E" w14:paraId="42175D4C" w14:textId="77777777" w:rsidTr="00905EA4">
        <w:trPr>
          <w:trHeight w:val="288"/>
          <w:jc w:val="center"/>
        </w:trPr>
        <w:tc>
          <w:tcPr>
            <w:tcW w:w="1450" w:type="dxa"/>
            <w:noWrap/>
            <w:hideMark/>
          </w:tcPr>
          <w:p w14:paraId="21F4225F" w14:textId="2B1AE417" w:rsidR="00801D62" w:rsidRPr="0036163C" w:rsidRDefault="00801D62" w:rsidP="0036163C">
            <w:pPr>
              <w:pStyle w:val="NoSpacing"/>
              <w:jc w:val="center"/>
            </w:pPr>
            <w:r w:rsidRPr="0036163C">
              <w:lastRenderedPageBreak/>
              <w:t>Parent Well Group Comparison</w:t>
            </w:r>
          </w:p>
          <w:p w14:paraId="3089B5E9" w14:textId="51A821D1" w:rsidR="00801D62" w:rsidRPr="0036163C" w:rsidRDefault="00801D62" w:rsidP="0036163C">
            <w:pPr>
              <w:pStyle w:val="NoSpacing"/>
              <w:jc w:val="center"/>
            </w:pPr>
            <w:r w:rsidRPr="0036163C">
              <w:t>at different spacings.</w:t>
            </w:r>
          </w:p>
        </w:tc>
        <w:tc>
          <w:tcPr>
            <w:tcW w:w="1372" w:type="dxa"/>
            <w:noWrap/>
            <w:hideMark/>
          </w:tcPr>
          <w:p w14:paraId="2E146A5C" w14:textId="5854E488" w:rsidR="00801D62" w:rsidRPr="0036163C" w:rsidRDefault="00801D62" w:rsidP="0036163C">
            <w:pPr>
              <w:pStyle w:val="NoSpacing"/>
              <w:jc w:val="center"/>
            </w:pPr>
            <w:r w:rsidRPr="0036163C">
              <w:t>Parent</w:t>
            </w:r>
          </w:p>
          <w:p w14:paraId="102D849C" w14:textId="4BD018B0" w:rsidR="00801D62" w:rsidRPr="0036163C" w:rsidRDefault="00801D62" w:rsidP="0036163C">
            <w:pPr>
              <w:pStyle w:val="NoSpacing"/>
              <w:jc w:val="center"/>
            </w:pPr>
            <w:r w:rsidRPr="0036163C">
              <w:t>Wells Group</w:t>
            </w:r>
          </w:p>
          <w:p w14:paraId="60412688" w14:textId="094FE544" w:rsidR="00801D62" w:rsidRPr="0036163C" w:rsidRDefault="00801D62" w:rsidP="0036163C">
            <w:pPr>
              <w:pStyle w:val="NoSpacing"/>
              <w:jc w:val="center"/>
            </w:pPr>
            <w:r w:rsidRPr="0036163C">
              <w:t>#1 Mean</w:t>
            </w:r>
          </w:p>
          <w:p w14:paraId="448A7F13" w14:textId="77777777" w:rsidR="00801D62" w:rsidRDefault="00801D62" w:rsidP="0036163C">
            <w:pPr>
              <w:pStyle w:val="NoSpacing"/>
              <w:jc w:val="center"/>
            </w:pPr>
            <w:r w:rsidRPr="0036163C">
              <w:t>(Cum</w:t>
            </w:r>
            <w:r w:rsidR="00F90BEA">
              <w:t>.</w:t>
            </w:r>
            <w:r w:rsidRPr="0036163C">
              <w:t xml:space="preserve"> </w:t>
            </w:r>
            <w:r w:rsidR="00F90BEA">
              <w:t>18</w:t>
            </w:r>
            <w:r w:rsidRPr="0036163C">
              <w:t>0/Lateral Length)</w:t>
            </w:r>
          </w:p>
          <w:p w14:paraId="3E702AD0" w14:textId="055C853D" w:rsidR="00CD135A" w:rsidRPr="0036163C" w:rsidRDefault="00CD135A" w:rsidP="0036163C">
            <w:pPr>
              <w:pStyle w:val="NoSpacing"/>
              <w:jc w:val="center"/>
            </w:pPr>
            <w:r>
              <w:t>(</w:t>
            </w:r>
            <w:r w:rsidR="00312E53">
              <w:t>bbl/ft)</w:t>
            </w:r>
          </w:p>
        </w:tc>
        <w:tc>
          <w:tcPr>
            <w:tcW w:w="1384" w:type="dxa"/>
            <w:noWrap/>
            <w:hideMark/>
          </w:tcPr>
          <w:p w14:paraId="70274D9E" w14:textId="591B2690" w:rsidR="00801D62" w:rsidRPr="0036163C" w:rsidRDefault="00801D62" w:rsidP="0036163C">
            <w:pPr>
              <w:pStyle w:val="NoSpacing"/>
              <w:jc w:val="center"/>
            </w:pPr>
            <w:r w:rsidRPr="0036163C">
              <w:t>Parent</w:t>
            </w:r>
          </w:p>
          <w:p w14:paraId="1F10EC0D" w14:textId="01A33962" w:rsidR="00801D62" w:rsidRPr="0036163C" w:rsidRDefault="00801D62" w:rsidP="0036163C">
            <w:pPr>
              <w:pStyle w:val="NoSpacing"/>
              <w:jc w:val="center"/>
            </w:pPr>
            <w:r w:rsidRPr="0036163C">
              <w:t>Wells Group</w:t>
            </w:r>
          </w:p>
          <w:p w14:paraId="2ED9A15B" w14:textId="17A6359E" w:rsidR="00801D62" w:rsidRPr="0036163C" w:rsidRDefault="00801D62" w:rsidP="0036163C">
            <w:pPr>
              <w:pStyle w:val="NoSpacing"/>
              <w:jc w:val="center"/>
            </w:pPr>
            <w:r w:rsidRPr="0036163C">
              <w:t>#2 Mean</w:t>
            </w:r>
          </w:p>
          <w:p w14:paraId="709FB231" w14:textId="77777777" w:rsidR="00801D62" w:rsidRDefault="00801D62" w:rsidP="0036163C">
            <w:pPr>
              <w:pStyle w:val="NoSpacing"/>
              <w:jc w:val="center"/>
            </w:pPr>
            <w:r w:rsidRPr="0036163C">
              <w:t>(Cum</w:t>
            </w:r>
            <w:r w:rsidR="00F90BEA">
              <w:t>.</w:t>
            </w:r>
            <w:r w:rsidRPr="0036163C">
              <w:t xml:space="preserve"> </w:t>
            </w:r>
            <w:r w:rsidR="00F90BEA">
              <w:t>18</w:t>
            </w:r>
            <w:r w:rsidRPr="0036163C">
              <w:t>0/Lateral Length)</w:t>
            </w:r>
          </w:p>
          <w:p w14:paraId="6E0FFCBE" w14:textId="0AB8807D" w:rsidR="00312E53" w:rsidRPr="0036163C" w:rsidRDefault="00312E53" w:rsidP="0036163C">
            <w:pPr>
              <w:pStyle w:val="NoSpacing"/>
              <w:jc w:val="center"/>
            </w:pPr>
            <w:r>
              <w:t>(bbl/ft)</w:t>
            </w:r>
          </w:p>
        </w:tc>
        <w:tc>
          <w:tcPr>
            <w:tcW w:w="1562" w:type="dxa"/>
            <w:noWrap/>
            <w:hideMark/>
          </w:tcPr>
          <w:p w14:paraId="359EB4E0" w14:textId="577399D1" w:rsidR="00801D62" w:rsidRPr="0036163C" w:rsidRDefault="00801D62" w:rsidP="0036163C">
            <w:pPr>
              <w:pStyle w:val="NoSpacing"/>
              <w:jc w:val="center"/>
            </w:pPr>
            <w:r w:rsidRPr="0036163C">
              <w:t>Lower 95 % C</w:t>
            </w:r>
            <w:r w:rsidR="00BB41E5" w:rsidRPr="0036163C">
              <w:t>onfidence Interval</w:t>
            </w:r>
          </w:p>
        </w:tc>
        <w:tc>
          <w:tcPr>
            <w:tcW w:w="1496" w:type="dxa"/>
            <w:noWrap/>
            <w:hideMark/>
          </w:tcPr>
          <w:p w14:paraId="248DB55E" w14:textId="33EB9A5E" w:rsidR="00801D62" w:rsidRPr="0036163C" w:rsidRDefault="00801D62" w:rsidP="0036163C">
            <w:pPr>
              <w:pStyle w:val="NoSpacing"/>
              <w:jc w:val="center"/>
            </w:pPr>
            <w:r w:rsidRPr="0036163C">
              <w:t xml:space="preserve">Upper 95 % </w:t>
            </w:r>
            <w:r w:rsidR="00BB41E5" w:rsidRPr="0036163C">
              <w:t>Confidence Interval</w:t>
            </w:r>
          </w:p>
        </w:tc>
        <w:tc>
          <w:tcPr>
            <w:tcW w:w="974" w:type="dxa"/>
            <w:noWrap/>
            <w:hideMark/>
          </w:tcPr>
          <w:p w14:paraId="6B738F44" w14:textId="77777777" w:rsidR="00801D62" w:rsidRPr="0036163C" w:rsidRDefault="00801D62" w:rsidP="0036163C">
            <w:pPr>
              <w:pStyle w:val="NoSpacing"/>
              <w:jc w:val="center"/>
            </w:pPr>
          </w:p>
          <w:p w14:paraId="4B4C25C7" w14:textId="77777777" w:rsidR="00801D62" w:rsidRPr="0036163C" w:rsidRDefault="00801D62" w:rsidP="0036163C">
            <w:pPr>
              <w:pStyle w:val="NoSpacing"/>
              <w:jc w:val="center"/>
            </w:pPr>
            <w:r w:rsidRPr="0036163C">
              <w:t>P-value</w:t>
            </w:r>
          </w:p>
        </w:tc>
        <w:tc>
          <w:tcPr>
            <w:tcW w:w="1297" w:type="dxa"/>
            <w:noWrap/>
            <w:hideMark/>
          </w:tcPr>
          <w:p w14:paraId="435229B8" w14:textId="77777777" w:rsidR="00801D62" w:rsidRPr="0036163C" w:rsidRDefault="00801D62" w:rsidP="0036163C">
            <w:pPr>
              <w:pStyle w:val="NoSpacing"/>
              <w:jc w:val="center"/>
            </w:pPr>
            <w:r w:rsidRPr="0036163C">
              <w:t>Degrees of Freedom</w:t>
            </w:r>
          </w:p>
        </w:tc>
      </w:tr>
      <w:tr w:rsidR="00ED3309" w:rsidRPr="00EB596E" w14:paraId="307086C7" w14:textId="77777777" w:rsidTr="00905EA4">
        <w:trPr>
          <w:trHeight w:val="288"/>
          <w:jc w:val="center"/>
        </w:trPr>
        <w:tc>
          <w:tcPr>
            <w:tcW w:w="1450" w:type="dxa"/>
            <w:noWrap/>
            <w:hideMark/>
          </w:tcPr>
          <w:p w14:paraId="15630434" w14:textId="42E98613" w:rsidR="00801D62" w:rsidRPr="00DC2B34" w:rsidRDefault="00801D62" w:rsidP="00D01699">
            <w:pPr>
              <w:jc w:val="left"/>
              <w:rPr>
                <w:rFonts w:eastAsia="Times New Roman" w:cs="Times New Roman"/>
                <w:szCs w:val="24"/>
              </w:rPr>
            </w:pPr>
            <w:r>
              <w:rPr>
                <w:rFonts w:eastAsia="Times New Roman" w:cs="Times New Roman"/>
                <w:szCs w:val="24"/>
              </w:rPr>
              <w:t>700</w:t>
            </w:r>
            <w:r w:rsidR="008A4E27">
              <w:rPr>
                <w:rFonts w:eastAsia="Times New Roman" w:cs="Times New Roman"/>
                <w:szCs w:val="24"/>
              </w:rPr>
              <w:t xml:space="preserve"> </w:t>
            </w:r>
            <w:r>
              <w:rPr>
                <w:rFonts w:eastAsia="Times New Roman" w:cs="Times New Roman"/>
                <w:szCs w:val="24"/>
              </w:rPr>
              <w:t xml:space="preserve">ft and </w:t>
            </w:r>
            <w:r w:rsidRPr="00DC2B34">
              <w:rPr>
                <w:rFonts w:eastAsia="Times New Roman" w:cs="Times New Roman"/>
                <w:szCs w:val="24"/>
              </w:rPr>
              <w:t>800 ft</w:t>
            </w:r>
          </w:p>
        </w:tc>
        <w:tc>
          <w:tcPr>
            <w:tcW w:w="1372" w:type="dxa"/>
            <w:noWrap/>
            <w:hideMark/>
          </w:tcPr>
          <w:p w14:paraId="12A4FF55" w14:textId="3A57BB88" w:rsidR="00801D62" w:rsidRPr="00DC2B34" w:rsidRDefault="00801D62" w:rsidP="00D01699">
            <w:pPr>
              <w:jc w:val="left"/>
              <w:rPr>
                <w:rFonts w:eastAsia="Times New Roman" w:cs="Times New Roman"/>
                <w:szCs w:val="24"/>
              </w:rPr>
            </w:pPr>
            <w:r w:rsidRPr="00DC2B34">
              <w:rPr>
                <w:rFonts w:eastAsia="Times New Roman" w:cs="Times New Roman"/>
                <w:szCs w:val="24"/>
              </w:rPr>
              <w:t>1</w:t>
            </w:r>
            <w:r w:rsidR="005D0966">
              <w:rPr>
                <w:rFonts w:eastAsia="Times New Roman" w:cs="Times New Roman"/>
                <w:szCs w:val="24"/>
              </w:rPr>
              <w:t>2.36</w:t>
            </w:r>
          </w:p>
        </w:tc>
        <w:tc>
          <w:tcPr>
            <w:tcW w:w="1384" w:type="dxa"/>
            <w:noWrap/>
            <w:hideMark/>
          </w:tcPr>
          <w:p w14:paraId="5EE41B72" w14:textId="35E0F4F8" w:rsidR="00801D62" w:rsidRPr="00DC2B34" w:rsidRDefault="005D0966" w:rsidP="00D01699">
            <w:pPr>
              <w:jc w:val="left"/>
              <w:rPr>
                <w:rFonts w:eastAsia="Times New Roman" w:cs="Times New Roman"/>
                <w:szCs w:val="24"/>
              </w:rPr>
            </w:pPr>
            <w:r>
              <w:rPr>
                <w:rFonts w:eastAsia="Times New Roman" w:cs="Times New Roman"/>
                <w:szCs w:val="24"/>
              </w:rPr>
              <w:t>12.85</w:t>
            </w:r>
          </w:p>
        </w:tc>
        <w:tc>
          <w:tcPr>
            <w:tcW w:w="1562" w:type="dxa"/>
            <w:noWrap/>
            <w:hideMark/>
          </w:tcPr>
          <w:p w14:paraId="76CB9A83" w14:textId="3D129F89" w:rsidR="00801D62" w:rsidRPr="00DC2B34" w:rsidRDefault="00801D62" w:rsidP="00D01699">
            <w:pPr>
              <w:jc w:val="left"/>
              <w:rPr>
                <w:rFonts w:eastAsia="Times New Roman" w:cs="Times New Roman"/>
                <w:szCs w:val="24"/>
              </w:rPr>
            </w:pPr>
            <w:r w:rsidRPr="00DC2B34">
              <w:rPr>
                <w:rFonts w:eastAsia="Times New Roman" w:cs="Times New Roman"/>
                <w:szCs w:val="24"/>
              </w:rPr>
              <w:t>-</w:t>
            </w:r>
            <w:r w:rsidR="00E743ED">
              <w:rPr>
                <w:rFonts w:eastAsia="Times New Roman" w:cs="Times New Roman"/>
                <w:szCs w:val="24"/>
              </w:rPr>
              <w:t>1.04</w:t>
            </w:r>
          </w:p>
        </w:tc>
        <w:tc>
          <w:tcPr>
            <w:tcW w:w="1496" w:type="dxa"/>
            <w:noWrap/>
            <w:hideMark/>
          </w:tcPr>
          <w:p w14:paraId="7BF38A59" w14:textId="12F3C8B0" w:rsidR="00801D62" w:rsidRPr="00DC2B34" w:rsidRDefault="00E743ED" w:rsidP="00D01699">
            <w:pPr>
              <w:jc w:val="left"/>
              <w:rPr>
                <w:rFonts w:eastAsia="Times New Roman" w:cs="Times New Roman"/>
                <w:szCs w:val="24"/>
              </w:rPr>
            </w:pPr>
            <w:r>
              <w:rPr>
                <w:rFonts w:eastAsia="Times New Roman" w:cs="Times New Roman"/>
                <w:szCs w:val="24"/>
              </w:rPr>
              <w:t>0.055</w:t>
            </w:r>
          </w:p>
        </w:tc>
        <w:tc>
          <w:tcPr>
            <w:tcW w:w="974" w:type="dxa"/>
            <w:noWrap/>
            <w:hideMark/>
          </w:tcPr>
          <w:p w14:paraId="490F74CA" w14:textId="012F000A" w:rsidR="00801D62" w:rsidRPr="00DC2B34" w:rsidRDefault="00DC4350" w:rsidP="00D01699">
            <w:pPr>
              <w:pStyle w:val="Caption"/>
              <w:rPr>
                <w:rFonts w:eastAsia="Times New Roman" w:cs="Times New Roman"/>
                <w:b w:val="0"/>
                <w:i w:val="0"/>
                <w:iCs w:val="0"/>
                <w:szCs w:val="24"/>
              </w:rPr>
            </w:pPr>
            <w:r>
              <w:rPr>
                <w:rFonts w:eastAsia="Times New Roman" w:cs="Times New Roman"/>
                <w:b w:val="0"/>
                <w:i w:val="0"/>
                <w:iCs w:val="0"/>
                <w:szCs w:val="24"/>
              </w:rPr>
              <w:t>0.078</w:t>
            </w:r>
          </w:p>
        </w:tc>
        <w:tc>
          <w:tcPr>
            <w:tcW w:w="1297" w:type="dxa"/>
            <w:noWrap/>
            <w:hideMark/>
          </w:tcPr>
          <w:p w14:paraId="710037FB" w14:textId="204FE678" w:rsidR="00801D62" w:rsidRPr="00DC2B34" w:rsidRDefault="00045B5C" w:rsidP="00905EA4">
            <w:pPr>
              <w:pStyle w:val="Caption"/>
              <w:jc w:val="both"/>
              <w:rPr>
                <w:rFonts w:eastAsia="Times New Roman" w:cs="Times New Roman"/>
                <w:b w:val="0"/>
                <w:i w:val="0"/>
                <w:iCs w:val="0"/>
                <w:szCs w:val="24"/>
              </w:rPr>
            </w:pPr>
            <w:r>
              <w:rPr>
                <w:rFonts w:eastAsia="Times New Roman" w:cs="Times New Roman"/>
                <w:b w:val="0"/>
                <w:i w:val="0"/>
                <w:iCs w:val="0"/>
                <w:szCs w:val="24"/>
              </w:rPr>
              <w:t xml:space="preserve">    327</w:t>
            </w:r>
          </w:p>
        </w:tc>
      </w:tr>
      <w:tr w:rsidR="00ED3309" w:rsidRPr="00EB596E" w14:paraId="2652B12B" w14:textId="77777777" w:rsidTr="00905EA4">
        <w:trPr>
          <w:trHeight w:val="288"/>
          <w:jc w:val="center"/>
        </w:trPr>
        <w:tc>
          <w:tcPr>
            <w:tcW w:w="1450" w:type="dxa"/>
            <w:noWrap/>
            <w:hideMark/>
          </w:tcPr>
          <w:p w14:paraId="67EF5E07" w14:textId="7BEF114B" w:rsidR="00801D62" w:rsidRPr="00DC2B34" w:rsidRDefault="00801D62" w:rsidP="00D01699">
            <w:pPr>
              <w:jc w:val="left"/>
              <w:rPr>
                <w:rFonts w:eastAsia="Times New Roman" w:cs="Times New Roman"/>
                <w:szCs w:val="24"/>
              </w:rPr>
            </w:pPr>
            <w:r>
              <w:rPr>
                <w:rFonts w:eastAsia="Times New Roman" w:cs="Times New Roman"/>
                <w:szCs w:val="24"/>
              </w:rPr>
              <w:t>6</w:t>
            </w:r>
            <w:r w:rsidRPr="00DC2B34">
              <w:rPr>
                <w:rFonts w:eastAsia="Times New Roman" w:cs="Times New Roman"/>
                <w:szCs w:val="24"/>
              </w:rPr>
              <w:t>00 ft</w:t>
            </w:r>
            <w:r>
              <w:rPr>
                <w:rFonts w:eastAsia="Times New Roman" w:cs="Times New Roman"/>
                <w:szCs w:val="24"/>
              </w:rPr>
              <w:t xml:space="preserve"> and 800 ft</w:t>
            </w:r>
          </w:p>
        </w:tc>
        <w:tc>
          <w:tcPr>
            <w:tcW w:w="1372" w:type="dxa"/>
            <w:noWrap/>
            <w:hideMark/>
          </w:tcPr>
          <w:p w14:paraId="64F7154C" w14:textId="34301F68" w:rsidR="00801D62" w:rsidRPr="00DC2B34" w:rsidRDefault="00801D62" w:rsidP="00D01699">
            <w:pPr>
              <w:jc w:val="left"/>
              <w:rPr>
                <w:rFonts w:eastAsia="Times New Roman" w:cs="Times New Roman"/>
                <w:szCs w:val="24"/>
              </w:rPr>
            </w:pPr>
            <w:r w:rsidRPr="00DC2B34">
              <w:rPr>
                <w:rFonts w:eastAsia="Times New Roman" w:cs="Times New Roman"/>
                <w:szCs w:val="24"/>
              </w:rPr>
              <w:t>1</w:t>
            </w:r>
            <w:r w:rsidR="00026BA9">
              <w:rPr>
                <w:rFonts w:eastAsia="Times New Roman" w:cs="Times New Roman"/>
                <w:szCs w:val="24"/>
              </w:rPr>
              <w:t>2.4</w:t>
            </w:r>
          </w:p>
        </w:tc>
        <w:tc>
          <w:tcPr>
            <w:tcW w:w="1384" w:type="dxa"/>
            <w:noWrap/>
            <w:hideMark/>
          </w:tcPr>
          <w:p w14:paraId="75F8EDE1" w14:textId="2769F180" w:rsidR="00801D62" w:rsidRPr="00DC2B34" w:rsidRDefault="00801D62" w:rsidP="00D01699">
            <w:pPr>
              <w:jc w:val="left"/>
              <w:rPr>
                <w:rFonts w:eastAsia="Times New Roman" w:cs="Times New Roman"/>
                <w:szCs w:val="24"/>
              </w:rPr>
            </w:pPr>
            <w:r w:rsidRPr="00DC2B34">
              <w:rPr>
                <w:rFonts w:eastAsia="Times New Roman" w:cs="Times New Roman"/>
                <w:szCs w:val="24"/>
              </w:rPr>
              <w:t>1</w:t>
            </w:r>
            <w:r w:rsidR="00026BA9">
              <w:rPr>
                <w:rFonts w:eastAsia="Times New Roman" w:cs="Times New Roman"/>
                <w:szCs w:val="24"/>
              </w:rPr>
              <w:t>2.85</w:t>
            </w:r>
          </w:p>
        </w:tc>
        <w:tc>
          <w:tcPr>
            <w:tcW w:w="1562" w:type="dxa"/>
            <w:noWrap/>
            <w:hideMark/>
          </w:tcPr>
          <w:p w14:paraId="25EC51A5" w14:textId="4A10DF6D" w:rsidR="00801D62" w:rsidRPr="00DC2B34" w:rsidRDefault="00801D62" w:rsidP="00D01699">
            <w:pPr>
              <w:jc w:val="left"/>
              <w:rPr>
                <w:rFonts w:eastAsia="Times New Roman" w:cs="Times New Roman"/>
                <w:szCs w:val="24"/>
              </w:rPr>
            </w:pPr>
            <w:r>
              <w:rPr>
                <w:rFonts w:eastAsia="Times New Roman" w:cs="Times New Roman"/>
                <w:szCs w:val="24"/>
              </w:rPr>
              <w:t>-1</w:t>
            </w:r>
          </w:p>
        </w:tc>
        <w:tc>
          <w:tcPr>
            <w:tcW w:w="1496" w:type="dxa"/>
            <w:noWrap/>
            <w:hideMark/>
          </w:tcPr>
          <w:p w14:paraId="7604F59D" w14:textId="495654BA" w:rsidR="00801D62" w:rsidRPr="00DC2B34" w:rsidRDefault="005D0966" w:rsidP="00D01699">
            <w:pPr>
              <w:jc w:val="left"/>
              <w:rPr>
                <w:rFonts w:eastAsia="Times New Roman" w:cs="Times New Roman"/>
                <w:szCs w:val="24"/>
              </w:rPr>
            </w:pPr>
            <w:r>
              <w:rPr>
                <w:rFonts w:eastAsia="Times New Roman" w:cs="Times New Roman"/>
                <w:szCs w:val="24"/>
              </w:rPr>
              <w:t>0.12</w:t>
            </w:r>
          </w:p>
        </w:tc>
        <w:tc>
          <w:tcPr>
            <w:tcW w:w="974" w:type="dxa"/>
            <w:noWrap/>
            <w:hideMark/>
          </w:tcPr>
          <w:p w14:paraId="374F7D99" w14:textId="06CE50FA" w:rsidR="00801D62" w:rsidRPr="00DC2B34" w:rsidRDefault="00801D62" w:rsidP="00D01699">
            <w:pPr>
              <w:pStyle w:val="Caption"/>
              <w:rPr>
                <w:rFonts w:eastAsia="Times New Roman" w:cs="Times New Roman"/>
                <w:b w:val="0"/>
                <w:i w:val="0"/>
                <w:iCs w:val="0"/>
                <w:szCs w:val="24"/>
              </w:rPr>
            </w:pPr>
            <w:r w:rsidRPr="00DC2B34">
              <w:rPr>
                <w:rFonts w:eastAsia="Times New Roman" w:cs="Times New Roman"/>
                <w:b w:val="0"/>
                <w:i w:val="0"/>
                <w:iCs w:val="0"/>
                <w:szCs w:val="24"/>
              </w:rPr>
              <w:t> </w:t>
            </w:r>
            <w:r w:rsidR="00DC4350">
              <w:rPr>
                <w:rFonts w:eastAsia="Times New Roman" w:cs="Times New Roman"/>
                <w:b w:val="0"/>
                <w:i w:val="0"/>
                <w:iCs w:val="0"/>
                <w:szCs w:val="24"/>
              </w:rPr>
              <w:t>0.1</w:t>
            </w:r>
            <w:r w:rsidR="00026BA9">
              <w:rPr>
                <w:rFonts w:eastAsia="Times New Roman" w:cs="Times New Roman"/>
                <w:b w:val="0"/>
                <w:i w:val="0"/>
                <w:iCs w:val="0"/>
                <w:szCs w:val="24"/>
              </w:rPr>
              <w:t>2</w:t>
            </w:r>
            <w:r w:rsidR="005D38BA">
              <w:rPr>
                <w:rFonts w:eastAsia="Times New Roman" w:cs="Times New Roman"/>
                <w:b w:val="0"/>
                <w:i w:val="0"/>
                <w:iCs w:val="0"/>
                <w:szCs w:val="24"/>
              </w:rPr>
              <w:t>5</w:t>
            </w:r>
          </w:p>
        </w:tc>
        <w:tc>
          <w:tcPr>
            <w:tcW w:w="1297" w:type="dxa"/>
            <w:noWrap/>
            <w:hideMark/>
          </w:tcPr>
          <w:p w14:paraId="7F923045" w14:textId="2529E9D8" w:rsidR="00801D62" w:rsidRPr="00DC2B34" w:rsidRDefault="004F002B" w:rsidP="004F002B">
            <w:pPr>
              <w:pStyle w:val="Caption"/>
              <w:jc w:val="both"/>
              <w:rPr>
                <w:rFonts w:eastAsia="Times New Roman" w:cs="Times New Roman"/>
                <w:b w:val="0"/>
                <w:i w:val="0"/>
                <w:iCs w:val="0"/>
                <w:szCs w:val="24"/>
              </w:rPr>
            </w:pPr>
            <w:r>
              <w:rPr>
                <w:rFonts w:eastAsia="Times New Roman" w:cs="Times New Roman"/>
                <w:b w:val="0"/>
                <w:i w:val="0"/>
                <w:iCs w:val="0"/>
                <w:szCs w:val="24"/>
              </w:rPr>
              <w:t xml:space="preserve">    </w:t>
            </w:r>
            <w:r w:rsidR="005D0966">
              <w:rPr>
                <w:rFonts w:eastAsia="Times New Roman" w:cs="Times New Roman"/>
                <w:b w:val="0"/>
                <w:i w:val="0"/>
                <w:iCs w:val="0"/>
                <w:szCs w:val="24"/>
              </w:rPr>
              <w:t>302</w:t>
            </w:r>
            <w:r w:rsidR="00801D62" w:rsidRPr="00DC2B34">
              <w:rPr>
                <w:rFonts w:eastAsia="Times New Roman" w:cs="Times New Roman"/>
                <w:b w:val="0"/>
                <w:i w:val="0"/>
                <w:iCs w:val="0"/>
                <w:szCs w:val="24"/>
              </w:rPr>
              <w:t> </w:t>
            </w:r>
          </w:p>
        </w:tc>
      </w:tr>
      <w:tr w:rsidR="00ED3309" w:rsidRPr="00EB596E" w14:paraId="3A33B362" w14:textId="77777777" w:rsidTr="00905EA4">
        <w:trPr>
          <w:trHeight w:val="300"/>
          <w:jc w:val="center"/>
        </w:trPr>
        <w:tc>
          <w:tcPr>
            <w:tcW w:w="1450" w:type="dxa"/>
            <w:noWrap/>
            <w:hideMark/>
          </w:tcPr>
          <w:p w14:paraId="6304F776" w14:textId="09978B64" w:rsidR="00801D62" w:rsidRPr="00DC2B34" w:rsidRDefault="00801D62" w:rsidP="00D01699">
            <w:pPr>
              <w:jc w:val="left"/>
              <w:rPr>
                <w:rFonts w:eastAsia="Times New Roman" w:cs="Times New Roman"/>
                <w:szCs w:val="24"/>
              </w:rPr>
            </w:pPr>
            <w:r w:rsidRPr="00DC2B34">
              <w:rPr>
                <w:rFonts w:eastAsia="Times New Roman" w:cs="Times New Roman"/>
                <w:szCs w:val="24"/>
              </w:rPr>
              <w:t>500 ft</w:t>
            </w:r>
            <w:r>
              <w:rPr>
                <w:rFonts w:eastAsia="Times New Roman" w:cs="Times New Roman"/>
                <w:szCs w:val="24"/>
              </w:rPr>
              <w:t xml:space="preserve"> and 800 ft</w:t>
            </w:r>
          </w:p>
        </w:tc>
        <w:tc>
          <w:tcPr>
            <w:tcW w:w="1372" w:type="dxa"/>
            <w:noWrap/>
            <w:hideMark/>
          </w:tcPr>
          <w:p w14:paraId="509647AD" w14:textId="45F68224" w:rsidR="00801D62" w:rsidRPr="00DC2B34" w:rsidRDefault="00801D62" w:rsidP="00D01699">
            <w:pPr>
              <w:jc w:val="left"/>
              <w:rPr>
                <w:rFonts w:eastAsia="Times New Roman" w:cs="Times New Roman"/>
                <w:szCs w:val="24"/>
              </w:rPr>
            </w:pPr>
            <w:r>
              <w:rPr>
                <w:rFonts w:eastAsia="Times New Roman" w:cs="Times New Roman"/>
                <w:szCs w:val="24"/>
              </w:rPr>
              <w:t>12.5</w:t>
            </w:r>
          </w:p>
        </w:tc>
        <w:tc>
          <w:tcPr>
            <w:tcW w:w="1384" w:type="dxa"/>
            <w:noWrap/>
            <w:hideMark/>
          </w:tcPr>
          <w:p w14:paraId="3048A193" w14:textId="371F6688" w:rsidR="00801D62" w:rsidRPr="00DC2B34" w:rsidRDefault="00801D62" w:rsidP="00D01699">
            <w:pPr>
              <w:jc w:val="left"/>
              <w:rPr>
                <w:rFonts w:eastAsia="Times New Roman" w:cs="Times New Roman"/>
                <w:szCs w:val="24"/>
              </w:rPr>
            </w:pPr>
            <w:r>
              <w:rPr>
                <w:rFonts w:eastAsia="Times New Roman" w:cs="Times New Roman"/>
                <w:szCs w:val="24"/>
              </w:rPr>
              <w:t>12.85</w:t>
            </w:r>
          </w:p>
        </w:tc>
        <w:tc>
          <w:tcPr>
            <w:tcW w:w="1562" w:type="dxa"/>
            <w:noWrap/>
            <w:hideMark/>
          </w:tcPr>
          <w:p w14:paraId="46FD90E2" w14:textId="3DC80AEE" w:rsidR="00801D62" w:rsidRPr="00DC2B34" w:rsidRDefault="00801D62" w:rsidP="00D01699">
            <w:pPr>
              <w:jc w:val="left"/>
              <w:rPr>
                <w:rFonts w:eastAsia="Times New Roman" w:cs="Times New Roman"/>
                <w:szCs w:val="24"/>
              </w:rPr>
            </w:pPr>
            <w:r>
              <w:rPr>
                <w:rFonts w:eastAsia="Times New Roman" w:cs="Times New Roman"/>
                <w:szCs w:val="24"/>
              </w:rPr>
              <w:t>-0.92</w:t>
            </w:r>
          </w:p>
        </w:tc>
        <w:tc>
          <w:tcPr>
            <w:tcW w:w="1496" w:type="dxa"/>
            <w:noWrap/>
            <w:hideMark/>
          </w:tcPr>
          <w:p w14:paraId="08ABFF1A" w14:textId="2B93CF21" w:rsidR="00801D62" w:rsidRPr="00DC2B34" w:rsidRDefault="00801D62" w:rsidP="00D01699">
            <w:pPr>
              <w:jc w:val="left"/>
              <w:rPr>
                <w:rFonts w:eastAsia="Times New Roman" w:cs="Times New Roman"/>
                <w:szCs w:val="24"/>
              </w:rPr>
            </w:pPr>
            <w:r>
              <w:rPr>
                <w:rFonts w:eastAsia="Times New Roman" w:cs="Times New Roman"/>
                <w:szCs w:val="24"/>
              </w:rPr>
              <w:t>0.24</w:t>
            </w:r>
          </w:p>
        </w:tc>
        <w:tc>
          <w:tcPr>
            <w:tcW w:w="974" w:type="dxa"/>
            <w:noWrap/>
            <w:hideMark/>
          </w:tcPr>
          <w:p w14:paraId="4966497C" w14:textId="48499F64" w:rsidR="00801D62" w:rsidRPr="00DC2B34" w:rsidRDefault="00801D62" w:rsidP="00D01699">
            <w:pPr>
              <w:pStyle w:val="Caption"/>
              <w:tabs>
                <w:tab w:val="left" w:pos="216"/>
                <w:tab w:val="center" w:pos="390"/>
              </w:tabs>
              <w:jc w:val="left"/>
              <w:rPr>
                <w:rFonts w:eastAsia="Times New Roman" w:cs="Times New Roman"/>
                <w:b w:val="0"/>
                <w:i w:val="0"/>
                <w:iCs w:val="0"/>
                <w:szCs w:val="24"/>
              </w:rPr>
            </w:pPr>
            <w:r>
              <w:rPr>
                <w:rFonts w:eastAsia="Times New Roman" w:cs="Times New Roman"/>
                <w:b w:val="0"/>
                <w:i w:val="0"/>
                <w:iCs w:val="0"/>
                <w:szCs w:val="24"/>
              </w:rPr>
              <w:tab/>
              <w:t>0.2</w:t>
            </w:r>
            <w:r w:rsidR="005D38BA">
              <w:rPr>
                <w:rFonts w:eastAsia="Times New Roman" w:cs="Times New Roman"/>
                <w:b w:val="0"/>
                <w:i w:val="0"/>
                <w:iCs w:val="0"/>
                <w:szCs w:val="24"/>
              </w:rPr>
              <w:t>5</w:t>
            </w:r>
          </w:p>
        </w:tc>
        <w:tc>
          <w:tcPr>
            <w:tcW w:w="1297" w:type="dxa"/>
            <w:noWrap/>
            <w:hideMark/>
          </w:tcPr>
          <w:p w14:paraId="741DE6FF" w14:textId="030495A8" w:rsidR="00801D62" w:rsidRPr="00DC2B34" w:rsidRDefault="004F002B" w:rsidP="004F002B">
            <w:pPr>
              <w:pStyle w:val="Caption"/>
              <w:keepNext/>
              <w:jc w:val="both"/>
              <w:rPr>
                <w:rFonts w:eastAsia="Times New Roman" w:cs="Times New Roman"/>
                <w:b w:val="0"/>
                <w:i w:val="0"/>
                <w:iCs w:val="0"/>
                <w:szCs w:val="24"/>
              </w:rPr>
            </w:pPr>
            <w:r>
              <w:rPr>
                <w:rFonts w:eastAsia="Times New Roman" w:cs="Times New Roman"/>
                <w:b w:val="0"/>
                <w:i w:val="0"/>
                <w:iCs w:val="0"/>
                <w:szCs w:val="24"/>
              </w:rPr>
              <w:t xml:space="preserve">    </w:t>
            </w:r>
            <w:r w:rsidR="00801D62">
              <w:rPr>
                <w:rFonts w:eastAsia="Times New Roman" w:cs="Times New Roman"/>
                <w:b w:val="0"/>
                <w:i w:val="0"/>
                <w:iCs w:val="0"/>
                <w:szCs w:val="24"/>
              </w:rPr>
              <w:t>291</w:t>
            </w:r>
            <w:r w:rsidR="00801D62" w:rsidRPr="00DC2B34">
              <w:rPr>
                <w:rFonts w:eastAsia="Times New Roman" w:cs="Times New Roman"/>
                <w:b w:val="0"/>
                <w:i w:val="0"/>
                <w:iCs w:val="0"/>
                <w:szCs w:val="24"/>
              </w:rPr>
              <w:t> </w:t>
            </w:r>
          </w:p>
        </w:tc>
      </w:tr>
    </w:tbl>
    <w:p w14:paraId="00052CD9" w14:textId="77777777" w:rsidR="00045B5C" w:rsidRDefault="00045B5C" w:rsidP="004F002B">
      <w:pPr>
        <w:pStyle w:val="Caption"/>
        <w:spacing w:after="0"/>
        <w:jc w:val="left"/>
      </w:pPr>
    </w:p>
    <w:p w14:paraId="49E2687D" w14:textId="429D96D3" w:rsidR="0036163C" w:rsidRPr="00DC2B34" w:rsidRDefault="00A83588" w:rsidP="0036163C">
      <w:pPr>
        <w:tabs>
          <w:tab w:val="left" w:pos="1754"/>
        </w:tabs>
        <w:jc w:val="center"/>
        <w:rPr>
          <w:rFonts w:ascii="Arial" w:hAnsi="Arial" w:cs="Arial"/>
          <w:b/>
          <w:bCs/>
          <w:sz w:val="16"/>
          <w:szCs w:val="16"/>
        </w:rPr>
      </w:pPr>
      <w:bookmarkStart w:id="141" w:name="_Toc58621626"/>
      <w:r w:rsidRPr="0036163C">
        <w:rPr>
          <w:rFonts w:ascii="Arial" w:hAnsi="Arial" w:cs="Arial"/>
          <w:b/>
          <w:bCs/>
          <w:sz w:val="16"/>
          <w:szCs w:val="16"/>
        </w:rPr>
        <w:t>Table A</w:t>
      </w:r>
      <w:r w:rsidRPr="0036163C">
        <w:rPr>
          <w:rFonts w:ascii="Arial" w:hAnsi="Arial" w:cs="Arial"/>
          <w:b/>
          <w:bCs/>
          <w:sz w:val="16"/>
          <w:szCs w:val="16"/>
        </w:rPr>
        <w:fldChar w:fldCharType="begin"/>
      </w:r>
      <w:r w:rsidRPr="0036163C">
        <w:rPr>
          <w:rFonts w:ascii="Arial" w:hAnsi="Arial" w:cs="Arial"/>
          <w:b/>
          <w:bCs/>
          <w:sz w:val="16"/>
          <w:szCs w:val="16"/>
        </w:rPr>
        <w:instrText xml:space="preserve"> SEQ Table_A \* ARABIC </w:instrText>
      </w:r>
      <w:r w:rsidRPr="0036163C">
        <w:rPr>
          <w:rFonts w:ascii="Arial" w:hAnsi="Arial" w:cs="Arial"/>
          <w:b/>
          <w:bCs/>
          <w:sz w:val="16"/>
          <w:szCs w:val="16"/>
        </w:rPr>
        <w:fldChar w:fldCharType="separate"/>
      </w:r>
      <w:r w:rsidR="00D006A5">
        <w:rPr>
          <w:rFonts w:ascii="Arial" w:hAnsi="Arial" w:cs="Arial"/>
          <w:b/>
          <w:bCs/>
          <w:noProof/>
          <w:sz w:val="16"/>
          <w:szCs w:val="16"/>
        </w:rPr>
        <w:t>3</w:t>
      </w:r>
      <w:r w:rsidRPr="0036163C">
        <w:rPr>
          <w:rFonts w:ascii="Arial" w:hAnsi="Arial" w:cs="Arial"/>
          <w:b/>
          <w:bCs/>
          <w:sz w:val="16"/>
          <w:szCs w:val="16"/>
        </w:rPr>
        <w:fldChar w:fldCharType="end"/>
      </w:r>
      <w:r w:rsidR="00045B5C" w:rsidRPr="0036163C">
        <w:rPr>
          <w:rFonts w:ascii="Arial" w:hAnsi="Arial" w:cs="Arial"/>
          <w:b/>
          <w:bCs/>
          <w:sz w:val="16"/>
          <w:szCs w:val="16"/>
        </w:rPr>
        <w:t xml:space="preserve"> </w:t>
      </w:r>
      <w:r w:rsidR="003C4185" w:rsidRPr="0036163C">
        <w:rPr>
          <w:rFonts w:ascii="Arial" w:hAnsi="Arial" w:cs="Arial"/>
          <w:b/>
          <w:bCs/>
          <w:sz w:val="16"/>
          <w:szCs w:val="16"/>
        </w:rPr>
        <w:t xml:space="preserve">- </w:t>
      </w:r>
      <w:r w:rsidR="00045B5C" w:rsidRPr="0036163C">
        <w:rPr>
          <w:rFonts w:ascii="Arial" w:hAnsi="Arial" w:cs="Arial"/>
          <w:b/>
          <w:bCs/>
          <w:sz w:val="16"/>
          <w:szCs w:val="16"/>
        </w:rPr>
        <w:t>Paired t-test outputs conducted between the parent well groups at 800 ft spacing and the parent well</w:t>
      </w:r>
      <w:r w:rsidR="007F1D24" w:rsidRPr="0036163C">
        <w:rPr>
          <w:rFonts w:ascii="Arial" w:hAnsi="Arial" w:cs="Arial"/>
          <w:b/>
          <w:bCs/>
          <w:sz w:val="16"/>
          <w:szCs w:val="16"/>
        </w:rPr>
        <w:t xml:space="preserve"> groups</w:t>
      </w:r>
      <w:r w:rsidR="00045B5C" w:rsidRPr="0036163C">
        <w:rPr>
          <w:rFonts w:ascii="Arial" w:hAnsi="Arial" w:cs="Arial"/>
          <w:b/>
          <w:bCs/>
          <w:sz w:val="16"/>
          <w:szCs w:val="16"/>
        </w:rPr>
        <w:t xml:space="preserve"> </w:t>
      </w:r>
      <w:r w:rsidR="007F1D24" w:rsidRPr="0036163C">
        <w:rPr>
          <w:rFonts w:ascii="Arial" w:hAnsi="Arial" w:cs="Arial"/>
          <w:b/>
          <w:bCs/>
          <w:sz w:val="16"/>
          <w:szCs w:val="16"/>
        </w:rPr>
        <w:t xml:space="preserve">at the rest of </w:t>
      </w:r>
      <w:r w:rsidR="00045B5C" w:rsidRPr="0036163C">
        <w:rPr>
          <w:rFonts w:ascii="Arial" w:hAnsi="Arial" w:cs="Arial"/>
          <w:b/>
          <w:bCs/>
          <w:sz w:val="16"/>
          <w:szCs w:val="16"/>
        </w:rPr>
        <w:t>spacings with outcome</w:t>
      </w:r>
      <w:r w:rsidR="0036163C" w:rsidRPr="0036163C">
        <w:rPr>
          <w:rFonts w:ascii="Arial" w:hAnsi="Arial" w:cs="Arial"/>
          <w:b/>
          <w:bCs/>
          <w:sz w:val="16"/>
          <w:szCs w:val="16"/>
        </w:rPr>
        <w:t xml:space="preserve"> 180-day </w:t>
      </w:r>
      <w:r w:rsidR="00045B5C" w:rsidRPr="0036163C">
        <w:rPr>
          <w:rFonts w:ascii="Arial" w:hAnsi="Arial" w:cs="Arial"/>
          <w:b/>
          <w:bCs/>
          <w:sz w:val="16"/>
          <w:szCs w:val="16"/>
        </w:rPr>
        <w:t>cumulative production</w:t>
      </w:r>
      <w:r w:rsidR="0036163C">
        <w:rPr>
          <w:rFonts w:ascii="Arial" w:eastAsia="Times New Roman" w:hAnsi="Arial" w:cs="Times New Roman"/>
          <w:i/>
          <w:iCs/>
          <w:sz w:val="16"/>
          <w:szCs w:val="20"/>
        </w:rPr>
        <w:t xml:space="preserve"> </w:t>
      </w:r>
      <w:r w:rsidR="0036163C">
        <w:rPr>
          <w:rFonts w:ascii="Arial" w:hAnsi="Arial" w:cs="Arial"/>
          <w:b/>
          <w:bCs/>
          <w:sz w:val="16"/>
          <w:szCs w:val="16"/>
        </w:rPr>
        <w:t>normalized to lateral length production (bbl/ft).</w:t>
      </w:r>
      <w:bookmarkEnd w:id="141"/>
    </w:p>
    <w:p w14:paraId="6AE889D0" w14:textId="0DCF55C2" w:rsidR="00767428" w:rsidRDefault="00767428" w:rsidP="00A83588">
      <w:pPr>
        <w:pStyle w:val="Caption"/>
        <w:rPr>
          <w:rFonts w:ascii="Arial" w:eastAsia="Times New Roman" w:hAnsi="Arial" w:cs="Times New Roman"/>
          <w:i w:val="0"/>
          <w:iCs w:val="0"/>
          <w:sz w:val="16"/>
          <w:szCs w:val="20"/>
        </w:rPr>
      </w:pPr>
    </w:p>
    <w:p w14:paraId="3D017EBF" w14:textId="7D6843DE" w:rsidR="003C4185" w:rsidRDefault="003C4185" w:rsidP="003C4185"/>
    <w:p w14:paraId="24009DBA" w14:textId="46AFA8A2" w:rsidR="003C4185" w:rsidRDefault="003C4185" w:rsidP="003C4185"/>
    <w:p w14:paraId="5BE5344E" w14:textId="03146BEE" w:rsidR="003C4185" w:rsidRDefault="003C4185" w:rsidP="003C4185"/>
    <w:p w14:paraId="417D49E6" w14:textId="7E88DE7C" w:rsidR="003C4185" w:rsidRDefault="003C4185" w:rsidP="003C4185"/>
    <w:p w14:paraId="63CC3B66" w14:textId="2D0F97BD" w:rsidR="003C4185" w:rsidRDefault="003C4185" w:rsidP="003C4185"/>
    <w:p w14:paraId="4A3D05C7" w14:textId="22136E26" w:rsidR="003C4185" w:rsidRDefault="003C4185" w:rsidP="003C4185"/>
    <w:p w14:paraId="5E756CE3" w14:textId="77777777" w:rsidR="003C4185" w:rsidRPr="00905EA4" w:rsidRDefault="003C4185" w:rsidP="00905EA4"/>
    <w:tbl>
      <w:tblPr>
        <w:tblStyle w:val="TableGrid"/>
        <w:tblW w:w="9656" w:type="dxa"/>
        <w:jc w:val="center"/>
        <w:tblLook w:val="04A0" w:firstRow="1" w:lastRow="0" w:firstColumn="1" w:lastColumn="0" w:noHBand="0" w:noVBand="1"/>
      </w:tblPr>
      <w:tblGrid>
        <w:gridCol w:w="1483"/>
        <w:gridCol w:w="1403"/>
        <w:gridCol w:w="1403"/>
        <w:gridCol w:w="1556"/>
        <w:gridCol w:w="1493"/>
        <w:gridCol w:w="1097"/>
        <w:gridCol w:w="1221"/>
      </w:tblGrid>
      <w:tr w:rsidR="00ED3309" w:rsidRPr="00EB596E" w14:paraId="3D49E966" w14:textId="77777777" w:rsidTr="00905EA4">
        <w:trPr>
          <w:trHeight w:val="288"/>
          <w:jc w:val="center"/>
        </w:trPr>
        <w:tc>
          <w:tcPr>
            <w:tcW w:w="1483" w:type="dxa"/>
            <w:noWrap/>
            <w:hideMark/>
          </w:tcPr>
          <w:p w14:paraId="71A6FDC7" w14:textId="77777777" w:rsidR="003C4185" w:rsidRPr="0036163C" w:rsidRDefault="003C4185" w:rsidP="0036163C">
            <w:pPr>
              <w:pStyle w:val="NoSpacing"/>
              <w:jc w:val="center"/>
            </w:pPr>
            <w:r w:rsidRPr="0036163C">
              <w:lastRenderedPageBreak/>
              <w:t>Parent Well Group Comparison</w:t>
            </w:r>
          </w:p>
          <w:p w14:paraId="2E62ACD0" w14:textId="77777777" w:rsidR="003C4185" w:rsidRPr="0036163C" w:rsidRDefault="003C4185" w:rsidP="0036163C">
            <w:pPr>
              <w:pStyle w:val="NoSpacing"/>
              <w:jc w:val="center"/>
            </w:pPr>
            <w:r w:rsidRPr="0036163C">
              <w:t>at different spacings.</w:t>
            </w:r>
          </w:p>
        </w:tc>
        <w:tc>
          <w:tcPr>
            <w:tcW w:w="1403" w:type="dxa"/>
            <w:noWrap/>
            <w:hideMark/>
          </w:tcPr>
          <w:p w14:paraId="1A8C623C" w14:textId="7CD2953D" w:rsidR="003C4185" w:rsidRPr="0036163C" w:rsidRDefault="003C4185" w:rsidP="0036163C">
            <w:pPr>
              <w:pStyle w:val="NoSpacing"/>
              <w:jc w:val="center"/>
            </w:pPr>
            <w:r w:rsidRPr="0036163C">
              <w:t>Parent</w:t>
            </w:r>
          </w:p>
          <w:p w14:paraId="16A153E4" w14:textId="35B43302" w:rsidR="003C4185" w:rsidRPr="0036163C" w:rsidRDefault="003C4185" w:rsidP="0036163C">
            <w:pPr>
              <w:pStyle w:val="NoSpacing"/>
              <w:jc w:val="center"/>
            </w:pPr>
            <w:r w:rsidRPr="0036163C">
              <w:t>Wells Group</w:t>
            </w:r>
          </w:p>
          <w:p w14:paraId="461C1F3B" w14:textId="5D15924A" w:rsidR="003C4185" w:rsidRPr="0036163C" w:rsidRDefault="003C4185" w:rsidP="0036163C">
            <w:pPr>
              <w:pStyle w:val="NoSpacing"/>
              <w:jc w:val="center"/>
            </w:pPr>
            <w:r w:rsidRPr="0036163C">
              <w:t>#1 Mean</w:t>
            </w:r>
          </w:p>
          <w:p w14:paraId="43585478" w14:textId="77777777" w:rsidR="003C4185" w:rsidRDefault="003C4185" w:rsidP="0036163C">
            <w:pPr>
              <w:pStyle w:val="NoSpacing"/>
              <w:jc w:val="center"/>
            </w:pPr>
            <w:r w:rsidRPr="0036163C">
              <w:t>(Cum</w:t>
            </w:r>
            <w:r w:rsidR="000A6B69">
              <w:t>.</w:t>
            </w:r>
            <w:r w:rsidRPr="0036163C">
              <w:t xml:space="preserve"> 360/Lateral Length)</w:t>
            </w:r>
          </w:p>
          <w:p w14:paraId="3FE6E643" w14:textId="389AEC84" w:rsidR="00312E53" w:rsidRPr="0036163C" w:rsidRDefault="00312E53" w:rsidP="0036163C">
            <w:pPr>
              <w:pStyle w:val="NoSpacing"/>
              <w:jc w:val="center"/>
            </w:pPr>
            <w:r>
              <w:t>(bbl/ft)</w:t>
            </w:r>
          </w:p>
        </w:tc>
        <w:tc>
          <w:tcPr>
            <w:tcW w:w="1403" w:type="dxa"/>
            <w:noWrap/>
            <w:hideMark/>
          </w:tcPr>
          <w:p w14:paraId="181C6B4A" w14:textId="1F9A146D" w:rsidR="003C4185" w:rsidRPr="0036163C" w:rsidRDefault="003C4185" w:rsidP="0036163C">
            <w:pPr>
              <w:pStyle w:val="NoSpacing"/>
              <w:jc w:val="center"/>
            </w:pPr>
            <w:r w:rsidRPr="0036163C">
              <w:t>Parent</w:t>
            </w:r>
          </w:p>
          <w:p w14:paraId="154CAC49" w14:textId="750E5084" w:rsidR="003C4185" w:rsidRPr="0036163C" w:rsidRDefault="003C4185" w:rsidP="0036163C">
            <w:pPr>
              <w:pStyle w:val="NoSpacing"/>
              <w:jc w:val="center"/>
            </w:pPr>
            <w:r w:rsidRPr="0036163C">
              <w:t>Wells Group</w:t>
            </w:r>
          </w:p>
          <w:p w14:paraId="397A1B0D" w14:textId="77777777" w:rsidR="003C4185" w:rsidRPr="0036163C" w:rsidRDefault="003C4185" w:rsidP="0036163C">
            <w:pPr>
              <w:pStyle w:val="NoSpacing"/>
              <w:jc w:val="center"/>
            </w:pPr>
            <w:r w:rsidRPr="0036163C">
              <w:t>#2 Mean</w:t>
            </w:r>
          </w:p>
          <w:p w14:paraId="33FBE438" w14:textId="77777777" w:rsidR="003C4185" w:rsidRDefault="003C4185" w:rsidP="0036163C">
            <w:pPr>
              <w:pStyle w:val="NoSpacing"/>
              <w:jc w:val="center"/>
            </w:pPr>
            <w:r w:rsidRPr="0036163C">
              <w:t>(Cum</w:t>
            </w:r>
            <w:r w:rsidR="000A6B69">
              <w:t>.</w:t>
            </w:r>
            <w:r w:rsidRPr="0036163C">
              <w:t xml:space="preserve"> 360/Lateral Length)</w:t>
            </w:r>
          </w:p>
          <w:p w14:paraId="1C6C93D9" w14:textId="133E3CE2" w:rsidR="00312E53" w:rsidRPr="0036163C" w:rsidRDefault="00312E53" w:rsidP="0036163C">
            <w:pPr>
              <w:pStyle w:val="NoSpacing"/>
              <w:jc w:val="center"/>
            </w:pPr>
            <w:r>
              <w:t>(bbl/ft)</w:t>
            </w:r>
          </w:p>
        </w:tc>
        <w:tc>
          <w:tcPr>
            <w:tcW w:w="1556" w:type="dxa"/>
            <w:noWrap/>
            <w:hideMark/>
          </w:tcPr>
          <w:p w14:paraId="0C70A24F" w14:textId="0C617030" w:rsidR="003C4185" w:rsidRPr="0036163C" w:rsidRDefault="003C4185" w:rsidP="0036163C">
            <w:pPr>
              <w:pStyle w:val="NoSpacing"/>
              <w:jc w:val="center"/>
            </w:pPr>
            <w:r w:rsidRPr="0036163C">
              <w:t xml:space="preserve">Lower 95 % </w:t>
            </w:r>
            <w:r w:rsidR="00ED3309" w:rsidRPr="0036163C">
              <w:t>Confidence Interval</w:t>
            </w:r>
          </w:p>
        </w:tc>
        <w:tc>
          <w:tcPr>
            <w:tcW w:w="1493" w:type="dxa"/>
            <w:noWrap/>
            <w:hideMark/>
          </w:tcPr>
          <w:p w14:paraId="580F6632" w14:textId="204CC5D5" w:rsidR="003C4185" w:rsidRPr="0036163C" w:rsidRDefault="003C4185" w:rsidP="0036163C">
            <w:pPr>
              <w:pStyle w:val="NoSpacing"/>
              <w:jc w:val="center"/>
            </w:pPr>
            <w:r w:rsidRPr="0036163C">
              <w:t xml:space="preserve">Upper 95 % </w:t>
            </w:r>
            <w:r w:rsidR="00ED3309" w:rsidRPr="0036163C">
              <w:t>Confidence Interval</w:t>
            </w:r>
          </w:p>
        </w:tc>
        <w:tc>
          <w:tcPr>
            <w:tcW w:w="1097" w:type="dxa"/>
            <w:noWrap/>
            <w:hideMark/>
          </w:tcPr>
          <w:p w14:paraId="61D08087" w14:textId="77777777" w:rsidR="003C4185" w:rsidRPr="0036163C" w:rsidRDefault="003C4185" w:rsidP="0036163C">
            <w:pPr>
              <w:pStyle w:val="NoSpacing"/>
              <w:jc w:val="center"/>
            </w:pPr>
          </w:p>
          <w:p w14:paraId="16DF9842" w14:textId="77777777" w:rsidR="003C4185" w:rsidRPr="0036163C" w:rsidRDefault="003C4185" w:rsidP="0036163C">
            <w:pPr>
              <w:pStyle w:val="NoSpacing"/>
              <w:jc w:val="center"/>
            </w:pPr>
            <w:r w:rsidRPr="0036163C">
              <w:t>P-value</w:t>
            </w:r>
          </w:p>
        </w:tc>
        <w:tc>
          <w:tcPr>
            <w:tcW w:w="1221" w:type="dxa"/>
            <w:noWrap/>
            <w:hideMark/>
          </w:tcPr>
          <w:p w14:paraId="1AE0CDF5" w14:textId="77777777" w:rsidR="003C4185" w:rsidRPr="0036163C" w:rsidRDefault="003C4185" w:rsidP="0036163C">
            <w:pPr>
              <w:pStyle w:val="NoSpacing"/>
              <w:jc w:val="center"/>
            </w:pPr>
            <w:r w:rsidRPr="0036163C">
              <w:t>Degrees of Freedom</w:t>
            </w:r>
          </w:p>
        </w:tc>
      </w:tr>
      <w:tr w:rsidR="00ED3309" w:rsidRPr="00EB596E" w14:paraId="50E086CF" w14:textId="77777777" w:rsidTr="00905EA4">
        <w:trPr>
          <w:trHeight w:val="288"/>
          <w:jc w:val="center"/>
        </w:trPr>
        <w:tc>
          <w:tcPr>
            <w:tcW w:w="1483" w:type="dxa"/>
            <w:noWrap/>
            <w:hideMark/>
          </w:tcPr>
          <w:p w14:paraId="578BCD23" w14:textId="13C96444" w:rsidR="003C4185" w:rsidRPr="00DC2B34" w:rsidRDefault="003C4185" w:rsidP="00822F0E">
            <w:pPr>
              <w:jc w:val="center"/>
              <w:rPr>
                <w:rFonts w:eastAsia="Times New Roman" w:cs="Times New Roman"/>
                <w:szCs w:val="24"/>
              </w:rPr>
            </w:pPr>
            <w:r>
              <w:rPr>
                <w:rFonts w:eastAsia="Times New Roman" w:cs="Times New Roman"/>
                <w:szCs w:val="24"/>
              </w:rPr>
              <w:t>700</w:t>
            </w:r>
            <w:r w:rsidR="008A4E27">
              <w:rPr>
                <w:rFonts w:eastAsia="Times New Roman" w:cs="Times New Roman"/>
                <w:szCs w:val="24"/>
              </w:rPr>
              <w:t xml:space="preserve"> </w:t>
            </w:r>
            <w:r>
              <w:rPr>
                <w:rFonts w:eastAsia="Times New Roman" w:cs="Times New Roman"/>
                <w:szCs w:val="24"/>
              </w:rPr>
              <w:t xml:space="preserve">ft and </w:t>
            </w:r>
            <w:r w:rsidRPr="00DC2B34">
              <w:rPr>
                <w:rFonts w:eastAsia="Times New Roman" w:cs="Times New Roman"/>
                <w:szCs w:val="24"/>
              </w:rPr>
              <w:t>800 ft</w:t>
            </w:r>
          </w:p>
        </w:tc>
        <w:tc>
          <w:tcPr>
            <w:tcW w:w="1403" w:type="dxa"/>
            <w:noWrap/>
            <w:hideMark/>
          </w:tcPr>
          <w:p w14:paraId="2949A4D0" w14:textId="40EFD37B" w:rsidR="003C4185" w:rsidRPr="00DC2B34" w:rsidRDefault="003C4185" w:rsidP="00822F0E">
            <w:pPr>
              <w:jc w:val="center"/>
              <w:rPr>
                <w:rFonts w:eastAsia="Times New Roman" w:cs="Times New Roman"/>
                <w:szCs w:val="24"/>
              </w:rPr>
            </w:pPr>
            <w:r w:rsidRPr="00DC2B34">
              <w:rPr>
                <w:rFonts w:eastAsia="Times New Roman" w:cs="Times New Roman"/>
                <w:szCs w:val="24"/>
              </w:rPr>
              <w:t>1</w:t>
            </w:r>
            <w:r w:rsidR="00B46709">
              <w:rPr>
                <w:rFonts w:eastAsia="Times New Roman" w:cs="Times New Roman"/>
                <w:szCs w:val="24"/>
              </w:rPr>
              <w:t>7.65</w:t>
            </w:r>
          </w:p>
        </w:tc>
        <w:tc>
          <w:tcPr>
            <w:tcW w:w="1403" w:type="dxa"/>
            <w:noWrap/>
            <w:hideMark/>
          </w:tcPr>
          <w:p w14:paraId="09448506" w14:textId="29FEF328" w:rsidR="003C4185" w:rsidRPr="00DC2B34" w:rsidRDefault="003C4185" w:rsidP="00822F0E">
            <w:pPr>
              <w:jc w:val="center"/>
              <w:rPr>
                <w:rFonts w:eastAsia="Times New Roman" w:cs="Times New Roman"/>
                <w:szCs w:val="24"/>
              </w:rPr>
            </w:pPr>
            <w:r>
              <w:rPr>
                <w:rFonts w:eastAsia="Times New Roman" w:cs="Times New Roman"/>
                <w:szCs w:val="24"/>
              </w:rPr>
              <w:t>1</w:t>
            </w:r>
            <w:r w:rsidR="00B46709">
              <w:rPr>
                <w:rFonts w:eastAsia="Times New Roman" w:cs="Times New Roman"/>
                <w:szCs w:val="24"/>
              </w:rPr>
              <w:t>8.7</w:t>
            </w:r>
          </w:p>
        </w:tc>
        <w:tc>
          <w:tcPr>
            <w:tcW w:w="1556" w:type="dxa"/>
            <w:noWrap/>
            <w:hideMark/>
          </w:tcPr>
          <w:p w14:paraId="24AFF945" w14:textId="77777777" w:rsidR="003C4185" w:rsidRPr="00DC2B34" w:rsidRDefault="003C4185" w:rsidP="00822F0E">
            <w:pPr>
              <w:jc w:val="center"/>
              <w:rPr>
                <w:rFonts w:eastAsia="Times New Roman" w:cs="Times New Roman"/>
                <w:szCs w:val="24"/>
              </w:rPr>
            </w:pPr>
            <w:r w:rsidRPr="00DC2B34">
              <w:rPr>
                <w:rFonts w:eastAsia="Times New Roman" w:cs="Times New Roman"/>
                <w:szCs w:val="24"/>
              </w:rPr>
              <w:t>-</w:t>
            </w:r>
            <w:r>
              <w:rPr>
                <w:rFonts w:eastAsia="Times New Roman" w:cs="Times New Roman"/>
                <w:szCs w:val="24"/>
              </w:rPr>
              <w:t>1.04</w:t>
            </w:r>
          </w:p>
        </w:tc>
        <w:tc>
          <w:tcPr>
            <w:tcW w:w="1493" w:type="dxa"/>
            <w:noWrap/>
            <w:hideMark/>
          </w:tcPr>
          <w:p w14:paraId="0DFA877D" w14:textId="46D93C6D" w:rsidR="003C4185" w:rsidRPr="00DC2B34" w:rsidRDefault="006023BB" w:rsidP="00822F0E">
            <w:pPr>
              <w:jc w:val="center"/>
              <w:rPr>
                <w:rFonts w:eastAsia="Times New Roman" w:cs="Times New Roman"/>
                <w:szCs w:val="24"/>
              </w:rPr>
            </w:pPr>
            <w:r>
              <w:rPr>
                <w:rFonts w:eastAsia="Times New Roman" w:cs="Times New Roman"/>
                <w:szCs w:val="24"/>
              </w:rPr>
              <w:t>-2</w:t>
            </w:r>
          </w:p>
        </w:tc>
        <w:tc>
          <w:tcPr>
            <w:tcW w:w="1097" w:type="dxa"/>
            <w:noWrap/>
            <w:hideMark/>
          </w:tcPr>
          <w:p w14:paraId="5F2C7B75" w14:textId="21A12FEF" w:rsidR="003C4185" w:rsidRPr="00DC2B34" w:rsidRDefault="006023BB" w:rsidP="00822F0E">
            <w:pPr>
              <w:pStyle w:val="Caption"/>
              <w:rPr>
                <w:rFonts w:eastAsia="Times New Roman" w:cs="Times New Roman"/>
                <w:b w:val="0"/>
                <w:i w:val="0"/>
                <w:iCs w:val="0"/>
                <w:szCs w:val="24"/>
              </w:rPr>
            </w:pPr>
            <w:r>
              <w:rPr>
                <w:rFonts w:eastAsia="Times New Roman" w:cs="Times New Roman"/>
                <w:b w:val="0"/>
                <w:i w:val="0"/>
                <w:iCs w:val="0"/>
                <w:szCs w:val="24"/>
              </w:rPr>
              <w:t>0.</w:t>
            </w:r>
            <w:r w:rsidR="00387BAC">
              <w:rPr>
                <w:rFonts w:eastAsia="Times New Roman" w:cs="Times New Roman"/>
                <w:b w:val="0"/>
                <w:i w:val="0"/>
                <w:iCs w:val="0"/>
                <w:szCs w:val="24"/>
              </w:rPr>
              <w:t>029</w:t>
            </w:r>
          </w:p>
        </w:tc>
        <w:tc>
          <w:tcPr>
            <w:tcW w:w="1221" w:type="dxa"/>
            <w:noWrap/>
            <w:hideMark/>
          </w:tcPr>
          <w:p w14:paraId="4889286C" w14:textId="4133DDA0" w:rsidR="003C4185" w:rsidRPr="00DC2B34" w:rsidRDefault="006023BB" w:rsidP="00822F0E">
            <w:pPr>
              <w:pStyle w:val="Caption"/>
              <w:rPr>
                <w:rFonts w:eastAsia="Times New Roman" w:cs="Times New Roman"/>
                <w:b w:val="0"/>
                <w:i w:val="0"/>
                <w:iCs w:val="0"/>
                <w:szCs w:val="24"/>
              </w:rPr>
            </w:pPr>
            <w:r>
              <w:rPr>
                <w:rFonts w:eastAsia="Times New Roman" w:cs="Times New Roman"/>
                <w:b w:val="0"/>
                <w:i w:val="0"/>
                <w:iCs w:val="0"/>
                <w:szCs w:val="24"/>
              </w:rPr>
              <w:t>242</w:t>
            </w:r>
          </w:p>
        </w:tc>
      </w:tr>
      <w:tr w:rsidR="00ED3309" w:rsidRPr="00EB596E" w14:paraId="78920F11" w14:textId="77777777" w:rsidTr="00905EA4">
        <w:trPr>
          <w:trHeight w:val="288"/>
          <w:jc w:val="center"/>
        </w:trPr>
        <w:tc>
          <w:tcPr>
            <w:tcW w:w="1483" w:type="dxa"/>
            <w:noWrap/>
            <w:hideMark/>
          </w:tcPr>
          <w:p w14:paraId="50A0894B" w14:textId="0532E8FE" w:rsidR="003C4185" w:rsidRPr="00DC2B34" w:rsidRDefault="003C4185" w:rsidP="00822F0E">
            <w:pPr>
              <w:jc w:val="center"/>
              <w:rPr>
                <w:rFonts w:eastAsia="Times New Roman" w:cs="Times New Roman"/>
                <w:szCs w:val="24"/>
              </w:rPr>
            </w:pPr>
            <w:r>
              <w:rPr>
                <w:rFonts w:eastAsia="Times New Roman" w:cs="Times New Roman"/>
                <w:szCs w:val="24"/>
              </w:rPr>
              <w:t>6</w:t>
            </w:r>
            <w:r w:rsidRPr="00DC2B34">
              <w:rPr>
                <w:rFonts w:eastAsia="Times New Roman" w:cs="Times New Roman"/>
                <w:szCs w:val="24"/>
              </w:rPr>
              <w:t>00 ft</w:t>
            </w:r>
            <w:r>
              <w:rPr>
                <w:rFonts w:eastAsia="Times New Roman" w:cs="Times New Roman"/>
                <w:szCs w:val="24"/>
              </w:rPr>
              <w:t xml:space="preserve"> and 800 ft</w:t>
            </w:r>
          </w:p>
        </w:tc>
        <w:tc>
          <w:tcPr>
            <w:tcW w:w="1403" w:type="dxa"/>
            <w:noWrap/>
            <w:hideMark/>
          </w:tcPr>
          <w:p w14:paraId="39BFD0C6" w14:textId="0C8DD0C1" w:rsidR="003C4185" w:rsidRPr="00DC2B34" w:rsidRDefault="003C4185" w:rsidP="00822F0E">
            <w:pPr>
              <w:jc w:val="center"/>
              <w:rPr>
                <w:rFonts w:eastAsia="Times New Roman" w:cs="Times New Roman"/>
                <w:szCs w:val="24"/>
              </w:rPr>
            </w:pPr>
            <w:r w:rsidRPr="00DC2B34">
              <w:rPr>
                <w:rFonts w:eastAsia="Times New Roman" w:cs="Times New Roman"/>
                <w:szCs w:val="24"/>
              </w:rPr>
              <w:t>1</w:t>
            </w:r>
            <w:r w:rsidR="00513A6A">
              <w:rPr>
                <w:rFonts w:eastAsia="Times New Roman" w:cs="Times New Roman"/>
                <w:szCs w:val="24"/>
              </w:rPr>
              <w:t>7.19</w:t>
            </w:r>
          </w:p>
        </w:tc>
        <w:tc>
          <w:tcPr>
            <w:tcW w:w="1403" w:type="dxa"/>
            <w:noWrap/>
            <w:hideMark/>
          </w:tcPr>
          <w:p w14:paraId="0EB8FD32" w14:textId="32ED4A17" w:rsidR="003C4185" w:rsidRPr="00DC2B34" w:rsidRDefault="003C4185" w:rsidP="00822F0E">
            <w:pPr>
              <w:jc w:val="center"/>
              <w:rPr>
                <w:rFonts w:eastAsia="Times New Roman" w:cs="Times New Roman"/>
                <w:szCs w:val="24"/>
              </w:rPr>
            </w:pPr>
            <w:r w:rsidRPr="00DC2B34">
              <w:rPr>
                <w:rFonts w:eastAsia="Times New Roman" w:cs="Times New Roman"/>
                <w:szCs w:val="24"/>
              </w:rPr>
              <w:t>1</w:t>
            </w:r>
            <w:r w:rsidR="00513A6A">
              <w:rPr>
                <w:rFonts w:eastAsia="Times New Roman" w:cs="Times New Roman"/>
                <w:szCs w:val="24"/>
              </w:rPr>
              <w:t>8.7</w:t>
            </w:r>
          </w:p>
        </w:tc>
        <w:tc>
          <w:tcPr>
            <w:tcW w:w="1556" w:type="dxa"/>
            <w:noWrap/>
            <w:hideMark/>
          </w:tcPr>
          <w:p w14:paraId="69D622A8" w14:textId="7856C0C2" w:rsidR="003C4185" w:rsidRPr="00DC2B34" w:rsidRDefault="003C4185" w:rsidP="00822F0E">
            <w:pPr>
              <w:jc w:val="center"/>
              <w:rPr>
                <w:rFonts w:eastAsia="Times New Roman" w:cs="Times New Roman"/>
                <w:szCs w:val="24"/>
              </w:rPr>
            </w:pPr>
            <w:r>
              <w:rPr>
                <w:rFonts w:eastAsia="Times New Roman" w:cs="Times New Roman"/>
                <w:szCs w:val="24"/>
              </w:rPr>
              <w:t>-</w:t>
            </w:r>
            <w:r w:rsidR="00885CB4">
              <w:rPr>
                <w:rFonts w:eastAsia="Times New Roman" w:cs="Times New Roman"/>
                <w:szCs w:val="24"/>
              </w:rPr>
              <w:t>2.49</w:t>
            </w:r>
          </w:p>
        </w:tc>
        <w:tc>
          <w:tcPr>
            <w:tcW w:w="1493" w:type="dxa"/>
            <w:noWrap/>
            <w:hideMark/>
          </w:tcPr>
          <w:p w14:paraId="56FC6969" w14:textId="7F60C01D" w:rsidR="003C4185" w:rsidRPr="00DC2B34" w:rsidRDefault="00885CB4" w:rsidP="00822F0E">
            <w:pPr>
              <w:jc w:val="center"/>
              <w:rPr>
                <w:rFonts w:eastAsia="Times New Roman" w:cs="Times New Roman"/>
                <w:szCs w:val="24"/>
              </w:rPr>
            </w:pPr>
            <w:r>
              <w:rPr>
                <w:rFonts w:eastAsia="Times New Roman" w:cs="Times New Roman"/>
                <w:szCs w:val="24"/>
              </w:rPr>
              <w:t>-</w:t>
            </w:r>
            <w:r w:rsidR="003C4185">
              <w:rPr>
                <w:rFonts w:eastAsia="Times New Roman" w:cs="Times New Roman"/>
                <w:szCs w:val="24"/>
              </w:rPr>
              <w:t>0.</w:t>
            </w:r>
            <w:r>
              <w:rPr>
                <w:rFonts w:eastAsia="Times New Roman" w:cs="Times New Roman"/>
                <w:szCs w:val="24"/>
              </w:rPr>
              <w:t>53</w:t>
            </w:r>
          </w:p>
        </w:tc>
        <w:tc>
          <w:tcPr>
            <w:tcW w:w="1097" w:type="dxa"/>
            <w:noWrap/>
            <w:hideMark/>
          </w:tcPr>
          <w:p w14:paraId="2C64CDF1" w14:textId="55CB25A7" w:rsidR="003C4185" w:rsidRPr="00DC2B34" w:rsidRDefault="003C4185" w:rsidP="00822F0E">
            <w:pPr>
              <w:pStyle w:val="Caption"/>
              <w:rPr>
                <w:rFonts w:eastAsia="Times New Roman" w:cs="Times New Roman"/>
                <w:b w:val="0"/>
                <w:i w:val="0"/>
                <w:iCs w:val="0"/>
                <w:szCs w:val="24"/>
              </w:rPr>
            </w:pPr>
            <w:r>
              <w:rPr>
                <w:rFonts w:eastAsia="Times New Roman" w:cs="Times New Roman"/>
                <w:b w:val="0"/>
                <w:i w:val="0"/>
                <w:iCs w:val="0"/>
                <w:szCs w:val="24"/>
              </w:rPr>
              <w:t>0.</w:t>
            </w:r>
            <w:r w:rsidR="00513A6A">
              <w:rPr>
                <w:rFonts w:eastAsia="Times New Roman" w:cs="Times New Roman"/>
                <w:b w:val="0"/>
                <w:i w:val="0"/>
                <w:iCs w:val="0"/>
                <w:szCs w:val="24"/>
              </w:rPr>
              <w:t>0</w:t>
            </w:r>
            <w:r w:rsidR="00A82641">
              <w:rPr>
                <w:rFonts w:eastAsia="Times New Roman" w:cs="Times New Roman"/>
                <w:b w:val="0"/>
                <w:i w:val="0"/>
                <w:iCs w:val="0"/>
                <w:szCs w:val="24"/>
              </w:rPr>
              <w:t>0</w:t>
            </w:r>
            <w:r w:rsidR="00513A6A">
              <w:rPr>
                <w:rFonts w:eastAsia="Times New Roman" w:cs="Times New Roman"/>
                <w:b w:val="0"/>
                <w:i w:val="0"/>
                <w:iCs w:val="0"/>
                <w:szCs w:val="24"/>
              </w:rPr>
              <w:t>25</w:t>
            </w:r>
          </w:p>
        </w:tc>
        <w:tc>
          <w:tcPr>
            <w:tcW w:w="1221" w:type="dxa"/>
            <w:noWrap/>
            <w:hideMark/>
          </w:tcPr>
          <w:p w14:paraId="323D6680" w14:textId="4E0AFE4C" w:rsidR="003C4185" w:rsidRPr="00DC2B34" w:rsidRDefault="00885CB4" w:rsidP="00822F0E">
            <w:pPr>
              <w:pStyle w:val="Caption"/>
              <w:rPr>
                <w:rFonts w:eastAsia="Times New Roman" w:cs="Times New Roman"/>
                <w:b w:val="0"/>
                <w:i w:val="0"/>
                <w:iCs w:val="0"/>
                <w:szCs w:val="24"/>
              </w:rPr>
            </w:pPr>
            <w:r>
              <w:rPr>
                <w:rFonts w:eastAsia="Times New Roman" w:cs="Times New Roman"/>
                <w:b w:val="0"/>
                <w:i w:val="0"/>
                <w:iCs w:val="0"/>
                <w:szCs w:val="24"/>
              </w:rPr>
              <w:t>240</w:t>
            </w:r>
          </w:p>
        </w:tc>
      </w:tr>
      <w:tr w:rsidR="00ED3309" w:rsidRPr="00EB596E" w14:paraId="11E4E6E8" w14:textId="77777777" w:rsidTr="00905EA4">
        <w:trPr>
          <w:trHeight w:val="300"/>
          <w:jc w:val="center"/>
        </w:trPr>
        <w:tc>
          <w:tcPr>
            <w:tcW w:w="1483" w:type="dxa"/>
            <w:noWrap/>
            <w:hideMark/>
          </w:tcPr>
          <w:p w14:paraId="165905D3" w14:textId="4A5EE44D" w:rsidR="003C4185" w:rsidRPr="00DC2B34" w:rsidRDefault="003C4185" w:rsidP="00822F0E">
            <w:pPr>
              <w:jc w:val="center"/>
              <w:rPr>
                <w:rFonts w:eastAsia="Times New Roman" w:cs="Times New Roman"/>
                <w:szCs w:val="24"/>
              </w:rPr>
            </w:pPr>
            <w:r w:rsidRPr="00DC2B34">
              <w:rPr>
                <w:rFonts w:eastAsia="Times New Roman" w:cs="Times New Roman"/>
                <w:szCs w:val="24"/>
              </w:rPr>
              <w:t>500 ft</w:t>
            </w:r>
            <w:r>
              <w:rPr>
                <w:rFonts w:eastAsia="Times New Roman" w:cs="Times New Roman"/>
                <w:szCs w:val="24"/>
              </w:rPr>
              <w:t xml:space="preserve"> and 800 ft</w:t>
            </w:r>
          </w:p>
        </w:tc>
        <w:tc>
          <w:tcPr>
            <w:tcW w:w="1403" w:type="dxa"/>
            <w:noWrap/>
            <w:hideMark/>
          </w:tcPr>
          <w:p w14:paraId="704132DC" w14:textId="1AABF292" w:rsidR="003C4185" w:rsidRPr="00DC2B34" w:rsidRDefault="00E451B7" w:rsidP="00822F0E">
            <w:pPr>
              <w:jc w:val="center"/>
              <w:rPr>
                <w:rFonts w:eastAsia="Times New Roman" w:cs="Times New Roman"/>
                <w:szCs w:val="24"/>
              </w:rPr>
            </w:pPr>
            <w:r>
              <w:rPr>
                <w:rFonts w:eastAsia="Times New Roman" w:cs="Times New Roman"/>
                <w:szCs w:val="24"/>
              </w:rPr>
              <w:t>17.39</w:t>
            </w:r>
          </w:p>
        </w:tc>
        <w:tc>
          <w:tcPr>
            <w:tcW w:w="1403" w:type="dxa"/>
            <w:noWrap/>
            <w:hideMark/>
          </w:tcPr>
          <w:p w14:paraId="10491F81" w14:textId="137E9AE6" w:rsidR="003C4185" w:rsidRPr="00DC2B34" w:rsidRDefault="003C4185" w:rsidP="00822F0E">
            <w:pPr>
              <w:jc w:val="center"/>
              <w:rPr>
                <w:rFonts w:eastAsia="Times New Roman" w:cs="Times New Roman"/>
                <w:szCs w:val="24"/>
              </w:rPr>
            </w:pPr>
            <w:r>
              <w:rPr>
                <w:rFonts w:eastAsia="Times New Roman" w:cs="Times New Roman"/>
                <w:szCs w:val="24"/>
              </w:rPr>
              <w:t>1</w:t>
            </w:r>
            <w:r w:rsidR="00E451B7">
              <w:rPr>
                <w:rFonts w:eastAsia="Times New Roman" w:cs="Times New Roman"/>
                <w:szCs w:val="24"/>
              </w:rPr>
              <w:t>8.7</w:t>
            </w:r>
          </w:p>
        </w:tc>
        <w:tc>
          <w:tcPr>
            <w:tcW w:w="1556" w:type="dxa"/>
            <w:noWrap/>
            <w:hideMark/>
          </w:tcPr>
          <w:p w14:paraId="604A5BD2" w14:textId="6BD4FE1B" w:rsidR="003C4185" w:rsidRPr="00DC2B34" w:rsidRDefault="003C4185" w:rsidP="00822F0E">
            <w:pPr>
              <w:jc w:val="center"/>
              <w:rPr>
                <w:rFonts w:eastAsia="Times New Roman" w:cs="Times New Roman"/>
                <w:szCs w:val="24"/>
              </w:rPr>
            </w:pPr>
            <w:r>
              <w:rPr>
                <w:rFonts w:eastAsia="Times New Roman" w:cs="Times New Roman"/>
                <w:szCs w:val="24"/>
              </w:rPr>
              <w:t>-</w:t>
            </w:r>
            <w:r w:rsidR="00E451B7">
              <w:rPr>
                <w:rFonts w:eastAsia="Times New Roman" w:cs="Times New Roman"/>
                <w:szCs w:val="24"/>
              </w:rPr>
              <w:t>2.39</w:t>
            </w:r>
          </w:p>
        </w:tc>
        <w:tc>
          <w:tcPr>
            <w:tcW w:w="1493" w:type="dxa"/>
            <w:noWrap/>
            <w:hideMark/>
          </w:tcPr>
          <w:p w14:paraId="1FB17DD4" w14:textId="23AC5C7D" w:rsidR="003C4185" w:rsidRPr="00DC2B34" w:rsidRDefault="00E451B7" w:rsidP="00822F0E">
            <w:pPr>
              <w:jc w:val="center"/>
              <w:rPr>
                <w:rFonts w:eastAsia="Times New Roman" w:cs="Times New Roman"/>
                <w:szCs w:val="24"/>
              </w:rPr>
            </w:pPr>
            <w:r>
              <w:rPr>
                <w:rFonts w:eastAsia="Times New Roman" w:cs="Times New Roman"/>
                <w:szCs w:val="24"/>
              </w:rPr>
              <w:t>-0.34</w:t>
            </w:r>
          </w:p>
        </w:tc>
        <w:tc>
          <w:tcPr>
            <w:tcW w:w="1097" w:type="dxa"/>
            <w:noWrap/>
            <w:hideMark/>
          </w:tcPr>
          <w:p w14:paraId="7734EF20" w14:textId="16CA9356" w:rsidR="003C4185" w:rsidRPr="00DC2B34" w:rsidRDefault="003C4185" w:rsidP="00822F0E">
            <w:pPr>
              <w:pStyle w:val="Caption"/>
              <w:tabs>
                <w:tab w:val="left" w:pos="216"/>
                <w:tab w:val="center" w:pos="390"/>
              </w:tabs>
              <w:rPr>
                <w:rFonts w:eastAsia="Times New Roman" w:cs="Times New Roman"/>
                <w:b w:val="0"/>
                <w:i w:val="0"/>
                <w:iCs w:val="0"/>
                <w:szCs w:val="24"/>
              </w:rPr>
            </w:pPr>
            <w:r>
              <w:rPr>
                <w:rFonts w:eastAsia="Times New Roman" w:cs="Times New Roman"/>
                <w:b w:val="0"/>
                <w:i w:val="0"/>
                <w:iCs w:val="0"/>
                <w:szCs w:val="24"/>
              </w:rPr>
              <w:t>0.</w:t>
            </w:r>
            <w:r w:rsidR="00E451B7">
              <w:rPr>
                <w:rFonts w:eastAsia="Times New Roman" w:cs="Times New Roman"/>
                <w:b w:val="0"/>
                <w:i w:val="0"/>
                <w:iCs w:val="0"/>
                <w:szCs w:val="24"/>
              </w:rPr>
              <w:t>008</w:t>
            </w:r>
          </w:p>
        </w:tc>
        <w:tc>
          <w:tcPr>
            <w:tcW w:w="1221" w:type="dxa"/>
            <w:noWrap/>
            <w:hideMark/>
          </w:tcPr>
          <w:p w14:paraId="44C698E8" w14:textId="74830907" w:rsidR="003C4185" w:rsidRPr="00DC2B34" w:rsidRDefault="003C4185" w:rsidP="00822F0E">
            <w:pPr>
              <w:pStyle w:val="Caption"/>
              <w:keepNext/>
              <w:rPr>
                <w:rFonts w:eastAsia="Times New Roman" w:cs="Times New Roman"/>
                <w:b w:val="0"/>
                <w:i w:val="0"/>
                <w:iCs w:val="0"/>
                <w:szCs w:val="24"/>
              </w:rPr>
            </w:pPr>
            <w:r>
              <w:rPr>
                <w:rFonts w:eastAsia="Times New Roman" w:cs="Times New Roman"/>
                <w:b w:val="0"/>
                <w:i w:val="0"/>
                <w:iCs w:val="0"/>
                <w:szCs w:val="24"/>
              </w:rPr>
              <w:t>2</w:t>
            </w:r>
            <w:r w:rsidR="00E451B7">
              <w:rPr>
                <w:rFonts w:eastAsia="Times New Roman" w:cs="Times New Roman"/>
                <w:b w:val="0"/>
                <w:i w:val="0"/>
                <w:iCs w:val="0"/>
                <w:szCs w:val="24"/>
              </w:rPr>
              <w:t>16</w:t>
            </w:r>
          </w:p>
        </w:tc>
      </w:tr>
    </w:tbl>
    <w:p w14:paraId="5C8BC9B0" w14:textId="77777777" w:rsidR="003C4185" w:rsidRDefault="003C4185" w:rsidP="00822F0E">
      <w:pPr>
        <w:pStyle w:val="Caption"/>
        <w:spacing w:after="0"/>
      </w:pPr>
    </w:p>
    <w:p w14:paraId="75D62727" w14:textId="5B499658" w:rsidR="0036163C" w:rsidRPr="00DC2B34" w:rsidRDefault="003C4185" w:rsidP="00822F0E">
      <w:pPr>
        <w:tabs>
          <w:tab w:val="left" w:pos="1754"/>
        </w:tabs>
        <w:spacing w:after="0"/>
        <w:jc w:val="center"/>
        <w:rPr>
          <w:rFonts w:ascii="Arial" w:hAnsi="Arial" w:cs="Arial"/>
          <w:b/>
          <w:bCs/>
          <w:sz w:val="16"/>
          <w:szCs w:val="16"/>
        </w:rPr>
      </w:pPr>
      <w:bookmarkStart w:id="142" w:name="_Toc58621627"/>
      <w:r w:rsidRPr="0036163C">
        <w:rPr>
          <w:rFonts w:ascii="Arial" w:hAnsi="Arial" w:cs="Arial"/>
          <w:b/>
          <w:bCs/>
          <w:sz w:val="16"/>
          <w:szCs w:val="16"/>
        </w:rPr>
        <w:t xml:space="preserve">Table A </w:t>
      </w:r>
      <w:r w:rsidRPr="0036163C">
        <w:rPr>
          <w:rFonts w:ascii="Arial" w:hAnsi="Arial" w:cs="Arial"/>
          <w:b/>
          <w:bCs/>
          <w:sz w:val="16"/>
          <w:szCs w:val="16"/>
        </w:rPr>
        <w:fldChar w:fldCharType="begin"/>
      </w:r>
      <w:r w:rsidRPr="0036163C">
        <w:rPr>
          <w:rFonts w:ascii="Arial" w:hAnsi="Arial" w:cs="Arial"/>
          <w:b/>
          <w:bCs/>
          <w:sz w:val="16"/>
          <w:szCs w:val="16"/>
        </w:rPr>
        <w:instrText xml:space="preserve"> SEQ Table_A \* ARABIC </w:instrText>
      </w:r>
      <w:r w:rsidRPr="0036163C">
        <w:rPr>
          <w:rFonts w:ascii="Arial" w:hAnsi="Arial" w:cs="Arial"/>
          <w:b/>
          <w:bCs/>
          <w:sz w:val="16"/>
          <w:szCs w:val="16"/>
        </w:rPr>
        <w:fldChar w:fldCharType="separate"/>
      </w:r>
      <w:r w:rsidR="00D006A5">
        <w:rPr>
          <w:rFonts w:ascii="Arial" w:hAnsi="Arial" w:cs="Arial"/>
          <w:b/>
          <w:bCs/>
          <w:noProof/>
          <w:sz w:val="16"/>
          <w:szCs w:val="16"/>
        </w:rPr>
        <w:t>4</w:t>
      </w:r>
      <w:r w:rsidRPr="0036163C">
        <w:rPr>
          <w:rFonts w:ascii="Arial" w:hAnsi="Arial" w:cs="Arial"/>
          <w:b/>
          <w:bCs/>
          <w:sz w:val="16"/>
          <w:szCs w:val="16"/>
        </w:rPr>
        <w:fldChar w:fldCharType="end"/>
      </w:r>
      <w:r w:rsidR="000A6B69">
        <w:rPr>
          <w:rFonts w:ascii="Arial" w:hAnsi="Arial" w:cs="Arial"/>
          <w:b/>
          <w:bCs/>
          <w:sz w:val="16"/>
          <w:szCs w:val="16"/>
        </w:rPr>
        <w:t>—</w:t>
      </w:r>
      <w:r w:rsidR="001C0658" w:rsidRPr="0036163C">
        <w:rPr>
          <w:rFonts w:ascii="Arial" w:hAnsi="Arial" w:cs="Arial"/>
          <w:b/>
          <w:bCs/>
          <w:sz w:val="16"/>
          <w:szCs w:val="16"/>
        </w:rPr>
        <w:t>Paired t-test outputs conducted between the parent well groups at 800 ft spacing and the parent well groups at the rest of spacings with outcome</w:t>
      </w:r>
      <w:r w:rsidR="001C0658" w:rsidRPr="00005EB1">
        <w:rPr>
          <w:rFonts w:ascii="Arial" w:eastAsia="Times New Roman" w:hAnsi="Arial" w:cs="Times New Roman"/>
          <w:sz w:val="16"/>
          <w:szCs w:val="20"/>
        </w:rPr>
        <w:t xml:space="preserve"> </w:t>
      </w:r>
      <w:r w:rsidR="008579AC">
        <w:rPr>
          <w:rFonts w:ascii="Arial" w:hAnsi="Arial" w:cs="Arial"/>
          <w:b/>
          <w:bCs/>
          <w:sz w:val="16"/>
          <w:szCs w:val="16"/>
        </w:rPr>
        <w:t>36</w:t>
      </w:r>
      <w:r w:rsidR="0036163C" w:rsidRPr="0036163C">
        <w:rPr>
          <w:rFonts w:ascii="Arial" w:hAnsi="Arial" w:cs="Arial"/>
          <w:b/>
          <w:bCs/>
          <w:sz w:val="16"/>
          <w:szCs w:val="16"/>
        </w:rPr>
        <w:t>0-day cumulative production</w:t>
      </w:r>
      <w:r w:rsidR="0036163C">
        <w:rPr>
          <w:rFonts w:ascii="Arial" w:eastAsia="Times New Roman" w:hAnsi="Arial" w:cs="Times New Roman"/>
          <w:i/>
          <w:iCs/>
          <w:sz w:val="16"/>
          <w:szCs w:val="20"/>
        </w:rPr>
        <w:t xml:space="preserve"> </w:t>
      </w:r>
      <w:r w:rsidR="0036163C">
        <w:rPr>
          <w:rFonts w:ascii="Arial" w:hAnsi="Arial" w:cs="Arial"/>
          <w:b/>
          <w:bCs/>
          <w:sz w:val="16"/>
          <w:szCs w:val="16"/>
        </w:rPr>
        <w:t>normalized to lateral length production (bbl/ft).</w:t>
      </w:r>
      <w:bookmarkEnd w:id="142"/>
    </w:p>
    <w:p w14:paraId="2C1024B4" w14:textId="33A905EB" w:rsidR="007F1D24" w:rsidRDefault="007F1D24" w:rsidP="007F1D24">
      <w:pPr>
        <w:pStyle w:val="Caption"/>
        <w:rPr>
          <w:rFonts w:ascii="Arial" w:eastAsia="Times New Roman" w:hAnsi="Arial" w:cs="Times New Roman"/>
          <w:i w:val="0"/>
          <w:iCs w:val="0"/>
          <w:sz w:val="16"/>
          <w:szCs w:val="20"/>
        </w:rPr>
      </w:pPr>
    </w:p>
    <w:p w14:paraId="5DC63B92" w14:textId="025CCA16" w:rsidR="00767428" w:rsidRDefault="00767428" w:rsidP="00905EA4">
      <w:pPr>
        <w:pStyle w:val="Caption"/>
        <w:jc w:val="left"/>
        <w:rPr>
          <w:rFonts w:eastAsia="Times New Roman" w:cs="Times New Roman"/>
          <w:bCs/>
          <w:sz w:val="18"/>
          <w:szCs w:val="20"/>
        </w:rPr>
      </w:pPr>
    </w:p>
    <w:p w14:paraId="59CB3AA8" w14:textId="77777777" w:rsidR="00F56024" w:rsidRPr="0041009E" w:rsidRDefault="00F56024" w:rsidP="0041009E">
      <w:pPr>
        <w:jc w:val="left"/>
        <w:rPr>
          <w:rFonts w:eastAsia="Times New Roman" w:cs="Times New Roman"/>
          <w:b/>
          <w:bCs/>
          <w:sz w:val="18"/>
          <w:szCs w:val="20"/>
        </w:rPr>
      </w:pPr>
    </w:p>
    <w:p w14:paraId="21ED85B4" w14:textId="7B09BAF4" w:rsidR="00D607FD" w:rsidRDefault="00D607FD" w:rsidP="00D607FD">
      <w:pPr>
        <w:pStyle w:val="Caption"/>
        <w:keepNext/>
      </w:pPr>
    </w:p>
    <w:p w14:paraId="4021E759" w14:textId="06F5D08A" w:rsidR="009D10D1" w:rsidRDefault="009D10D1" w:rsidP="00D607FD">
      <w:pPr>
        <w:pStyle w:val="Caption"/>
      </w:pPr>
    </w:p>
    <w:p w14:paraId="55AD7011" w14:textId="0309461A" w:rsidR="00D0647C" w:rsidRDefault="00D0647C" w:rsidP="00D0647C">
      <w:pPr>
        <w:keepNext/>
        <w:tabs>
          <w:tab w:val="left" w:pos="3408"/>
        </w:tabs>
        <w:jc w:val="center"/>
      </w:pPr>
    </w:p>
    <w:p w14:paraId="64240E38" w14:textId="40B84908" w:rsidR="00D322A4" w:rsidRDefault="00D322A4" w:rsidP="00A91A75">
      <w:pPr>
        <w:pStyle w:val="Caption"/>
      </w:pPr>
    </w:p>
    <w:p w14:paraId="56E99A91" w14:textId="1F28BB5F" w:rsidR="000A336B" w:rsidRDefault="000A336B" w:rsidP="000A336B">
      <w:pPr>
        <w:tabs>
          <w:tab w:val="left" w:pos="2296"/>
        </w:tabs>
      </w:pPr>
      <w:r>
        <w:tab/>
      </w:r>
    </w:p>
    <w:p w14:paraId="3E428506" w14:textId="16B2AE8A" w:rsidR="00127FDC" w:rsidRDefault="00127FDC" w:rsidP="00905EA4">
      <w:pPr>
        <w:keepNext/>
        <w:tabs>
          <w:tab w:val="left" w:pos="2296"/>
        </w:tabs>
        <w:jc w:val="center"/>
      </w:pPr>
    </w:p>
    <w:sectPr w:rsidR="00127FDC" w:rsidSect="00367B42">
      <w:pgSz w:w="12240" w:h="15840"/>
      <w:pgMar w:top="1440" w:right="1440" w:bottom="1440" w:left="1440" w:header="720" w:footer="720"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5E238F" w16cex:dateUtc="2020-11-17T16:25:00Z"/>
  <w16cex:commentExtensible w16cex:durableId="235E29F3" w16cex:dateUtc="2020-11-17T16:52:00Z"/>
  <w16cex:commentExtensible w16cex:durableId="235E2D08" w16cex:dateUtc="2020-11-17T17:05:00Z"/>
  <w16cex:commentExtensible w16cex:durableId="235E3F65" w16cex:dateUtc="2020-11-17T18:24:00Z"/>
  <w16cex:commentExtensible w16cex:durableId="235E4F65" w16cex:dateUtc="2020-11-17T19:32:00Z"/>
  <w16cex:commentExtensible w16cex:durableId="235E4FA4" w16cex:dateUtc="2020-11-17T19:33:00Z"/>
  <w16cex:commentExtensible w16cex:durableId="235E54FC" w16cex:dateUtc="2020-11-17T19:56:00Z"/>
  <w16cex:commentExtensible w16cex:durableId="235F5B01" w16cex:dateUtc="2020-11-18T14:34:00Z"/>
  <w16cex:commentExtensible w16cex:durableId="235F6291" w16cex:dateUtc="2020-11-18T15:06:00Z"/>
  <w16cex:commentExtensible w16cex:durableId="235F639D" w16cex:dateUtc="2020-11-18T15:10:00Z"/>
  <w16cex:commentExtensible w16cex:durableId="235F66B7" w16cex:dateUtc="2020-11-18T15:24:00Z"/>
  <w16cex:commentExtensible w16cex:durableId="235F673E" w16cex:dateUtc="2020-11-18T15:26:00Z"/>
  <w16cex:commentExtensible w16cex:durableId="235F67A0" w16cex:dateUtc="2020-11-18T15:28:00Z"/>
  <w16cex:commentExtensible w16cex:durableId="235E2C9D" w16cex:dateUtc="2020-11-17T17:03:00Z"/>
  <w16cex:commentExtensible w16cex:durableId="235E2CCE" w16cex:dateUtc="2020-11-17T17:04:00Z"/>
  <w16cex:commentExtensible w16cex:durableId="235E2CE4" w16cex:dateUtc="2020-11-17T17:05:00Z"/>
  <w16cex:commentExtensible w16cex:durableId="235F6C9F" w16cex:dateUtc="2020-11-18T15:49:00Z"/>
  <w16cex:commentExtensible w16cex:durableId="236654A3" w16cex:dateUtc="2020-11-23T21:32:00Z"/>
  <w16cex:commentExtensible w16cex:durableId="2366547B" w16cex:dateUtc="2020-11-23T21:3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928D2" w14:textId="77777777" w:rsidR="002E6043" w:rsidRDefault="002E6043">
      <w:pPr>
        <w:spacing w:after="0" w:line="240" w:lineRule="auto"/>
      </w:pPr>
      <w:r>
        <w:separator/>
      </w:r>
    </w:p>
  </w:endnote>
  <w:endnote w:type="continuationSeparator" w:id="0">
    <w:p w14:paraId="716FBFBF" w14:textId="77777777" w:rsidR="002E6043" w:rsidRDefault="002E6043">
      <w:pPr>
        <w:spacing w:after="0" w:line="240" w:lineRule="auto"/>
      </w:pPr>
      <w:r>
        <w:continuationSeparator/>
      </w:r>
    </w:p>
  </w:endnote>
  <w:endnote w:type="continuationNotice" w:id="1">
    <w:p w14:paraId="34F8D681" w14:textId="77777777" w:rsidR="002E6043" w:rsidRDefault="002E60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dvPSA88A">
    <w:altName w:val="Cambria"/>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5530263"/>
      <w:docPartObj>
        <w:docPartGallery w:val="Page Numbers (Bottom of Page)"/>
        <w:docPartUnique/>
      </w:docPartObj>
    </w:sdtPr>
    <w:sdtEndPr>
      <w:rPr>
        <w:noProof/>
      </w:rPr>
    </w:sdtEndPr>
    <w:sdtContent>
      <w:p w14:paraId="720CF7CD" w14:textId="5BF0677A" w:rsidR="00D643E6" w:rsidRDefault="00D643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4566C1" w14:textId="77777777" w:rsidR="00D643E6" w:rsidRDefault="00D64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389358"/>
      <w:docPartObj>
        <w:docPartGallery w:val="Page Numbers (Bottom of Page)"/>
        <w:docPartUnique/>
      </w:docPartObj>
    </w:sdtPr>
    <w:sdtEndPr>
      <w:rPr>
        <w:b/>
        <w:bCs/>
        <w:noProof/>
      </w:rPr>
    </w:sdtEndPr>
    <w:sdtContent>
      <w:p w14:paraId="34736F52" w14:textId="74C5A5E7" w:rsidR="00D643E6" w:rsidRPr="00DD4E7D" w:rsidRDefault="00D643E6">
        <w:pPr>
          <w:pStyle w:val="Footer"/>
          <w:jc w:val="right"/>
          <w:rPr>
            <w:b/>
            <w:bCs/>
          </w:rPr>
        </w:pPr>
        <w:r w:rsidRPr="00DD4E7D">
          <w:rPr>
            <w:b/>
            <w:bCs/>
          </w:rPr>
          <w:fldChar w:fldCharType="begin"/>
        </w:r>
        <w:r w:rsidRPr="00DD4E7D">
          <w:rPr>
            <w:b/>
            <w:bCs/>
          </w:rPr>
          <w:instrText xml:space="preserve"> PAGE   \* MERGEFORMAT </w:instrText>
        </w:r>
        <w:r w:rsidRPr="00DD4E7D">
          <w:rPr>
            <w:b/>
            <w:bCs/>
          </w:rPr>
          <w:fldChar w:fldCharType="separate"/>
        </w:r>
        <w:r>
          <w:rPr>
            <w:b/>
            <w:bCs/>
            <w:noProof/>
          </w:rPr>
          <w:t>37</w:t>
        </w:r>
        <w:r w:rsidRPr="00DD4E7D">
          <w:rPr>
            <w:b/>
            <w:bCs/>
            <w:noProof/>
          </w:rPr>
          <w:fldChar w:fldCharType="end"/>
        </w:r>
      </w:p>
    </w:sdtContent>
  </w:sdt>
  <w:p w14:paraId="4B82761A" w14:textId="77777777" w:rsidR="00D643E6" w:rsidRDefault="00D64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9BBA0" w14:textId="77777777" w:rsidR="002E6043" w:rsidRDefault="002E6043">
      <w:pPr>
        <w:spacing w:after="0" w:line="240" w:lineRule="auto"/>
      </w:pPr>
      <w:r>
        <w:separator/>
      </w:r>
    </w:p>
  </w:footnote>
  <w:footnote w:type="continuationSeparator" w:id="0">
    <w:p w14:paraId="2DF4C067" w14:textId="77777777" w:rsidR="002E6043" w:rsidRDefault="002E6043">
      <w:pPr>
        <w:spacing w:after="0" w:line="240" w:lineRule="auto"/>
      </w:pPr>
      <w:r>
        <w:continuationSeparator/>
      </w:r>
    </w:p>
  </w:footnote>
  <w:footnote w:type="continuationNotice" w:id="1">
    <w:p w14:paraId="2B6659F2" w14:textId="77777777" w:rsidR="002E6043" w:rsidRDefault="002E60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492"/>
    <w:multiLevelType w:val="multilevel"/>
    <w:tmpl w:val="BC9A0D52"/>
    <w:lvl w:ilvl="0">
      <w:start w:val="1"/>
      <w:numFmt w:val="decimal"/>
      <w:lvlText w:val="%1."/>
      <w:lvlJc w:val="left"/>
      <w:pPr>
        <w:ind w:left="648" w:hanging="360"/>
      </w:pPr>
      <w:rPr>
        <w:rFonts w:hint="default"/>
      </w:rPr>
    </w:lvl>
    <w:lvl w:ilvl="1">
      <w:start w:val="6"/>
      <w:numFmt w:val="decimal"/>
      <w:isLgl/>
      <w:lvlText w:val="%1.%2"/>
      <w:lvlJc w:val="left"/>
      <w:pPr>
        <w:ind w:left="744" w:hanging="384"/>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728" w:hanging="144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2088" w:hanging="1800"/>
      </w:pPr>
      <w:rPr>
        <w:rFonts w:hint="default"/>
      </w:rPr>
    </w:lvl>
  </w:abstractNum>
  <w:abstractNum w:abstractNumId="1" w15:restartNumberingAfterBreak="0">
    <w:nsid w:val="03312389"/>
    <w:multiLevelType w:val="hybridMultilevel"/>
    <w:tmpl w:val="FDB6D286"/>
    <w:lvl w:ilvl="0" w:tplc="922E6DF0">
      <w:start w:val="1"/>
      <w:numFmt w:val="lowerLetter"/>
      <w:lvlText w:val="(%1)"/>
      <w:lvlJc w:val="left"/>
      <w:pPr>
        <w:ind w:left="3252" w:hanging="360"/>
      </w:pPr>
      <w:rPr>
        <w:rFonts w:hint="default"/>
      </w:rPr>
    </w:lvl>
    <w:lvl w:ilvl="1" w:tplc="04090019" w:tentative="1">
      <w:start w:val="1"/>
      <w:numFmt w:val="lowerLetter"/>
      <w:lvlText w:val="%2."/>
      <w:lvlJc w:val="left"/>
      <w:pPr>
        <w:ind w:left="3972" w:hanging="360"/>
      </w:pPr>
    </w:lvl>
    <w:lvl w:ilvl="2" w:tplc="0409001B" w:tentative="1">
      <w:start w:val="1"/>
      <w:numFmt w:val="lowerRoman"/>
      <w:lvlText w:val="%3."/>
      <w:lvlJc w:val="right"/>
      <w:pPr>
        <w:ind w:left="4692" w:hanging="180"/>
      </w:pPr>
    </w:lvl>
    <w:lvl w:ilvl="3" w:tplc="0409000F" w:tentative="1">
      <w:start w:val="1"/>
      <w:numFmt w:val="decimal"/>
      <w:lvlText w:val="%4."/>
      <w:lvlJc w:val="left"/>
      <w:pPr>
        <w:ind w:left="5412" w:hanging="360"/>
      </w:pPr>
    </w:lvl>
    <w:lvl w:ilvl="4" w:tplc="04090019" w:tentative="1">
      <w:start w:val="1"/>
      <w:numFmt w:val="lowerLetter"/>
      <w:lvlText w:val="%5."/>
      <w:lvlJc w:val="left"/>
      <w:pPr>
        <w:ind w:left="6132" w:hanging="360"/>
      </w:pPr>
    </w:lvl>
    <w:lvl w:ilvl="5" w:tplc="0409001B" w:tentative="1">
      <w:start w:val="1"/>
      <w:numFmt w:val="lowerRoman"/>
      <w:lvlText w:val="%6."/>
      <w:lvlJc w:val="right"/>
      <w:pPr>
        <w:ind w:left="6852" w:hanging="180"/>
      </w:pPr>
    </w:lvl>
    <w:lvl w:ilvl="6" w:tplc="0409000F" w:tentative="1">
      <w:start w:val="1"/>
      <w:numFmt w:val="decimal"/>
      <w:lvlText w:val="%7."/>
      <w:lvlJc w:val="left"/>
      <w:pPr>
        <w:ind w:left="7572" w:hanging="360"/>
      </w:pPr>
    </w:lvl>
    <w:lvl w:ilvl="7" w:tplc="04090019" w:tentative="1">
      <w:start w:val="1"/>
      <w:numFmt w:val="lowerLetter"/>
      <w:lvlText w:val="%8."/>
      <w:lvlJc w:val="left"/>
      <w:pPr>
        <w:ind w:left="8292" w:hanging="360"/>
      </w:pPr>
    </w:lvl>
    <w:lvl w:ilvl="8" w:tplc="0409001B" w:tentative="1">
      <w:start w:val="1"/>
      <w:numFmt w:val="lowerRoman"/>
      <w:lvlText w:val="%9."/>
      <w:lvlJc w:val="right"/>
      <w:pPr>
        <w:ind w:left="9012" w:hanging="180"/>
      </w:pPr>
    </w:lvl>
  </w:abstractNum>
  <w:abstractNum w:abstractNumId="2" w15:restartNumberingAfterBreak="0">
    <w:nsid w:val="13803C8F"/>
    <w:multiLevelType w:val="hybridMultilevel"/>
    <w:tmpl w:val="EDF42BAC"/>
    <w:lvl w:ilvl="0" w:tplc="927076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560942"/>
    <w:multiLevelType w:val="hybridMultilevel"/>
    <w:tmpl w:val="C1EAB12A"/>
    <w:lvl w:ilvl="0" w:tplc="6CF8C6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3331D5"/>
    <w:multiLevelType w:val="hybridMultilevel"/>
    <w:tmpl w:val="2EA8685A"/>
    <w:lvl w:ilvl="0" w:tplc="D95C303E">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36B85F91"/>
    <w:multiLevelType w:val="hybridMultilevel"/>
    <w:tmpl w:val="2EF8413E"/>
    <w:lvl w:ilvl="0" w:tplc="589E3464">
      <w:start w:val="1"/>
      <w:numFmt w:val="lowerLetter"/>
      <w:lvlText w:val="(%1)"/>
      <w:lvlJc w:val="left"/>
      <w:pPr>
        <w:ind w:left="3408" w:hanging="360"/>
      </w:pPr>
      <w:rPr>
        <w:rFonts w:hint="default"/>
      </w:rPr>
    </w:lvl>
    <w:lvl w:ilvl="1" w:tplc="04090019" w:tentative="1">
      <w:start w:val="1"/>
      <w:numFmt w:val="lowerLetter"/>
      <w:lvlText w:val="%2."/>
      <w:lvlJc w:val="left"/>
      <w:pPr>
        <w:ind w:left="4128" w:hanging="360"/>
      </w:pPr>
    </w:lvl>
    <w:lvl w:ilvl="2" w:tplc="0409001B" w:tentative="1">
      <w:start w:val="1"/>
      <w:numFmt w:val="lowerRoman"/>
      <w:lvlText w:val="%3."/>
      <w:lvlJc w:val="right"/>
      <w:pPr>
        <w:ind w:left="4848" w:hanging="180"/>
      </w:pPr>
    </w:lvl>
    <w:lvl w:ilvl="3" w:tplc="0409000F" w:tentative="1">
      <w:start w:val="1"/>
      <w:numFmt w:val="decimal"/>
      <w:lvlText w:val="%4."/>
      <w:lvlJc w:val="left"/>
      <w:pPr>
        <w:ind w:left="5568" w:hanging="360"/>
      </w:pPr>
    </w:lvl>
    <w:lvl w:ilvl="4" w:tplc="04090019" w:tentative="1">
      <w:start w:val="1"/>
      <w:numFmt w:val="lowerLetter"/>
      <w:lvlText w:val="%5."/>
      <w:lvlJc w:val="left"/>
      <w:pPr>
        <w:ind w:left="6288" w:hanging="360"/>
      </w:pPr>
    </w:lvl>
    <w:lvl w:ilvl="5" w:tplc="0409001B" w:tentative="1">
      <w:start w:val="1"/>
      <w:numFmt w:val="lowerRoman"/>
      <w:lvlText w:val="%6."/>
      <w:lvlJc w:val="right"/>
      <w:pPr>
        <w:ind w:left="7008" w:hanging="180"/>
      </w:pPr>
    </w:lvl>
    <w:lvl w:ilvl="6" w:tplc="0409000F" w:tentative="1">
      <w:start w:val="1"/>
      <w:numFmt w:val="decimal"/>
      <w:lvlText w:val="%7."/>
      <w:lvlJc w:val="left"/>
      <w:pPr>
        <w:ind w:left="7728" w:hanging="360"/>
      </w:pPr>
    </w:lvl>
    <w:lvl w:ilvl="7" w:tplc="04090019" w:tentative="1">
      <w:start w:val="1"/>
      <w:numFmt w:val="lowerLetter"/>
      <w:lvlText w:val="%8."/>
      <w:lvlJc w:val="left"/>
      <w:pPr>
        <w:ind w:left="8448" w:hanging="360"/>
      </w:pPr>
    </w:lvl>
    <w:lvl w:ilvl="8" w:tplc="0409001B" w:tentative="1">
      <w:start w:val="1"/>
      <w:numFmt w:val="lowerRoman"/>
      <w:lvlText w:val="%9."/>
      <w:lvlJc w:val="right"/>
      <w:pPr>
        <w:ind w:left="9168" w:hanging="180"/>
      </w:pPr>
    </w:lvl>
  </w:abstractNum>
  <w:abstractNum w:abstractNumId="6" w15:restartNumberingAfterBreak="0">
    <w:nsid w:val="37AA2BE8"/>
    <w:multiLevelType w:val="hybridMultilevel"/>
    <w:tmpl w:val="891EB548"/>
    <w:lvl w:ilvl="0" w:tplc="3E68AD90">
      <w:start w:val="1"/>
      <w:numFmt w:val="lowerLetter"/>
      <w:lvlText w:val="(%1)"/>
      <w:lvlJc w:val="left"/>
      <w:pPr>
        <w:ind w:left="3048" w:hanging="360"/>
      </w:pPr>
      <w:rPr>
        <w:rFonts w:ascii="Arial" w:hAnsi="Arial" w:cs="Arial" w:hint="default"/>
        <w:b/>
        <w:bCs/>
        <w:sz w:val="16"/>
        <w:szCs w:val="16"/>
      </w:rPr>
    </w:lvl>
    <w:lvl w:ilvl="1" w:tplc="04090019" w:tentative="1">
      <w:start w:val="1"/>
      <w:numFmt w:val="lowerLetter"/>
      <w:lvlText w:val="%2."/>
      <w:lvlJc w:val="left"/>
      <w:pPr>
        <w:ind w:left="3768" w:hanging="360"/>
      </w:pPr>
    </w:lvl>
    <w:lvl w:ilvl="2" w:tplc="0409001B" w:tentative="1">
      <w:start w:val="1"/>
      <w:numFmt w:val="lowerRoman"/>
      <w:lvlText w:val="%3."/>
      <w:lvlJc w:val="right"/>
      <w:pPr>
        <w:ind w:left="4488" w:hanging="180"/>
      </w:pPr>
    </w:lvl>
    <w:lvl w:ilvl="3" w:tplc="0409000F" w:tentative="1">
      <w:start w:val="1"/>
      <w:numFmt w:val="decimal"/>
      <w:lvlText w:val="%4."/>
      <w:lvlJc w:val="left"/>
      <w:pPr>
        <w:ind w:left="5208" w:hanging="360"/>
      </w:pPr>
    </w:lvl>
    <w:lvl w:ilvl="4" w:tplc="04090019" w:tentative="1">
      <w:start w:val="1"/>
      <w:numFmt w:val="lowerLetter"/>
      <w:lvlText w:val="%5."/>
      <w:lvlJc w:val="left"/>
      <w:pPr>
        <w:ind w:left="5928" w:hanging="360"/>
      </w:pPr>
    </w:lvl>
    <w:lvl w:ilvl="5" w:tplc="0409001B" w:tentative="1">
      <w:start w:val="1"/>
      <w:numFmt w:val="lowerRoman"/>
      <w:lvlText w:val="%6."/>
      <w:lvlJc w:val="right"/>
      <w:pPr>
        <w:ind w:left="6648" w:hanging="180"/>
      </w:pPr>
    </w:lvl>
    <w:lvl w:ilvl="6" w:tplc="0409000F" w:tentative="1">
      <w:start w:val="1"/>
      <w:numFmt w:val="decimal"/>
      <w:lvlText w:val="%7."/>
      <w:lvlJc w:val="left"/>
      <w:pPr>
        <w:ind w:left="7368" w:hanging="360"/>
      </w:pPr>
    </w:lvl>
    <w:lvl w:ilvl="7" w:tplc="04090019" w:tentative="1">
      <w:start w:val="1"/>
      <w:numFmt w:val="lowerLetter"/>
      <w:lvlText w:val="%8."/>
      <w:lvlJc w:val="left"/>
      <w:pPr>
        <w:ind w:left="8088" w:hanging="360"/>
      </w:pPr>
    </w:lvl>
    <w:lvl w:ilvl="8" w:tplc="0409001B" w:tentative="1">
      <w:start w:val="1"/>
      <w:numFmt w:val="lowerRoman"/>
      <w:lvlText w:val="%9."/>
      <w:lvlJc w:val="right"/>
      <w:pPr>
        <w:ind w:left="8808" w:hanging="180"/>
      </w:pPr>
    </w:lvl>
  </w:abstractNum>
  <w:abstractNum w:abstractNumId="7" w15:restartNumberingAfterBreak="0">
    <w:nsid w:val="48273AA3"/>
    <w:multiLevelType w:val="hybridMultilevel"/>
    <w:tmpl w:val="E0326576"/>
    <w:lvl w:ilvl="0" w:tplc="30745D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2733A1"/>
    <w:multiLevelType w:val="hybridMultilevel"/>
    <w:tmpl w:val="BBBCC8DA"/>
    <w:lvl w:ilvl="0" w:tplc="C1AC8B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D65267"/>
    <w:multiLevelType w:val="hybridMultilevel"/>
    <w:tmpl w:val="40021A20"/>
    <w:lvl w:ilvl="0" w:tplc="A2D8AA80">
      <w:start w:val="1"/>
      <w:numFmt w:val="decimal"/>
      <w:lvlText w:val="%1."/>
      <w:lvlJc w:val="left"/>
      <w:pPr>
        <w:ind w:left="630" w:hanging="360"/>
      </w:pPr>
      <w:rPr>
        <w:rFonts w:hint="default"/>
        <w:i/>
        <w:iCs/>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0" w15:restartNumberingAfterBreak="0">
    <w:nsid w:val="4D15563F"/>
    <w:multiLevelType w:val="hybridMultilevel"/>
    <w:tmpl w:val="198C58E6"/>
    <w:lvl w:ilvl="0" w:tplc="F65822D2">
      <w:start w:val="1"/>
      <w:numFmt w:val="lowerLetter"/>
      <w:lvlText w:val="(%1)"/>
      <w:lvlJc w:val="left"/>
      <w:pPr>
        <w:ind w:left="2664" w:hanging="360"/>
      </w:pPr>
      <w:rPr>
        <w:rFonts w:ascii="Arial" w:hAnsi="Arial" w:cs="Arial" w:hint="default"/>
        <w:sz w:val="16"/>
        <w:szCs w:val="16"/>
      </w:rPr>
    </w:lvl>
    <w:lvl w:ilvl="1" w:tplc="04090019" w:tentative="1">
      <w:start w:val="1"/>
      <w:numFmt w:val="lowerLetter"/>
      <w:lvlText w:val="%2."/>
      <w:lvlJc w:val="left"/>
      <w:pPr>
        <w:ind w:left="3384" w:hanging="360"/>
      </w:pPr>
    </w:lvl>
    <w:lvl w:ilvl="2" w:tplc="0409001B" w:tentative="1">
      <w:start w:val="1"/>
      <w:numFmt w:val="lowerRoman"/>
      <w:lvlText w:val="%3."/>
      <w:lvlJc w:val="right"/>
      <w:pPr>
        <w:ind w:left="4104" w:hanging="180"/>
      </w:pPr>
    </w:lvl>
    <w:lvl w:ilvl="3" w:tplc="0409000F" w:tentative="1">
      <w:start w:val="1"/>
      <w:numFmt w:val="decimal"/>
      <w:lvlText w:val="%4."/>
      <w:lvlJc w:val="left"/>
      <w:pPr>
        <w:ind w:left="4824" w:hanging="360"/>
      </w:pPr>
    </w:lvl>
    <w:lvl w:ilvl="4" w:tplc="04090019" w:tentative="1">
      <w:start w:val="1"/>
      <w:numFmt w:val="lowerLetter"/>
      <w:lvlText w:val="%5."/>
      <w:lvlJc w:val="left"/>
      <w:pPr>
        <w:ind w:left="5544" w:hanging="360"/>
      </w:pPr>
    </w:lvl>
    <w:lvl w:ilvl="5" w:tplc="0409001B" w:tentative="1">
      <w:start w:val="1"/>
      <w:numFmt w:val="lowerRoman"/>
      <w:lvlText w:val="%6."/>
      <w:lvlJc w:val="right"/>
      <w:pPr>
        <w:ind w:left="6264" w:hanging="180"/>
      </w:pPr>
    </w:lvl>
    <w:lvl w:ilvl="6" w:tplc="0409000F" w:tentative="1">
      <w:start w:val="1"/>
      <w:numFmt w:val="decimal"/>
      <w:lvlText w:val="%7."/>
      <w:lvlJc w:val="left"/>
      <w:pPr>
        <w:ind w:left="6984" w:hanging="360"/>
      </w:pPr>
    </w:lvl>
    <w:lvl w:ilvl="7" w:tplc="04090019" w:tentative="1">
      <w:start w:val="1"/>
      <w:numFmt w:val="lowerLetter"/>
      <w:lvlText w:val="%8."/>
      <w:lvlJc w:val="left"/>
      <w:pPr>
        <w:ind w:left="7704" w:hanging="360"/>
      </w:pPr>
    </w:lvl>
    <w:lvl w:ilvl="8" w:tplc="0409001B" w:tentative="1">
      <w:start w:val="1"/>
      <w:numFmt w:val="lowerRoman"/>
      <w:lvlText w:val="%9."/>
      <w:lvlJc w:val="right"/>
      <w:pPr>
        <w:ind w:left="8424" w:hanging="180"/>
      </w:pPr>
    </w:lvl>
  </w:abstractNum>
  <w:abstractNum w:abstractNumId="11" w15:restartNumberingAfterBreak="0">
    <w:nsid w:val="531807D3"/>
    <w:multiLevelType w:val="hybridMultilevel"/>
    <w:tmpl w:val="2488F056"/>
    <w:lvl w:ilvl="0" w:tplc="0C6E1AA8">
      <w:start w:val="1"/>
      <w:numFmt w:val="lowerLetter"/>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2" w15:restartNumberingAfterBreak="0">
    <w:nsid w:val="5CAD27CB"/>
    <w:multiLevelType w:val="hybridMultilevel"/>
    <w:tmpl w:val="34528ABC"/>
    <w:lvl w:ilvl="0" w:tplc="45FC3142">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3" w15:restartNumberingAfterBreak="0">
    <w:nsid w:val="5FED4D9B"/>
    <w:multiLevelType w:val="hybridMultilevel"/>
    <w:tmpl w:val="D772B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084C47"/>
    <w:multiLevelType w:val="hybridMultilevel"/>
    <w:tmpl w:val="349E1F3C"/>
    <w:lvl w:ilvl="0" w:tplc="9E188F3E">
      <w:start w:val="1"/>
      <w:numFmt w:val="lowerLetter"/>
      <w:lvlText w:val="(%1)"/>
      <w:lvlJc w:val="left"/>
      <w:pPr>
        <w:ind w:left="720" w:hanging="360"/>
      </w:pPr>
      <w:rPr>
        <w:rFonts w:ascii="Arial" w:hAnsi="Arial" w:cs="Arial" w:hint="default"/>
        <w:b/>
        <w:bCs/>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8E455A"/>
    <w:multiLevelType w:val="hybridMultilevel"/>
    <w:tmpl w:val="507AAC9A"/>
    <w:lvl w:ilvl="0" w:tplc="A0AA0724">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6" w15:restartNumberingAfterBreak="0">
    <w:nsid w:val="66F05875"/>
    <w:multiLevelType w:val="hybridMultilevel"/>
    <w:tmpl w:val="8A069AD4"/>
    <w:lvl w:ilvl="0" w:tplc="01461EF2">
      <w:start w:val="1"/>
      <w:numFmt w:val="lowerLetter"/>
      <w:lvlText w:val="(%1)"/>
      <w:lvlJc w:val="left"/>
      <w:pPr>
        <w:ind w:left="2364" w:hanging="360"/>
      </w:pPr>
      <w:rPr>
        <w:rFonts w:hint="default"/>
      </w:rPr>
    </w:lvl>
    <w:lvl w:ilvl="1" w:tplc="04090019" w:tentative="1">
      <w:start w:val="1"/>
      <w:numFmt w:val="lowerLetter"/>
      <w:lvlText w:val="%2."/>
      <w:lvlJc w:val="left"/>
      <w:pPr>
        <w:ind w:left="3084" w:hanging="360"/>
      </w:pPr>
    </w:lvl>
    <w:lvl w:ilvl="2" w:tplc="0409001B" w:tentative="1">
      <w:start w:val="1"/>
      <w:numFmt w:val="lowerRoman"/>
      <w:lvlText w:val="%3."/>
      <w:lvlJc w:val="right"/>
      <w:pPr>
        <w:ind w:left="3804" w:hanging="180"/>
      </w:pPr>
    </w:lvl>
    <w:lvl w:ilvl="3" w:tplc="0409000F" w:tentative="1">
      <w:start w:val="1"/>
      <w:numFmt w:val="decimal"/>
      <w:lvlText w:val="%4."/>
      <w:lvlJc w:val="left"/>
      <w:pPr>
        <w:ind w:left="4524" w:hanging="360"/>
      </w:pPr>
    </w:lvl>
    <w:lvl w:ilvl="4" w:tplc="04090019" w:tentative="1">
      <w:start w:val="1"/>
      <w:numFmt w:val="lowerLetter"/>
      <w:lvlText w:val="%5."/>
      <w:lvlJc w:val="left"/>
      <w:pPr>
        <w:ind w:left="5244" w:hanging="360"/>
      </w:pPr>
    </w:lvl>
    <w:lvl w:ilvl="5" w:tplc="0409001B" w:tentative="1">
      <w:start w:val="1"/>
      <w:numFmt w:val="lowerRoman"/>
      <w:lvlText w:val="%6."/>
      <w:lvlJc w:val="right"/>
      <w:pPr>
        <w:ind w:left="5964" w:hanging="180"/>
      </w:pPr>
    </w:lvl>
    <w:lvl w:ilvl="6" w:tplc="0409000F" w:tentative="1">
      <w:start w:val="1"/>
      <w:numFmt w:val="decimal"/>
      <w:lvlText w:val="%7."/>
      <w:lvlJc w:val="left"/>
      <w:pPr>
        <w:ind w:left="6684" w:hanging="360"/>
      </w:pPr>
    </w:lvl>
    <w:lvl w:ilvl="7" w:tplc="04090019" w:tentative="1">
      <w:start w:val="1"/>
      <w:numFmt w:val="lowerLetter"/>
      <w:lvlText w:val="%8."/>
      <w:lvlJc w:val="left"/>
      <w:pPr>
        <w:ind w:left="7404" w:hanging="360"/>
      </w:pPr>
    </w:lvl>
    <w:lvl w:ilvl="8" w:tplc="0409001B" w:tentative="1">
      <w:start w:val="1"/>
      <w:numFmt w:val="lowerRoman"/>
      <w:lvlText w:val="%9."/>
      <w:lvlJc w:val="right"/>
      <w:pPr>
        <w:ind w:left="8124" w:hanging="180"/>
      </w:pPr>
    </w:lvl>
  </w:abstractNum>
  <w:abstractNum w:abstractNumId="17" w15:restartNumberingAfterBreak="0">
    <w:nsid w:val="67027EB6"/>
    <w:multiLevelType w:val="hybridMultilevel"/>
    <w:tmpl w:val="787A4E68"/>
    <w:lvl w:ilvl="0" w:tplc="41A4C020">
      <w:start w:val="1"/>
      <w:numFmt w:val="lowerLetter"/>
      <w:lvlText w:val="(%1)"/>
      <w:lvlJc w:val="left"/>
      <w:pPr>
        <w:ind w:left="3510" w:hanging="360"/>
      </w:pPr>
      <w:rPr>
        <w:rFonts w:hint="default"/>
        <w:b/>
        <w:bCs w:val="0"/>
      </w:r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abstractNum w:abstractNumId="18" w15:restartNumberingAfterBreak="0">
    <w:nsid w:val="6CF83FA1"/>
    <w:multiLevelType w:val="hybridMultilevel"/>
    <w:tmpl w:val="349E1F3C"/>
    <w:lvl w:ilvl="0" w:tplc="9E188F3E">
      <w:start w:val="1"/>
      <w:numFmt w:val="lowerLetter"/>
      <w:lvlText w:val="(%1)"/>
      <w:lvlJc w:val="left"/>
      <w:pPr>
        <w:ind w:left="720" w:hanging="360"/>
      </w:pPr>
      <w:rPr>
        <w:rFonts w:ascii="Arial" w:hAnsi="Arial" w:cs="Arial" w:hint="default"/>
        <w:b/>
        <w:bCs/>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11391F"/>
    <w:multiLevelType w:val="hybridMultilevel"/>
    <w:tmpl w:val="0FAED554"/>
    <w:lvl w:ilvl="0" w:tplc="04385BFA">
      <w:start w:val="1"/>
      <w:numFmt w:val="lowerLetter"/>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0" w15:restartNumberingAfterBreak="0">
    <w:nsid w:val="77152E8C"/>
    <w:multiLevelType w:val="hybridMultilevel"/>
    <w:tmpl w:val="092AD57E"/>
    <w:lvl w:ilvl="0" w:tplc="99AE1710">
      <w:start w:val="1"/>
      <w:numFmt w:val="lowerLetter"/>
      <w:lvlText w:val="(%1)"/>
      <w:lvlJc w:val="left"/>
      <w:pPr>
        <w:ind w:left="6552" w:hanging="3528"/>
      </w:pPr>
      <w:rPr>
        <w:rFonts w:hint="default"/>
      </w:rPr>
    </w:lvl>
    <w:lvl w:ilvl="1" w:tplc="04090019" w:tentative="1">
      <w:start w:val="1"/>
      <w:numFmt w:val="lowerLetter"/>
      <w:lvlText w:val="%2."/>
      <w:lvlJc w:val="left"/>
      <w:pPr>
        <w:ind w:left="4104" w:hanging="360"/>
      </w:pPr>
    </w:lvl>
    <w:lvl w:ilvl="2" w:tplc="0409001B" w:tentative="1">
      <w:start w:val="1"/>
      <w:numFmt w:val="lowerRoman"/>
      <w:lvlText w:val="%3."/>
      <w:lvlJc w:val="right"/>
      <w:pPr>
        <w:ind w:left="4824" w:hanging="180"/>
      </w:pPr>
    </w:lvl>
    <w:lvl w:ilvl="3" w:tplc="0409000F" w:tentative="1">
      <w:start w:val="1"/>
      <w:numFmt w:val="decimal"/>
      <w:lvlText w:val="%4."/>
      <w:lvlJc w:val="left"/>
      <w:pPr>
        <w:ind w:left="5544" w:hanging="360"/>
      </w:pPr>
    </w:lvl>
    <w:lvl w:ilvl="4" w:tplc="04090019" w:tentative="1">
      <w:start w:val="1"/>
      <w:numFmt w:val="lowerLetter"/>
      <w:lvlText w:val="%5."/>
      <w:lvlJc w:val="left"/>
      <w:pPr>
        <w:ind w:left="6264" w:hanging="360"/>
      </w:pPr>
    </w:lvl>
    <w:lvl w:ilvl="5" w:tplc="0409001B" w:tentative="1">
      <w:start w:val="1"/>
      <w:numFmt w:val="lowerRoman"/>
      <w:lvlText w:val="%6."/>
      <w:lvlJc w:val="right"/>
      <w:pPr>
        <w:ind w:left="6984" w:hanging="180"/>
      </w:pPr>
    </w:lvl>
    <w:lvl w:ilvl="6" w:tplc="0409000F" w:tentative="1">
      <w:start w:val="1"/>
      <w:numFmt w:val="decimal"/>
      <w:lvlText w:val="%7."/>
      <w:lvlJc w:val="left"/>
      <w:pPr>
        <w:ind w:left="7704" w:hanging="360"/>
      </w:pPr>
    </w:lvl>
    <w:lvl w:ilvl="7" w:tplc="04090019" w:tentative="1">
      <w:start w:val="1"/>
      <w:numFmt w:val="lowerLetter"/>
      <w:lvlText w:val="%8."/>
      <w:lvlJc w:val="left"/>
      <w:pPr>
        <w:ind w:left="8424" w:hanging="360"/>
      </w:pPr>
    </w:lvl>
    <w:lvl w:ilvl="8" w:tplc="0409001B" w:tentative="1">
      <w:start w:val="1"/>
      <w:numFmt w:val="lowerRoman"/>
      <w:lvlText w:val="%9."/>
      <w:lvlJc w:val="right"/>
      <w:pPr>
        <w:ind w:left="9144" w:hanging="180"/>
      </w:pPr>
    </w:lvl>
  </w:abstractNum>
  <w:abstractNum w:abstractNumId="21" w15:restartNumberingAfterBreak="0">
    <w:nsid w:val="7DF56117"/>
    <w:multiLevelType w:val="hybridMultilevel"/>
    <w:tmpl w:val="31001D58"/>
    <w:lvl w:ilvl="0" w:tplc="D70EF63E">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9"/>
  </w:num>
  <w:num w:numId="2">
    <w:abstractNumId w:val="4"/>
  </w:num>
  <w:num w:numId="3">
    <w:abstractNumId w:val="19"/>
  </w:num>
  <w:num w:numId="4">
    <w:abstractNumId w:val="0"/>
  </w:num>
  <w:num w:numId="5">
    <w:abstractNumId w:val="11"/>
  </w:num>
  <w:num w:numId="6">
    <w:abstractNumId w:val="21"/>
  </w:num>
  <w:num w:numId="7">
    <w:abstractNumId w:val="15"/>
  </w:num>
  <w:num w:numId="8">
    <w:abstractNumId w:val="6"/>
  </w:num>
  <w:num w:numId="9">
    <w:abstractNumId w:val="5"/>
  </w:num>
  <w:num w:numId="10">
    <w:abstractNumId w:val="17"/>
  </w:num>
  <w:num w:numId="11">
    <w:abstractNumId w:val="1"/>
  </w:num>
  <w:num w:numId="12">
    <w:abstractNumId w:val="13"/>
  </w:num>
  <w:num w:numId="13">
    <w:abstractNumId w:val="8"/>
  </w:num>
  <w:num w:numId="14">
    <w:abstractNumId w:val="12"/>
  </w:num>
  <w:num w:numId="15">
    <w:abstractNumId w:val="2"/>
  </w:num>
  <w:num w:numId="16">
    <w:abstractNumId w:val="7"/>
  </w:num>
  <w:num w:numId="17">
    <w:abstractNumId w:val="20"/>
  </w:num>
  <w:num w:numId="18">
    <w:abstractNumId w:val="18"/>
  </w:num>
  <w:num w:numId="19">
    <w:abstractNumId w:val="3"/>
  </w:num>
  <w:num w:numId="20">
    <w:abstractNumId w:val="16"/>
  </w:num>
  <w:num w:numId="21">
    <w:abstractNumId w:val="14"/>
  </w:num>
  <w:num w:numId="2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D5F"/>
    <w:rsid w:val="000002C1"/>
    <w:rsid w:val="0000043C"/>
    <w:rsid w:val="0000117D"/>
    <w:rsid w:val="00001515"/>
    <w:rsid w:val="0000173E"/>
    <w:rsid w:val="00001F5E"/>
    <w:rsid w:val="00002053"/>
    <w:rsid w:val="0000221B"/>
    <w:rsid w:val="0000238F"/>
    <w:rsid w:val="00002E4B"/>
    <w:rsid w:val="00002FE0"/>
    <w:rsid w:val="000032BC"/>
    <w:rsid w:val="00003BE4"/>
    <w:rsid w:val="000048A7"/>
    <w:rsid w:val="00004A89"/>
    <w:rsid w:val="00004BDB"/>
    <w:rsid w:val="00004C6F"/>
    <w:rsid w:val="00005697"/>
    <w:rsid w:val="00005740"/>
    <w:rsid w:val="00005833"/>
    <w:rsid w:val="0000589F"/>
    <w:rsid w:val="00005EB1"/>
    <w:rsid w:val="00005F31"/>
    <w:rsid w:val="000060A1"/>
    <w:rsid w:val="00006167"/>
    <w:rsid w:val="0000643C"/>
    <w:rsid w:val="00006FC2"/>
    <w:rsid w:val="00007074"/>
    <w:rsid w:val="00007D06"/>
    <w:rsid w:val="00010327"/>
    <w:rsid w:val="000106AA"/>
    <w:rsid w:val="00010E36"/>
    <w:rsid w:val="00011FA8"/>
    <w:rsid w:val="00013036"/>
    <w:rsid w:val="0001360D"/>
    <w:rsid w:val="000138A6"/>
    <w:rsid w:val="00013BB8"/>
    <w:rsid w:val="0001463A"/>
    <w:rsid w:val="00014680"/>
    <w:rsid w:val="00014EF1"/>
    <w:rsid w:val="00015D58"/>
    <w:rsid w:val="00016604"/>
    <w:rsid w:val="00016835"/>
    <w:rsid w:val="00016B63"/>
    <w:rsid w:val="0001704B"/>
    <w:rsid w:val="00017734"/>
    <w:rsid w:val="00017899"/>
    <w:rsid w:val="000178A3"/>
    <w:rsid w:val="00017917"/>
    <w:rsid w:val="0002021C"/>
    <w:rsid w:val="00020849"/>
    <w:rsid w:val="00020B5B"/>
    <w:rsid w:val="00020BAE"/>
    <w:rsid w:val="00020BD0"/>
    <w:rsid w:val="00020FBE"/>
    <w:rsid w:val="00020FFC"/>
    <w:rsid w:val="0002162B"/>
    <w:rsid w:val="00021951"/>
    <w:rsid w:val="00021CBD"/>
    <w:rsid w:val="00021CC1"/>
    <w:rsid w:val="0002242A"/>
    <w:rsid w:val="000226A3"/>
    <w:rsid w:val="00022723"/>
    <w:rsid w:val="00022C28"/>
    <w:rsid w:val="0002480F"/>
    <w:rsid w:val="00024A49"/>
    <w:rsid w:val="00025736"/>
    <w:rsid w:val="000257B9"/>
    <w:rsid w:val="00025901"/>
    <w:rsid w:val="000259F3"/>
    <w:rsid w:val="00025C3F"/>
    <w:rsid w:val="00025CE1"/>
    <w:rsid w:val="00025EED"/>
    <w:rsid w:val="00025F04"/>
    <w:rsid w:val="0002615F"/>
    <w:rsid w:val="000269CF"/>
    <w:rsid w:val="00026BA9"/>
    <w:rsid w:val="0002782C"/>
    <w:rsid w:val="00027BCA"/>
    <w:rsid w:val="00027CE7"/>
    <w:rsid w:val="0003011D"/>
    <w:rsid w:val="00030358"/>
    <w:rsid w:val="0003068B"/>
    <w:rsid w:val="00031546"/>
    <w:rsid w:val="0003173B"/>
    <w:rsid w:val="00031B54"/>
    <w:rsid w:val="00032022"/>
    <w:rsid w:val="000321DF"/>
    <w:rsid w:val="00032974"/>
    <w:rsid w:val="00033550"/>
    <w:rsid w:val="0003441D"/>
    <w:rsid w:val="00035696"/>
    <w:rsid w:val="00035DBE"/>
    <w:rsid w:val="00036805"/>
    <w:rsid w:val="00036949"/>
    <w:rsid w:val="00036AF8"/>
    <w:rsid w:val="00036CBD"/>
    <w:rsid w:val="00036D31"/>
    <w:rsid w:val="00037181"/>
    <w:rsid w:val="00037858"/>
    <w:rsid w:val="00037BE4"/>
    <w:rsid w:val="00040120"/>
    <w:rsid w:val="0004131D"/>
    <w:rsid w:val="000416DE"/>
    <w:rsid w:val="00041E1E"/>
    <w:rsid w:val="00042041"/>
    <w:rsid w:val="0004206F"/>
    <w:rsid w:val="000425EF"/>
    <w:rsid w:val="0004270E"/>
    <w:rsid w:val="00042D20"/>
    <w:rsid w:val="000432A8"/>
    <w:rsid w:val="00043C3C"/>
    <w:rsid w:val="00043E00"/>
    <w:rsid w:val="000442D5"/>
    <w:rsid w:val="0004464F"/>
    <w:rsid w:val="0004488C"/>
    <w:rsid w:val="00044A29"/>
    <w:rsid w:val="00045631"/>
    <w:rsid w:val="00045782"/>
    <w:rsid w:val="00045833"/>
    <w:rsid w:val="00045B5C"/>
    <w:rsid w:val="00045B94"/>
    <w:rsid w:val="00046346"/>
    <w:rsid w:val="00046476"/>
    <w:rsid w:val="0004654D"/>
    <w:rsid w:val="0004696C"/>
    <w:rsid w:val="0004797F"/>
    <w:rsid w:val="000504BF"/>
    <w:rsid w:val="00050FBE"/>
    <w:rsid w:val="00051412"/>
    <w:rsid w:val="00052225"/>
    <w:rsid w:val="0005265D"/>
    <w:rsid w:val="0005266A"/>
    <w:rsid w:val="0005269B"/>
    <w:rsid w:val="00052711"/>
    <w:rsid w:val="000531BB"/>
    <w:rsid w:val="00053484"/>
    <w:rsid w:val="00053936"/>
    <w:rsid w:val="00053D6C"/>
    <w:rsid w:val="0005430C"/>
    <w:rsid w:val="000544C5"/>
    <w:rsid w:val="00054B24"/>
    <w:rsid w:val="00054B34"/>
    <w:rsid w:val="00054D92"/>
    <w:rsid w:val="00054FD2"/>
    <w:rsid w:val="0005517D"/>
    <w:rsid w:val="000553AD"/>
    <w:rsid w:val="0005570D"/>
    <w:rsid w:val="00055ED1"/>
    <w:rsid w:val="00055EDE"/>
    <w:rsid w:val="00056895"/>
    <w:rsid w:val="00056CAE"/>
    <w:rsid w:val="00056E46"/>
    <w:rsid w:val="000571AD"/>
    <w:rsid w:val="00057A3F"/>
    <w:rsid w:val="00057F0E"/>
    <w:rsid w:val="00060F20"/>
    <w:rsid w:val="000612C7"/>
    <w:rsid w:val="00061BD6"/>
    <w:rsid w:val="00061F9F"/>
    <w:rsid w:val="00062749"/>
    <w:rsid w:val="00062A9C"/>
    <w:rsid w:val="0006300C"/>
    <w:rsid w:val="000634D4"/>
    <w:rsid w:val="0006382A"/>
    <w:rsid w:val="000638F3"/>
    <w:rsid w:val="0006403C"/>
    <w:rsid w:val="000640A8"/>
    <w:rsid w:val="00064126"/>
    <w:rsid w:val="0006417C"/>
    <w:rsid w:val="000645C0"/>
    <w:rsid w:val="000647B2"/>
    <w:rsid w:val="00064BE0"/>
    <w:rsid w:val="000650AF"/>
    <w:rsid w:val="00065243"/>
    <w:rsid w:val="000652F7"/>
    <w:rsid w:val="000658DC"/>
    <w:rsid w:val="00065B64"/>
    <w:rsid w:val="00065E15"/>
    <w:rsid w:val="000666DC"/>
    <w:rsid w:val="0006735F"/>
    <w:rsid w:val="00067777"/>
    <w:rsid w:val="00067D0C"/>
    <w:rsid w:val="0007012E"/>
    <w:rsid w:val="00070861"/>
    <w:rsid w:val="00070D7B"/>
    <w:rsid w:val="0007155F"/>
    <w:rsid w:val="0007168B"/>
    <w:rsid w:val="00071D1A"/>
    <w:rsid w:val="00071E6B"/>
    <w:rsid w:val="00071F25"/>
    <w:rsid w:val="00071FAC"/>
    <w:rsid w:val="000729DA"/>
    <w:rsid w:val="00072C35"/>
    <w:rsid w:val="00072DD8"/>
    <w:rsid w:val="000731DC"/>
    <w:rsid w:val="0007377D"/>
    <w:rsid w:val="000743C2"/>
    <w:rsid w:val="0007453B"/>
    <w:rsid w:val="00074995"/>
    <w:rsid w:val="0007579F"/>
    <w:rsid w:val="00075D4E"/>
    <w:rsid w:val="00076775"/>
    <w:rsid w:val="00076E60"/>
    <w:rsid w:val="00076E7F"/>
    <w:rsid w:val="0007754A"/>
    <w:rsid w:val="000777B2"/>
    <w:rsid w:val="00077915"/>
    <w:rsid w:val="000801DF"/>
    <w:rsid w:val="000803FE"/>
    <w:rsid w:val="00080779"/>
    <w:rsid w:val="00080C97"/>
    <w:rsid w:val="00081497"/>
    <w:rsid w:val="000826CA"/>
    <w:rsid w:val="00082A56"/>
    <w:rsid w:val="00083103"/>
    <w:rsid w:val="00083287"/>
    <w:rsid w:val="00083B25"/>
    <w:rsid w:val="0008409B"/>
    <w:rsid w:val="00085306"/>
    <w:rsid w:val="00085AFF"/>
    <w:rsid w:val="00085BBD"/>
    <w:rsid w:val="000862BA"/>
    <w:rsid w:val="000865F0"/>
    <w:rsid w:val="000866F7"/>
    <w:rsid w:val="00086E5C"/>
    <w:rsid w:val="00087BB3"/>
    <w:rsid w:val="00087EBB"/>
    <w:rsid w:val="000903DD"/>
    <w:rsid w:val="00090545"/>
    <w:rsid w:val="00090728"/>
    <w:rsid w:val="00090A09"/>
    <w:rsid w:val="0009117B"/>
    <w:rsid w:val="0009151D"/>
    <w:rsid w:val="00091676"/>
    <w:rsid w:val="000917CF"/>
    <w:rsid w:val="00091E63"/>
    <w:rsid w:val="00091F8C"/>
    <w:rsid w:val="00092222"/>
    <w:rsid w:val="000928AC"/>
    <w:rsid w:val="00093BEB"/>
    <w:rsid w:val="00093F55"/>
    <w:rsid w:val="000943B3"/>
    <w:rsid w:val="00094EE3"/>
    <w:rsid w:val="00095791"/>
    <w:rsid w:val="00095AE1"/>
    <w:rsid w:val="0009677F"/>
    <w:rsid w:val="000969AB"/>
    <w:rsid w:val="000971DF"/>
    <w:rsid w:val="0009760B"/>
    <w:rsid w:val="000977EF"/>
    <w:rsid w:val="000A0AD1"/>
    <w:rsid w:val="000A11F1"/>
    <w:rsid w:val="000A1575"/>
    <w:rsid w:val="000A20F9"/>
    <w:rsid w:val="000A21F8"/>
    <w:rsid w:val="000A2339"/>
    <w:rsid w:val="000A2B66"/>
    <w:rsid w:val="000A3033"/>
    <w:rsid w:val="000A336B"/>
    <w:rsid w:val="000A3B44"/>
    <w:rsid w:val="000A4D9D"/>
    <w:rsid w:val="000A5794"/>
    <w:rsid w:val="000A57BB"/>
    <w:rsid w:val="000A60CC"/>
    <w:rsid w:val="000A68EC"/>
    <w:rsid w:val="000A6B69"/>
    <w:rsid w:val="000A6D50"/>
    <w:rsid w:val="000A6E4D"/>
    <w:rsid w:val="000A7CBE"/>
    <w:rsid w:val="000B07FF"/>
    <w:rsid w:val="000B0AAE"/>
    <w:rsid w:val="000B0AFA"/>
    <w:rsid w:val="000B0B83"/>
    <w:rsid w:val="000B11E0"/>
    <w:rsid w:val="000B12BB"/>
    <w:rsid w:val="000B13E4"/>
    <w:rsid w:val="000B1980"/>
    <w:rsid w:val="000B2293"/>
    <w:rsid w:val="000B2492"/>
    <w:rsid w:val="000B2B4C"/>
    <w:rsid w:val="000B2FD9"/>
    <w:rsid w:val="000B35FE"/>
    <w:rsid w:val="000B388D"/>
    <w:rsid w:val="000B3899"/>
    <w:rsid w:val="000B3926"/>
    <w:rsid w:val="000B398F"/>
    <w:rsid w:val="000B4A59"/>
    <w:rsid w:val="000B5175"/>
    <w:rsid w:val="000B5DBD"/>
    <w:rsid w:val="000B6CF0"/>
    <w:rsid w:val="000B6F79"/>
    <w:rsid w:val="000B7638"/>
    <w:rsid w:val="000B7AB6"/>
    <w:rsid w:val="000B7DF4"/>
    <w:rsid w:val="000C00AD"/>
    <w:rsid w:val="000C0199"/>
    <w:rsid w:val="000C0CB7"/>
    <w:rsid w:val="000C0FC4"/>
    <w:rsid w:val="000C1214"/>
    <w:rsid w:val="000C1A17"/>
    <w:rsid w:val="000C2A8C"/>
    <w:rsid w:val="000C2F54"/>
    <w:rsid w:val="000C372B"/>
    <w:rsid w:val="000C4059"/>
    <w:rsid w:val="000C43A0"/>
    <w:rsid w:val="000C4558"/>
    <w:rsid w:val="000C5570"/>
    <w:rsid w:val="000C585B"/>
    <w:rsid w:val="000C58BD"/>
    <w:rsid w:val="000C5A1E"/>
    <w:rsid w:val="000C6632"/>
    <w:rsid w:val="000C6659"/>
    <w:rsid w:val="000C73F5"/>
    <w:rsid w:val="000C778F"/>
    <w:rsid w:val="000D0DFA"/>
    <w:rsid w:val="000D114F"/>
    <w:rsid w:val="000D15E1"/>
    <w:rsid w:val="000D1639"/>
    <w:rsid w:val="000D1B06"/>
    <w:rsid w:val="000D1E97"/>
    <w:rsid w:val="000D221D"/>
    <w:rsid w:val="000D2539"/>
    <w:rsid w:val="000D26F4"/>
    <w:rsid w:val="000D35A1"/>
    <w:rsid w:val="000D3753"/>
    <w:rsid w:val="000D3AF1"/>
    <w:rsid w:val="000D3FE2"/>
    <w:rsid w:val="000D41B8"/>
    <w:rsid w:val="000D52C5"/>
    <w:rsid w:val="000D5526"/>
    <w:rsid w:val="000D5634"/>
    <w:rsid w:val="000D56DF"/>
    <w:rsid w:val="000D5D50"/>
    <w:rsid w:val="000D6896"/>
    <w:rsid w:val="000D6A99"/>
    <w:rsid w:val="000D7412"/>
    <w:rsid w:val="000D762F"/>
    <w:rsid w:val="000D7846"/>
    <w:rsid w:val="000D7E2E"/>
    <w:rsid w:val="000E02DF"/>
    <w:rsid w:val="000E0BE9"/>
    <w:rsid w:val="000E1115"/>
    <w:rsid w:val="000E2274"/>
    <w:rsid w:val="000E2534"/>
    <w:rsid w:val="000E2554"/>
    <w:rsid w:val="000E26BE"/>
    <w:rsid w:val="000E2B2A"/>
    <w:rsid w:val="000E321E"/>
    <w:rsid w:val="000E3847"/>
    <w:rsid w:val="000E3967"/>
    <w:rsid w:val="000E39BE"/>
    <w:rsid w:val="000E3A52"/>
    <w:rsid w:val="000E3B1C"/>
    <w:rsid w:val="000E3DF5"/>
    <w:rsid w:val="000E3FBE"/>
    <w:rsid w:val="000E439E"/>
    <w:rsid w:val="000E4565"/>
    <w:rsid w:val="000E4841"/>
    <w:rsid w:val="000E4B56"/>
    <w:rsid w:val="000E4B70"/>
    <w:rsid w:val="000E4ED8"/>
    <w:rsid w:val="000E536D"/>
    <w:rsid w:val="000E6CA9"/>
    <w:rsid w:val="000E7556"/>
    <w:rsid w:val="000F0394"/>
    <w:rsid w:val="000F0710"/>
    <w:rsid w:val="000F11BF"/>
    <w:rsid w:val="000F1202"/>
    <w:rsid w:val="000F16AC"/>
    <w:rsid w:val="000F1848"/>
    <w:rsid w:val="000F216D"/>
    <w:rsid w:val="000F22F4"/>
    <w:rsid w:val="000F2E8F"/>
    <w:rsid w:val="000F2F47"/>
    <w:rsid w:val="000F2F8B"/>
    <w:rsid w:val="000F307E"/>
    <w:rsid w:val="000F3214"/>
    <w:rsid w:val="000F3871"/>
    <w:rsid w:val="000F3ECF"/>
    <w:rsid w:val="000F42C9"/>
    <w:rsid w:val="000F4301"/>
    <w:rsid w:val="000F47BC"/>
    <w:rsid w:val="000F4B4D"/>
    <w:rsid w:val="000F5131"/>
    <w:rsid w:val="000F58D4"/>
    <w:rsid w:val="000F5C40"/>
    <w:rsid w:val="000F6675"/>
    <w:rsid w:val="000F6B6C"/>
    <w:rsid w:val="000F71A5"/>
    <w:rsid w:val="000F720D"/>
    <w:rsid w:val="000F7404"/>
    <w:rsid w:val="000F7528"/>
    <w:rsid w:val="000F75BA"/>
    <w:rsid w:val="000F7B86"/>
    <w:rsid w:val="001002E7"/>
    <w:rsid w:val="00100ACB"/>
    <w:rsid w:val="00100EBC"/>
    <w:rsid w:val="00101691"/>
    <w:rsid w:val="00101C38"/>
    <w:rsid w:val="00102987"/>
    <w:rsid w:val="00102D95"/>
    <w:rsid w:val="00102F95"/>
    <w:rsid w:val="00103117"/>
    <w:rsid w:val="00103221"/>
    <w:rsid w:val="00103311"/>
    <w:rsid w:val="0010428E"/>
    <w:rsid w:val="001047A7"/>
    <w:rsid w:val="0010522D"/>
    <w:rsid w:val="00107BE0"/>
    <w:rsid w:val="001102CF"/>
    <w:rsid w:val="001102EC"/>
    <w:rsid w:val="00110762"/>
    <w:rsid w:val="00110DC0"/>
    <w:rsid w:val="001111BB"/>
    <w:rsid w:val="001115C7"/>
    <w:rsid w:val="00111DCD"/>
    <w:rsid w:val="00112059"/>
    <w:rsid w:val="00112489"/>
    <w:rsid w:val="0011287B"/>
    <w:rsid w:val="00112B25"/>
    <w:rsid w:val="0011350B"/>
    <w:rsid w:val="001135D6"/>
    <w:rsid w:val="001138B8"/>
    <w:rsid w:val="00113E3D"/>
    <w:rsid w:val="001140C0"/>
    <w:rsid w:val="001142EC"/>
    <w:rsid w:val="001154B1"/>
    <w:rsid w:val="00115551"/>
    <w:rsid w:val="00115EF5"/>
    <w:rsid w:val="00116021"/>
    <w:rsid w:val="00116134"/>
    <w:rsid w:val="0011660A"/>
    <w:rsid w:val="0011665B"/>
    <w:rsid w:val="00117B75"/>
    <w:rsid w:val="00117CF7"/>
    <w:rsid w:val="00120079"/>
    <w:rsid w:val="001202D8"/>
    <w:rsid w:val="001204A2"/>
    <w:rsid w:val="0012065B"/>
    <w:rsid w:val="0012140B"/>
    <w:rsid w:val="001227C6"/>
    <w:rsid w:val="00122B8F"/>
    <w:rsid w:val="00122CA2"/>
    <w:rsid w:val="00123478"/>
    <w:rsid w:val="001234ED"/>
    <w:rsid w:val="00124111"/>
    <w:rsid w:val="001243BF"/>
    <w:rsid w:val="00124461"/>
    <w:rsid w:val="00124A5A"/>
    <w:rsid w:val="001257BA"/>
    <w:rsid w:val="00125DCC"/>
    <w:rsid w:val="00125E28"/>
    <w:rsid w:val="0012638C"/>
    <w:rsid w:val="00126E6B"/>
    <w:rsid w:val="0012789A"/>
    <w:rsid w:val="00127FDC"/>
    <w:rsid w:val="001308C2"/>
    <w:rsid w:val="00130964"/>
    <w:rsid w:val="0013154A"/>
    <w:rsid w:val="00131C07"/>
    <w:rsid w:val="00131FC8"/>
    <w:rsid w:val="001325F2"/>
    <w:rsid w:val="00133124"/>
    <w:rsid w:val="0013357E"/>
    <w:rsid w:val="001343F8"/>
    <w:rsid w:val="00134ADA"/>
    <w:rsid w:val="00135C3F"/>
    <w:rsid w:val="001363AB"/>
    <w:rsid w:val="001376AC"/>
    <w:rsid w:val="001376D2"/>
    <w:rsid w:val="00137757"/>
    <w:rsid w:val="001402C7"/>
    <w:rsid w:val="0014063A"/>
    <w:rsid w:val="00140966"/>
    <w:rsid w:val="00140E1B"/>
    <w:rsid w:val="001410E5"/>
    <w:rsid w:val="00141403"/>
    <w:rsid w:val="0014158E"/>
    <w:rsid w:val="0014162E"/>
    <w:rsid w:val="00141682"/>
    <w:rsid w:val="00142524"/>
    <w:rsid w:val="00142C43"/>
    <w:rsid w:val="00142F25"/>
    <w:rsid w:val="0014389F"/>
    <w:rsid w:val="0014393B"/>
    <w:rsid w:val="001439CB"/>
    <w:rsid w:val="00143DD9"/>
    <w:rsid w:val="00144221"/>
    <w:rsid w:val="0014479F"/>
    <w:rsid w:val="00144A1F"/>
    <w:rsid w:val="0014518F"/>
    <w:rsid w:val="00145ADE"/>
    <w:rsid w:val="00146195"/>
    <w:rsid w:val="001466B2"/>
    <w:rsid w:val="00146BD7"/>
    <w:rsid w:val="00146F86"/>
    <w:rsid w:val="00147B2E"/>
    <w:rsid w:val="00147BAD"/>
    <w:rsid w:val="00147CC9"/>
    <w:rsid w:val="00150596"/>
    <w:rsid w:val="00150A0E"/>
    <w:rsid w:val="0015167E"/>
    <w:rsid w:val="00151874"/>
    <w:rsid w:val="00151CDC"/>
    <w:rsid w:val="001522CD"/>
    <w:rsid w:val="00152385"/>
    <w:rsid w:val="0015257E"/>
    <w:rsid w:val="001528F9"/>
    <w:rsid w:val="00152CE0"/>
    <w:rsid w:val="001533E3"/>
    <w:rsid w:val="00153617"/>
    <w:rsid w:val="0015388B"/>
    <w:rsid w:val="00153C82"/>
    <w:rsid w:val="00154208"/>
    <w:rsid w:val="0015439D"/>
    <w:rsid w:val="001544F3"/>
    <w:rsid w:val="00154776"/>
    <w:rsid w:val="001550C2"/>
    <w:rsid w:val="00155363"/>
    <w:rsid w:val="001557E4"/>
    <w:rsid w:val="00155C8A"/>
    <w:rsid w:val="00156329"/>
    <w:rsid w:val="00156488"/>
    <w:rsid w:val="001564FD"/>
    <w:rsid w:val="00157065"/>
    <w:rsid w:val="00157382"/>
    <w:rsid w:val="0015788B"/>
    <w:rsid w:val="00157899"/>
    <w:rsid w:val="00157955"/>
    <w:rsid w:val="00157BA1"/>
    <w:rsid w:val="00157EA2"/>
    <w:rsid w:val="00160937"/>
    <w:rsid w:val="00160CBF"/>
    <w:rsid w:val="00160FB5"/>
    <w:rsid w:val="00161218"/>
    <w:rsid w:val="00161249"/>
    <w:rsid w:val="0016139C"/>
    <w:rsid w:val="00161799"/>
    <w:rsid w:val="00161924"/>
    <w:rsid w:val="00161A65"/>
    <w:rsid w:val="00162107"/>
    <w:rsid w:val="00162A0F"/>
    <w:rsid w:val="00162E87"/>
    <w:rsid w:val="00164DA5"/>
    <w:rsid w:val="00165306"/>
    <w:rsid w:val="0016548E"/>
    <w:rsid w:val="00165DBA"/>
    <w:rsid w:val="00166207"/>
    <w:rsid w:val="00166737"/>
    <w:rsid w:val="00170813"/>
    <w:rsid w:val="00170845"/>
    <w:rsid w:val="00170D4B"/>
    <w:rsid w:val="00170E7A"/>
    <w:rsid w:val="001713B9"/>
    <w:rsid w:val="001714F0"/>
    <w:rsid w:val="00171F6C"/>
    <w:rsid w:val="0017227F"/>
    <w:rsid w:val="001724E6"/>
    <w:rsid w:val="00172598"/>
    <w:rsid w:val="0017264F"/>
    <w:rsid w:val="001727C4"/>
    <w:rsid w:val="00172C18"/>
    <w:rsid w:val="00172F6D"/>
    <w:rsid w:val="001746A9"/>
    <w:rsid w:val="00174ABA"/>
    <w:rsid w:val="0017595F"/>
    <w:rsid w:val="00175C2A"/>
    <w:rsid w:val="00176CE3"/>
    <w:rsid w:val="00177B48"/>
    <w:rsid w:val="00177E17"/>
    <w:rsid w:val="0018031D"/>
    <w:rsid w:val="00180E7E"/>
    <w:rsid w:val="0018137C"/>
    <w:rsid w:val="00181D38"/>
    <w:rsid w:val="001827EC"/>
    <w:rsid w:val="00182922"/>
    <w:rsid w:val="00182D95"/>
    <w:rsid w:val="00182EDE"/>
    <w:rsid w:val="00183EC8"/>
    <w:rsid w:val="00183F16"/>
    <w:rsid w:val="00184279"/>
    <w:rsid w:val="00184CBF"/>
    <w:rsid w:val="0018524D"/>
    <w:rsid w:val="00185429"/>
    <w:rsid w:val="00185A8C"/>
    <w:rsid w:val="00185B83"/>
    <w:rsid w:val="00185F49"/>
    <w:rsid w:val="00186213"/>
    <w:rsid w:val="00186942"/>
    <w:rsid w:val="001875FF"/>
    <w:rsid w:val="00190037"/>
    <w:rsid w:val="0019010E"/>
    <w:rsid w:val="00190244"/>
    <w:rsid w:val="00190549"/>
    <w:rsid w:val="0019060C"/>
    <w:rsid w:val="00190759"/>
    <w:rsid w:val="00190774"/>
    <w:rsid w:val="00190EFE"/>
    <w:rsid w:val="00190F69"/>
    <w:rsid w:val="00191C7F"/>
    <w:rsid w:val="00191EB7"/>
    <w:rsid w:val="0019265D"/>
    <w:rsid w:val="00192F41"/>
    <w:rsid w:val="00193062"/>
    <w:rsid w:val="00194087"/>
    <w:rsid w:val="00194091"/>
    <w:rsid w:val="0019414D"/>
    <w:rsid w:val="001943DC"/>
    <w:rsid w:val="001945A7"/>
    <w:rsid w:val="001950AA"/>
    <w:rsid w:val="001953B9"/>
    <w:rsid w:val="0019598B"/>
    <w:rsid w:val="00195D3C"/>
    <w:rsid w:val="001970AB"/>
    <w:rsid w:val="00197370"/>
    <w:rsid w:val="00197BC7"/>
    <w:rsid w:val="001A0483"/>
    <w:rsid w:val="001A1210"/>
    <w:rsid w:val="001A1A78"/>
    <w:rsid w:val="001A1A90"/>
    <w:rsid w:val="001A33FF"/>
    <w:rsid w:val="001A374C"/>
    <w:rsid w:val="001A39BD"/>
    <w:rsid w:val="001A3B5D"/>
    <w:rsid w:val="001A41E7"/>
    <w:rsid w:val="001A4890"/>
    <w:rsid w:val="001A4934"/>
    <w:rsid w:val="001A5760"/>
    <w:rsid w:val="001A6425"/>
    <w:rsid w:val="001A6782"/>
    <w:rsid w:val="001A6A1B"/>
    <w:rsid w:val="001A700C"/>
    <w:rsid w:val="001A70BD"/>
    <w:rsid w:val="001A7320"/>
    <w:rsid w:val="001A73C0"/>
    <w:rsid w:val="001A75E5"/>
    <w:rsid w:val="001A7F2C"/>
    <w:rsid w:val="001A7F9B"/>
    <w:rsid w:val="001B0529"/>
    <w:rsid w:val="001B0953"/>
    <w:rsid w:val="001B0D3F"/>
    <w:rsid w:val="001B13A0"/>
    <w:rsid w:val="001B16D7"/>
    <w:rsid w:val="001B1AA7"/>
    <w:rsid w:val="001B1E3E"/>
    <w:rsid w:val="001B23E4"/>
    <w:rsid w:val="001B27A1"/>
    <w:rsid w:val="001B4212"/>
    <w:rsid w:val="001B5579"/>
    <w:rsid w:val="001B5C48"/>
    <w:rsid w:val="001B65F7"/>
    <w:rsid w:val="001B6FDD"/>
    <w:rsid w:val="001C0658"/>
    <w:rsid w:val="001C086B"/>
    <w:rsid w:val="001C0B42"/>
    <w:rsid w:val="001C1114"/>
    <w:rsid w:val="001C1EAF"/>
    <w:rsid w:val="001C2EFA"/>
    <w:rsid w:val="001C42C8"/>
    <w:rsid w:val="001C4376"/>
    <w:rsid w:val="001C4B86"/>
    <w:rsid w:val="001C5C32"/>
    <w:rsid w:val="001C64C0"/>
    <w:rsid w:val="001C7F5B"/>
    <w:rsid w:val="001D03FD"/>
    <w:rsid w:val="001D15C3"/>
    <w:rsid w:val="001D16EE"/>
    <w:rsid w:val="001D1E48"/>
    <w:rsid w:val="001D22A4"/>
    <w:rsid w:val="001D2307"/>
    <w:rsid w:val="001D24FE"/>
    <w:rsid w:val="001D2501"/>
    <w:rsid w:val="001D269F"/>
    <w:rsid w:val="001D2E52"/>
    <w:rsid w:val="001D302B"/>
    <w:rsid w:val="001D324B"/>
    <w:rsid w:val="001D5326"/>
    <w:rsid w:val="001D53F4"/>
    <w:rsid w:val="001D5408"/>
    <w:rsid w:val="001D58F7"/>
    <w:rsid w:val="001D60FD"/>
    <w:rsid w:val="001D6475"/>
    <w:rsid w:val="001D6652"/>
    <w:rsid w:val="001D6D23"/>
    <w:rsid w:val="001D7685"/>
    <w:rsid w:val="001E11E3"/>
    <w:rsid w:val="001E15AF"/>
    <w:rsid w:val="001E1760"/>
    <w:rsid w:val="001E176D"/>
    <w:rsid w:val="001E1E3F"/>
    <w:rsid w:val="001E1FA9"/>
    <w:rsid w:val="001E251F"/>
    <w:rsid w:val="001E27F8"/>
    <w:rsid w:val="001E2A7B"/>
    <w:rsid w:val="001E2E95"/>
    <w:rsid w:val="001E30C3"/>
    <w:rsid w:val="001E34DB"/>
    <w:rsid w:val="001E356F"/>
    <w:rsid w:val="001E385B"/>
    <w:rsid w:val="001E3B93"/>
    <w:rsid w:val="001E3C4D"/>
    <w:rsid w:val="001E4315"/>
    <w:rsid w:val="001E4B73"/>
    <w:rsid w:val="001E4F65"/>
    <w:rsid w:val="001E516C"/>
    <w:rsid w:val="001E564A"/>
    <w:rsid w:val="001E5A25"/>
    <w:rsid w:val="001E5B99"/>
    <w:rsid w:val="001E6C28"/>
    <w:rsid w:val="001E70EC"/>
    <w:rsid w:val="001E72C2"/>
    <w:rsid w:val="001E73F9"/>
    <w:rsid w:val="001E769F"/>
    <w:rsid w:val="001F00DE"/>
    <w:rsid w:val="001F034B"/>
    <w:rsid w:val="001F0EB6"/>
    <w:rsid w:val="001F16CD"/>
    <w:rsid w:val="001F1A2E"/>
    <w:rsid w:val="001F1A47"/>
    <w:rsid w:val="001F1E13"/>
    <w:rsid w:val="001F1EFF"/>
    <w:rsid w:val="001F28B6"/>
    <w:rsid w:val="001F3391"/>
    <w:rsid w:val="001F392E"/>
    <w:rsid w:val="001F46A6"/>
    <w:rsid w:val="001F4A3E"/>
    <w:rsid w:val="001F4A93"/>
    <w:rsid w:val="001F5A46"/>
    <w:rsid w:val="001F65F8"/>
    <w:rsid w:val="001F76F3"/>
    <w:rsid w:val="0020003A"/>
    <w:rsid w:val="002008BB"/>
    <w:rsid w:val="00200F20"/>
    <w:rsid w:val="0020113B"/>
    <w:rsid w:val="00204D0F"/>
    <w:rsid w:val="00204F4B"/>
    <w:rsid w:val="0020568F"/>
    <w:rsid w:val="00205709"/>
    <w:rsid w:val="0020582C"/>
    <w:rsid w:val="00205AB3"/>
    <w:rsid w:val="00206A35"/>
    <w:rsid w:val="00206EC1"/>
    <w:rsid w:val="00207320"/>
    <w:rsid w:val="00207600"/>
    <w:rsid w:val="00207711"/>
    <w:rsid w:val="00207E48"/>
    <w:rsid w:val="0021076A"/>
    <w:rsid w:val="00210B87"/>
    <w:rsid w:val="00210EB0"/>
    <w:rsid w:val="00211092"/>
    <w:rsid w:val="002111CE"/>
    <w:rsid w:val="002116F8"/>
    <w:rsid w:val="002118EA"/>
    <w:rsid w:val="00211A0D"/>
    <w:rsid w:val="00212506"/>
    <w:rsid w:val="00212643"/>
    <w:rsid w:val="00212841"/>
    <w:rsid w:val="00213061"/>
    <w:rsid w:val="0021345A"/>
    <w:rsid w:val="00213FC6"/>
    <w:rsid w:val="002149C7"/>
    <w:rsid w:val="0021527A"/>
    <w:rsid w:val="0021536A"/>
    <w:rsid w:val="00215A15"/>
    <w:rsid w:val="00216706"/>
    <w:rsid w:val="0021690F"/>
    <w:rsid w:val="00216B44"/>
    <w:rsid w:val="00216B48"/>
    <w:rsid w:val="00216C1B"/>
    <w:rsid w:val="00216C85"/>
    <w:rsid w:val="00216C8F"/>
    <w:rsid w:val="00216CFE"/>
    <w:rsid w:val="00216ECF"/>
    <w:rsid w:val="0021706A"/>
    <w:rsid w:val="00217CC4"/>
    <w:rsid w:val="00217F68"/>
    <w:rsid w:val="00220156"/>
    <w:rsid w:val="002202BC"/>
    <w:rsid w:val="00220303"/>
    <w:rsid w:val="00220694"/>
    <w:rsid w:val="002206D7"/>
    <w:rsid w:val="00220873"/>
    <w:rsid w:val="00220D47"/>
    <w:rsid w:val="00220D82"/>
    <w:rsid w:val="002211C2"/>
    <w:rsid w:val="002211DA"/>
    <w:rsid w:val="00221A9B"/>
    <w:rsid w:val="002225C6"/>
    <w:rsid w:val="00222725"/>
    <w:rsid w:val="00222E1B"/>
    <w:rsid w:val="00222E59"/>
    <w:rsid w:val="00223064"/>
    <w:rsid w:val="00223173"/>
    <w:rsid w:val="002232A1"/>
    <w:rsid w:val="00223BBC"/>
    <w:rsid w:val="00223D72"/>
    <w:rsid w:val="00223DC9"/>
    <w:rsid w:val="00224387"/>
    <w:rsid w:val="00224AB2"/>
    <w:rsid w:val="00224E15"/>
    <w:rsid w:val="0022531C"/>
    <w:rsid w:val="00226039"/>
    <w:rsid w:val="002266C8"/>
    <w:rsid w:val="002268B0"/>
    <w:rsid w:val="0022722F"/>
    <w:rsid w:val="0022760E"/>
    <w:rsid w:val="0022799A"/>
    <w:rsid w:val="00227B32"/>
    <w:rsid w:val="00227D31"/>
    <w:rsid w:val="00230A30"/>
    <w:rsid w:val="002312B6"/>
    <w:rsid w:val="00231630"/>
    <w:rsid w:val="00231BB7"/>
    <w:rsid w:val="002323A7"/>
    <w:rsid w:val="002327AB"/>
    <w:rsid w:val="00232F93"/>
    <w:rsid w:val="00232FD1"/>
    <w:rsid w:val="0023316C"/>
    <w:rsid w:val="00233BAA"/>
    <w:rsid w:val="00233E8E"/>
    <w:rsid w:val="002351A6"/>
    <w:rsid w:val="00235AC5"/>
    <w:rsid w:val="00235B99"/>
    <w:rsid w:val="00235F1F"/>
    <w:rsid w:val="0023629F"/>
    <w:rsid w:val="00236779"/>
    <w:rsid w:val="00240D9E"/>
    <w:rsid w:val="00241587"/>
    <w:rsid w:val="0024189A"/>
    <w:rsid w:val="00241BAF"/>
    <w:rsid w:val="00242775"/>
    <w:rsid w:val="002429A5"/>
    <w:rsid w:val="00242B54"/>
    <w:rsid w:val="00242E6F"/>
    <w:rsid w:val="00242FDE"/>
    <w:rsid w:val="002430C6"/>
    <w:rsid w:val="00243FD0"/>
    <w:rsid w:val="0024406E"/>
    <w:rsid w:val="00244766"/>
    <w:rsid w:val="00244F3D"/>
    <w:rsid w:val="00245D39"/>
    <w:rsid w:val="002474CC"/>
    <w:rsid w:val="0024798D"/>
    <w:rsid w:val="00247C98"/>
    <w:rsid w:val="00250528"/>
    <w:rsid w:val="002506AD"/>
    <w:rsid w:val="00250B7E"/>
    <w:rsid w:val="00250DA8"/>
    <w:rsid w:val="00250E4C"/>
    <w:rsid w:val="002510D3"/>
    <w:rsid w:val="002525BD"/>
    <w:rsid w:val="0025305B"/>
    <w:rsid w:val="0025348E"/>
    <w:rsid w:val="00253D0B"/>
    <w:rsid w:val="00253F74"/>
    <w:rsid w:val="00254502"/>
    <w:rsid w:val="00254735"/>
    <w:rsid w:val="00254B03"/>
    <w:rsid w:val="00254E4F"/>
    <w:rsid w:val="002560EB"/>
    <w:rsid w:val="002561D5"/>
    <w:rsid w:val="002565DF"/>
    <w:rsid w:val="00256F86"/>
    <w:rsid w:val="0025716B"/>
    <w:rsid w:val="002571C0"/>
    <w:rsid w:val="00257712"/>
    <w:rsid w:val="00257D9B"/>
    <w:rsid w:val="002603FC"/>
    <w:rsid w:val="002604BE"/>
    <w:rsid w:val="00261513"/>
    <w:rsid w:val="002615FE"/>
    <w:rsid w:val="00261C80"/>
    <w:rsid w:val="00262339"/>
    <w:rsid w:val="002624AB"/>
    <w:rsid w:val="00262E91"/>
    <w:rsid w:val="002632CB"/>
    <w:rsid w:val="00263CB1"/>
    <w:rsid w:val="00264ED7"/>
    <w:rsid w:val="00264FD7"/>
    <w:rsid w:val="002650DF"/>
    <w:rsid w:val="00265C62"/>
    <w:rsid w:val="00265D5D"/>
    <w:rsid w:val="002660D3"/>
    <w:rsid w:val="002663D5"/>
    <w:rsid w:val="00266FDC"/>
    <w:rsid w:val="002679EE"/>
    <w:rsid w:val="0027005B"/>
    <w:rsid w:val="0027039E"/>
    <w:rsid w:val="0027077A"/>
    <w:rsid w:val="00270813"/>
    <w:rsid w:val="00270F55"/>
    <w:rsid w:val="002710FD"/>
    <w:rsid w:val="002713A2"/>
    <w:rsid w:val="0027182E"/>
    <w:rsid w:val="0027196A"/>
    <w:rsid w:val="00271D26"/>
    <w:rsid w:val="00272183"/>
    <w:rsid w:val="00272251"/>
    <w:rsid w:val="00272C43"/>
    <w:rsid w:val="002732E7"/>
    <w:rsid w:val="0027376A"/>
    <w:rsid w:val="0027377C"/>
    <w:rsid w:val="0027418F"/>
    <w:rsid w:val="002741CE"/>
    <w:rsid w:val="0027656C"/>
    <w:rsid w:val="00276C96"/>
    <w:rsid w:val="00276E36"/>
    <w:rsid w:val="00277B0A"/>
    <w:rsid w:val="00280322"/>
    <w:rsid w:val="002807E7"/>
    <w:rsid w:val="002808C5"/>
    <w:rsid w:val="002809DA"/>
    <w:rsid w:val="00281352"/>
    <w:rsid w:val="002814D8"/>
    <w:rsid w:val="00281C63"/>
    <w:rsid w:val="0028204F"/>
    <w:rsid w:val="002820FD"/>
    <w:rsid w:val="00282524"/>
    <w:rsid w:val="00282920"/>
    <w:rsid w:val="00282C36"/>
    <w:rsid w:val="0028301C"/>
    <w:rsid w:val="00283536"/>
    <w:rsid w:val="002836ED"/>
    <w:rsid w:val="0028386E"/>
    <w:rsid w:val="00283B5E"/>
    <w:rsid w:val="00283F7C"/>
    <w:rsid w:val="0028406D"/>
    <w:rsid w:val="002841C0"/>
    <w:rsid w:val="002846B9"/>
    <w:rsid w:val="0028474D"/>
    <w:rsid w:val="00284E7F"/>
    <w:rsid w:val="002850E2"/>
    <w:rsid w:val="00285947"/>
    <w:rsid w:val="00285FD8"/>
    <w:rsid w:val="00286438"/>
    <w:rsid w:val="00286BA7"/>
    <w:rsid w:val="00286CC1"/>
    <w:rsid w:val="00286DB6"/>
    <w:rsid w:val="00286EE4"/>
    <w:rsid w:val="00287886"/>
    <w:rsid w:val="00287BC1"/>
    <w:rsid w:val="00287EEA"/>
    <w:rsid w:val="002905F6"/>
    <w:rsid w:val="0029069A"/>
    <w:rsid w:val="00290AE1"/>
    <w:rsid w:val="00290B26"/>
    <w:rsid w:val="00290BA0"/>
    <w:rsid w:val="00290C57"/>
    <w:rsid w:val="00291C97"/>
    <w:rsid w:val="00292721"/>
    <w:rsid w:val="002929E6"/>
    <w:rsid w:val="00292A35"/>
    <w:rsid w:val="00293136"/>
    <w:rsid w:val="002936FC"/>
    <w:rsid w:val="002939D2"/>
    <w:rsid w:val="00293C5F"/>
    <w:rsid w:val="00293D7A"/>
    <w:rsid w:val="00293EA6"/>
    <w:rsid w:val="00293F96"/>
    <w:rsid w:val="00294092"/>
    <w:rsid w:val="0029414F"/>
    <w:rsid w:val="002943FC"/>
    <w:rsid w:val="0029440E"/>
    <w:rsid w:val="002946C7"/>
    <w:rsid w:val="00295162"/>
    <w:rsid w:val="002957D8"/>
    <w:rsid w:val="002963F1"/>
    <w:rsid w:val="00296476"/>
    <w:rsid w:val="00296510"/>
    <w:rsid w:val="002965DE"/>
    <w:rsid w:val="00296B05"/>
    <w:rsid w:val="00296BC6"/>
    <w:rsid w:val="00296E01"/>
    <w:rsid w:val="0029753C"/>
    <w:rsid w:val="00297B02"/>
    <w:rsid w:val="002A08EF"/>
    <w:rsid w:val="002A118D"/>
    <w:rsid w:val="002A1675"/>
    <w:rsid w:val="002A192C"/>
    <w:rsid w:val="002A19BD"/>
    <w:rsid w:val="002A2003"/>
    <w:rsid w:val="002A202B"/>
    <w:rsid w:val="002A3481"/>
    <w:rsid w:val="002A3AD5"/>
    <w:rsid w:val="002A40DE"/>
    <w:rsid w:val="002A419F"/>
    <w:rsid w:val="002A478A"/>
    <w:rsid w:val="002A484F"/>
    <w:rsid w:val="002A498B"/>
    <w:rsid w:val="002A4E0C"/>
    <w:rsid w:val="002A4EC3"/>
    <w:rsid w:val="002A52F4"/>
    <w:rsid w:val="002A543A"/>
    <w:rsid w:val="002A5A33"/>
    <w:rsid w:val="002A5B40"/>
    <w:rsid w:val="002A5B69"/>
    <w:rsid w:val="002A5ED8"/>
    <w:rsid w:val="002A66EF"/>
    <w:rsid w:val="002A6A8B"/>
    <w:rsid w:val="002A71FB"/>
    <w:rsid w:val="002A7658"/>
    <w:rsid w:val="002A7EFE"/>
    <w:rsid w:val="002B0076"/>
    <w:rsid w:val="002B055B"/>
    <w:rsid w:val="002B0EA5"/>
    <w:rsid w:val="002B0FB5"/>
    <w:rsid w:val="002B14DF"/>
    <w:rsid w:val="002B169B"/>
    <w:rsid w:val="002B1BB9"/>
    <w:rsid w:val="002B1C5F"/>
    <w:rsid w:val="002B248B"/>
    <w:rsid w:val="002B2B3A"/>
    <w:rsid w:val="002B2B8E"/>
    <w:rsid w:val="002B2E1C"/>
    <w:rsid w:val="002B2EA1"/>
    <w:rsid w:val="002B36B2"/>
    <w:rsid w:val="002B47EB"/>
    <w:rsid w:val="002B5101"/>
    <w:rsid w:val="002B5359"/>
    <w:rsid w:val="002B5A2D"/>
    <w:rsid w:val="002B6030"/>
    <w:rsid w:val="002B64EF"/>
    <w:rsid w:val="002B6B94"/>
    <w:rsid w:val="002B6C60"/>
    <w:rsid w:val="002B705F"/>
    <w:rsid w:val="002B78F0"/>
    <w:rsid w:val="002C0616"/>
    <w:rsid w:val="002C0620"/>
    <w:rsid w:val="002C0CFC"/>
    <w:rsid w:val="002C1C51"/>
    <w:rsid w:val="002C23FB"/>
    <w:rsid w:val="002C2AD5"/>
    <w:rsid w:val="002C35E5"/>
    <w:rsid w:val="002C3697"/>
    <w:rsid w:val="002C3968"/>
    <w:rsid w:val="002C46FF"/>
    <w:rsid w:val="002C59AC"/>
    <w:rsid w:val="002C5B38"/>
    <w:rsid w:val="002C6775"/>
    <w:rsid w:val="002C75A2"/>
    <w:rsid w:val="002C7898"/>
    <w:rsid w:val="002C78AB"/>
    <w:rsid w:val="002C7905"/>
    <w:rsid w:val="002C7B89"/>
    <w:rsid w:val="002D06E1"/>
    <w:rsid w:val="002D082C"/>
    <w:rsid w:val="002D110D"/>
    <w:rsid w:val="002D11A3"/>
    <w:rsid w:val="002D1C07"/>
    <w:rsid w:val="002D218C"/>
    <w:rsid w:val="002D2476"/>
    <w:rsid w:val="002D253B"/>
    <w:rsid w:val="002D26D7"/>
    <w:rsid w:val="002D276F"/>
    <w:rsid w:val="002D3208"/>
    <w:rsid w:val="002D3C7B"/>
    <w:rsid w:val="002D45B3"/>
    <w:rsid w:val="002D56E3"/>
    <w:rsid w:val="002D5955"/>
    <w:rsid w:val="002D5958"/>
    <w:rsid w:val="002D5C63"/>
    <w:rsid w:val="002D6631"/>
    <w:rsid w:val="002D6C4B"/>
    <w:rsid w:val="002D711E"/>
    <w:rsid w:val="002D7349"/>
    <w:rsid w:val="002D7392"/>
    <w:rsid w:val="002D74CF"/>
    <w:rsid w:val="002D7C05"/>
    <w:rsid w:val="002E00AE"/>
    <w:rsid w:val="002E02C5"/>
    <w:rsid w:val="002E0448"/>
    <w:rsid w:val="002E0915"/>
    <w:rsid w:val="002E0B59"/>
    <w:rsid w:val="002E1BCF"/>
    <w:rsid w:val="002E22B6"/>
    <w:rsid w:val="002E233E"/>
    <w:rsid w:val="002E25B5"/>
    <w:rsid w:val="002E30B6"/>
    <w:rsid w:val="002E3804"/>
    <w:rsid w:val="002E3BBD"/>
    <w:rsid w:val="002E3DA1"/>
    <w:rsid w:val="002E4FA9"/>
    <w:rsid w:val="002E5057"/>
    <w:rsid w:val="002E518B"/>
    <w:rsid w:val="002E5F53"/>
    <w:rsid w:val="002E6043"/>
    <w:rsid w:val="002E695D"/>
    <w:rsid w:val="002E6C85"/>
    <w:rsid w:val="002E6F76"/>
    <w:rsid w:val="002E7F13"/>
    <w:rsid w:val="002E7F72"/>
    <w:rsid w:val="002F01A2"/>
    <w:rsid w:val="002F09BB"/>
    <w:rsid w:val="002F0CBA"/>
    <w:rsid w:val="002F1A61"/>
    <w:rsid w:val="002F234E"/>
    <w:rsid w:val="002F3140"/>
    <w:rsid w:val="002F37AC"/>
    <w:rsid w:val="002F3C29"/>
    <w:rsid w:val="002F3EC1"/>
    <w:rsid w:val="002F424D"/>
    <w:rsid w:val="002F4325"/>
    <w:rsid w:val="002F4527"/>
    <w:rsid w:val="002F527B"/>
    <w:rsid w:val="002F544C"/>
    <w:rsid w:val="002F5779"/>
    <w:rsid w:val="002F594C"/>
    <w:rsid w:val="002F5A60"/>
    <w:rsid w:val="002F6A06"/>
    <w:rsid w:val="002F6DE4"/>
    <w:rsid w:val="002F6E6E"/>
    <w:rsid w:val="002F7233"/>
    <w:rsid w:val="002F72C2"/>
    <w:rsid w:val="002F73B4"/>
    <w:rsid w:val="002F79FA"/>
    <w:rsid w:val="002F7B90"/>
    <w:rsid w:val="00300C66"/>
    <w:rsid w:val="00300DCE"/>
    <w:rsid w:val="00301004"/>
    <w:rsid w:val="00301576"/>
    <w:rsid w:val="00301B1D"/>
    <w:rsid w:val="00301DC2"/>
    <w:rsid w:val="00301E0F"/>
    <w:rsid w:val="00302743"/>
    <w:rsid w:val="00302C38"/>
    <w:rsid w:val="00302F6E"/>
    <w:rsid w:val="003037F4"/>
    <w:rsid w:val="0030463C"/>
    <w:rsid w:val="00304A53"/>
    <w:rsid w:val="00304A5D"/>
    <w:rsid w:val="00304F31"/>
    <w:rsid w:val="0030536F"/>
    <w:rsid w:val="00305DB3"/>
    <w:rsid w:val="00305F83"/>
    <w:rsid w:val="00306799"/>
    <w:rsid w:val="00306A60"/>
    <w:rsid w:val="00306B07"/>
    <w:rsid w:val="00306E01"/>
    <w:rsid w:val="00306FFB"/>
    <w:rsid w:val="0030732F"/>
    <w:rsid w:val="003075FF"/>
    <w:rsid w:val="00307F44"/>
    <w:rsid w:val="0031051E"/>
    <w:rsid w:val="003118F4"/>
    <w:rsid w:val="00311B59"/>
    <w:rsid w:val="00311CE0"/>
    <w:rsid w:val="00312068"/>
    <w:rsid w:val="003121C3"/>
    <w:rsid w:val="0031230F"/>
    <w:rsid w:val="00312641"/>
    <w:rsid w:val="00312E53"/>
    <w:rsid w:val="00312E6A"/>
    <w:rsid w:val="00313627"/>
    <w:rsid w:val="003146C3"/>
    <w:rsid w:val="00315FF4"/>
    <w:rsid w:val="00316AD0"/>
    <w:rsid w:val="00316DE9"/>
    <w:rsid w:val="003170D9"/>
    <w:rsid w:val="003171C0"/>
    <w:rsid w:val="003204BE"/>
    <w:rsid w:val="00320AEE"/>
    <w:rsid w:val="00320D6E"/>
    <w:rsid w:val="00321100"/>
    <w:rsid w:val="0032127C"/>
    <w:rsid w:val="00321507"/>
    <w:rsid w:val="00321580"/>
    <w:rsid w:val="00321A36"/>
    <w:rsid w:val="00321E44"/>
    <w:rsid w:val="00322774"/>
    <w:rsid w:val="00322835"/>
    <w:rsid w:val="00322B63"/>
    <w:rsid w:val="00322D5A"/>
    <w:rsid w:val="00322FA3"/>
    <w:rsid w:val="0032324F"/>
    <w:rsid w:val="00323ABD"/>
    <w:rsid w:val="00323F34"/>
    <w:rsid w:val="00324097"/>
    <w:rsid w:val="00324E11"/>
    <w:rsid w:val="003250A4"/>
    <w:rsid w:val="003256B5"/>
    <w:rsid w:val="00325B7A"/>
    <w:rsid w:val="00325BE4"/>
    <w:rsid w:val="00325E39"/>
    <w:rsid w:val="00325EBA"/>
    <w:rsid w:val="00325F8A"/>
    <w:rsid w:val="003262E1"/>
    <w:rsid w:val="00326BF0"/>
    <w:rsid w:val="0032708B"/>
    <w:rsid w:val="003274E2"/>
    <w:rsid w:val="00327798"/>
    <w:rsid w:val="00327EC1"/>
    <w:rsid w:val="00327EDA"/>
    <w:rsid w:val="003300F9"/>
    <w:rsid w:val="00330F6A"/>
    <w:rsid w:val="003313CC"/>
    <w:rsid w:val="00331A6F"/>
    <w:rsid w:val="00331BBE"/>
    <w:rsid w:val="00332593"/>
    <w:rsid w:val="003326BE"/>
    <w:rsid w:val="00332ADF"/>
    <w:rsid w:val="00332EF6"/>
    <w:rsid w:val="003337EF"/>
    <w:rsid w:val="00333E51"/>
    <w:rsid w:val="0033434F"/>
    <w:rsid w:val="003343CD"/>
    <w:rsid w:val="0033457D"/>
    <w:rsid w:val="0033462B"/>
    <w:rsid w:val="003348AF"/>
    <w:rsid w:val="003348FB"/>
    <w:rsid w:val="00335361"/>
    <w:rsid w:val="00335640"/>
    <w:rsid w:val="003357F1"/>
    <w:rsid w:val="00335E81"/>
    <w:rsid w:val="0033676A"/>
    <w:rsid w:val="00336F9A"/>
    <w:rsid w:val="00337F8E"/>
    <w:rsid w:val="00337FEE"/>
    <w:rsid w:val="00340A5B"/>
    <w:rsid w:val="00340C85"/>
    <w:rsid w:val="003417A1"/>
    <w:rsid w:val="00341A5E"/>
    <w:rsid w:val="0034230E"/>
    <w:rsid w:val="00342967"/>
    <w:rsid w:val="0034455C"/>
    <w:rsid w:val="00344977"/>
    <w:rsid w:val="00344B09"/>
    <w:rsid w:val="00344B92"/>
    <w:rsid w:val="003455C5"/>
    <w:rsid w:val="0034586C"/>
    <w:rsid w:val="00345CE1"/>
    <w:rsid w:val="00345E5E"/>
    <w:rsid w:val="00345EF3"/>
    <w:rsid w:val="003461AE"/>
    <w:rsid w:val="00346917"/>
    <w:rsid w:val="00346B57"/>
    <w:rsid w:val="0034731F"/>
    <w:rsid w:val="003478F8"/>
    <w:rsid w:val="00347CF2"/>
    <w:rsid w:val="003501E8"/>
    <w:rsid w:val="00350731"/>
    <w:rsid w:val="00350890"/>
    <w:rsid w:val="00350E7F"/>
    <w:rsid w:val="00351269"/>
    <w:rsid w:val="00351F5C"/>
    <w:rsid w:val="00352364"/>
    <w:rsid w:val="00352680"/>
    <w:rsid w:val="00352BB5"/>
    <w:rsid w:val="00352C33"/>
    <w:rsid w:val="00353F83"/>
    <w:rsid w:val="003540FE"/>
    <w:rsid w:val="00354316"/>
    <w:rsid w:val="00354419"/>
    <w:rsid w:val="00354A51"/>
    <w:rsid w:val="0035637D"/>
    <w:rsid w:val="0035663A"/>
    <w:rsid w:val="00356938"/>
    <w:rsid w:val="00356B31"/>
    <w:rsid w:val="00356E70"/>
    <w:rsid w:val="0035732B"/>
    <w:rsid w:val="0035751F"/>
    <w:rsid w:val="00357F6D"/>
    <w:rsid w:val="00360066"/>
    <w:rsid w:val="0036163C"/>
    <w:rsid w:val="00361696"/>
    <w:rsid w:val="00362C89"/>
    <w:rsid w:val="00363110"/>
    <w:rsid w:val="00363AD3"/>
    <w:rsid w:val="00363FA7"/>
    <w:rsid w:val="003649F9"/>
    <w:rsid w:val="00364BB4"/>
    <w:rsid w:val="003651D2"/>
    <w:rsid w:val="003655AF"/>
    <w:rsid w:val="003673CE"/>
    <w:rsid w:val="003675C9"/>
    <w:rsid w:val="00367B42"/>
    <w:rsid w:val="0037037A"/>
    <w:rsid w:val="003712AF"/>
    <w:rsid w:val="00371347"/>
    <w:rsid w:val="00371B5A"/>
    <w:rsid w:val="00371F75"/>
    <w:rsid w:val="00372078"/>
    <w:rsid w:val="0037228B"/>
    <w:rsid w:val="00372A12"/>
    <w:rsid w:val="00372D75"/>
    <w:rsid w:val="00372E4B"/>
    <w:rsid w:val="00372F77"/>
    <w:rsid w:val="003741C0"/>
    <w:rsid w:val="003744DF"/>
    <w:rsid w:val="00374FB9"/>
    <w:rsid w:val="00374FBB"/>
    <w:rsid w:val="00375091"/>
    <w:rsid w:val="00375B93"/>
    <w:rsid w:val="00375CB8"/>
    <w:rsid w:val="00375CCC"/>
    <w:rsid w:val="00375F4B"/>
    <w:rsid w:val="00376720"/>
    <w:rsid w:val="00376DD1"/>
    <w:rsid w:val="003774DE"/>
    <w:rsid w:val="00377846"/>
    <w:rsid w:val="003778A9"/>
    <w:rsid w:val="00377FAD"/>
    <w:rsid w:val="00380310"/>
    <w:rsid w:val="0038091A"/>
    <w:rsid w:val="00380A05"/>
    <w:rsid w:val="00381A9D"/>
    <w:rsid w:val="00381FC7"/>
    <w:rsid w:val="0038218F"/>
    <w:rsid w:val="0038228E"/>
    <w:rsid w:val="0038281E"/>
    <w:rsid w:val="00382D0F"/>
    <w:rsid w:val="0038323A"/>
    <w:rsid w:val="00383353"/>
    <w:rsid w:val="00383AFA"/>
    <w:rsid w:val="00383B76"/>
    <w:rsid w:val="00383D1B"/>
    <w:rsid w:val="00383E7A"/>
    <w:rsid w:val="003853FC"/>
    <w:rsid w:val="00385404"/>
    <w:rsid w:val="003857DB"/>
    <w:rsid w:val="00385C38"/>
    <w:rsid w:val="003861D6"/>
    <w:rsid w:val="00386313"/>
    <w:rsid w:val="00386DC1"/>
    <w:rsid w:val="00386EBE"/>
    <w:rsid w:val="003877C3"/>
    <w:rsid w:val="00387982"/>
    <w:rsid w:val="00387BAC"/>
    <w:rsid w:val="00387BE2"/>
    <w:rsid w:val="00387DA3"/>
    <w:rsid w:val="0039001E"/>
    <w:rsid w:val="00390463"/>
    <w:rsid w:val="0039072C"/>
    <w:rsid w:val="0039091C"/>
    <w:rsid w:val="00390A3C"/>
    <w:rsid w:val="00390A7F"/>
    <w:rsid w:val="00390B9E"/>
    <w:rsid w:val="00390DF8"/>
    <w:rsid w:val="00391518"/>
    <w:rsid w:val="00391550"/>
    <w:rsid w:val="0039156B"/>
    <w:rsid w:val="00391868"/>
    <w:rsid w:val="00391ADB"/>
    <w:rsid w:val="00391AF2"/>
    <w:rsid w:val="00392251"/>
    <w:rsid w:val="00392607"/>
    <w:rsid w:val="00392C41"/>
    <w:rsid w:val="00392D58"/>
    <w:rsid w:val="00392E2E"/>
    <w:rsid w:val="0039343E"/>
    <w:rsid w:val="003939F7"/>
    <w:rsid w:val="00393A7A"/>
    <w:rsid w:val="00393FE9"/>
    <w:rsid w:val="0039456F"/>
    <w:rsid w:val="003947BD"/>
    <w:rsid w:val="00395066"/>
    <w:rsid w:val="003958B9"/>
    <w:rsid w:val="003961E6"/>
    <w:rsid w:val="00396341"/>
    <w:rsid w:val="0039765D"/>
    <w:rsid w:val="003A005F"/>
    <w:rsid w:val="003A0484"/>
    <w:rsid w:val="003A07E8"/>
    <w:rsid w:val="003A0A96"/>
    <w:rsid w:val="003A0DA4"/>
    <w:rsid w:val="003A0E28"/>
    <w:rsid w:val="003A0F51"/>
    <w:rsid w:val="003A1F6E"/>
    <w:rsid w:val="003A237E"/>
    <w:rsid w:val="003A23B6"/>
    <w:rsid w:val="003A2549"/>
    <w:rsid w:val="003A2C4B"/>
    <w:rsid w:val="003A2F91"/>
    <w:rsid w:val="003A3DFA"/>
    <w:rsid w:val="003A47FA"/>
    <w:rsid w:val="003A4D80"/>
    <w:rsid w:val="003A523E"/>
    <w:rsid w:val="003A5AA8"/>
    <w:rsid w:val="003A5BAC"/>
    <w:rsid w:val="003A68C4"/>
    <w:rsid w:val="003A6B39"/>
    <w:rsid w:val="003A6DA0"/>
    <w:rsid w:val="003A6EAC"/>
    <w:rsid w:val="003A7461"/>
    <w:rsid w:val="003B01B4"/>
    <w:rsid w:val="003B0314"/>
    <w:rsid w:val="003B0BAA"/>
    <w:rsid w:val="003B13FF"/>
    <w:rsid w:val="003B1745"/>
    <w:rsid w:val="003B1F5D"/>
    <w:rsid w:val="003B216B"/>
    <w:rsid w:val="003B232B"/>
    <w:rsid w:val="003B2DC6"/>
    <w:rsid w:val="003B3047"/>
    <w:rsid w:val="003B3295"/>
    <w:rsid w:val="003B32FE"/>
    <w:rsid w:val="003B33F0"/>
    <w:rsid w:val="003B3442"/>
    <w:rsid w:val="003B386E"/>
    <w:rsid w:val="003B3987"/>
    <w:rsid w:val="003B39BD"/>
    <w:rsid w:val="003B3A37"/>
    <w:rsid w:val="003B3EB2"/>
    <w:rsid w:val="003B4659"/>
    <w:rsid w:val="003B5741"/>
    <w:rsid w:val="003B5EDE"/>
    <w:rsid w:val="003B5F9F"/>
    <w:rsid w:val="003B6658"/>
    <w:rsid w:val="003B6D1F"/>
    <w:rsid w:val="003B6DDA"/>
    <w:rsid w:val="003B708B"/>
    <w:rsid w:val="003B7960"/>
    <w:rsid w:val="003B7B13"/>
    <w:rsid w:val="003B7EA7"/>
    <w:rsid w:val="003C028A"/>
    <w:rsid w:val="003C02FB"/>
    <w:rsid w:val="003C084C"/>
    <w:rsid w:val="003C0EC4"/>
    <w:rsid w:val="003C0F61"/>
    <w:rsid w:val="003C161A"/>
    <w:rsid w:val="003C1837"/>
    <w:rsid w:val="003C229C"/>
    <w:rsid w:val="003C2341"/>
    <w:rsid w:val="003C253E"/>
    <w:rsid w:val="003C28FC"/>
    <w:rsid w:val="003C2D10"/>
    <w:rsid w:val="003C2E0B"/>
    <w:rsid w:val="003C31E5"/>
    <w:rsid w:val="003C33F9"/>
    <w:rsid w:val="003C4177"/>
    <w:rsid w:val="003C4185"/>
    <w:rsid w:val="003C4ED2"/>
    <w:rsid w:val="003C5057"/>
    <w:rsid w:val="003C5A68"/>
    <w:rsid w:val="003C6492"/>
    <w:rsid w:val="003C685A"/>
    <w:rsid w:val="003C6C60"/>
    <w:rsid w:val="003C6CBC"/>
    <w:rsid w:val="003C7493"/>
    <w:rsid w:val="003C792C"/>
    <w:rsid w:val="003C7F05"/>
    <w:rsid w:val="003D02DD"/>
    <w:rsid w:val="003D09D4"/>
    <w:rsid w:val="003D0F73"/>
    <w:rsid w:val="003D0FCF"/>
    <w:rsid w:val="003D1413"/>
    <w:rsid w:val="003D1570"/>
    <w:rsid w:val="003D2F2D"/>
    <w:rsid w:val="003D30B1"/>
    <w:rsid w:val="003D31E3"/>
    <w:rsid w:val="003D35C9"/>
    <w:rsid w:val="003D41CC"/>
    <w:rsid w:val="003D41D5"/>
    <w:rsid w:val="003D46AF"/>
    <w:rsid w:val="003D4B57"/>
    <w:rsid w:val="003D4BFD"/>
    <w:rsid w:val="003D4F62"/>
    <w:rsid w:val="003D510D"/>
    <w:rsid w:val="003D522E"/>
    <w:rsid w:val="003D5525"/>
    <w:rsid w:val="003D5FEB"/>
    <w:rsid w:val="003D6B7A"/>
    <w:rsid w:val="003D7259"/>
    <w:rsid w:val="003D72C1"/>
    <w:rsid w:val="003D7A99"/>
    <w:rsid w:val="003E0657"/>
    <w:rsid w:val="003E080D"/>
    <w:rsid w:val="003E090C"/>
    <w:rsid w:val="003E0FA1"/>
    <w:rsid w:val="003E1386"/>
    <w:rsid w:val="003E17C3"/>
    <w:rsid w:val="003E19E3"/>
    <w:rsid w:val="003E1BF1"/>
    <w:rsid w:val="003E2C87"/>
    <w:rsid w:val="003E3453"/>
    <w:rsid w:val="003E381F"/>
    <w:rsid w:val="003E398F"/>
    <w:rsid w:val="003E46BC"/>
    <w:rsid w:val="003E48C2"/>
    <w:rsid w:val="003E4EBA"/>
    <w:rsid w:val="003E4F29"/>
    <w:rsid w:val="003E53C2"/>
    <w:rsid w:val="003E53FC"/>
    <w:rsid w:val="003E5468"/>
    <w:rsid w:val="003E54A5"/>
    <w:rsid w:val="003E57C7"/>
    <w:rsid w:val="003E6144"/>
    <w:rsid w:val="003E619C"/>
    <w:rsid w:val="003E75EF"/>
    <w:rsid w:val="003E769E"/>
    <w:rsid w:val="003E7938"/>
    <w:rsid w:val="003F04E3"/>
    <w:rsid w:val="003F0BC6"/>
    <w:rsid w:val="003F0CA7"/>
    <w:rsid w:val="003F0D66"/>
    <w:rsid w:val="003F2ACC"/>
    <w:rsid w:val="003F2E7F"/>
    <w:rsid w:val="003F3099"/>
    <w:rsid w:val="003F352A"/>
    <w:rsid w:val="003F35D7"/>
    <w:rsid w:val="003F42B3"/>
    <w:rsid w:val="003F5F01"/>
    <w:rsid w:val="003F6A4F"/>
    <w:rsid w:val="003F6B50"/>
    <w:rsid w:val="003F6E47"/>
    <w:rsid w:val="003F6F3A"/>
    <w:rsid w:val="0040081A"/>
    <w:rsid w:val="00400D88"/>
    <w:rsid w:val="00400EF3"/>
    <w:rsid w:val="00401564"/>
    <w:rsid w:val="0040194F"/>
    <w:rsid w:val="00401B93"/>
    <w:rsid w:val="00401F4A"/>
    <w:rsid w:val="00402A59"/>
    <w:rsid w:val="0040304D"/>
    <w:rsid w:val="00403335"/>
    <w:rsid w:val="00403A8C"/>
    <w:rsid w:val="004040E0"/>
    <w:rsid w:val="0040450A"/>
    <w:rsid w:val="0040520C"/>
    <w:rsid w:val="004053CA"/>
    <w:rsid w:val="00405DE0"/>
    <w:rsid w:val="00406429"/>
    <w:rsid w:val="004067DA"/>
    <w:rsid w:val="004067E5"/>
    <w:rsid w:val="00407914"/>
    <w:rsid w:val="00407C3A"/>
    <w:rsid w:val="0041009E"/>
    <w:rsid w:val="00410718"/>
    <w:rsid w:val="00410A8E"/>
    <w:rsid w:val="00410B73"/>
    <w:rsid w:val="00410C44"/>
    <w:rsid w:val="004113A9"/>
    <w:rsid w:val="0041148B"/>
    <w:rsid w:val="004117EB"/>
    <w:rsid w:val="00412772"/>
    <w:rsid w:val="00412D2A"/>
    <w:rsid w:val="00413AB3"/>
    <w:rsid w:val="00414966"/>
    <w:rsid w:val="00415145"/>
    <w:rsid w:val="004151D6"/>
    <w:rsid w:val="00415270"/>
    <w:rsid w:val="0041556E"/>
    <w:rsid w:val="00415582"/>
    <w:rsid w:val="00415991"/>
    <w:rsid w:val="00415EB7"/>
    <w:rsid w:val="00416599"/>
    <w:rsid w:val="004170FE"/>
    <w:rsid w:val="00417534"/>
    <w:rsid w:val="00417549"/>
    <w:rsid w:val="00417F15"/>
    <w:rsid w:val="0042036B"/>
    <w:rsid w:val="00420D27"/>
    <w:rsid w:val="004213D7"/>
    <w:rsid w:val="00421C90"/>
    <w:rsid w:val="0042216F"/>
    <w:rsid w:val="004222ED"/>
    <w:rsid w:val="00422559"/>
    <w:rsid w:val="0042290B"/>
    <w:rsid w:val="00422A16"/>
    <w:rsid w:val="00422CB5"/>
    <w:rsid w:val="00422F1A"/>
    <w:rsid w:val="0042482D"/>
    <w:rsid w:val="00424A29"/>
    <w:rsid w:val="00424A2E"/>
    <w:rsid w:val="00424A90"/>
    <w:rsid w:val="004252C4"/>
    <w:rsid w:val="00425DC2"/>
    <w:rsid w:val="00425E4A"/>
    <w:rsid w:val="0042651F"/>
    <w:rsid w:val="004266B1"/>
    <w:rsid w:val="00426D26"/>
    <w:rsid w:val="00427EF1"/>
    <w:rsid w:val="00427FDA"/>
    <w:rsid w:val="00430038"/>
    <w:rsid w:val="004300E8"/>
    <w:rsid w:val="00430828"/>
    <w:rsid w:val="00430E6C"/>
    <w:rsid w:val="004313F6"/>
    <w:rsid w:val="00431AAC"/>
    <w:rsid w:val="00431CEB"/>
    <w:rsid w:val="00432E38"/>
    <w:rsid w:val="00432E3B"/>
    <w:rsid w:val="00433054"/>
    <w:rsid w:val="00433683"/>
    <w:rsid w:val="00433835"/>
    <w:rsid w:val="00433893"/>
    <w:rsid w:val="0043389A"/>
    <w:rsid w:val="00433A74"/>
    <w:rsid w:val="00433AD3"/>
    <w:rsid w:val="00433C42"/>
    <w:rsid w:val="00433D34"/>
    <w:rsid w:val="0043413C"/>
    <w:rsid w:val="004342F6"/>
    <w:rsid w:val="00434344"/>
    <w:rsid w:val="00435E15"/>
    <w:rsid w:val="0043651E"/>
    <w:rsid w:val="00436C2F"/>
    <w:rsid w:val="00436C44"/>
    <w:rsid w:val="00436D12"/>
    <w:rsid w:val="004374F1"/>
    <w:rsid w:val="004376CC"/>
    <w:rsid w:val="004377BB"/>
    <w:rsid w:val="004379A1"/>
    <w:rsid w:val="004409A3"/>
    <w:rsid w:val="0044111A"/>
    <w:rsid w:val="00441593"/>
    <w:rsid w:val="00441CB0"/>
    <w:rsid w:val="00442039"/>
    <w:rsid w:val="00442BEB"/>
    <w:rsid w:val="00442CC0"/>
    <w:rsid w:val="0044377D"/>
    <w:rsid w:val="00443AE5"/>
    <w:rsid w:val="00443D29"/>
    <w:rsid w:val="00443FED"/>
    <w:rsid w:val="00444402"/>
    <w:rsid w:val="00444424"/>
    <w:rsid w:val="0044657E"/>
    <w:rsid w:val="0044675C"/>
    <w:rsid w:val="0044694E"/>
    <w:rsid w:val="00447DAC"/>
    <w:rsid w:val="004503D3"/>
    <w:rsid w:val="00450684"/>
    <w:rsid w:val="00451359"/>
    <w:rsid w:val="004525B6"/>
    <w:rsid w:val="004532A6"/>
    <w:rsid w:val="004548D2"/>
    <w:rsid w:val="00454D98"/>
    <w:rsid w:val="0045501A"/>
    <w:rsid w:val="0045609B"/>
    <w:rsid w:val="004570F4"/>
    <w:rsid w:val="0045757B"/>
    <w:rsid w:val="00460326"/>
    <w:rsid w:val="00460564"/>
    <w:rsid w:val="00460A27"/>
    <w:rsid w:val="00461954"/>
    <w:rsid w:val="00461BFC"/>
    <w:rsid w:val="00461D40"/>
    <w:rsid w:val="004622DC"/>
    <w:rsid w:val="0046274C"/>
    <w:rsid w:val="004630B6"/>
    <w:rsid w:val="004630CE"/>
    <w:rsid w:val="0046352B"/>
    <w:rsid w:val="00463CA8"/>
    <w:rsid w:val="0046447C"/>
    <w:rsid w:val="00464C43"/>
    <w:rsid w:val="004655FD"/>
    <w:rsid w:val="00465EE1"/>
    <w:rsid w:val="004666A0"/>
    <w:rsid w:val="0046677C"/>
    <w:rsid w:val="00466A2A"/>
    <w:rsid w:val="00466AC8"/>
    <w:rsid w:val="00466E2D"/>
    <w:rsid w:val="00467EB7"/>
    <w:rsid w:val="00471C97"/>
    <w:rsid w:val="004724E6"/>
    <w:rsid w:val="00473054"/>
    <w:rsid w:val="00473684"/>
    <w:rsid w:val="004744F6"/>
    <w:rsid w:val="00474672"/>
    <w:rsid w:val="00474785"/>
    <w:rsid w:val="00474B9E"/>
    <w:rsid w:val="00475178"/>
    <w:rsid w:val="00475344"/>
    <w:rsid w:val="004753B5"/>
    <w:rsid w:val="0047586E"/>
    <w:rsid w:val="00475A81"/>
    <w:rsid w:val="00475B86"/>
    <w:rsid w:val="00475E69"/>
    <w:rsid w:val="00475EDF"/>
    <w:rsid w:val="00475F47"/>
    <w:rsid w:val="0047605A"/>
    <w:rsid w:val="004760FE"/>
    <w:rsid w:val="0047693F"/>
    <w:rsid w:val="00476FD8"/>
    <w:rsid w:val="00477A5A"/>
    <w:rsid w:val="00477EC6"/>
    <w:rsid w:val="004808D9"/>
    <w:rsid w:val="00480E69"/>
    <w:rsid w:val="00481D18"/>
    <w:rsid w:val="00481ECB"/>
    <w:rsid w:val="0048200C"/>
    <w:rsid w:val="0048238C"/>
    <w:rsid w:val="00482984"/>
    <w:rsid w:val="004830F2"/>
    <w:rsid w:val="0048318F"/>
    <w:rsid w:val="0048376F"/>
    <w:rsid w:val="004837E5"/>
    <w:rsid w:val="00485998"/>
    <w:rsid w:val="0048630A"/>
    <w:rsid w:val="004863B3"/>
    <w:rsid w:val="00486CBF"/>
    <w:rsid w:val="00486DA4"/>
    <w:rsid w:val="004878A4"/>
    <w:rsid w:val="00490614"/>
    <w:rsid w:val="00490639"/>
    <w:rsid w:val="004907B1"/>
    <w:rsid w:val="00491917"/>
    <w:rsid w:val="00492259"/>
    <w:rsid w:val="00492470"/>
    <w:rsid w:val="00493C5C"/>
    <w:rsid w:val="00493CF6"/>
    <w:rsid w:val="00494E94"/>
    <w:rsid w:val="00495A4B"/>
    <w:rsid w:val="00495CF3"/>
    <w:rsid w:val="0049660C"/>
    <w:rsid w:val="0049769B"/>
    <w:rsid w:val="00497790"/>
    <w:rsid w:val="004A001E"/>
    <w:rsid w:val="004A042E"/>
    <w:rsid w:val="004A0DA0"/>
    <w:rsid w:val="004A0DAC"/>
    <w:rsid w:val="004A0DFC"/>
    <w:rsid w:val="004A0E66"/>
    <w:rsid w:val="004A101F"/>
    <w:rsid w:val="004A122D"/>
    <w:rsid w:val="004A12CC"/>
    <w:rsid w:val="004A139D"/>
    <w:rsid w:val="004A1569"/>
    <w:rsid w:val="004A1B6E"/>
    <w:rsid w:val="004A1CB2"/>
    <w:rsid w:val="004A2178"/>
    <w:rsid w:val="004A21EC"/>
    <w:rsid w:val="004A22D5"/>
    <w:rsid w:val="004A2636"/>
    <w:rsid w:val="004A2B22"/>
    <w:rsid w:val="004A2CBC"/>
    <w:rsid w:val="004A2DF8"/>
    <w:rsid w:val="004A2E76"/>
    <w:rsid w:val="004A3018"/>
    <w:rsid w:val="004A3479"/>
    <w:rsid w:val="004A382E"/>
    <w:rsid w:val="004A3F2A"/>
    <w:rsid w:val="004A4522"/>
    <w:rsid w:val="004A4B07"/>
    <w:rsid w:val="004A4EDD"/>
    <w:rsid w:val="004A4FEC"/>
    <w:rsid w:val="004A5DAE"/>
    <w:rsid w:val="004A6E8C"/>
    <w:rsid w:val="004A6F01"/>
    <w:rsid w:val="004A7296"/>
    <w:rsid w:val="004A7B20"/>
    <w:rsid w:val="004A7B88"/>
    <w:rsid w:val="004B05BA"/>
    <w:rsid w:val="004B0DEC"/>
    <w:rsid w:val="004B1E28"/>
    <w:rsid w:val="004B25D6"/>
    <w:rsid w:val="004B2785"/>
    <w:rsid w:val="004B3231"/>
    <w:rsid w:val="004B34B0"/>
    <w:rsid w:val="004B3CB9"/>
    <w:rsid w:val="004B3E4F"/>
    <w:rsid w:val="004B3F6B"/>
    <w:rsid w:val="004B55B1"/>
    <w:rsid w:val="004B5A65"/>
    <w:rsid w:val="004B6204"/>
    <w:rsid w:val="004B7704"/>
    <w:rsid w:val="004C0000"/>
    <w:rsid w:val="004C0110"/>
    <w:rsid w:val="004C0680"/>
    <w:rsid w:val="004C089C"/>
    <w:rsid w:val="004C0980"/>
    <w:rsid w:val="004C0AE8"/>
    <w:rsid w:val="004C0C38"/>
    <w:rsid w:val="004C0D1C"/>
    <w:rsid w:val="004C1116"/>
    <w:rsid w:val="004C1231"/>
    <w:rsid w:val="004C1359"/>
    <w:rsid w:val="004C13C9"/>
    <w:rsid w:val="004C155D"/>
    <w:rsid w:val="004C1CEE"/>
    <w:rsid w:val="004C1EA5"/>
    <w:rsid w:val="004C2E10"/>
    <w:rsid w:val="004C3443"/>
    <w:rsid w:val="004C3693"/>
    <w:rsid w:val="004C36D5"/>
    <w:rsid w:val="004C392A"/>
    <w:rsid w:val="004C3980"/>
    <w:rsid w:val="004C3E90"/>
    <w:rsid w:val="004C4101"/>
    <w:rsid w:val="004C476B"/>
    <w:rsid w:val="004C4829"/>
    <w:rsid w:val="004C567A"/>
    <w:rsid w:val="004C582E"/>
    <w:rsid w:val="004C6157"/>
    <w:rsid w:val="004C63CE"/>
    <w:rsid w:val="004C6517"/>
    <w:rsid w:val="004C6DC7"/>
    <w:rsid w:val="004C7191"/>
    <w:rsid w:val="004C72FD"/>
    <w:rsid w:val="004C7B3C"/>
    <w:rsid w:val="004C7B41"/>
    <w:rsid w:val="004D0097"/>
    <w:rsid w:val="004D0982"/>
    <w:rsid w:val="004D1DC4"/>
    <w:rsid w:val="004D3226"/>
    <w:rsid w:val="004D33A9"/>
    <w:rsid w:val="004D4548"/>
    <w:rsid w:val="004D492C"/>
    <w:rsid w:val="004D4D88"/>
    <w:rsid w:val="004D4E29"/>
    <w:rsid w:val="004D51BD"/>
    <w:rsid w:val="004D5A97"/>
    <w:rsid w:val="004D6360"/>
    <w:rsid w:val="004D6DC3"/>
    <w:rsid w:val="004D7348"/>
    <w:rsid w:val="004D79D6"/>
    <w:rsid w:val="004E011F"/>
    <w:rsid w:val="004E0358"/>
    <w:rsid w:val="004E0C04"/>
    <w:rsid w:val="004E12C9"/>
    <w:rsid w:val="004E1339"/>
    <w:rsid w:val="004E1982"/>
    <w:rsid w:val="004E1B31"/>
    <w:rsid w:val="004E1E70"/>
    <w:rsid w:val="004E1F02"/>
    <w:rsid w:val="004E2692"/>
    <w:rsid w:val="004E2E1D"/>
    <w:rsid w:val="004E2E6A"/>
    <w:rsid w:val="004E3299"/>
    <w:rsid w:val="004E387C"/>
    <w:rsid w:val="004E42D9"/>
    <w:rsid w:val="004E4869"/>
    <w:rsid w:val="004E48A8"/>
    <w:rsid w:val="004E5095"/>
    <w:rsid w:val="004E528F"/>
    <w:rsid w:val="004E580F"/>
    <w:rsid w:val="004E5A45"/>
    <w:rsid w:val="004E6687"/>
    <w:rsid w:val="004E6C02"/>
    <w:rsid w:val="004E70D4"/>
    <w:rsid w:val="004E751A"/>
    <w:rsid w:val="004E78D8"/>
    <w:rsid w:val="004E79AD"/>
    <w:rsid w:val="004E79CD"/>
    <w:rsid w:val="004E7AF1"/>
    <w:rsid w:val="004E7CBE"/>
    <w:rsid w:val="004E7FE7"/>
    <w:rsid w:val="004F002B"/>
    <w:rsid w:val="004F01F1"/>
    <w:rsid w:val="004F04CB"/>
    <w:rsid w:val="004F0B35"/>
    <w:rsid w:val="004F1012"/>
    <w:rsid w:val="004F17F7"/>
    <w:rsid w:val="004F1F00"/>
    <w:rsid w:val="004F2618"/>
    <w:rsid w:val="004F2944"/>
    <w:rsid w:val="004F2FFA"/>
    <w:rsid w:val="004F3334"/>
    <w:rsid w:val="004F3BAF"/>
    <w:rsid w:val="004F3EE4"/>
    <w:rsid w:val="004F437E"/>
    <w:rsid w:val="004F458B"/>
    <w:rsid w:val="004F477A"/>
    <w:rsid w:val="004F47BD"/>
    <w:rsid w:val="004F4D1C"/>
    <w:rsid w:val="004F52D9"/>
    <w:rsid w:val="004F550E"/>
    <w:rsid w:val="004F5619"/>
    <w:rsid w:val="004F565A"/>
    <w:rsid w:val="004F57B8"/>
    <w:rsid w:val="004F5EF2"/>
    <w:rsid w:val="004F64F6"/>
    <w:rsid w:val="004F67A8"/>
    <w:rsid w:val="004F6C36"/>
    <w:rsid w:val="004F6E62"/>
    <w:rsid w:val="004F7452"/>
    <w:rsid w:val="004F783D"/>
    <w:rsid w:val="004F787E"/>
    <w:rsid w:val="005000C4"/>
    <w:rsid w:val="005004DA"/>
    <w:rsid w:val="00500539"/>
    <w:rsid w:val="00500A0A"/>
    <w:rsid w:val="00500C4F"/>
    <w:rsid w:val="00500EB4"/>
    <w:rsid w:val="005012E5"/>
    <w:rsid w:val="00501ADE"/>
    <w:rsid w:val="00501BF1"/>
    <w:rsid w:val="005023B8"/>
    <w:rsid w:val="0050273A"/>
    <w:rsid w:val="00502A7D"/>
    <w:rsid w:val="0050323C"/>
    <w:rsid w:val="005032E0"/>
    <w:rsid w:val="00503945"/>
    <w:rsid w:val="005039D3"/>
    <w:rsid w:val="00503A4B"/>
    <w:rsid w:val="00503FD4"/>
    <w:rsid w:val="0050524D"/>
    <w:rsid w:val="0050585C"/>
    <w:rsid w:val="0050610A"/>
    <w:rsid w:val="005062D7"/>
    <w:rsid w:val="005062F5"/>
    <w:rsid w:val="00506A03"/>
    <w:rsid w:val="00507750"/>
    <w:rsid w:val="00507A84"/>
    <w:rsid w:val="00507D2F"/>
    <w:rsid w:val="00510992"/>
    <w:rsid w:val="00510A0E"/>
    <w:rsid w:val="00510E81"/>
    <w:rsid w:val="00511345"/>
    <w:rsid w:val="00511BE5"/>
    <w:rsid w:val="00512488"/>
    <w:rsid w:val="005125E2"/>
    <w:rsid w:val="00512613"/>
    <w:rsid w:val="005129D7"/>
    <w:rsid w:val="00513762"/>
    <w:rsid w:val="00513808"/>
    <w:rsid w:val="00513A6A"/>
    <w:rsid w:val="00513C21"/>
    <w:rsid w:val="005145D5"/>
    <w:rsid w:val="00514721"/>
    <w:rsid w:val="0051533B"/>
    <w:rsid w:val="005157A9"/>
    <w:rsid w:val="00515BC9"/>
    <w:rsid w:val="00515DBB"/>
    <w:rsid w:val="00515FA7"/>
    <w:rsid w:val="00515FBE"/>
    <w:rsid w:val="005161F8"/>
    <w:rsid w:val="00516814"/>
    <w:rsid w:val="005168EE"/>
    <w:rsid w:val="0051728D"/>
    <w:rsid w:val="0051797D"/>
    <w:rsid w:val="00517AF0"/>
    <w:rsid w:val="00520C88"/>
    <w:rsid w:val="00520D84"/>
    <w:rsid w:val="00521282"/>
    <w:rsid w:val="00521DED"/>
    <w:rsid w:val="0052202F"/>
    <w:rsid w:val="00522373"/>
    <w:rsid w:val="0052253C"/>
    <w:rsid w:val="00522E50"/>
    <w:rsid w:val="005237E7"/>
    <w:rsid w:val="00524EB3"/>
    <w:rsid w:val="00525000"/>
    <w:rsid w:val="00525732"/>
    <w:rsid w:val="00525D64"/>
    <w:rsid w:val="00525EFB"/>
    <w:rsid w:val="00526002"/>
    <w:rsid w:val="00526872"/>
    <w:rsid w:val="0052722C"/>
    <w:rsid w:val="005273F8"/>
    <w:rsid w:val="00527688"/>
    <w:rsid w:val="00527BA5"/>
    <w:rsid w:val="00527CE1"/>
    <w:rsid w:val="00530084"/>
    <w:rsid w:val="00530B0B"/>
    <w:rsid w:val="005310D9"/>
    <w:rsid w:val="00531613"/>
    <w:rsid w:val="00531680"/>
    <w:rsid w:val="00531934"/>
    <w:rsid w:val="00531967"/>
    <w:rsid w:val="00532F73"/>
    <w:rsid w:val="00533026"/>
    <w:rsid w:val="00533A36"/>
    <w:rsid w:val="00533F61"/>
    <w:rsid w:val="005342D8"/>
    <w:rsid w:val="0053430C"/>
    <w:rsid w:val="005349FE"/>
    <w:rsid w:val="00534A10"/>
    <w:rsid w:val="005353C1"/>
    <w:rsid w:val="005356A3"/>
    <w:rsid w:val="005359AB"/>
    <w:rsid w:val="00535D63"/>
    <w:rsid w:val="00535E18"/>
    <w:rsid w:val="00536154"/>
    <w:rsid w:val="0053691F"/>
    <w:rsid w:val="00536A64"/>
    <w:rsid w:val="00536E2D"/>
    <w:rsid w:val="0053711A"/>
    <w:rsid w:val="0053785E"/>
    <w:rsid w:val="00537E91"/>
    <w:rsid w:val="00540334"/>
    <w:rsid w:val="005406DF"/>
    <w:rsid w:val="005413EA"/>
    <w:rsid w:val="005414C1"/>
    <w:rsid w:val="00542257"/>
    <w:rsid w:val="00542817"/>
    <w:rsid w:val="00542C54"/>
    <w:rsid w:val="00543EC7"/>
    <w:rsid w:val="00544079"/>
    <w:rsid w:val="005443AF"/>
    <w:rsid w:val="00544476"/>
    <w:rsid w:val="005448CF"/>
    <w:rsid w:val="005454C5"/>
    <w:rsid w:val="00545717"/>
    <w:rsid w:val="00545810"/>
    <w:rsid w:val="00545CA8"/>
    <w:rsid w:val="0054635F"/>
    <w:rsid w:val="005465A8"/>
    <w:rsid w:val="0054678C"/>
    <w:rsid w:val="00546EC5"/>
    <w:rsid w:val="00547887"/>
    <w:rsid w:val="0055075A"/>
    <w:rsid w:val="00551321"/>
    <w:rsid w:val="00551F14"/>
    <w:rsid w:val="00551F29"/>
    <w:rsid w:val="00552585"/>
    <w:rsid w:val="005525CA"/>
    <w:rsid w:val="0055260B"/>
    <w:rsid w:val="00553472"/>
    <w:rsid w:val="00553501"/>
    <w:rsid w:val="00554307"/>
    <w:rsid w:val="00554893"/>
    <w:rsid w:val="00554F99"/>
    <w:rsid w:val="005553A8"/>
    <w:rsid w:val="005554FE"/>
    <w:rsid w:val="00555BBB"/>
    <w:rsid w:val="00555E47"/>
    <w:rsid w:val="00555FF9"/>
    <w:rsid w:val="0055625E"/>
    <w:rsid w:val="005566AB"/>
    <w:rsid w:val="00556911"/>
    <w:rsid w:val="0055712F"/>
    <w:rsid w:val="00557448"/>
    <w:rsid w:val="005574AF"/>
    <w:rsid w:val="0056003F"/>
    <w:rsid w:val="0056019E"/>
    <w:rsid w:val="00560311"/>
    <w:rsid w:val="005603AB"/>
    <w:rsid w:val="00560903"/>
    <w:rsid w:val="00560DCC"/>
    <w:rsid w:val="0056218C"/>
    <w:rsid w:val="00562201"/>
    <w:rsid w:val="00562730"/>
    <w:rsid w:val="00562C04"/>
    <w:rsid w:val="00562C65"/>
    <w:rsid w:val="00563135"/>
    <w:rsid w:val="0056344D"/>
    <w:rsid w:val="00564203"/>
    <w:rsid w:val="0056421B"/>
    <w:rsid w:val="0056466B"/>
    <w:rsid w:val="00564A84"/>
    <w:rsid w:val="00564C01"/>
    <w:rsid w:val="0056512C"/>
    <w:rsid w:val="00565341"/>
    <w:rsid w:val="005654A4"/>
    <w:rsid w:val="0056555E"/>
    <w:rsid w:val="005656EB"/>
    <w:rsid w:val="0056577C"/>
    <w:rsid w:val="005657D1"/>
    <w:rsid w:val="00565F45"/>
    <w:rsid w:val="00566040"/>
    <w:rsid w:val="005664E0"/>
    <w:rsid w:val="005667FD"/>
    <w:rsid w:val="00567CD1"/>
    <w:rsid w:val="00567F17"/>
    <w:rsid w:val="00570253"/>
    <w:rsid w:val="005703E2"/>
    <w:rsid w:val="00570489"/>
    <w:rsid w:val="00570A1B"/>
    <w:rsid w:val="00570D20"/>
    <w:rsid w:val="00571ECB"/>
    <w:rsid w:val="005727DA"/>
    <w:rsid w:val="00572F30"/>
    <w:rsid w:val="005737FE"/>
    <w:rsid w:val="00573946"/>
    <w:rsid w:val="005742C4"/>
    <w:rsid w:val="00574502"/>
    <w:rsid w:val="00574667"/>
    <w:rsid w:val="00574827"/>
    <w:rsid w:val="005748B3"/>
    <w:rsid w:val="005749EC"/>
    <w:rsid w:val="00574B04"/>
    <w:rsid w:val="00575074"/>
    <w:rsid w:val="00575426"/>
    <w:rsid w:val="00575C72"/>
    <w:rsid w:val="00575F86"/>
    <w:rsid w:val="0057679F"/>
    <w:rsid w:val="00576B86"/>
    <w:rsid w:val="00577971"/>
    <w:rsid w:val="00577AED"/>
    <w:rsid w:val="00580008"/>
    <w:rsid w:val="0058003E"/>
    <w:rsid w:val="005807F0"/>
    <w:rsid w:val="00580E80"/>
    <w:rsid w:val="0058122D"/>
    <w:rsid w:val="005813EC"/>
    <w:rsid w:val="00581F6E"/>
    <w:rsid w:val="00582211"/>
    <w:rsid w:val="0058251D"/>
    <w:rsid w:val="0058277C"/>
    <w:rsid w:val="00582CB0"/>
    <w:rsid w:val="005831B2"/>
    <w:rsid w:val="00583405"/>
    <w:rsid w:val="0058348C"/>
    <w:rsid w:val="0058352A"/>
    <w:rsid w:val="00584112"/>
    <w:rsid w:val="005848B2"/>
    <w:rsid w:val="00584D5F"/>
    <w:rsid w:val="005850DE"/>
    <w:rsid w:val="0058520C"/>
    <w:rsid w:val="005858A4"/>
    <w:rsid w:val="005861DF"/>
    <w:rsid w:val="0059006D"/>
    <w:rsid w:val="00590D86"/>
    <w:rsid w:val="00591793"/>
    <w:rsid w:val="00591CB4"/>
    <w:rsid w:val="00591F9B"/>
    <w:rsid w:val="005924EA"/>
    <w:rsid w:val="005926BE"/>
    <w:rsid w:val="00592B17"/>
    <w:rsid w:val="00592C93"/>
    <w:rsid w:val="00592EF9"/>
    <w:rsid w:val="0059369D"/>
    <w:rsid w:val="0059418A"/>
    <w:rsid w:val="00595163"/>
    <w:rsid w:val="0059517D"/>
    <w:rsid w:val="00595A82"/>
    <w:rsid w:val="005961A2"/>
    <w:rsid w:val="005964BB"/>
    <w:rsid w:val="00596B28"/>
    <w:rsid w:val="00596FF7"/>
    <w:rsid w:val="00597226"/>
    <w:rsid w:val="00597245"/>
    <w:rsid w:val="00597AA9"/>
    <w:rsid w:val="005A00CC"/>
    <w:rsid w:val="005A04A6"/>
    <w:rsid w:val="005A0509"/>
    <w:rsid w:val="005A090B"/>
    <w:rsid w:val="005A0C37"/>
    <w:rsid w:val="005A1033"/>
    <w:rsid w:val="005A1A06"/>
    <w:rsid w:val="005A1D91"/>
    <w:rsid w:val="005A22D8"/>
    <w:rsid w:val="005A2E17"/>
    <w:rsid w:val="005A2F17"/>
    <w:rsid w:val="005A3071"/>
    <w:rsid w:val="005A334D"/>
    <w:rsid w:val="005A3C77"/>
    <w:rsid w:val="005A3E06"/>
    <w:rsid w:val="005A3EA1"/>
    <w:rsid w:val="005A4362"/>
    <w:rsid w:val="005A4616"/>
    <w:rsid w:val="005A4CAB"/>
    <w:rsid w:val="005A4E66"/>
    <w:rsid w:val="005A4F09"/>
    <w:rsid w:val="005A54D6"/>
    <w:rsid w:val="005A5522"/>
    <w:rsid w:val="005A5872"/>
    <w:rsid w:val="005A6498"/>
    <w:rsid w:val="005A6876"/>
    <w:rsid w:val="005A6A44"/>
    <w:rsid w:val="005A6C18"/>
    <w:rsid w:val="005A6E6D"/>
    <w:rsid w:val="005A75EE"/>
    <w:rsid w:val="005A7998"/>
    <w:rsid w:val="005A7AC7"/>
    <w:rsid w:val="005B0075"/>
    <w:rsid w:val="005B108F"/>
    <w:rsid w:val="005B12B5"/>
    <w:rsid w:val="005B1365"/>
    <w:rsid w:val="005B14CA"/>
    <w:rsid w:val="005B151C"/>
    <w:rsid w:val="005B1A63"/>
    <w:rsid w:val="005B1B2A"/>
    <w:rsid w:val="005B215E"/>
    <w:rsid w:val="005B3194"/>
    <w:rsid w:val="005B38DA"/>
    <w:rsid w:val="005B3B14"/>
    <w:rsid w:val="005B3D53"/>
    <w:rsid w:val="005B421C"/>
    <w:rsid w:val="005B4D5F"/>
    <w:rsid w:val="005B4E05"/>
    <w:rsid w:val="005B4FCC"/>
    <w:rsid w:val="005B5104"/>
    <w:rsid w:val="005B51C4"/>
    <w:rsid w:val="005B5871"/>
    <w:rsid w:val="005B646E"/>
    <w:rsid w:val="005B70B3"/>
    <w:rsid w:val="005B72E5"/>
    <w:rsid w:val="005B7A9B"/>
    <w:rsid w:val="005C11A2"/>
    <w:rsid w:val="005C156D"/>
    <w:rsid w:val="005C2513"/>
    <w:rsid w:val="005C3DAA"/>
    <w:rsid w:val="005C3DD7"/>
    <w:rsid w:val="005C3F39"/>
    <w:rsid w:val="005C407B"/>
    <w:rsid w:val="005C4568"/>
    <w:rsid w:val="005C4EC4"/>
    <w:rsid w:val="005C5608"/>
    <w:rsid w:val="005C6AF1"/>
    <w:rsid w:val="005C6BFC"/>
    <w:rsid w:val="005C7385"/>
    <w:rsid w:val="005C7517"/>
    <w:rsid w:val="005C79CE"/>
    <w:rsid w:val="005C7F10"/>
    <w:rsid w:val="005D068D"/>
    <w:rsid w:val="005D0914"/>
    <w:rsid w:val="005D0966"/>
    <w:rsid w:val="005D0C1A"/>
    <w:rsid w:val="005D1144"/>
    <w:rsid w:val="005D12A5"/>
    <w:rsid w:val="005D1558"/>
    <w:rsid w:val="005D17F6"/>
    <w:rsid w:val="005D1983"/>
    <w:rsid w:val="005D20DF"/>
    <w:rsid w:val="005D218A"/>
    <w:rsid w:val="005D2631"/>
    <w:rsid w:val="005D28CD"/>
    <w:rsid w:val="005D29F4"/>
    <w:rsid w:val="005D2C8C"/>
    <w:rsid w:val="005D337C"/>
    <w:rsid w:val="005D38BA"/>
    <w:rsid w:val="005D3E70"/>
    <w:rsid w:val="005D3FA7"/>
    <w:rsid w:val="005D4B40"/>
    <w:rsid w:val="005D4BE2"/>
    <w:rsid w:val="005D4E1E"/>
    <w:rsid w:val="005D518D"/>
    <w:rsid w:val="005D542F"/>
    <w:rsid w:val="005D5718"/>
    <w:rsid w:val="005D59F7"/>
    <w:rsid w:val="005D5C61"/>
    <w:rsid w:val="005D5E40"/>
    <w:rsid w:val="005D65FC"/>
    <w:rsid w:val="005D740B"/>
    <w:rsid w:val="005D7456"/>
    <w:rsid w:val="005D77D1"/>
    <w:rsid w:val="005D796C"/>
    <w:rsid w:val="005D7B76"/>
    <w:rsid w:val="005D7CD2"/>
    <w:rsid w:val="005D7E90"/>
    <w:rsid w:val="005E0019"/>
    <w:rsid w:val="005E03A1"/>
    <w:rsid w:val="005E06CE"/>
    <w:rsid w:val="005E0F30"/>
    <w:rsid w:val="005E1A61"/>
    <w:rsid w:val="005E1AEB"/>
    <w:rsid w:val="005E1BD3"/>
    <w:rsid w:val="005E1E67"/>
    <w:rsid w:val="005E24A0"/>
    <w:rsid w:val="005E28B0"/>
    <w:rsid w:val="005E3497"/>
    <w:rsid w:val="005E36F3"/>
    <w:rsid w:val="005E379D"/>
    <w:rsid w:val="005E3A1D"/>
    <w:rsid w:val="005E3C89"/>
    <w:rsid w:val="005E3E75"/>
    <w:rsid w:val="005E4504"/>
    <w:rsid w:val="005E452E"/>
    <w:rsid w:val="005E4E45"/>
    <w:rsid w:val="005E5807"/>
    <w:rsid w:val="005E5A71"/>
    <w:rsid w:val="005E5CAB"/>
    <w:rsid w:val="005E5CEB"/>
    <w:rsid w:val="005E5E2B"/>
    <w:rsid w:val="005E615E"/>
    <w:rsid w:val="005E68F3"/>
    <w:rsid w:val="005E6AF5"/>
    <w:rsid w:val="005E7086"/>
    <w:rsid w:val="005E74A0"/>
    <w:rsid w:val="005E7940"/>
    <w:rsid w:val="005E7AF4"/>
    <w:rsid w:val="005F0573"/>
    <w:rsid w:val="005F0616"/>
    <w:rsid w:val="005F061F"/>
    <w:rsid w:val="005F0713"/>
    <w:rsid w:val="005F0F40"/>
    <w:rsid w:val="005F15CF"/>
    <w:rsid w:val="005F15D8"/>
    <w:rsid w:val="005F22C6"/>
    <w:rsid w:val="005F27B9"/>
    <w:rsid w:val="005F2B9E"/>
    <w:rsid w:val="005F2E8A"/>
    <w:rsid w:val="005F3286"/>
    <w:rsid w:val="005F38DB"/>
    <w:rsid w:val="005F3E77"/>
    <w:rsid w:val="005F62A5"/>
    <w:rsid w:val="005F6754"/>
    <w:rsid w:val="005F6CFC"/>
    <w:rsid w:val="005F730F"/>
    <w:rsid w:val="005F79F3"/>
    <w:rsid w:val="0060088B"/>
    <w:rsid w:val="006009A7"/>
    <w:rsid w:val="00600D36"/>
    <w:rsid w:val="0060131F"/>
    <w:rsid w:val="00601667"/>
    <w:rsid w:val="006017C9"/>
    <w:rsid w:val="0060185D"/>
    <w:rsid w:val="00601A36"/>
    <w:rsid w:val="00601C5E"/>
    <w:rsid w:val="006023BB"/>
    <w:rsid w:val="00602422"/>
    <w:rsid w:val="00603665"/>
    <w:rsid w:val="0060387F"/>
    <w:rsid w:val="00603995"/>
    <w:rsid w:val="00603B29"/>
    <w:rsid w:val="0060424E"/>
    <w:rsid w:val="00604D31"/>
    <w:rsid w:val="0060542A"/>
    <w:rsid w:val="0060572B"/>
    <w:rsid w:val="0060619B"/>
    <w:rsid w:val="006067DD"/>
    <w:rsid w:val="006069C6"/>
    <w:rsid w:val="0060725C"/>
    <w:rsid w:val="006073C1"/>
    <w:rsid w:val="006078A4"/>
    <w:rsid w:val="006079DE"/>
    <w:rsid w:val="00607C8B"/>
    <w:rsid w:val="00607DFE"/>
    <w:rsid w:val="006100E2"/>
    <w:rsid w:val="00610498"/>
    <w:rsid w:val="00610D54"/>
    <w:rsid w:val="0061137D"/>
    <w:rsid w:val="00611D74"/>
    <w:rsid w:val="00613070"/>
    <w:rsid w:val="00613416"/>
    <w:rsid w:val="00613CA0"/>
    <w:rsid w:val="00614082"/>
    <w:rsid w:val="006148C1"/>
    <w:rsid w:val="006162EF"/>
    <w:rsid w:val="00617509"/>
    <w:rsid w:val="00617819"/>
    <w:rsid w:val="00617856"/>
    <w:rsid w:val="00617B65"/>
    <w:rsid w:val="00617D93"/>
    <w:rsid w:val="00620026"/>
    <w:rsid w:val="0062060C"/>
    <w:rsid w:val="00620898"/>
    <w:rsid w:val="00620C87"/>
    <w:rsid w:val="00620D5A"/>
    <w:rsid w:val="00620E9F"/>
    <w:rsid w:val="006212F6"/>
    <w:rsid w:val="00621317"/>
    <w:rsid w:val="00621966"/>
    <w:rsid w:val="00621ACB"/>
    <w:rsid w:val="00622AD3"/>
    <w:rsid w:val="00622B92"/>
    <w:rsid w:val="0062368D"/>
    <w:rsid w:val="00623E66"/>
    <w:rsid w:val="0062410E"/>
    <w:rsid w:val="00624E97"/>
    <w:rsid w:val="00625495"/>
    <w:rsid w:val="00625F5F"/>
    <w:rsid w:val="00626173"/>
    <w:rsid w:val="00626A23"/>
    <w:rsid w:val="00626E57"/>
    <w:rsid w:val="00627314"/>
    <w:rsid w:val="00627F04"/>
    <w:rsid w:val="00627F09"/>
    <w:rsid w:val="0063080C"/>
    <w:rsid w:val="00630CE3"/>
    <w:rsid w:val="0063112D"/>
    <w:rsid w:val="00631C40"/>
    <w:rsid w:val="00631D06"/>
    <w:rsid w:val="00631F8C"/>
    <w:rsid w:val="00633000"/>
    <w:rsid w:val="0063354A"/>
    <w:rsid w:val="006335FD"/>
    <w:rsid w:val="00633F08"/>
    <w:rsid w:val="00633F2E"/>
    <w:rsid w:val="006346B2"/>
    <w:rsid w:val="00635016"/>
    <w:rsid w:val="00635E05"/>
    <w:rsid w:val="006361FD"/>
    <w:rsid w:val="006366E6"/>
    <w:rsid w:val="006367BD"/>
    <w:rsid w:val="00636A89"/>
    <w:rsid w:val="006371A9"/>
    <w:rsid w:val="00640237"/>
    <w:rsid w:val="00640463"/>
    <w:rsid w:val="0064085C"/>
    <w:rsid w:val="006408BC"/>
    <w:rsid w:val="00640BF1"/>
    <w:rsid w:val="00640D0C"/>
    <w:rsid w:val="006412CF"/>
    <w:rsid w:val="006413E4"/>
    <w:rsid w:val="006417E8"/>
    <w:rsid w:val="006425FF"/>
    <w:rsid w:val="00642A43"/>
    <w:rsid w:val="00643370"/>
    <w:rsid w:val="00643588"/>
    <w:rsid w:val="00643AC0"/>
    <w:rsid w:val="006440D2"/>
    <w:rsid w:val="00644225"/>
    <w:rsid w:val="00645474"/>
    <w:rsid w:val="006456F4"/>
    <w:rsid w:val="00645918"/>
    <w:rsid w:val="00646047"/>
    <w:rsid w:val="00646056"/>
    <w:rsid w:val="00646716"/>
    <w:rsid w:val="0064675E"/>
    <w:rsid w:val="00646D85"/>
    <w:rsid w:val="00647215"/>
    <w:rsid w:val="00647EE2"/>
    <w:rsid w:val="006501EA"/>
    <w:rsid w:val="0065063C"/>
    <w:rsid w:val="00650788"/>
    <w:rsid w:val="00650C1E"/>
    <w:rsid w:val="0065114B"/>
    <w:rsid w:val="00652069"/>
    <w:rsid w:val="00653166"/>
    <w:rsid w:val="00653768"/>
    <w:rsid w:val="0065462B"/>
    <w:rsid w:val="00654D1D"/>
    <w:rsid w:val="00654DC6"/>
    <w:rsid w:val="00655144"/>
    <w:rsid w:val="006558AA"/>
    <w:rsid w:val="006559ED"/>
    <w:rsid w:val="00655DF4"/>
    <w:rsid w:val="00656299"/>
    <w:rsid w:val="006562D1"/>
    <w:rsid w:val="00656DE6"/>
    <w:rsid w:val="00657627"/>
    <w:rsid w:val="006576FD"/>
    <w:rsid w:val="00657AFE"/>
    <w:rsid w:val="00660252"/>
    <w:rsid w:val="00660B2B"/>
    <w:rsid w:val="00660E19"/>
    <w:rsid w:val="00660E37"/>
    <w:rsid w:val="0066130B"/>
    <w:rsid w:val="0066139B"/>
    <w:rsid w:val="00661C7D"/>
    <w:rsid w:val="006625C5"/>
    <w:rsid w:val="0066280F"/>
    <w:rsid w:val="00662B1C"/>
    <w:rsid w:val="006635F5"/>
    <w:rsid w:val="0066397E"/>
    <w:rsid w:val="00663988"/>
    <w:rsid w:val="00663D71"/>
    <w:rsid w:val="00664623"/>
    <w:rsid w:val="00664704"/>
    <w:rsid w:val="00665395"/>
    <w:rsid w:val="00665602"/>
    <w:rsid w:val="00665926"/>
    <w:rsid w:val="006662E1"/>
    <w:rsid w:val="006665BC"/>
    <w:rsid w:val="006665C2"/>
    <w:rsid w:val="0066681C"/>
    <w:rsid w:val="00666BFE"/>
    <w:rsid w:val="00666DFA"/>
    <w:rsid w:val="00667254"/>
    <w:rsid w:val="0066732D"/>
    <w:rsid w:val="006674C2"/>
    <w:rsid w:val="00667C34"/>
    <w:rsid w:val="00670522"/>
    <w:rsid w:val="006706F5"/>
    <w:rsid w:val="0067080C"/>
    <w:rsid w:val="0067092C"/>
    <w:rsid w:val="00670F6D"/>
    <w:rsid w:val="00671394"/>
    <w:rsid w:val="00671879"/>
    <w:rsid w:val="00672352"/>
    <w:rsid w:val="00672F67"/>
    <w:rsid w:val="0067302D"/>
    <w:rsid w:val="00673289"/>
    <w:rsid w:val="0067379E"/>
    <w:rsid w:val="006740A8"/>
    <w:rsid w:val="0067459A"/>
    <w:rsid w:val="00674A34"/>
    <w:rsid w:val="00674BF8"/>
    <w:rsid w:val="00675D0F"/>
    <w:rsid w:val="00675DE5"/>
    <w:rsid w:val="006760B1"/>
    <w:rsid w:val="00676246"/>
    <w:rsid w:val="0067646C"/>
    <w:rsid w:val="0067688B"/>
    <w:rsid w:val="00676C18"/>
    <w:rsid w:val="00677DBF"/>
    <w:rsid w:val="00677FF7"/>
    <w:rsid w:val="00680978"/>
    <w:rsid w:val="00680F5C"/>
    <w:rsid w:val="00681B3F"/>
    <w:rsid w:val="0068200E"/>
    <w:rsid w:val="00682186"/>
    <w:rsid w:val="0068265E"/>
    <w:rsid w:val="0068283F"/>
    <w:rsid w:val="00682EA2"/>
    <w:rsid w:val="00682EF6"/>
    <w:rsid w:val="00683548"/>
    <w:rsid w:val="0068377F"/>
    <w:rsid w:val="00683E17"/>
    <w:rsid w:val="006840B3"/>
    <w:rsid w:val="00684A67"/>
    <w:rsid w:val="00685056"/>
    <w:rsid w:val="006850F5"/>
    <w:rsid w:val="00686691"/>
    <w:rsid w:val="006867BE"/>
    <w:rsid w:val="00686D0B"/>
    <w:rsid w:val="00687081"/>
    <w:rsid w:val="00687761"/>
    <w:rsid w:val="00687A0F"/>
    <w:rsid w:val="00691568"/>
    <w:rsid w:val="0069167D"/>
    <w:rsid w:val="006928A1"/>
    <w:rsid w:val="00692B1A"/>
    <w:rsid w:val="00692C46"/>
    <w:rsid w:val="0069357F"/>
    <w:rsid w:val="00693AFF"/>
    <w:rsid w:val="006941C6"/>
    <w:rsid w:val="00694964"/>
    <w:rsid w:val="00694A60"/>
    <w:rsid w:val="0069505A"/>
    <w:rsid w:val="006959F8"/>
    <w:rsid w:val="00695CAE"/>
    <w:rsid w:val="00696041"/>
    <w:rsid w:val="006967B0"/>
    <w:rsid w:val="006967F2"/>
    <w:rsid w:val="00696C5E"/>
    <w:rsid w:val="006973C2"/>
    <w:rsid w:val="00697438"/>
    <w:rsid w:val="00697AB5"/>
    <w:rsid w:val="006A075A"/>
    <w:rsid w:val="006A0E23"/>
    <w:rsid w:val="006A0F32"/>
    <w:rsid w:val="006A164E"/>
    <w:rsid w:val="006A1E52"/>
    <w:rsid w:val="006A2165"/>
    <w:rsid w:val="006A2822"/>
    <w:rsid w:val="006A2EE9"/>
    <w:rsid w:val="006A33D3"/>
    <w:rsid w:val="006A3C34"/>
    <w:rsid w:val="006A3C7B"/>
    <w:rsid w:val="006A3C93"/>
    <w:rsid w:val="006A3F1A"/>
    <w:rsid w:val="006A3F97"/>
    <w:rsid w:val="006A4516"/>
    <w:rsid w:val="006A46E1"/>
    <w:rsid w:val="006A5BFC"/>
    <w:rsid w:val="006A5D19"/>
    <w:rsid w:val="006A63A5"/>
    <w:rsid w:val="006A6459"/>
    <w:rsid w:val="006A66A1"/>
    <w:rsid w:val="006A683F"/>
    <w:rsid w:val="006A6BC1"/>
    <w:rsid w:val="006A6C95"/>
    <w:rsid w:val="006B0B67"/>
    <w:rsid w:val="006B12DC"/>
    <w:rsid w:val="006B1604"/>
    <w:rsid w:val="006B1661"/>
    <w:rsid w:val="006B1AAA"/>
    <w:rsid w:val="006B308E"/>
    <w:rsid w:val="006B33EC"/>
    <w:rsid w:val="006B38B3"/>
    <w:rsid w:val="006B3E11"/>
    <w:rsid w:val="006B3F96"/>
    <w:rsid w:val="006B3F97"/>
    <w:rsid w:val="006B4985"/>
    <w:rsid w:val="006B6C80"/>
    <w:rsid w:val="006B6CD6"/>
    <w:rsid w:val="006B721E"/>
    <w:rsid w:val="006B75F2"/>
    <w:rsid w:val="006B77E9"/>
    <w:rsid w:val="006B77FE"/>
    <w:rsid w:val="006B7D64"/>
    <w:rsid w:val="006C18A4"/>
    <w:rsid w:val="006C1E1C"/>
    <w:rsid w:val="006C208E"/>
    <w:rsid w:val="006C21B8"/>
    <w:rsid w:val="006C2928"/>
    <w:rsid w:val="006C307F"/>
    <w:rsid w:val="006C3820"/>
    <w:rsid w:val="006C3C49"/>
    <w:rsid w:val="006C4410"/>
    <w:rsid w:val="006C46B8"/>
    <w:rsid w:val="006C4BF8"/>
    <w:rsid w:val="006C5B65"/>
    <w:rsid w:val="006C5D5C"/>
    <w:rsid w:val="006C682A"/>
    <w:rsid w:val="006C72F6"/>
    <w:rsid w:val="006C79F1"/>
    <w:rsid w:val="006C7EFC"/>
    <w:rsid w:val="006D01D0"/>
    <w:rsid w:val="006D0501"/>
    <w:rsid w:val="006D0614"/>
    <w:rsid w:val="006D09D7"/>
    <w:rsid w:val="006D0A1F"/>
    <w:rsid w:val="006D0C2F"/>
    <w:rsid w:val="006D16C7"/>
    <w:rsid w:val="006D2255"/>
    <w:rsid w:val="006D2569"/>
    <w:rsid w:val="006D2968"/>
    <w:rsid w:val="006D2A90"/>
    <w:rsid w:val="006D2EAC"/>
    <w:rsid w:val="006D3248"/>
    <w:rsid w:val="006D34BC"/>
    <w:rsid w:val="006D3D01"/>
    <w:rsid w:val="006D4102"/>
    <w:rsid w:val="006D414C"/>
    <w:rsid w:val="006D43D2"/>
    <w:rsid w:val="006D45EE"/>
    <w:rsid w:val="006D4F7E"/>
    <w:rsid w:val="006D511B"/>
    <w:rsid w:val="006D5187"/>
    <w:rsid w:val="006D53C9"/>
    <w:rsid w:val="006D5597"/>
    <w:rsid w:val="006D61AD"/>
    <w:rsid w:val="006D67E6"/>
    <w:rsid w:val="006D696E"/>
    <w:rsid w:val="006D72CB"/>
    <w:rsid w:val="006D7A46"/>
    <w:rsid w:val="006D7BF8"/>
    <w:rsid w:val="006D7C96"/>
    <w:rsid w:val="006E0C20"/>
    <w:rsid w:val="006E1CDD"/>
    <w:rsid w:val="006E1DF3"/>
    <w:rsid w:val="006E22F3"/>
    <w:rsid w:val="006E24BE"/>
    <w:rsid w:val="006E2519"/>
    <w:rsid w:val="006E2523"/>
    <w:rsid w:val="006E2A3D"/>
    <w:rsid w:val="006E2FC0"/>
    <w:rsid w:val="006E3026"/>
    <w:rsid w:val="006E34AF"/>
    <w:rsid w:val="006E3BC8"/>
    <w:rsid w:val="006E52E1"/>
    <w:rsid w:val="006E5685"/>
    <w:rsid w:val="006E5754"/>
    <w:rsid w:val="006E5E1B"/>
    <w:rsid w:val="006E5F1D"/>
    <w:rsid w:val="006E7163"/>
    <w:rsid w:val="006E733B"/>
    <w:rsid w:val="006E7371"/>
    <w:rsid w:val="006E766D"/>
    <w:rsid w:val="006E7BF5"/>
    <w:rsid w:val="006F0869"/>
    <w:rsid w:val="006F0CAE"/>
    <w:rsid w:val="006F1FB1"/>
    <w:rsid w:val="006F2595"/>
    <w:rsid w:val="006F2649"/>
    <w:rsid w:val="006F26C7"/>
    <w:rsid w:val="006F2F55"/>
    <w:rsid w:val="006F45FA"/>
    <w:rsid w:val="006F4A44"/>
    <w:rsid w:val="006F4E83"/>
    <w:rsid w:val="006F51CD"/>
    <w:rsid w:val="006F598E"/>
    <w:rsid w:val="006F5BBA"/>
    <w:rsid w:val="006F5DA3"/>
    <w:rsid w:val="006F6869"/>
    <w:rsid w:val="006F6E0B"/>
    <w:rsid w:val="006F6F70"/>
    <w:rsid w:val="006F76A2"/>
    <w:rsid w:val="006F7992"/>
    <w:rsid w:val="006F7FA4"/>
    <w:rsid w:val="00700C2E"/>
    <w:rsid w:val="00701354"/>
    <w:rsid w:val="00702127"/>
    <w:rsid w:val="00702DA9"/>
    <w:rsid w:val="007030A8"/>
    <w:rsid w:val="00703189"/>
    <w:rsid w:val="007039C8"/>
    <w:rsid w:val="00703E25"/>
    <w:rsid w:val="00704051"/>
    <w:rsid w:val="007042CA"/>
    <w:rsid w:val="00704409"/>
    <w:rsid w:val="007044EA"/>
    <w:rsid w:val="0070495B"/>
    <w:rsid w:val="007050EB"/>
    <w:rsid w:val="00705E67"/>
    <w:rsid w:val="007060CF"/>
    <w:rsid w:val="00706B38"/>
    <w:rsid w:val="007072B6"/>
    <w:rsid w:val="0070766F"/>
    <w:rsid w:val="00707A6A"/>
    <w:rsid w:val="00710A1E"/>
    <w:rsid w:val="00711082"/>
    <w:rsid w:val="00711960"/>
    <w:rsid w:val="00711DB1"/>
    <w:rsid w:val="00712225"/>
    <w:rsid w:val="00712312"/>
    <w:rsid w:val="007124F8"/>
    <w:rsid w:val="00712A68"/>
    <w:rsid w:val="00712C07"/>
    <w:rsid w:val="00712E5D"/>
    <w:rsid w:val="00713022"/>
    <w:rsid w:val="00713210"/>
    <w:rsid w:val="007132BF"/>
    <w:rsid w:val="007136DF"/>
    <w:rsid w:val="00713785"/>
    <w:rsid w:val="00713BB1"/>
    <w:rsid w:val="00714253"/>
    <w:rsid w:val="00714501"/>
    <w:rsid w:val="00714ACC"/>
    <w:rsid w:val="00714C0D"/>
    <w:rsid w:val="00715814"/>
    <w:rsid w:val="00715AC1"/>
    <w:rsid w:val="00715F63"/>
    <w:rsid w:val="007166BC"/>
    <w:rsid w:val="00716D08"/>
    <w:rsid w:val="00716DA8"/>
    <w:rsid w:val="00717011"/>
    <w:rsid w:val="007175DB"/>
    <w:rsid w:val="007176FC"/>
    <w:rsid w:val="007178CF"/>
    <w:rsid w:val="007179C2"/>
    <w:rsid w:val="007203E6"/>
    <w:rsid w:val="007207EA"/>
    <w:rsid w:val="00720BA0"/>
    <w:rsid w:val="00721E6C"/>
    <w:rsid w:val="0072255E"/>
    <w:rsid w:val="00723C81"/>
    <w:rsid w:val="00723E62"/>
    <w:rsid w:val="0072404B"/>
    <w:rsid w:val="00724115"/>
    <w:rsid w:val="00724787"/>
    <w:rsid w:val="0072478E"/>
    <w:rsid w:val="007249EF"/>
    <w:rsid w:val="007250AD"/>
    <w:rsid w:val="00725266"/>
    <w:rsid w:val="007253C8"/>
    <w:rsid w:val="0072570D"/>
    <w:rsid w:val="00725C9A"/>
    <w:rsid w:val="00725EA5"/>
    <w:rsid w:val="0072631D"/>
    <w:rsid w:val="0072688F"/>
    <w:rsid w:val="00726CDD"/>
    <w:rsid w:val="007273ED"/>
    <w:rsid w:val="00727FFD"/>
    <w:rsid w:val="0073006E"/>
    <w:rsid w:val="00731025"/>
    <w:rsid w:val="00731320"/>
    <w:rsid w:val="00731543"/>
    <w:rsid w:val="00731997"/>
    <w:rsid w:val="00732DB4"/>
    <w:rsid w:val="007335DC"/>
    <w:rsid w:val="00733D25"/>
    <w:rsid w:val="00733E0A"/>
    <w:rsid w:val="0073492C"/>
    <w:rsid w:val="00734E17"/>
    <w:rsid w:val="007350EB"/>
    <w:rsid w:val="007353DF"/>
    <w:rsid w:val="0073585A"/>
    <w:rsid w:val="00736575"/>
    <w:rsid w:val="00736A7B"/>
    <w:rsid w:val="007373E6"/>
    <w:rsid w:val="0074002E"/>
    <w:rsid w:val="00740166"/>
    <w:rsid w:val="00740219"/>
    <w:rsid w:val="00740603"/>
    <w:rsid w:val="0074128E"/>
    <w:rsid w:val="00741297"/>
    <w:rsid w:val="00741378"/>
    <w:rsid w:val="0074151B"/>
    <w:rsid w:val="007416F7"/>
    <w:rsid w:val="007422D7"/>
    <w:rsid w:val="0074277E"/>
    <w:rsid w:val="00742E02"/>
    <w:rsid w:val="00742E45"/>
    <w:rsid w:val="00744271"/>
    <w:rsid w:val="007442D4"/>
    <w:rsid w:val="00744338"/>
    <w:rsid w:val="00744483"/>
    <w:rsid w:val="00744CB9"/>
    <w:rsid w:val="00744E75"/>
    <w:rsid w:val="00745194"/>
    <w:rsid w:val="00745D85"/>
    <w:rsid w:val="0074611C"/>
    <w:rsid w:val="0074624D"/>
    <w:rsid w:val="00746721"/>
    <w:rsid w:val="00746FAC"/>
    <w:rsid w:val="00747841"/>
    <w:rsid w:val="00750693"/>
    <w:rsid w:val="007509F0"/>
    <w:rsid w:val="00750A26"/>
    <w:rsid w:val="00751137"/>
    <w:rsid w:val="007513FC"/>
    <w:rsid w:val="007516EA"/>
    <w:rsid w:val="00751BC8"/>
    <w:rsid w:val="00751E02"/>
    <w:rsid w:val="007522DB"/>
    <w:rsid w:val="00752319"/>
    <w:rsid w:val="00752780"/>
    <w:rsid w:val="00752C7E"/>
    <w:rsid w:val="007532C9"/>
    <w:rsid w:val="00753729"/>
    <w:rsid w:val="00753EB4"/>
    <w:rsid w:val="00754D4F"/>
    <w:rsid w:val="00755293"/>
    <w:rsid w:val="00755887"/>
    <w:rsid w:val="00755D03"/>
    <w:rsid w:val="00756228"/>
    <w:rsid w:val="00756753"/>
    <w:rsid w:val="00756E3C"/>
    <w:rsid w:val="00757070"/>
    <w:rsid w:val="00757566"/>
    <w:rsid w:val="0075761C"/>
    <w:rsid w:val="00757AA0"/>
    <w:rsid w:val="0076095E"/>
    <w:rsid w:val="00760AEC"/>
    <w:rsid w:val="00760B29"/>
    <w:rsid w:val="00760DE0"/>
    <w:rsid w:val="00760E15"/>
    <w:rsid w:val="007616ED"/>
    <w:rsid w:val="00761A1C"/>
    <w:rsid w:val="00761B7E"/>
    <w:rsid w:val="00762203"/>
    <w:rsid w:val="007629BA"/>
    <w:rsid w:val="00762A29"/>
    <w:rsid w:val="007631B3"/>
    <w:rsid w:val="00763BA2"/>
    <w:rsid w:val="00764336"/>
    <w:rsid w:val="00764966"/>
    <w:rsid w:val="00764BEC"/>
    <w:rsid w:val="00765EFA"/>
    <w:rsid w:val="00765FF6"/>
    <w:rsid w:val="00766201"/>
    <w:rsid w:val="00766256"/>
    <w:rsid w:val="0076629B"/>
    <w:rsid w:val="007663C3"/>
    <w:rsid w:val="00766510"/>
    <w:rsid w:val="007669EC"/>
    <w:rsid w:val="00766B45"/>
    <w:rsid w:val="00766F7F"/>
    <w:rsid w:val="00767428"/>
    <w:rsid w:val="00767801"/>
    <w:rsid w:val="00770372"/>
    <w:rsid w:val="007707B3"/>
    <w:rsid w:val="00770AB0"/>
    <w:rsid w:val="007710B3"/>
    <w:rsid w:val="007712FE"/>
    <w:rsid w:val="00771A4A"/>
    <w:rsid w:val="00771EF2"/>
    <w:rsid w:val="00771F71"/>
    <w:rsid w:val="007728C9"/>
    <w:rsid w:val="00772DA6"/>
    <w:rsid w:val="0077328D"/>
    <w:rsid w:val="00773586"/>
    <w:rsid w:val="0077358C"/>
    <w:rsid w:val="0077388B"/>
    <w:rsid w:val="00774692"/>
    <w:rsid w:val="007747E9"/>
    <w:rsid w:val="007758CC"/>
    <w:rsid w:val="007758F3"/>
    <w:rsid w:val="00775958"/>
    <w:rsid w:val="00776841"/>
    <w:rsid w:val="00776FDD"/>
    <w:rsid w:val="00777524"/>
    <w:rsid w:val="00777D70"/>
    <w:rsid w:val="00780430"/>
    <w:rsid w:val="0078075D"/>
    <w:rsid w:val="0078099B"/>
    <w:rsid w:val="00780A21"/>
    <w:rsid w:val="00780B57"/>
    <w:rsid w:val="007814BE"/>
    <w:rsid w:val="00781F4E"/>
    <w:rsid w:val="00782106"/>
    <w:rsid w:val="007826D8"/>
    <w:rsid w:val="0078275E"/>
    <w:rsid w:val="007828CF"/>
    <w:rsid w:val="00782E7E"/>
    <w:rsid w:val="0078303C"/>
    <w:rsid w:val="007831DF"/>
    <w:rsid w:val="007832AA"/>
    <w:rsid w:val="00783E67"/>
    <w:rsid w:val="00784085"/>
    <w:rsid w:val="00784A05"/>
    <w:rsid w:val="007850F2"/>
    <w:rsid w:val="00785898"/>
    <w:rsid w:val="00785D64"/>
    <w:rsid w:val="00785FF4"/>
    <w:rsid w:val="00786D9F"/>
    <w:rsid w:val="0078729B"/>
    <w:rsid w:val="00787ABD"/>
    <w:rsid w:val="0079024B"/>
    <w:rsid w:val="00790618"/>
    <w:rsid w:val="007908FC"/>
    <w:rsid w:val="00790CA1"/>
    <w:rsid w:val="00790DD1"/>
    <w:rsid w:val="007913DB"/>
    <w:rsid w:val="007915F9"/>
    <w:rsid w:val="00791C4E"/>
    <w:rsid w:val="00791DD9"/>
    <w:rsid w:val="00791E89"/>
    <w:rsid w:val="00791F41"/>
    <w:rsid w:val="0079208D"/>
    <w:rsid w:val="00793C68"/>
    <w:rsid w:val="00794B57"/>
    <w:rsid w:val="00794EC9"/>
    <w:rsid w:val="007951DB"/>
    <w:rsid w:val="007952D3"/>
    <w:rsid w:val="00795A76"/>
    <w:rsid w:val="00795D18"/>
    <w:rsid w:val="00796B22"/>
    <w:rsid w:val="007A05DA"/>
    <w:rsid w:val="007A10FE"/>
    <w:rsid w:val="007A19EF"/>
    <w:rsid w:val="007A2EF6"/>
    <w:rsid w:val="007A301A"/>
    <w:rsid w:val="007A3C26"/>
    <w:rsid w:val="007A4146"/>
    <w:rsid w:val="007A42F5"/>
    <w:rsid w:val="007A44C6"/>
    <w:rsid w:val="007A496D"/>
    <w:rsid w:val="007A509A"/>
    <w:rsid w:val="007A6465"/>
    <w:rsid w:val="007A6C6F"/>
    <w:rsid w:val="007A6DFC"/>
    <w:rsid w:val="007A738C"/>
    <w:rsid w:val="007A7AE8"/>
    <w:rsid w:val="007B09FA"/>
    <w:rsid w:val="007B0FB4"/>
    <w:rsid w:val="007B1724"/>
    <w:rsid w:val="007B2F30"/>
    <w:rsid w:val="007B2F75"/>
    <w:rsid w:val="007B36E4"/>
    <w:rsid w:val="007B4EC6"/>
    <w:rsid w:val="007B50A5"/>
    <w:rsid w:val="007B511A"/>
    <w:rsid w:val="007B5418"/>
    <w:rsid w:val="007B56E1"/>
    <w:rsid w:val="007B6378"/>
    <w:rsid w:val="007B67F3"/>
    <w:rsid w:val="007B6EDD"/>
    <w:rsid w:val="007C0049"/>
    <w:rsid w:val="007C020F"/>
    <w:rsid w:val="007C0F6A"/>
    <w:rsid w:val="007C2285"/>
    <w:rsid w:val="007C30FB"/>
    <w:rsid w:val="007C3D23"/>
    <w:rsid w:val="007C3F38"/>
    <w:rsid w:val="007C3FE9"/>
    <w:rsid w:val="007C488B"/>
    <w:rsid w:val="007C49D1"/>
    <w:rsid w:val="007C4A43"/>
    <w:rsid w:val="007C4B7E"/>
    <w:rsid w:val="007C4E5B"/>
    <w:rsid w:val="007C5950"/>
    <w:rsid w:val="007C5BB7"/>
    <w:rsid w:val="007C609F"/>
    <w:rsid w:val="007C659A"/>
    <w:rsid w:val="007C65BE"/>
    <w:rsid w:val="007C6871"/>
    <w:rsid w:val="007C6E23"/>
    <w:rsid w:val="007C702A"/>
    <w:rsid w:val="007C7309"/>
    <w:rsid w:val="007C7411"/>
    <w:rsid w:val="007D01CC"/>
    <w:rsid w:val="007D0733"/>
    <w:rsid w:val="007D0B61"/>
    <w:rsid w:val="007D132B"/>
    <w:rsid w:val="007D183B"/>
    <w:rsid w:val="007D1ABF"/>
    <w:rsid w:val="007D275A"/>
    <w:rsid w:val="007D2CA9"/>
    <w:rsid w:val="007D3345"/>
    <w:rsid w:val="007D3757"/>
    <w:rsid w:val="007D3769"/>
    <w:rsid w:val="007D3E62"/>
    <w:rsid w:val="007D41E3"/>
    <w:rsid w:val="007D4459"/>
    <w:rsid w:val="007D5DB9"/>
    <w:rsid w:val="007D691B"/>
    <w:rsid w:val="007D7671"/>
    <w:rsid w:val="007D7803"/>
    <w:rsid w:val="007D7F29"/>
    <w:rsid w:val="007E00E4"/>
    <w:rsid w:val="007E01E3"/>
    <w:rsid w:val="007E0747"/>
    <w:rsid w:val="007E0A81"/>
    <w:rsid w:val="007E0D3A"/>
    <w:rsid w:val="007E21DA"/>
    <w:rsid w:val="007E22CF"/>
    <w:rsid w:val="007E2C4C"/>
    <w:rsid w:val="007E3401"/>
    <w:rsid w:val="007E3A32"/>
    <w:rsid w:val="007E3B7B"/>
    <w:rsid w:val="007E3C16"/>
    <w:rsid w:val="007E4433"/>
    <w:rsid w:val="007E5753"/>
    <w:rsid w:val="007E6008"/>
    <w:rsid w:val="007E6AAE"/>
    <w:rsid w:val="007E720B"/>
    <w:rsid w:val="007E7D7F"/>
    <w:rsid w:val="007E7E23"/>
    <w:rsid w:val="007E7F95"/>
    <w:rsid w:val="007F0A07"/>
    <w:rsid w:val="007F0CBC"/>
    <w:rsid w:val="007F1BA7"/>
    <w:rsid w:val="007F1D24"/>
    <w:rsid w:val="007F2B65"/>
    <w:rsid w:val="007F4A18"/>
    <w:rsid w:val="007F4A82"/>
    <w:rsid w:val="007F4D00"/>
    <w:rsid w:val="007F5368"/>
    <w:rsid w:val="007F5AD8"/>
    <w:rsid w:val="007F5D9C"/>
    <w:rsid w:val="007F5DF3"/>
    <w:rsid w:val="007F67A2"/>
    <w:rsid w:val="007F6B3F"/>
    <w:rsid w:val="007F7086"/>
    <w:rsid w:val="007F7943"/>
    <w:rsid w:val="007F7A5E"/>
    <w:rsid w:val="00800184"/>
    <w:rsid w:val="00800E57"/>
    <w:rsid w:val="0080107C"/>
    <w:rsid w:val="0080184E"/>
    <w:rsid w:val="008018F5"/>
    <w:rsid w:val="00801D62"/>
    <w:rsid w:val="00801D96"/>
    <w:rsid w:val="008029A6"/>
    <w:rsid w:val="00802E56"/>
    <w:rsid w:val="00803511"/>
    <w:rsid w:val="00803EA9"/>
    <w:rsid w:val="00803EB6"/>
    <w:rsid w:val="00804240"/>
    <w:rsid w:val="00804C1A"/>
    <w:rsid w:val="00804E99"/>
    <w:rsid w:val="00805231"/>
    <w:rsid w:val="00805409"/>
    <w:rsid w:val="0080629E"/>
    <w:rsid w:val="00806696"/>
    <w:rsid w:val="00806ADE"/>
    <w:rsid w:val="00806DAE"/>
    <w:rsid w:val="0080738E"/>
    <w:rsid w:val="00807C8B"/>
    <w:rsid w:val="00810221"/>
    <w:rsid w:val="00810898"/>
    <w:rsid w:val="00810A6A"/>
    <w:rsid w:val="00810B20"/>
    <w:rsid w:val="00810B3A"/>
    <w:rsid w:val="00810C0E"/>
    <w:rsid w:val="00811A9D"/>
    <w:rsid w:val="00811AEA"/>
    <w:rsid w:val="00811CC7"/>
    <w:rsid w:val="00811D28"/>
    <w:rsid w:val="008121AA"/>
    <w:rsid w:val="0081277E"/>
    <w:rsid w:val="00812998"/>
    <w:rsid w:val="00812C95"/>
    <w:rsid w:val="00812D9B"/>
    <w:rsid w:val="008138DC"/>
    <w:rsid w:val="00813E51"/>
    <w:rsid w:val="00814381"/>
    <w:rsid w:val="0081438B"/>
    <w:rsid w:val="00815393"/>
    <w:rsid w:val="008155D4"/>
    <w:rsid w:val="0081581A"/>
    <w:rsid w:val="008159E2"/>
    <w:rsid w:val="00815C57"/>
    <w:rsid w:val="00815CA4"/>
    <w:rsid w:val="00816066"/>
    <w:rsid w:val="00820288"/>
    <w:rsid w:val="00821396"/>
    <w:rsid w:val="00821768"/>
    <w:rsid w:val="00821934"/>
    <w:rsid w:val="00821A77"/>
    <w:rsid w:val="00821B56"/>
    <w:rsid w:val="008220B4"/>
    <w:rsid w:val="00822E32"/>
    <w:rsid w:val="00822F0E"/>
    <w:rsid w:val="008258C8"/>
    <w:rsid w:val="00825927"/>
    <w:rsid w:val="008260E7"/>
    <w:rsid w:val="008261DF"/>
    <w:rsid w:val="00826591"/>
    <w:rsid w:val="008268B6"/>
    <w:rsid w:val="00826E0E"/>
    <w:rsid w:val="00827292"/>
    <w:rsid w:val="00827620"/>
    <w:rsid w:val="0082781E"/>
    <w:rsid w:val="00827A9E"/>
    <w:rsid w:val="00827EA0"/>
    <w:rsid w:val="00827F93"/>
    <w:rsid w:val="00830020"/>
    <w:rsid w:val="0083044E"/>
    <w:rsid w:val="0083076E"/>
    <w:rsid w:val="008307A9"/>
    <w:rsid w:val="00830804"/>
    <w:rsid w:val="00831A1F"/>
    <w:rsid w:val="008323AE"/>
    <w:rsid w:val="008323C7"/>
    <w:rsid w:val="00833389"/>
    <w:rsid w:val="00833D77"/>
    <w:rsid w:val="00834169"/>
    <w:rsid w:val="00834974"/>
    <w:rsid w:val="00834ACC"/>
    <w:rsid w:val="00834D07"/>
    <w:rsid w:val="008351A1"/>
    <w:rsid w:val="008355CE"/>
    <w:rsid w:val="008358BE"/>
    <w:rsid w:val="00835CBF"/>
    <w:rsid w:val="00835E79"/>
    <w:rsid w:val="00836370"/>
    <w:rsid w:val="0083654C"/>
    <w:rsid w:val="00836A0F"/>
    <w:rsid w:val="00836C2B"/>
    <w:rsid w:val="00836E76"/>
    <w:rsid w:val="008379EA"/>
    <w:rsid w:val="00837A79"/>
    <w:rsid w:val="00840186"/>
    <w:rsid w:val="0084039E"/>
    <w:rsid w:val="00840441"/>
    <w:rsid w:val="00840952"/>
    <w:rsid w:val="00840D97"/>
    <w:rsid w:val="00840F51"/>
    <w:rsid w:val="00841B5D"/>
    <w:rsid w:val="00841CBE"/>
    <w:rsid w:val="0084211F"/>
    <w:rsid w:val="0084297A"/>
    <w:rsid w:val="008429B1"/>
    <w:rsid w:val="00842C4C"/>
    <w:rsid w:val="00842CE2"/>
    <w:rsid w:val="00842F1D"/>
    <w:rsid w:val="00843414"/>
    <w:rsid w:val="008435D1"/>
    <w:rsid w:val="00844875"/>
    <w:rsid w:val="00845344"/>
    <w:rsid w:val="00845870"/>
    <w:rsid w:val="00845DCA"/>
    <w:rsid w:val="00846341"/>
    <w:rsid w:val="00846C99"/>
    <w:rsid w:val="00846EFD"/>
    <w:rsid w:val="00847038"/>
    <w:rsid w:val="008470CB"/>
    <w:rsid w:val="00847670"/>
    <w:rsid w:val="008479E8"/>
    <w:rsid w:val="008500DA"/>
    <w:rsid w:val="00850605"/>
    <w:rsid w:val="00850B54"/>
    <w:rsid w:val="00850B73"/>
    <w:rsid w:val="00850CAF"/>
    <w:rsid w:val="008510A5"/>
    <w:rsid w:val="008514B8"/>
    <w:rsid w:val="00851B61"/>
    <w:rsid w:val="00851DFF"/>
    <w:rsid w:val="00851FCB"/>
    <w:rsid w:val="0085230C"/>
    <w:rsid w:val="00852BA2"/>
    <w:rsid w:val="00852F2E"/>
    <w:rsid w:val="008532B3"/>
    <w:rsid w:val="00853B35"/>
    <w:rsid w:val="00853B51"/>
    <w:rsid w:val="00853CD0"/>
    <w:rsid w:val="008542D7"/>
    <w:rsid w:val="008547F0"/>
    <w:rsid w:val="0085498A"/>
    <w:rsid w:val="0085500C"/>
    <w:rsid w:val="0085549C"/>
    <w:rsid w:val="00855781"/>
    <w:rsid w:val="0085599B"/>
    <w:rsid w:val="008563F1"/>
    <w:rsid w:val="00856503"/>
    <w:rsid w:val="00856951"/>
    <w:rsid w:val="00856ABC"/>
    <w:rsid w:val="00856B92"/>
    <w:rsid w:val="008575AA"/>
    <w:rsid w:val="008579AC"/>
    <w:rsid w:val="00860279"/>
    <w:rsid w:val="008604E9"/>
    <w:rsid w:val="008606B1"/>
    <w:rsid w:val="00860804"/>
    <w:rsid w:val="008608C6"/>
    <w:rsid w:val="00861295"/>
    <w:rsid w:val="0086163F"/>
    <w:rsid w:val="00861826"/>
    <w:rsid w:val="00861F25"/>
    <w:rsid w:val="00862066"/>
    <w:rsid w:val="008623C5"/>
    <w:rsid w:val="0086319B"/>
    <w:rsid w:val="0086356D"/>
    <w:rsid w:val="008641E0"/>
    <w:rsid w:val="008643D6"/>
    <w:rsid w:val="00864449"/>
    <w:rsid w:val="0086446A"/>
    <w:rsid w:val="00864587"/>
    <w:rsid w:val="00864696"/>
    <w:rsid w:val="0086500A"/>
    <w:rsid w:val="0086556F"/>
    <w:rsid w:val="00865972"/>
    <w:rsid w:val="00865A04"/>
    <w:rsid w:val="00865B33"/>
    <w:rsid w:val="00866937"/>
    <w:rsid w:val="00867FC8"/>
    <w:rsid w:val="008702CF"/>
    <w:rsid w:val="0087072C"/>
    <w:rsid w:val="00870F39"/>
    <w:rsid w:val="00870FDA"/>
    <w:rsid w:val="008710FF"/>
    <w:rsid w:val="008713B8"/>
    <w:rsid w:val="00871647"/>
    <w:rsid w:val="00871F6C"/>
    <w:rsid w:val="0087219D"/>
    <w:rsid w:val="00872F52"/>
    <w:rsid w:val="0087304D"/>
    <w:rsid w:val="00873BB9"/>
    <w:rsid w:val="008740A7"/>
    <w:rsid w:val="008740C2"/>
    <w:rsid w:val="00874184"/>
    <w:rsid w:val="0087421C"/>
    <w:rsid w:val="0087456B"/>
    <w:rsid w:val="008749B0"/>
    <w:rsid w:val="00874E76"/>
    <w:rsid w:val="008762AB"/>
    <w:rsid w:val="00876FAE"/>
    <w:rsid w:val="00881BCE"/>
    <w:rsid w:val="0088382E"/>
    <w:rsid w:val="00883876"/>
    <w:rsid w:val="00883EF4"/>
    <w:rsid w:val="0088428B"/>
    <w:rsid w:val="008843F2"/>
    <w:rsid w:val="00884A9D"/>
    <w:rsid w:val="00885424"/>
    <w:rsid w:val="008854BB"/>
    <w:rsid w:val="008856D7"/>
    <w:rsid w:val="008856F4"/>
    <w:rsid w:val="00885907"/>
    <w:rsid w:val="00885CB4"/>
    <w:rsid w:val="0088640C"/>
    <w:rsid w:val="008864AD"/>
    <w:rsid w:val="008865D3"/>
    <w:rsid w:val="00886835"/>
    <w:rsid w:val="00887047"/>
    <w:rsid w:val="00887930"/>
    <w:rsid w:val="0088796E"/>
    <w:rsid w:val="008901F3"/>
    <w:rsid w:val="0089048E"/>
    <w:rsid w:val="00890A98"/>
    <w:rsid w:val="00890B87"/>
    <w:rsid w:val="00890F11"/>
    <w:rsid w:val="008912CD"/>
    <w:rsid w:val="00891492"/>
    <w:rsid w:val="008915B9"/>
    <w:rsid w:val="00892348"/>
    <w:rsid w:val="008923CA"/>
    <w:rsid w:val="008924DB"/>
    <w:rsid w:val="00892626"/>
    <w:rsid w:val="00892BE5"/>
    <w:rsid w:val="0089300B"/>
    <w:rsid w:val="008934FF"/>
    <w:rsid w:val="008937D7"/>
    <w:rsid w:val="00893FF5"/>
    <w:rsid w:val="00894597"/>
    <w:rsid w:val="008946DD"/>
    <w:rsid w:val="00896DBD"/>
    <w:rsid w:val="0089717F"/>
    <w:rsid w:val="008974FC"/>
    <w:rsid w:val="0089754C"/>
    <w:rsid w:val="008975AB"/>
    <w:rsid w:val="008975FC"/>
    <w:rsid w:val="008978AD"/>
    <w:rsid w:val="00897BDC"/>
    <w:rsid w:val="00897F44"/>
    <w:rsid w:val="00897FC3"/>
    <w:rsid w:val="00897FD9"/>
    <w:rsid w:val="008A0950"/>
    <w:rsid w:val="008A0C5F"/>
    <w:rsid w:val="008A1284"/>
    <w:rsid w:val="008A12B6"/>
    <w:rsid w:val="008A1456"/>
    <w:rsid w:val="008A16BE"/>
    <w:rsid w:val="008A1A92"/>
    <w:rsid w:val="008A26B9"/>
    <w:rsid w:val="008A2761"/>
    <w:rsid w:val="008A2F19"/>
    <w:rsid w:val="008A3234"/>
    <w:rsid w:val="008A34A5"/>
    <w:rsid w:val="008A3761"/>
    <w:rsid w:val="008A38A3"/>
    <w:rsid w:val="008A3A24"/>
    <w:rsid w:val="008A4E27"/>
    <w:rsid w:val="008A5094"/>
    <w:rsid w:val="008A5B30"/>
    <w:rsid w:val="008A60A0"/>
    <w:rsid w:val="008A7263"/>
    <w:rsid w:val="008A746E"/>
    <w:rsid w:val="008A7D4A"/>
    <w:rsid w:val="008B0296"/>
    <w:rsid w:val="008B061F"/>
    <w:rsid w:val="008B0837"/>
    <w:rsid w:val="008B0A98"/>
    <w:rsid w:val="008B0B1A"/>
    <w:rsid w:val="008B1360"/>
    <w:rsid w:val="008B1A3D"/>
    <w:rsid w:val="008B1D65"/>
    <w:rsid w:val="008B22FD"/>
    <w:rsid w:val="008B2898"/>
    <w:rsid w:val="008B2BC5"/>
    <w:rsid w:val="008B3763"/>
    <w:rsid w:val="008B37FB"/>
    <w:rsid w:val="008B389C"/>
    <w:rsid w:val="008B38E5"/>
    <w:rsid w:val="008B3F10"/>
    <w:rsid w:val="008B53D5"/>
    <w:rsid w:val="008B55C9"/>
    <w:rsid w:val="008B55D0"/>
    <w:rsid w:val="008B6185"/>
    <w:rsid w:val="008B622B"/>
    <w:rsid w:val="008B65D4"/>
    <w:rsid w:val="008B68C9"/>
    <w:rsid w:val="008B6CBC"/>
    <w:rsid w:val="008B6E1F"/>
    <w:rsid w:val="008B732C"/>
    <w:rsid w:val="008B754E"/>
    <w:rsid w:val="008B7D33"/>
    <w:rsid w:val="008C007E"/>
    <w:rsid w:val="008C0334"/>
    <w:rsid w:val="008C03C4"/>
    <w:rsid w:val="008C07DE"/>
    <w:rsid w:val="008C0DD8"/>
    <w:rsid w:val="008C123D"/>
    <w:rsid w:val="008C1B8B"/>
    <w:rsid w:val="008C1B98"/>
    <w:rsid w:val="008C1BED"/>
    <w:rsid w:val="008C2880"/>
    <w:rsid w:val="008C2E77"/>
    <w:rsid w:val="008C300C"/>
    <w:rsid w:val="008C407B"/>
    <w:rsid w:val="008C445D"/>
    <w:rsid w:val="008C4AFD"/>
    <w:rsid w:val="008C50AF"/>
    <w:rsid w:val="008C55B7"/>
    <w:rsid w:val="008C5947"/>
    <w:rsid w:val="008C63AD"/>
    <w:rsid w:val="008C6608"/>
    <w:rsid w:val="008C6796"/>
    <w:rsid w:val="008C6D3F"/>
    <w:rsid w:val="008C744C"/>
    <w:rsid w:val="008D023C"/>
    <w:rsid w:val="008D0E30"/>
    <w:rsid w:val="008D1191"/>
    <w:rsid w:val="008D1545"/>
    <w:rsid w:val="008D2336"/>
    <w:rsid w:val="008D2913"/>
    <w:rsid w:val="008D2B52"/>
    <w:rsid w:val="008D2C0D"/>
    <w:rsid w:val="008D2CDF"/>
    <w:rsid w:val="008D2DA1"/>
    <w:rsid w:val="008D3D95"/>
    <w:rsid w:val="008D4F54"/>
    <w:rsid w:val="008D559A"/>
    <w:rsid w:val="008D63A7"/>
    <w:rsid w:val="008D6C0A"/>
    <w:rsid w:val="008D6E3F"/>
    <w:rsid w:val="008D718F"/>
    <w:rsid w:val="008D7E1A"/>
    <w:rsid w:val="008E0059"/>
    <w:rsid w:val="008E031B"/>
    <w:rsid w:val="008E0B69"/>
    <w:rsid w:val="008E0CA3"/>
    <w:rsid w:val="008E0E68"/>
    <w:rsid w:val="008E1697"/>
    <w:rsid w:val="008E2454"/>
    <w:rsid w:val="008E2F13"/>
    <w:rsid w:val="008E34FA"/>
    <w:rsid w:val="008E36EA"/>
    <w:rsid w:val="008E4514"/>
    <w:rsid w:val="008E5028"/>
    <w:rsid w:val="008E537E"/>
    <w:rsid w:val="008E5E26"/>
    <w:rsid w:val="008E5EA0"/>
    <w:rsid w:val="008E5EB4"/>
    <w:rsid w:val="008E6EEA"/>
    <w:rsid w:val="008E7140"/>
    <w:rsid w:val="008E7736"/>
    <w:rsid w:val="008F00FD"/>
    <w:rsid w:val="008F0CDB"/>
    <w:rsid w:val="008F106C"/>
    <w:rsid w:val="008F15F3"/>
    <w:rsid w:val="008F16E5"/>
    <w:rsid w:val="008F25C5"/>
    <w:rsid w:val="008F27FD"/>
    <w:rsid w:val="008F2846"/>
    <w:rsid w:val="008F2C06"/>
    <w:rsid w:val="008F2DD1"/>
    <w:rsid w:val="008F3521"/>
    <w:rsid w:val="008F37AC"/>
    <w:rsid w:val="008F37E9"/>
    <w:rsid w:val="008F3AF0"/>
    <w:rsid w:val="008F40FE"/>
    <w:rsid w:val="008F4154"/>
    <w:rsid w:val="008F42D7"/>
    <w:rsid w:val="008F43D0"/>
    <w:rsid w:val="008F4866"/>
    <w:rsid w:val="008F50DA"/>
    <w:rsid w:val="008F5E8D"/>
    <w:rsid w:val="008F63B3"/>
    <w:rsid w:val="008F7E12"/>
    <w:rsid w:val="008F7FBB"/>
    <w:rsid w:val="009002E1"/>
    <w:rsid w:val="00900C22"/>
    <w:rsid w:val="009012B4"/>
    <w:rsid w:val="00901314"/>
    <w:rsid w:val="0090180D"/>
    <w:rsid w:val="00901908"/>
    <w:rsid w:val="00901B00"/>
    <w:rsid w:val="00901FCE"/>
    <w:rsid w:val="009024C9"/>
    <w:rsid w:val="009026C2"/>
    <w:rsid w:val="009036F1"/>
    <w:rsid w:val="00903B5C"/>
    <w:rsid w:val="00903EEF"/>
    <w:rsid w:val="0090458C"/>
    <w:rsid w:val="00904B17"/>
    <w:rsid w:val="00905258"/>
    <w:rsid w:val="00905343"/>
    <w:rsid w:val="009059D3"/>
    <w:rsid w:val="00905A8B"/>
    <w:rsid w:val="00905A8C"/>
    <w:rsid w:val="00905EA4"/>
    <w:rsid w:val="00906149"/>
    <w:rsid w:val="0090614C"/>
    <w:rsid w:val="0090615E"/>
    <w:rsid w:val="009069A1"/>
    <w:rsid w:val="00907366"/>
    <w:rsid w:val="00907416"/>
    <w:rsid w:val="0090743B"/>
    <w:rsid w:val="00907601"/>
    <w:rsid w:val="00907949"/>
    <w:rsid w:val="009079B8"/>
    <w:rsid w:val="00910B73"/>
    <w:rsid w:val="0091128E"/>
    <w:rsid w:val="00911375"/>
    <w:rsid w:val="00911479"/>
    <w:rsid w:val="00911860"/>
    <w:rsid w:val="00912197"/>
    <w:rsid w:val="009121F3"/>
    <w:rsid w:val="00912992"/>
    <w:rsid w:val="00913245"/>
    <w:rsid w:val="00913261"/>
    <w:rsid w:val="00913387"/>
    <w:rsid w:val="00913566"/>
    <w:rsid w:val="00913B4B"/>
    <w:rsid w:val="00914B4F"/>
    <w:rsid w:val="00915108"/>
    <w:rsid w:val="0091525A"/>
    <w:rsid w:val="00915C1B"/>
    <w:rsid w:val="009163FA"/>
    <w:rsid w:val="0091685F"/>
    <w:rsid w:val="009168D8"/>
    <w:rsid w:val="00917AC6"/>
    <w:rsid w:val="00920940"/>
    <w:rsid w:val="009214CB"/>
    <w:rsid w:val="009215CF"/>
    <w:rsid w:val="00922431"/>
    <w:rsid w:val="00922473"/>
    <w:rsid w:val="00922765"/>
    <w:rsid w:val="0092277C"/>
    <w:rsid w:val="00922C8F"/>
    <w:rsid w:val="00923B2C"/>
    <w:rsid w:val="00923F35"/>
    <w:rsid w:val="009240EA"/>
    <w:rsid w:val="00924309"/>
    <w:rsid w:val="009246B0"/>
    <w:rsid w:val="00925759"/>
    <w:rsid w:val="00926094"/>
    <w:rsid w:val="009265D6"/>
    <w:rsid w:val="00926BD4"/>
    <w:rsid w:val="00926D50"/>
    <w:rsid w:val="009278D5"/>
    <w:rsid w:val="009279A8"/>
    <w:rsid w:val="00927BD8"/>
    <w:rsid w:val="00927C96"/>
    <w:rsid w:val="00931245"/>
    <w:rsid w:val="00931DFA"/>
    <w:rsid w:val="00932140"/>
    <w:rsid w:val="009324F5"/>
    <w:rsid w:val="009328B6"/>
    <w:rsid w:val="00934197"/>
    <w:rsid w:val="009342DA"/>
    <w:rsid w:val="00934ACC"/>
    <w:rsid w:val="00934CE1"/>
    <w:rsid w:val="00934E51"/>
    <w:rsid w:val="00934E71"/>
    <w:rsid w:val="00934EBE"/>
    <w:rsid w:val="009352E5"/>
    <w:rsid w:val="009356F3"/>
    <w:rsid w:val="00935A10"/>
    <w:rsid w:val="0093696D"/>
    <w:rsid w:val="009369E0"/>
    <w:rsid w:val="00936CF9"/>
    <w:rsid w:val="00937334"/>
    <w:rsid w:val="0093798F"/>
    <w:rsid w:val="00937B03"/>
    <w:rsid w:val="0094054A"/>
    <w:rsid w:val="009417F6"/>
    <w:rsid w:val="009419EE"/>
    <w:rsid w:val="00941D21"/>
    <w:rsid w:val="00941E37"/>
    <w:rsid w:val="009425DC"/>
    <w:rsid w:val="00942685"/>
    <w:rsid w:val="00942E5B"/>
    <w:rsid w:val="00943454"/>
    <w:rsid w:val="00943741"/>
    <w:rsid w:val="00943A32"/>
    <w:rsid w:val="009442B0"/>
    <w:rsid w:val="00944C89"/>
    <w:rsid w:val="00944CB4"/>
    <w:rsid w:val="00944D80"/>
    <w:rsid w:val="00944E24"/>
    <w:rsid w:val="009455C8"/>
    <w:rsid w:val="00945A9B"/>
    <w:rsid w:val="00945D4C"/>
    <w:rsid w:val="0094628B"/>
    <w:rsid w:val="00946D78"/>
    <w:rsid w:val="00946E2B"/>
    <w:rsid w:val="00947386"/>
    <w:rsid w:val="00947772"/>
    <w:rsid w:val="0095044C"/>
    <w:rsid w:val="0095087D"/>
    <w:rsid w:val="0095126A"/>
    <w:rsid w:val="00952768"/>
    <w:rsid w:val="00952B8A"/>
    <w:rsid w:val="00953BBB"/>
    <w:rsid w:val="00954296"/>
    <w:rsid w:val="0095458F"/>
    <w:rsid w:val="009548C7"/>
    <w:rsid w:val="00955036"/>
    <w:rsid w:val="00955AC7"/>
    <w:rsid w:val="00955CDF"/>
    <w:rsid w:val="00956C30"/>
    <w:rsid w:val="00957016"/>
    <w:rsid w:val="0095750C"/>
    <w:rsid w:val="00957F6B"/>
    <w:rsid w:val="00960074"/>
    <w:rsid w:val="0096017F"/>
    <w:rsid w:val="009601A6"/>
    <w:rsid w:val="00960406"/>
    <w:rsid w:val="009606B4"/>
    <w:rsid w:val="0096132C"/>
    <w:rsid w:val="0096133F"/>
    <w:rsid w:val="009614BF"/>
    <w:rsid w:val="009614CB"/>
    <w:rsid w:val="00961662"/>
    <w:rsid w:val="009622BB"/>
    <w:rsid w:val="009622D5"/>
    <w:rsid w:val="009623C1"/>
    <w:rsid w:val="00962703"/>
    <w:rsid w:val="00962750"/>
    <w:rsid w:val="009631B7"/>
    <w:rsid w:val="009631FF"/>
    <w:rsid w:val="009636DE"/>
    <w:rsid w:val="009638B9"/>
    <w:rsid w:val="00963993"/>
    <w:rsid w:val="00963BCF"/>
    <w:rsid w:val="00963CF3"/>
    <w:rsid w:val="00965200"/>
    <w:rsid w:val="00965376"/>
    <w:rsid w:val="009657D9"/>
    <w:rsid w:val="00965A22"/>
    <w:rsid w:val="0096664A"/>
    <w:rsid w:val="00966898"/>
    <w:rsid w:val="00966E78"/>
    <w:rsid w:val="00966FEC"/>
    <w:rsid w:val="00967174"/>
    <w:rsid w:val="00967246"/>
    <w:rsid w:val="00967426"/>
    <w:rsid w:val="00967576"/>
    <w:rsid w:val="009700F8"/>
    <w:rsid w:val="009706E6"/>
    <w:rsid w:val="00971215"/>
    <w:rsid w:val="00971AE2"/>
    <w:rsid w:val="009722AA"/>
    <w:rsid w:val="00972890"/>
    <w:rsid w:val="0097314C"/>
    <w:rsid w:val="00973CA7"/>
    <w:rsid w:val="00974182"/>
    <w:rsid w:val="00974228"/>
    <w:rsid w:val="00974482"/>
    <w:rsid w:val="0097463D"/>
    <w:rsid w:val="009756D3"/>
    <w:rsid w:val="009758F2"/>
    <w:rsid w:val="009769B4"/>
    <w:rsid w:val="00976C74"/>
    <w:rsid w:val="00980311"/>
    <w:rsid w:val="00980919"/>
    <w:rsid w:val="009809FC"/>
    <w:rsid w:val="00980AE3"/>
    <w:rsid w:val="00980F78"/>
    <w:rsid w:val="0098170C"/>
    <w:rsid w:val="00981C55"/>
    <w:rsid w:val="00981DD4"/>
    <w:rsid w:val="00981E12"/>
    <w:rsid w:val="00981FE6"/>
    <w:rsid w:val="009822E5"/>
    <w:rsid w:val="00982CC1"/>
    <w:rsid w:val="00982CF9"/>
    <w:rsid w:val="00983044"/>
    <w:rsid w:val="0098351A"/>
    <w:rsid w:val="009836BE"/>
    <w:rsid w:val="009838F2"/>
    <w:rsid w:val="00983CC6"/>
    <w:rsid w:val="00984466"/>
    <w:rsid w:val="009844B1"/>
    <w:rsid w:val="0098482F"/>
    <w:rsid w:val="00984D4E"/>
    <w:rsid w:val="009855F4"/>
    <w:rsid w:val="00985620"/>
    <w:rsid w:val="00985880"/>
    <w:rsid w:val="00985A01"/>
    <w:rsid w:val="009863CA"/>
    <w:rsid w:val="00986796"/>
    <w:rsid w:val="00986A3D"/>
    <w:rsid w:val="00987705"/>
    <w:rsid w:val="00987A7B"/>
    <w:rsid w:val="0099091C"/>
    <w:rsid w:val="0099106E"/>
    <w:rsid w:val="009910AD"/>
    <w:rsid w:val="0099122A"/>
    <w:rsid w:val="00991262"/>
    <w:rsid w:val="00991911"/>
    <w:rsid w:val="00992201"/>
    <w:rsid w:val="009928C7"/>
    <w:rsid w:val="00992AE2"/>
    <w:rsid w:val="00992CCE"/>
    <w:rsid w:val="009931FD"/>
    <w:rsid w:val="00993324"/>
    <w:rsid w:val="00993BFB"/>
    <w:rsid w:val="00993CCE"/>
    <w:rsid w:val="00995104"/>
    <w:rsid w:val="0099597E"/>
    <w:rsid w:val="00995C56"/>
    <w:rsid w:val="0099690D"/>
    <w:rsid w:val="00996CF6"/>
    <w:rsid w:val="00996D46"/>
    <w:rsid w:val="00996D85"/>
    <w:rsid w:val="00997476"/>
    <w:rsid w:val="00997650"/>
    <w:rsid w:val="00997858"/>
    <w:rsid w:val="009A00E3"/>
    <w:rsid w:val="009A0A5B"/>
    <w:rsid w:val="009A0C61"/>
    <w:rsid w:val="009A0DA2"/>
    <w:rsid w:val="009A0F58"/>
    <w:rsid w:val="009A0FE7"/>
    <w:rsid w:val="009A127A"/>
    <w:rsid w:val="009A2169"/>
    <w:rsid w:val="009A2A47"/>
    <w:rsid w:val="009A2D26"/>
    <w:rsid w:val="009A306E"/>
    <w:rsid w:val="009A3207"/>
    <w:rsid w:val="009A33B9"/>
    <w:rsid w:val="009A33EA"/>
    <w:rsid w:val="009A34A6"/>
    <w:rsid w:val="009A3B09"/>
    <w:rsid w:val="009A3EE1"/>
    <w:rsid w:val="009A4D8A"/>
    <w:rsid w:val="009A51D5"/>
    <w:rsid w:val="009A5271"/>
    <w:rsid w:val="009A5EE4"/>
    <w:rsid w:val="009A5F02"/>
    <w:rsid w:val="009A6732"/>
    <w:rsid w:val="009A681A"/>
    <w:rsid w:val="009A7082"/>
    <w:rsid w:val="009A7C94"/>
    <w:rsid w:val="009A7EDC"/>
    <w:rsid w:val="009B02DD"/>
    <w:rsid w:val="009B039F"/>
    <w:rsid w:val="009B068D"/>
    <w:rsid w:val="009B0DEF"/>
    <w:rsid w:val="009B114D"/>
    <w:rsid w:val="009B1279"/>
    <w:rsid w:val="009B12C4"/>
    <w:rsid w:val="009B15C2"/>
    <w:rsid w:val="009B188C"/>
    <w:rsid w:val="009B19AD"/>
    <w:rsid w:val="009B207A"/>
    <w:rsid w:val="009B210F"/>
    <w:rsid w:val="009B23A4"/>
    <w:rsid w:val="009B272D"/>
    <w:rsid w:val="009B2C63"/>
    <w:rsid w:val="009B2E99"/>
    <w:rsid w:val="009B3800"/>
    <w:rsid w:val="009B3B66"/>
    <w:rsid w:val="009B4144"/>
    <w:rsid w:val="009B43FB"/>
    <w:rsid w:val="009B4E3D"/>
    <w:rsid w:val="009B4E51"/>
    <w:rsid w:val="009B5E27"/>
    <w:rsid w:val="009B609D"/>
    <w:rsid w:val="009B6697"/>
    <w:rsid w:val="009B676C"/>
    <w:rsid w:val="009B67B7"/>
    <w:rsid w:val="009B708E"/>
    <w:rsid w:val="009B7270"/>
    <w:rsid w:val="009C062C"/>
    <w:rsid w:val="009C0FBE"/>
    <w:rsid w:val="009C12BC"/>
    <w:rsid w:val="009C1A43"/>
    <w:rsid w:val="009C269B"/>
    <w:rsid w:val="009C2CAD"/>
    <w:rsid w:val="009C3529"/>
    <w:rsid w:val="009C3554"/>
    <w:rsid w:val="009C4225"/>
    <w:rsid w:val="009C53FA"/>
    <w:rsid w:val="009C5E10"/>
    <w:rsid w:val="009C5F35"/>
    <w:rsid w:val="009C67CA"/>
    <w:rsid w:val="009C68F7"/>
    <w:rsid w:val="009C7B57"/>
    <w:rsid w:val="009C7BF5"/>
    <w:rsid w:val="009C7C5A"/>
    <w:rsid w:val="009D0222"/>
    <w:rsid w:val="009D056C"/>
    <w:rsid w:val="009D0742"/>
    <w:rsid w:val="009D0F09"/>
    <w:rsid w:val="009D1095"/>
    <w:rsid w:val="009D10D1"/>
    <w:rsid w:val="009D158B"/>
    <w:rsid w:val="009D19AA"/>
    <w:rsid w:val="009D1C61"/>
    <w:rsid w:val="009D200F"/>
    <w:rsid w:val="009D2CED"/>
    <w:rsid w:val="009D2F13"/>
    <w:rsid w:val="009D3334"/>
    <w:rsid w:val="009D33EE"/>
    <w:rsid w:val="009D3B2F"/>
    <w:rsid w:val="009D4337"/>
    <w:rsid w:val="009D44CC"/>
    <w:rsid w:val="009D4E63"/>
    <w:rsid w:val="009D51C0"/>
    <w:rsid w:val="009D521F"/>
    <w:rsid w:val="009D5947"/>
    <w:rsid w:val="009D5B2B"/>
    <w:rsid w:val="009D5DAB"/>
    <w:rsid w:val="009D60E2"/>
    <w:rsid w:val="009D61D8"/>
    <w:rsid w:val="009D7C2D"/>
    <w:rsid w:val="009D7E64"/>
    <w:rsid w:val="009E00E9"/>
    <w:rsid w:val="009E09FF"/>
    <w:rsid w:val="009E0BC9"/>
    <w:rsid w:val="009E14BA"/>
    <w:rsid w:val="009E168B"/>
    <w:rsid w:val="009E178C"/>
    <w:rsid w:val="009E1CC2"/>
    <w:rsid w:val="009E2B8C"/>
    <w:rsid w:val="009E2CC1"/>
    <w:rsid w:val="009E30A2"/>
    <w:rsid w:val="009E3749"/>
    <w:rsid w:val="009E38AD"/>
    <w:rsid w:val="009E44CD"/>
    <w:rsid w:val="009E476E"/>
    <w:rsid w:val="009E48D9"/>
    <w:rsid w:val="009E4A62"/>
    <w:rsid w:val="009E4E12"/>
    <w:rsid w:val="009E5076"/>
    <w:rsid w:val="009E6C2A"/>
    <w:rsid w:val="009E7370"/>
    <w:rsid w:val="009E78F1"/>
    <w:rsid w:val="009E7993"/>
    <w:rsid w:val="009F0A28"/>
    <w:rsid w:val="009F0B4C"/>
    <w:rsid w:val="009F0C13"/>
    <w:rsid w:val="009F162A"/>
    <w:rsid w:val="009F171A"/>
    <w:rsid w:val="009F1D13"/>
    <w:rsid w:val="009F27DE"/>
    <w:rsid w:val="009F2968"/>
    <w:rsid w:val="009F33F4"/>
    <w:rsid w:val="009F34C9"/>
    <w:rsid w:val="009F350F"/>
    <w:rsid w:val="009F3921"/>
    <w:rsid w:val="009F4824"/>
    <w:rsid w:val="009F53D8"/>
    <w:rsid w:val="009F5CF7"/>
    <w:rsid w:val="009F61F2"/>
    <w:rsid w:val="009F6F46"/>
    <w:rsid w:val="009F7901"/>
    <w:rsid w:val="009F7FA3"/>
    <w:rsid w:val="00A00E94"/>
    <w:rsid w:val="00A01CF6"/>
    <w:rsid w:val="00A01FF9"/>
    <w:rsid w:val="00A023F3"/>
    <w:rsid w:val="00A025AA"/>
    <w:rsid w:val="00A029E0"/>
    <w:rsid w:val="00A038D5"/>
    <w:rsid w:val="00A03A99"/>
    <w:rsid w:val="00A03B54"/>
    <w:rsid w:val="00A0423C"/>
    <w:rsid w:val="00A04E7B"/>
    <w:rsid w:val="00A0529C"/>
    <w:rsid w:val="00A05321"/>
    <w:rsid w:val="00A05974"/>
    <w:rsid w:val="00A060A6"/>
    <w:rsid w:val="00A065BE"/>
    <w:rsid w:val="00A06FF2"/>
    <w:rsid w:val="00A0719A"/>
    <w:rsid w:val="00A07274"/>
    <w:rsid w:val="00A07822"/>
    <w:rsid w:val="00A10837"/>
    <w:rsid w:val="00A10D36"/>
    <w:rsid w:val="00A10FE4"/>
    <w:rsid w:val="00A11165"/>
    <w:rsid w:val="00A111D2"/>
    <w:rsid w:val="00A11B04"/>
    <w:rsid w:val="00A11F5D"/>
    <w:rsid w:val="00A12079"/>
    <w:rsid w:val="00A12422"/>
    <w:rsid w:val="00A1299B"/>
    <w:rsid w:val="00A12AEA"/>
    <w:rsid w:val="00A12DDC"/>
    <w:rsid w:val="00A135BE"/>
    <w:rsid w:val="00A14489"/>
    <w:rsid w:val="00A14905"/>
    <w:rsid w:val="00A14BB3"/>
    <w:rsid w:val="00A14DAC"/>
    <w:rsid w:val="00A14E69"/>
    <w:rsid w:val="00A152D4"/>
    <w:rsid w:val="00A1549B"/>
    <w:rsid w:val="00A154BF"/>
    <w:rsid w:val="00A15942"/>
    <w:rsid w:val="00A159E3"/>
    <w:rsid w:val="00A15BD9"/>
    <w:rsid w:val="00A15FFD"/>
    <w:rsid w:val="00A1666A"/>
    <w:rsid w:val="00A167DE"/>
    <w:rsid w:val="00A1687C"/>
    <w:rsid w:val="00A16C66"/>
    <w:rsid w:val="00A16EB2"/>
    <w:rsid w:val="00A16F93"/>
    <w:rsid w:val="00A177E5"/>
    <w:rsid w:val="00A17835"/>
    <w:rsid w:val="00A179D3"/>
    <w:rsid w:val="00A17A9E"/>
    <w:rsid w:val="00A17E8F"/>
    <w:rsid w:val="00A17E94"/>
    <w:rsid w:val="00A2081B"/>
    <w:rsid w:val="00A209E3"/>
    <w:rsid w:val="00A20B20"/>
    <w:rsid w:val="00A20FC1"/>
    <w:rsid w:val="00A21AE5"/>
    <w:rsid w:val="00A21E41"/>
    <w:rsid w:val="00A21EE4"/>
    <w:rsid w:val="00A22405"/>
    <w:rsid w:val="00A22A65"/>
    <w:rsid w:val="00A22CB4"/>
    <w:rsid w:val="00A231B9"/>
    <w:rsid w:val="00A234E1"/>
    <w:rsid w:val="00A23654"/>
    <w:rsid w:val="00A236B3"/>
    <w:rsid w:val="00A23878"/>
    <w:rsid w:val="00A23D9A"/>
    <w:rsid w:val="00A241F4"/>
    <w:rsid w:val="00A2437B"/>
    <w:rsid w:val="00A247DC"/>
    <w:rsid w:val="00A250A6"/>
    <w:rsid w:val="00A25506"/>
    <w:rsid w:val="00A25AC0"/>
    <w:rsid w:val="00A25D05"/>
    <w:rsid w:val="00A26135"/>
    <w:rsid w:val="00A26458"/>
    <w:rsid w:val="00A267DD"/>
    <w:rsid w:val="00A26814"/>
    <w:rsid w:val="00A26A36"/>
    <w:rsid w:val="00A2749B"/>
    <w:rsid w:val="00A27510"/>
    <w:rsid w:val="00A276DF"/>
    <w:rsid w:val="00A27717"/>
    <w:rsid w:val="00A279CF"/>
    <w:rsid w:val="00A30718"/>
    <w:rsid w:val="00A309BF"/>
    <w:rsid w:val="00A30F13"/>
    <w:rsid w:val="00A31311"/>
    <w:rsid w:val="00A31313"/>
    <w:rsid w:val="00A31D02"/>
    <w:rsid w:val="00A3241C"/>
    <w:rsid w:val="00A32458"/>
    <w:rsid w:val="00A329F8"/>
    <w:rsid w:val="00A32A0A"/>
    <w:rsid w:val="00A32B55"/>
    <w:rsid w:val="00A33009"/>
    <w:rsid w:val="00A33793"/>
    <w:rsid w:val="00A348CE"/>
    <w:rsid w:val="00A3493E"/>
    <w:rsid w:val="00A34F68"/>
    <w:rsid w:val="00A36182"/>
    <w:rsid w:val="00A3621C"/>
    <w:rsid w:val="00A369E6"/>
    <w:rsid w:val="00A372DD"/>
    <w:rsid w:val="00A3759D"/>
    <w:rsid w:val="00A3763C"/>
    <w:rsid w:val="00A37B60"/>
    <w:rsid w:val="00A37CE6"/>
    <w:rsid w:val="00A37D36"/>
    <w:rsid w:val="00A403CC"/>
    <w:rsid w:val="00A408FA"/>
    <w:rsid w:val="00A416FC"/>
    <w:rsid w:val="00A41780"/>
    <w:rsid w:val="00A42286"/>
    <w:rsid w:val="00A42345"/>
    <w:rsid w:val="00A4262E"/>
    <w:rsid w:val="00A42762"/>
    <w:rsid w:val="00A42F7D"/>
    <w:rsid w:val="00A43275"/>
    <w:rsid w:val="00A43B14"/>
    <w:rsid w:val="00A441BB"/>
    <w:rsid w:val="00A4434B"/>
    <w:rsid w:val="00A44C4D"/>
    <w:rsid w:val="00A45678"/>
    <w:rsid w:val="00A45AB8"/>
    <w:rsid w:val="00A45BF9"/>
    <w:rsid w:val="00A45C62"/>
    <w:rsid w:val="00A45C7A"/>
    <w:rsid w:val="00A46145"/>
    <w:rsid w:val="00A461A8"/>
    <w:rsid w:val="00A46222"/>
    <w:rsid w:val="00A467AA"/>
    <w:rsid w:val="00A4735B"/>
    <w:rsid w:val="00A47678"/>
    <w:rsid w:val="00A47B1D"/>
    <w:rsid w:val="00A47FCC"/>
    <w:rsid w:val="00A504BB"/>
    <w:rsid w:val="00A507DB"/>
    <w:rsid w:val="00A50F42"/>
    <w:rsid w:val="00A51855"/>
    <w:rsid w:val="00A51A89"/>
    <w:rsid w:val="00A51CFC"/>
    <w:rsid w:val="00A52220"/>
    <w:rsid w:val="00A52708"/>
    <w:rsid w:val="00A52F9B"/>
    <w:rsid w:val="00A5336C"/>
    <w:rsid w:val="00A53574"/>
    <w:rsid w:val="00A53E8E"/>
    <w:rsid w:val="00A5420B"/>
    <w:rsid w:val="00A54C59"/>
    <w:rsid w:val="00A55257"/>
    <w:rsid w:val="00A552AE"/>
    <w:rsid w:val="00A5536A"/>
    <w:rsid w:val="00A55845"/>
    <w:rsid w:val="00A55A65"/>
    <w:rsid w:val="00A5608E"/>
    <w:rsid w:val="00A561C6"/>
    <w:rsid w:val="00A56513"/>
    <w:rsid w:val="00A5658A"/>
    <w:rsid w:val="00A56BB2"/>
    <w:rsid w:val="00A56E92"/>
    <w:rsid w:val="00A60279"/>
    <w:rsid w:val="00A6027F"/>
    <w:rsid w:val="00A603C9"/>
    <w:rsid w:val="00A6051E"/>
    <w:rsid w:val="00A60CD3"/>
    <w:rsid w:val="00A6154A"/>
    <w:rsid w:val="00A61A31"/>
    <w:rsid w:val="00A61E88"/>
    <w:rsid w:val="00A62FA5"/>
    <w:rsid w:val="00A6393E"/>
    <w:rsid w:val="00A63AE7"/>
    <w:rsid w:val="00A63F73"/>
    <w:rsid w:val="00A64A9D"/>
    <w:rsid w:val="00A651A7"/>
    <w:rsid w:val="00A654A2"/>
    <w:rsid w:val="00A65508"/>
    <w:rsid w:val="00A6580F"/>
    <w:rsid w:val="00A65BB0"/>
    <w:rsid w:val="00A65D47"/>
    <w:rsid w:val="00A673CB"/>
    <w:rsid w:val="00A67F0F"/>
    <w:rsid w:val="00A716D9"/>
    <w:rsid w:val="00A73311"/>
    <w:rsid w:val="00A740D9"/>
    <w:rsid w:val="00A74993"/>
    <w:rsid w:val="00A74ED0"/>
    <w:rsid w:val="00A75EF4"/>
    <w:rsid w:val="00A7663A"/>
    <w:rsid w:val="00A76AEF"/>
    <w:rsid w:val="00A7759F"/>
    <w:rsid w:val="00A809FE"/>
    <w:rsid w:val="00A81A3F"/>
    <w:rsid w:val="00A822E6"/>
    <w:rsid w:val="00A82480"/>
    <w:rsid w:val="00A82641"/>
    <w:rsid w:val="00A82FFF"/>
    <w:rsid w:val="00A8349D"/>
    <w:rsid w:val="00A83588"/>
    <w:rsid w:val="00A83B3E"/>
    <w:rsid w:val="00A851DE"/>
    <w:rsid w:val="00A854F3"/>
    <w:rsid w:val="00A860F0"/>
    <w:rsid w:val="00A86135"/>
    <w:rsid w:val="00A8653B"/>
    <w:rsid w:val="00A86A1C"/>
    <w:rsid w:val="00A86C04"/>
    <w:rsid w:val="00A8752B"/>
    <w:rsid w:val="00A90096"/>
    <w:rsid w:val="00A902A1"/>
    <w:rsid w:val="00A903F3"/>
    <w:rsid w:val="00A9045D"/>
    <w:rsid w:val="00A90658"/>
    <w:rsid w:val="00A908FE"/>
    <w:rsid w:val="00A9091B"/>
    <w:rsid w:val="00A90999"/>
    <w:rsid w:val="00A909A5"/>
    <w:rsid w:val="00A90E80"/>
    <w:rsid w:val="00A91A75"/>
    <w:rsid w:val="00A924C3"/>
    <w:rsid w:val="00A929E0"/>
    <w:rsid w:val="00A92CA7"/>
    <w:rsid w:val="00A93271"/>
    <w:rsid w:val="00A9336F"/>
    <w:rsid w:val="00A93AB0"/>
    <w:rsid w:val="00A93B50"/>
    <w:rsid w:val="00A94156"/>
    <w:rsid w:val="00A946CA"/>
    <w:rsid w:val="00A949E1"/>
    <w:rsid w:val="00A94A4B"/>
    <w:rsid w:val="00A94ADD"/>
    <w:rsid w:val="00A95326"/>
    <w:rsid w:val="00A95598"/>
    <w:rsid w:val="00A95676"/>
    <w:rsid w:val="00A95931"/>
    <w:rsid w:val="00A95B47"/>
    <w:rsid w:val="00A960FA"/>
    <w:rsid w:val="00A964AC"/>
    <w:rsid w:val="00A96535"/>
    <w:rsid w:val="00A96691"/>
    <w:rsid w:val="00A966C8"/>
    <w:rsid w:val="00A96A53"/>
    <w:rsid w:val="00A971FE"/>
    <w:rsid w:val="00A974FA"/>
    <w:rsid w:val="00A97F3E"/>
    <w:rsid w:val="00AA0A9C"/>
    <w:rsid w:val="00AA0ABD"/>
    <w:rsid w:val="00AA0DBD"/>
    <w:rsid w:val="00AA0E25"/>
    <w:rsid w:val="00AA0EE0"/>
    <w:rsid w:val="00AA156C"/>
    <w:rsid w:val="00AA19C7"/>
    <w:rsid w:val="00AA25EC"/>
    <w:rsid w:val="00AA34D1"/>
    <w:rsid w:val="00AA4085"/>
    <w:rsid w:val="00AA41A2"/>
    <w:rsid w:val="00AA43EF"/>
    <w:rsid w:val="00AA4490"/>
    <w:rsid w:val="00AA486D"/>
    <w:rsid w:val="00AA4B67"/>
    <w:rsid w:val="00AA4B7F"/>
    <w:rsid w:val="00AA54A0"/>
    <w:rsid w:val="00AA5F52"/>
    <w:rsid w:val="00AA6A74"/>
    <w:rsid w:val="00AA6D21"/>
    <w:rsid w:val="00AA6D7C"/>
    <w:rsid w:val="00AA751B"/>
    <w:rsid w:val="00AB0005"/>
    <w:rsid w:val="00AB0272"/>
    <w:rsid w:val="00AB12A9"/>
    <w:rsid w:val="00AB178C"/>
    <w:rsid w:val="00AB1D4C"/>
    <w:rsid w:val="00AB1E9A"/>
    <w:rsid w:val="00AB2407"/>
    <w:rsid w:val="00AB267A"/>
    <w:rsid w:val="00AB2EA8"/>
    <w:rsid w:val="00AB33E6"/>
    <w:rsid w:val="00AB40F5"/>
    <w:rsid w:val="00AB4626"/>
    <w:rsid w:val="00AB501F"/>
    <w:rsid w:val="00AB5881"/>
    <w:rsid w:val="00AB62A1"/>
    <w:rsid w:val="00AB630B"/>
    <w:rsid w:val="00AB6478"/>
    <w:rsid w:val="00AB6484"/>
    <w:rsid w:val="00AB65CE"/>
    <w:rsid w:val="00AB6DAA"/>
    <w:rsid w:val="00AB749D"/>
    <w:rsid w:val="00AB7819"/>
    <w:rsid w:val="00AB7C49"/>
    <w:rsid w:val="00AC0570"/>
    <w:rsid w:val="00AC0A02"/>
    <w:rsid w:val="00AC132B"/>
    <w:rsid w:val="00AC15E1"/>
    <w:rsid w:val="00AC1CB2"/>
    <w:rsid w:val="00AC1DDF"/>
    <w:rsid w:val="00AC1E2F"/>
    <w:rsid w:val="00AC1E47"/>
    <w:rsid w:val="00AC2451"/>
    <w:rsid w:val="00AC3EBD"/>
    <w:rsid w:val="00AC4724"/>
    <w:rsid w:val="00AC4F4F"/>
    <w:rsid w:val="00AC5303"/>
    <w:rsid w:val="00AC5419"/>
    <w:rsid w:val="00AC5D40"/>
    <w:rsid w:val="00AC6070"/>
    <w:rsid w:val="00AC6192"/>
    <w:rsid w:val="00AC63B0"/>
    <w:rsid w:val="00AC73B3"/>
    <w:rsid w:val="00AC7ABF"/>
    <w:rsid w:val="00AC7D51"/>
    <w:rsid w:val="00AD01D9"/>
    <w:rsid w:val="00AD052F"/>
    <w:rsid w:val="00AD0C73"/>
    <w:rsid w:val="00AD1342"/>
    <w:rsid w:val="00AD2166"/>
    <w:rsid w:val="00AD23F7"/>
    <w:rsid w:val="00AD2B79"/>
    <w:rsid w:val="00AD2CC0"/>
    <w:rsid w:val="00AD3E4C"/>
    <w:rsid w:val="00AD41B9"/>
    <w:rsid w:val="00AD4243"/>
    <w:rsid w:val="00AD4539"/>
    <w:rsid w:val="00AD496B"/>
    <w:rsid w:val="00AD4A30"/>
    <w:rsid w:val="00AD55AF"/>
    <w:rsid w:val="00AD5906"/>
    <w:rsid w:val="00AD5D7E"/>
    <w:rsid w:val="00AD5E2B"/>
    <w:rsid w:val="00AD679B"/>
    <w:rsid w:val="00AD6A3A"/>
    <w:rsid w:val="00AE034F"/>
    <w:rsid w:val="00AE0839"/>
    <w:rsid w:val="00AE0B05"/>
    <w:rsid w:val="00AE10B8"/>
    <w:rsid w:val="00AE15BC"/>
    <w:rsid w:val="00AE2170"/>
    <w:rsid w:val="00AE245C"/>
    <w:rsid w:val="00AE2B7F"/>
    <w:rsid w:val="00AE2C21"/>
    <w:rsid w:val="00AE30F1"/>
    <w:rsid w:val="00AE38DD"/>
    <w:rsid w:val="00AE4023"/>
    <w:rsid w:val="00AE4213"/>
    <w:rsid w:val="00AE4C03"/>
    <w:rsid w:val="00AE4DA7"/>
    <w:rsid w:val="00AE4E34"/>
    <w:rsid w:val="00AE53F4"/>
    <w:rsid w:val="00AE58FC"/>
    <w:rsid w:val="00AE5958"/>
    <w:rsid w:val="00AE603A"/>
    <w:rsid w:val="00AE6076"/>
    <w:rsid w:val="00AE7ADE"/>
    <w:rsid w:val="00AF004B"/>
    <w:rsid w:val="00AF0619"/>
    <w:rsid w:val="00AF0730"/>
    <w:rsid w:val="00AF09A2"/>
    <w:rsid w:val="00AF0B51"/>
    <w:rsid w:val="00AF0BCB"/>
    <w:rsid w:val="00AF0F5C"/>
    <w:rsid w:val="00AF176F"/>
    <w:rsid w:val="00AF1D2D"/>
    <w:rsid w:val="00AF20B1"/>
    <w:rsid w:val="00AF22E4"/>
    <w:rsid w:val="00AF257F"/>
    <w:rsid w:val="00AF25DA"/>
    <w:rsid w:val="00AF2673"/>
    <w:rsid w:val="00AF2AF4"/>
    <w:rsid w:val="00AF3775"/>
    <w:rsid w:val="00AF392E"/>
    <w:rsid w:val="00AF3C18"/>
    <w:rsid w:val="00AF3D0D"/>
    <w:rsid w:val="00AF3DC7"/>
    <w:rsid w:val="00AF47EB"/>
    <w:rsid w:val="00AF4DBC"/>
    <w:rsid w:val="00AF4F06"/>
    <w:rsid w:val="00AF52F7"/>
    <w:rsid w:val="00AF5347"/>
    <w:rsid w:val="00AF61CE"/>
    <w:rsid w:val="00AF6C0A"/>
    <w:rsid w:val="00AF70FA"/>
    <w:rsid w:val="00AF7542"/>
    <w:rsid w:val="00AF76BF"/>
    <w:rsid w:val="00AF7A1A"/>
    <w:rsid w:val="00B0008E"/>
    <w:rsid w:val="00B0083B"/>
    <w:rsid w:val="00B00BED"/>
    <w:rsid w:val="00B01142"/>
    <w:rsid w:val="00B014BB"/>
    <w:rsid w:val="00B0260F"/>
    <w:rsid w:val="00B026C9"/>
    <w:rsid w:val="00B02831"/>
    <w:rsid w:val="00B02909"/>
    <w:rsid w:val="00B0397C"/>
    <w:rsid w:val="00B03CFD"/>
    <w:rsid w:val="00B03F36"/>
    <w:rsid w:val="00B04077"/>
    <w:rsid w:val="00B0430D"/>
    <w:rsid w:val="00B04725"/>
    <w:rsid w:val="00B04B42"/>
    <w:rsid w:val="00B053C5"/>
    <w:rsid w:val="00B0590C"/>
    <w:rsid w:val="00B066EA"/>
    <w:rsid w:val="00B06890"/>
    <w:rsid w:val="00B06CF3"/>
    <w:rsid w:val="00B06F59"/>
    <w:rsid w:val="00B07048"/>
    <w:rsid w:val="00B07B87"/>
    <w:rsid w:val="00B07D4F"/>
    <w:rsid w:val="00B103C5"/>
    <w:rsid w:val="00B1078E"/>
    <w:rsid w:val="00B11CEC"/>
    <w:rsid w:val="00B1254A"/>
    <w:rsid w:val="00B13328"/>
    <w:rsid w:val="00B13440"/>
    <w:rsid w:val="00B13CA5"/>
    <w:rsid w:val="00B1407F"/>
    <w:rsid w:val="00B14478"/>
    <w:rsid w:val="00B1474E"/>
    <w:rsid w:val="00B14CCB"/>
    <w:rsid w:val="00B14F5B"/>
    <w:rsid w:val="00B15042"/>
    <w:rsid w:val="00B15E04"/>
    <w:rsid w:val="00B15F41"/>
    <w:rsid w:val="00B171E5"/>
    <w:rsid w:val="00B17C69"/>
    <w:rsid w:val="00B20220"/>
    <w:rsid w:val="00B20B56"/>
    <w:rsid w:val="00B20D7F"/>
    <w:rsid w:val="00B21232"/>
    <w:rsid w:val="00B22AF9"/>
    <w:rsid w:val="00B236B0"/>
    <w:rsid w:val="00B23791"/>
    <w:rsid w:val="00B23821"/>
    <w:rsid w:val="00B23829"/>
    <w:rsid w:val="00B24355"/>
    <w:rsid w:val="00B244A2"/>
    <w:rsid w:val="00B249B2"/>
    <w:rsid w:val="00B24DEC"/>
    <w:rsid w:val="00B253B6"/>
    <w:rsid w:val="00B256F5"/>
    <w:rsid w:val="00B25B65"/>
    <w:rsid w:val="00B25E6A"/>
    <w:rsid w:val="00B2602C"/>
    <w:rsid w:val="00B262E8"/>
    <w:rsid w:val="00B263FE"/>
    <w:rsid w:val="00B268C1"/>
    <w:rsid w:val="00B26DDE"/>
    <w:rsid w:val="00B2745E"/>
    <w:rsid w:val="00B274EA"/>
    <w:rsid w:val="00B275A3"/>
    <w:rsid w:val="00B27697"/>
    <w:rsid w:val="00B27E23"/>
    <w:rsid w:val="00B307E4"/>
    <w:rsid w:val="00B30958"/>
    <w:rsid w:val="00B314CD"/>
    <w:rsid w:val="00B31D01"/>
    <w:rsid w:val="00B326A1"/>
    <w:rsid w:val="00B3377E"/>
    <w:rsid w:val="00B33D09"/>
    <w:rsid w:val="00B345AB"/>
    <w:rsid w:val="00B34754"/>
    <w:rsid w:val="00B348E8"/>
    <w:rsid w:val="00B349A9"/>
    <w:rsid w:val="00B34A50"/>
    <w:rsid w:val="00B34A7D"/>
    <w:rsid w:val="00B34B22"/>
    <w:rsid w:val="00B34F26"/>
    <w:rsid w:val="00B3516E"/>
    <w:rsid w:val="00B3571F"/>
    <w:rsid w:val="00B35DCD"/>
    <w:rsid w:val="00B35FD3"/>
    <w:rsid w:val="00B36F38"/>
    <w:rsid w:val="00B3749E"/>
    <w:rsid w:val="00B37A3D"/>
    <w:rsid w:val="00B37B0F"/>
    <w:rsid w:val="00B4007D"/>
    <w:rsid w:val="00B4034C"/>
    <w:rsid w:val="00B40860"/>
    <w:rsid w:val="00B409EA"/>
    <w:rsid w:val="00B40C4E"/>
    <w:rsid w:val="00B4139A"/>
    <w:rsid w:val="00B41644"/>
    <w:rsid w:val="00B418B8"/>
    <w:rsid w:val="00B422D9"/>
    <w:rsid w:val="00B422F9"/>
    <w:rsid w:val="00B426F8"/>
    <w:rsid w:val="00B43496"/>
    <w:rsid w:val="00B440F7"/>
    <w:rsid w:val="00B443CE"/>
    <w:rsid w:val="00B4497B"/>
    <w:rsid w:val="00B449D1"/>
    <w:rsid w:val="00B44A43"/>
    <w:rsid w:val="00B44AF8"/>
    <w:rsid w:val="00B44FC4"/>
    <w:rsid w:val="00B4508C"/>
    <w:rsid w:val="00B450A4"/>
    <w:rsid w:val="00B45164"/>
    <w:rsid w:val="00B45696"/>
    <w:rsid w:val="00B45DB8"/>
    <w:rsid w:val="00B4620C"/>
    <w:rsid w:val="00B46346"/>
    <w:rsid w:val="00B46642"/>
    <w:rsid w:val="00B46709"/>
    <w:rsid w:val="00B467EE"/>
    <w:rsid w:val="00B47E16"/>
    <w:rsid w:val="00B51651"/>
    <w:rsid w:val="00B517E8"/>
    <w:rsid w:val="00B524FA"/>
    <w:rsid w:val="00B52CEB"/>
    <w:rsid w:val="00B53179"/>
    <w:rsid w:val="00B53357"/>
    <w:rsid w:val="00B53D4D"/>
    <w:rsid w:val="00B53F33"/>
    <w:rsid w:val="00B54704"/>
    <w:rsid w:val="00B54CD0"/>
    <w:rsid w:val="00B54D95"/>
    <w:rsid w:val="00B54E51"/>
    <w:rsid w:val="00B54E94"/>
    <w:rsid w:val="00B54E9F"/>
    <w:rsid w:val="00B55835"/>
    <w:rsid w:val="00B55F50"/>
    <w:rsid w:val="00B56511"/>
    <w:rsid w:val="00B56E2B"/>
    <w:rsid w:val="00B5721B"/>
    <w:rsid w:val="00B574B5"/>
    <w:rsid w:val="00B5782B"/>
    <w:rsid w:val="00B602F7"/>
    <w:rsid w:val="00B61240"/>
    <w:rsid w:val="00B617A6"/>
    <w:rsid w:val="00B61EA7"/>
    <w:rsid w:val="00B62069"/>
    <w:rsid w:val="00B629FF"/>
    <w:rsid w:val="00B630E5"/>
    <w:rsid w:val="00B63572"/>
    <w:rsid w:val="00B63971"/>
    <w:rsid w:val="00B646D7"/>
    <w:rsid w:val="00B64D9E"/>
    <w:rsid w:val="00B65694"/>
    <w:rsid w:val="00B65D9D"/>
    <w:rsid w:val="00B6629E"/>
    <w:rsid w:val="00B662D5"/>
    <w:rsid w:val="00B66496"/>
    <w:rsid w:val="00B668D5"/>
    <w:rsid w:val="00B671DF"/>
    <w:rsid w:val="00B6761F"/>
    <w:rsid w:val="00B67C3D"/>
    <w:rsid w:val="00B67F09"/>
    <w:rsid w:val="00B70271"/>
    <w:rsid w:val="00B70A89"/>
    <w:rsid w:val="00B70B18"/>
    <w:rsid w:val="00B714E3"/>
    <w:rsid w:val="00B71F7E"/>
    <w:rsid w:val="00B724F1"/>
    <w:rsid w:val="00B72A45"/>
    <w:rsid w:val="00B72FD2"/>
    <w:rsid w:val="00B731D5"/>
    <w:rsid w:val="00B7381A"/>
    <w:rsid w:val="00B738DB"/>
    <w:rsid w:val="00B73BF3"/>
    <w:rsid w:val="00B73C3E"/>
    <w:rsid w:val="00B73D43"/>
    <w:rsid w:val="00B73DAC"/>
    <w:rsid w:val="00B73E18"/>
    <w:rsid w:val="00B740F5"/>
    <w:rsid w:val="00B74199"/>
    <w:rsid w:val="00B7444E"/>
    <w:rsid w:val="00B74C69"/>
    <w:rsid w:val="00B74F9B"/>
    <w:rsid w:val="00B75EA4"/>
    <w:rsid w:val="00B76126"/>
    <w:rsid w:val="00B76591"/>
    <w:rsid w:val="00B765AB"/>
    <w:rsid w:val="00B76623"/>
    <w:rsid w:val="00B76ABA"/>
    <w:rsid w:val="00B76AD8"/>
    <w:rsid w:val="00B76C0D"/>
    <w:rsid w:val="00B76DCB"/>
    <w:rsid w:val="00B77335"/>
    <w:rsid w:val="00B778E3"/>
    <w:rsid w:val="00B77A7C"/>
    <w:rsid w:val="00B77C8E"/>
    <w:rsid w:val="00B80BAD"/>
    <w:rsid w:val="00B81AA5"/>
    <w:rsid w:val="00B81AFB"/>
    <w:rsid w:val="00B81C38"/>
    <w:rsid w:val="00B81D16"/>
    <w:rsid w:val="00B82302"/>
    <w:rsid w:val="00B82480"/>
    <w:rsid w:val="00B82546"/>
    <w:rsid w:val="00B82A60"/>
    <w:rsid w:val="00B8312F"/>
    <w:rsid w:val="00B834A7"/>
    <w:rsid w:val="00B83936"/>
    <w:rsid w:val="00B83C16"/>
    <w:rsid w:val="00B83E64"/>
    <w:rsid w:val="00B84127"/>
    <w:rsid w:val="00B85857"/>
    <w:rsid w:val="00B8594E"/>
    <w:rsid w:val="00B85ABF"/>
    <w:rsid w:val="00B85D53"/>
    <w:rsid w:val="00B860EA"/>
    <w:rsid w:val="00B861E8"/>
    <w:rsid w:val="00B8775F"/>
    <w:rsid w:val="00B87785"/>
    <w:rsid w:val="00B87A9E"/>
    <w:rsid w:val="00B9073D"/>
    <w:rsid w:val="00B907A4"/>
    <w:rsid w:val="00B90BD2"/>
    <w:rsid w:val="00B90CD4"/>
    <w:rsid w:val="00B91116"/>
    <w:rsid w:val="00B93312"/>
    <w:rsid w:val="00B934D2"/>
    <w:rsid w:val="00B9379F"/>
    <w:rsid w:val="00B93872"/>
    <w:rsid w:val="00B93B89"/>
    <w:rsid w:val="00B93DE1"/>
    <w:rsid w:val="00B9439A"/>
    <w:rsid w:val="00B94B71"/>
    <w:rsid w:val="00B94DF8"/>
    <w:rsid w:val="00B955C6"/>
    <w:rsid w:val="00B95869"/>
    <w:rsid w:val="00B958A3"/>
    <w:rsid w:val="00B95E01"/>
    <w:rsid w:val="00B96197"/>
    <w:rsid w:val="00B96258"/>
    <w:rsid w:val="00B9629B"/>
    <w:rsid w:val="00B9629E"/>
    <w:rsid w:val="00B9660A"/>
    <w:rsid w:val="00B96DD0"/>
    <w:rsid w:val="00B97092"/>
    <w:rsid w:val="00B97288"/>
    <w:rsid w:val="00B973E6"/>
    <w:rsid w:val="00BA031D"/>
    <w:rsid w:val="00BA1081"/>
    <w:rsid w:val="00BA1257"/>
    <w:rsid w:val="00BA1392"/>
    <w:rsid w:val="00BA13D7"/>
    <w:rsid w:val="00BA295F"/>
    <w:rsid w:val="00BA2B41"/>
    <w:rsid w:val="00BA2DFF"/>
    <w:rsid w:val="00BA33F7"/>
    <w:rsid w:val="00BA3510"/>
    <w:rsid w:val="00BA36DF"/>
    <w:rsid w:val="00BA3B38"/>
    <w:rsid w:val="00BA3BCC"/>
    <w:rsid w:val="00BA3D3D"/>
    <w:rsid w:val="00BA3DB9"/>
    <w:rsid w:val="00BA4202"/>
    <w:rsid w:val="00BA43CE"/>
    <w:rsid w:val="00BA4445"/>
    <w:rsid w:val="00BA54CE"/>
    <w:rsid w:val="00BA5607"/>
    <w:rsid w:val="00BA5C32"/>
    <w:rsid w:val="00BA5E7E"/>
    <w:rsid w:val="00BA68B2"/>
    <w:rsid w:val="00BA74E1"/>
    <w:rsid w:val="00BA7B13"/>
    <w:rsid w:val="00BA7DFF"/>
    <w:rsid w:val="00BA7F1C"/>
    <w:rsid w:val="00BB04C3"/>
    <w:rsid w:val="00BB0C2C"/>
    <w:rsid w:val="00BB116E"/>
    <w:rsid w:val="00BB2263"/>
    <w:rsid w:val="00BB2EF8"/>
    <w:rsid w:val="00BB3318"/>
    <w:rsid w:val="00BB3B8F"/>
    <w:rsid w:val="00BB3C0C"/>
    <w:rsid w:val="00BB3FBD"/>
    <w:rsid w:val="00BB402A"/>
    <w:rsid w:val="00BB41E5"/>
    <w:rsid w:val="00BB4380"/>
    <w:rsid w:val="00BB48BB"/>
    <w:rsid w:val="00BB49E8"/>
    <w:rsid w:val="00BB530A"/>
    <w:rsid w:val="00BB6671"/>
    <w:rsid w:val="00BB6942"/>
    <w:rsid w:val="00BB6CF2"/>
    <w:rsid w:val="00BB7B0A"/>
    <w:rsid w:val="00BB7CC5"/>
    <w:rsid w:val="00BB7D29"/>
    <w:rsid w:val="00BC00BB"/>
    <w:rsid w:val="00BC014D"/>
    <w:rsid w:val="00BC03CE"/>
    <w:rsid w:val="00BC131B"/>
    <w:rsid w:val="00BC1828"/>
    <w:rsid w:val="00BC2273"/>
    <w:rsid w:val="00BC22B9"/>
    <w:rsid w:val="00BC2525"/>
    <w:rsid w:val="00BC30D2"/>
    <w:rsid w:val="00BC3413"/>
    <w:rsid w:val="00BC3DD9"/>
    <w:rsid w:val="00BC4195"/>
    <w:rsid w:val="00BC4E5F"/>
    <w:rsid w:val="00BC5124"/>
    <w:rsid w:val="00BC5CD1"/>
    <w:rsid w:val="00BC6097"/>
    <w:rsid w:val="00BC6175"/>
    <w:rsid w:val="00BC6361"/>
    <w:rsid w:val="00BC6C0E"/>
    <w:rsid w:val="00BC7351"/>
    <w:rsid w:val="00BC77F7"/>
    <w:rsid w:val="00BC7A7F"/>
    <w:rsid w:val="00BC7C11"/>
    <w:rsid w:val="00BC7EE8"/>
    <w:rsid w:val="00BD039A"/>
    <w:rsid w:val="00BD0902"/>
    <w:rsid w:val="00BD0A31"/>
    <w:rsid w:val="00BD0D15"/>
    <w:rsid w:val="00BD0F79"/>
    <w:rsid w:val="00BD1545"/>
    <w:rsid w:val="00BD1CC2"/>
    <w:rsid w:val="00BD1F9D"/>
    <w:rsid w:val="00BD31B7"/>
    <w:rsid w:val="00BD32BD"/>
    <w:rsid w:val="00BD392A"/>
    <w:rsid w:val="00BD4430"/>
    <w:rsid w:val="00BD46C9"/>
    <w:rsid w:val="00BD5957"/>
    <w:rsid w:val="00BD5A06"/>
    <w:rsid w:val="00BD5FE0"/>
    <w:rsid w:val="00BD6266"/>
    <w:rsid w:val="00BD68C2"/>
    <w:rsid w:val="00BD6B56"/>
    <w:rsid w:val="00BD7075"/>
    <w:rsid w:val="00BD7115"/>
    <w:rsid w:val="00BD72AC"/>
    <w:rsid w:val="00BD7382"/>
    <w:rsid w:val="00BD76A3"/>
    <w:rsid w:val="00BE02E5"/>
    <w:rsid w:val="00BE0726"/>
    <w:rsid w:val="00BE099E"/>
    <w:rsid w:val="00BE0FBA"/>
    <w:rsid w:val="00BE16AF"/>
    <w:rsid w:val="00BE197B"/>
    <w:rsid w:val="00BE1CDE"/>
    <w:rsid w:val="00BE2909"/>
    <w:rsid w:val="00BE2D8D"/>
    <w:rsid w:val="00BE3881"/>
    <w:rsid w:val="00BE3883"/>
    <w:rsid w:val="00BE38C0"/>
    <w:rsid w:val="00BE3EC0"/>
    <w:rsid w:val="00BE4267"/>
    <w:rsid w:val="00BE4FE7"/>
    <w:rsid w:val="00BE567B"/>
    <w:rsid w:val="00BE5ABD"/>
    <w:rsid w:val="00BE604C"/>
    <w:rsid w:val="00BE653B"/>
    <w:rsid w:val="00BE670B"/>
    <w:rsid w:val="00BE7312"/>
    <w:rsid w:val="00BE7706"/>
    <w:rsid w:val="00BE7865"/>
    <w:rsid w:val="00BE79AD"/>
    <w:rsid w:val="00BF02F4"/>
    <w:rsid w:val="00BF0B50"/>
    <w:rsid w:val="00BF0BBE"/>
    <w:rsid w:val="00BF131D"/>
    <w:rsid w:val="00BF1C84"/>
    <w:rsid w:val="00BF20B8"/>
    <w:rsid w:val="00BF29E1"/>
    <w:rsid w:val="00BF3461"/>
    <w:rsid w:val="00BF355F"/>
    <w:rsid w:val="00BF357C"/>
    <w:rsid w:val="00BF39DC"/>
    <w:rsid w:val="00BF3A92"/>
    <w:rsid w:val="00BF3E57"/>
    <w:rsid w:val="00BF4227"/>
    <w:rsid w:val="00BF4CB1"/>
    <w:rsid w:val="00BF5A2C"/>
    <w:rsid w:val="00BF5CA5"/>
    <w:rsid w:val="00BF5E30"/>
    <w:rsid w:val="00BF62B1"/>
    <w:rsid w:val="00BF6AC6"/>
    <w:rsid w:val="00BF6E4C"/>
    <w:rsid w:val="00BF6E60"/>
    <w:rsid w:val="00BF6FB9"/>
    <w:rsid w:val="00BF6FC5"/>
    <w:rsid w:val="00BF7549"/>
    <w:rsid w:val="00BF7AF8"/>
    <w:rsid w:val="00BF7B59"/>
    <w:rsid w:val="00C00827"/>
    <w:rsid w:val="00C00A43"/>
    <w:rsid w:val="00C00C91"/>
    <w:rsid w:val="00C00EAC"/>
    <w:rsid w:val="00C018C0"/>
    <w:rsid w:val="00C0196F"/>
    <w:rsid w:val="00C02491"/>
    <w:rsid w:val="00C02B3A"/>
    <w:rsid w:val="00C02B6A"/>
    <w:rsid w:val="00C0363C"/>
    <w:rsid w:val="00C03678"/>
    <w:rsid w:val="00C037AD"/>
    <w:rsid w:val="00C0381E"/>
    <w:rsid w:val="00C038EA"/>
    <w:rsid w:val="00C0399C"/>
    <w:rsid w:val="00C048BD"/>
    <w:rsid w:val="00C04DEC"/>
    <w:rsid w:val="00C054F0"/>
    <w:rsid w:val="00C05537"/>
    <w:rsid w:val="00C056F7"/>
    <w:rsid w:val="00C05707"/>
    <w:rsid w:val="00C05EE4"/>
    <w:rsid w:val="00C06172"/>
    <w:rsid w:val="00C0625E"/>
    <w:rsid w:val="00C06CDC"/>
    <w:rsid w:val="00C07B73"/>
    <w:rsid w:val="00C07C72"/>
    <w:rsid w:val="00C07EB6"/>
    <w:rsid w:val="00C10219"/>
    <w:rsid w:val="00C10B3C"/>
    <w:rsid w:val="00C115DF"/>
    <w:rsid w:val="00C118DB"/>
    <w:rsid w:val="00C11A85"/>
    <w:rsid w:val="00C12B58"/>
    <w:rsid w:val="00C13E4A"/>
    <w:rsid w:val="00C13F85"/>
    <w:rsid w:val="00C147A4"/>
    <w:rsid w:val="00C152BD"/>
    <w:rsid w:val="00C15352"/>
    <w:rsid w:val="00C156A7"/>
    <w:rsid w:val="00C15910"/>
    <w:rsid w:val="00C15CCA"/>
    <w:rsid w:val="00C16286"/>
    <w:rsid w:val="00C164DF"/>
    <w:rsid w:val="00C166FF"/>
    <w:rsid w:val="00C16DC4"/>
    <w:rsid w:val="00C17496"/>
    <w:rsid w:val="00C17837"/>
    <w:rsid w:val="00C2043E"/>
    <w:rsid w:val="00C20459"/>
    <w:rsid w:val="00C206FB"/>
    <w:rsid w:val="00C20D44"/>
    <w:rsid w:val="00C20D88"/>
    <w:rsid w:val="00C21814"/>
    <w:rsid w:val="00C21E58"/>
    <w:rsid w:val="00C22CA4"/>
    <w:rsid w:val="00C22DAC"/>
    <w:rsid w:val="00C2327A"/>
    <w:rsid w:val="00C23577"/>
    <w:rsid w:val="00C23CA1"/>
    <w:rsid w:val="00C23D83"/>
    <w:rsid w:val="00C24394"/>
    <w:rsid w:val="00C249BA"/>
    <w:rsid w:val="00C24AC7"/>
    <w:rsid w:val="00C2651D"/>
    <w:rsid w:val="00C2695D"/>
    <w:rsid w:val="00C2704D"/>
    <w:rsid w:val="00C270B7"/>
    <w:rsid w:val="00C27871"/>
    <w:rsid w:val="00C2799D"/>
    <w:rsid w:val="00C30855"/>
    <w:rsid w:val="00C30D43"/>
    <w:rsid w:val="00C30E8C"/>
    <w:rsid w:val="00C31B88"/>
    <w:rsid w:val="00C3287C"/>
    <w:rsid w:val="00C32A9E"/>
    <w:rsid w:val="00C32D84"/>
    <w:rsid w:val="00C33052"/>
    <w:rsid w:val="00C3317F"/>
    <w:rsid w:val="00C3321F"/>
    <w:rsid w:val="00C33306"/>
    <w:rsid w:val="00C33871"/>
    <w:rsid w:val="00C3416E"/>
    <w:rsid w:val="00C34928"/>
    <w:rsid w:val="00C34E5C"/>
    <w:rsid w:val="00C36638"/>
    <w:rsid w:val="00C3693B"/>
    <w:rsid w:val="00C370AF"/>
    <w:rsid w:val="00C3747E"/>
    <w:rsid w:val="00C377DA"/>
    <w:rsid w:val="00C37CE0"/>
    <w:rsid w:val="00C40066"/>
    <w:rsid w:val="00C400D3"/>
    <w:rsid w:val="00C402C3"/>
    <w:rsid w:val="00C4126B"/>
    <w:rsid w:val="00C413E4"/>
    <w:rsid w:val="00C4273E"/>
    <w:rsid w:val="00C42EC4"/>
    <w:rsid w:val="00C447C4"/>
    <w:rsid w:val="00C44DE6"/>
    <w:rsid w:val="00C44E38"/>
    <w:rsid w:val="00C44F44"/>
    <w:rsid w:val="00C45306"/>
    <w:rsid w:val="00C45482"/>
    <w:rsid w:val="00C458CD"/>
    <w:rsid w:val="00C45991"/>
    <w:rsid w:val="00C45C6C"/>
    <w:rsid w:val="00C45F7D"/>
    <w:rsid w:val="00C46575"/>
    <w:rsid w:val="00C47646"/>
    <w:rsid w:val="00C47976"/>
    <w:rsid w:val="00C5006E"/>
    <w:rsid w:val="00C504B3"/>
    <w:rsid w:val="00C50AC2"/>
    <w:rsid w:val="00C50CAF"/>
    <w:rsid w:val="00C5135A"/>
    <w:rsid w:val="00C51656"/>
    <w:rsid w:val="00C5346F"/>
    <w:rsid w:val="00C5358F"/>
    <w:rsid w:val="00C535D6"/>
    <w:rsid w:val="00C53E3D"/>
    <w:rsid w:val="00C5474E"/>
    <w:rsid w:val="00C54B9B"/>
    <w:rsid w:val="00C55318"/>
    <w:rsid w:val="00C55AD1"/>
    <w:rsid w:val="00C55FBF"/>
    <w:rsid w:val="00C56B76"/>
    <w:rsid w:val="00C56CED"/>
    <w:rsid w:val="00C57353"/>
    <w:rsid w:val="00C574AC"/>
    <w:rsid w:val="00C576F4"/>
    <w:rsid w:val="00C60DFB"/>
    <w:rsid w:val="00C61310"/>
    <w:rsid w:val="00C61374"/>
    <w:rsid w:val="00C617E9"/>
    <w:rsid w:val="00C619B7"/>
    <w:rsid w:val="00C61E79"/>
    <w:rsid w:val="00C6209D"/>
    <w:rsid w:val="00C62704"/>
    <w:rsid w:val="00C6287A"/>
    <w:rsid w:val="00C62D03"/>
    <w:rsid w:val="00C63803"/>
    <w:rsid w:val="00C6394A"/>
    <w:rsid w:val="00C6423B"/>
    <w:rsid w:val="00C655DA"/>
    <w:rsid w:val="00C658AF"/>
    <w:rsid w:val="00C6593D"/>
    <w:rsid w:val="00C661C3"/>
    <w:rsid w:val="00C66455"/>
    <w:rsid w:val="00C66965"/>
    <w:rsid w:val="00C66DFD"/>
    <w:rsid w:val="00C67905"/>
    <w:rsid w:val="00C67B18"/>
    <w:rsid w:val="00C67C43"/>
    <w:rsid w:val="00C7049C"/>
    <w:rsid w:val="00C70B81"/>
    <w:rsid w:val="00C719CD"/>
    <w:rsid w:val="00C71F96"/>
    <w:rsid w:val="00C724BC"/>
    <w:rsid w:val="00C7256E"/>
    <w:rsid w:val="00C726A6"/>
    <w:rsid w:val="00C72C1A"/>
    <w:rsid w:val="00C72FFB"/>
    <w:rsid w:val="00C73052"/>
    <w:rsid w:val="00C7344E"/>
    <w:rsid w:val="00C73769"/>
    <w:rsid w:val="00C73848"/>
    <w:rsid w:val="00C73DC9"/>
    <w:rsid w:val="00C747E1"/>
    <w:rsid w:val="00C74D20"/>
    <w:rsid w:val="00C75FFF"/>
    <w:rsid w:val="00C7623C"/>
    <w:rsid w:val="00C76C25"/>
    <w:rsid w:val="00C7765C"/>
    <w:rsid w:val="00C7785E"/>
    <w:rsid w:val="00C80D6B"/>
    <w:rsid w:val="00C80F91"/>
    <w:rsid w:val="00C813B3"/>
    <w:rsid w:val="00C81BE2"/>
    <w:rsid w:val="00C81F3C"/>
    <w:rsid w:val="00C82263"/>
    <w:rsid w:val="00C8290E"/>
    <w:rsid w:val="00C82BDF"/>
    <w:rsid w:val="00C8394B"/>
    <w:rsid w:val="00C8399C"/>
    <w:rsid w:val="00C83F3A"/>
    <w:rsid w:val="00C840E0"/>
    <w:rsid w:val="00C841DC"/>
    <w:rsid w:val="00C84990"/>
    <w:rsid w:val="00C84D92"/>
    <w:rsid w:val="00C8518F"/>
    <w:rsid w:val="00C85B1D"/>
    <w:rsid w:val="00C86383"/>
    <w:rsid w:val="00C86BE3"/>
    <w:rsid w:val="00C86C43"/>
    <w:rsid w:val="00C86E77"/>
    <w:rsid w:val="00C86E9F"/>
    <w:rsid w:val="00C86FC3"/>
    <w:rsid w:val="00C87089"/>
    <w:rsid w:val="00C87A36"/>
    <w:rsid w:val="00C87C5E"/>
    <w:rsid w:val="00C9026A"/>
    <w:rsid w:val="00C9048C"/>
    <w:rsid w:val="00C90543"/>
    <w:rsid w:val="00C907BE"/>
    <w:rsid w:val="00C908FA"/>
    <w:rsid w:val="00C908FF"/>
    <w:rsid w:val="00C90A08"/>
    <w:rsid w:val="00C90E51"/>
    <w:rsid w:val="00C90F35"/>
    <w:rsid w:val="00C91346"/>
    <w:rsid w:val="00C91399"/>
    <w:rsid w:val="00C920CD"/>
    <w:rsid w:val="00C92593"/>
    <w:rsid w:val="00C9381C"/>
    <w:rsid w:val="00C93B5D"/>
    <w:rsid w:val="00C93BD7"/>
    <w:rsid w:val="00C93CA0"/>
    <w:rsid w:val="00C93CE8"/>
    <w:rsid w:val="00C93E94"/>
    <w:rsid w:val="00C9414C"/>
    <w:rsid w:val="00C943F0"/>
    <w:rsid w:val="00C94C75"/>
    <w:rsid w:val="00C94ED7"/>
    <w:rsid w:val="00C955DD"/>
    <w:rsid w:val="00C95DD0"/>
    <w:rsid w:val="00C965DE"/>
    <w:rsid w:val="00C966E1"/>
    <w:rsid w:val="00C9691A"/>
    <w:rsid w:val="00C96C74"/>
    <w:rsid w:val="00C97763"/>
    <w:rsid w:val="00C97819"/>
    <w:rsid w:val="00C9799A"/>
    <w:rsid w:val="00CA01DF"/>
    <w:rsid w:val="00CA07A5"/>
    <w:rsid w:val="00CA1365"/>
    <w:rsid w:val="00CA159C"/>
    <w:rsid w:val="00CA1AEA"/>
    <w:rsid w:val="00CA2A04"/>
    <w:rsid w:val="00CA2AD3"/>
    <w:rsid w:val="00CA2BFD"/>
    <w:rsid w:val="00CA2CEF"/>
    <w:rsid w:val="00CA2E3F"/>
    <w:rsid w:val="00CA32A8"/>
    <w:rsid w:val="00CA3672"/>
    <w:rsid w:val="00CA36BB"/>
    <w:rsid w:val="00CA38B1"/>
    <w:rsid w:val="00CA3952"/>
    <w:rsid w:val="00CA39F4"/>
    <w:rsid w:val="00CA3C92"/>
    <w:rsid w:val="00CA42AC"/>
    <w:rsid w:val="00CA47EE"/>
    <w:rsid w:val="00CA48DC"/>
    <w:rsid w:val="00CA4E7B"/>
    <w:rsid w:val="00CA52A3"/>
    <w:rsid w:val="00CA599B"/>
    <w:rsid w:val="00CA73BC"/>
    <w:rsid w:val="00CA74AB"/>
    <w:rsid w:val="00CA75AB"/>
    <w:rsid w:val="00CA7857"/>
    <w:rsid w:val="00CA7BAD"/>
    <w:rsid w:val="00CA7CB4"/>
    <w:rsid w:val="00CB025C"/>
    <w:rsid w:val="00CB081B"/>
    <w:rsid w:val="00CB08F0"/>
    <w:rsid w:val="00CB0BBB"/>
    <w:rsid w:val="00CB1048"/>
    <w:rsid w:val="00CB1144"/>
    <w:rsid w:val="00CB1303"/>
    <w:rsid w:val="00CB1909"/>
    <w:rsid w:val="00CB208B"/>
    <w:rsid w:val="00CB264A"/>
    <w:rsid w:val="00CB2BEE"/>
    <w:rsid w:val="00CB2D07"/>
    <w:rsid w:val="00CB3430"/>
    <w:rsid w:val="00CB3651"/>
    <w:rsid w:val="00CB4AAF"/>
    <w:rsid w:val="00CB4DBE"/>
    <w:rsid w:val="00CB51C3"/>
    <w:rsid w:val="00CB5438"/>
    <w:rsid w:val="00CB54CB"/>
    <w:rsid w:val="00CB59E9"/>
    <w:rsid w:val="00CB5BE5"/>
    <w:rsid w:val="00CB6194"/>
    <w:rsid w:val="00CB68E7"/>
    <w:rsid w:val="00CB6C5F"/>
    <w:rsid w:val="00CB6F62"/>
    <w:rsid w:val="00CB6F6C"/>
    <w:rsid w:val="00CB70AD"/>
    <w:rsid w:val="00CB75A3"/>
    <w:rsid w:val="00CB78A5"/>
    <w:rsid w:val="00CC0280"/>
    <w:rsid w:val="00CC04B1"/>
    <w:rsid w:val="00CC09A5"/>
    <w:rsid w:val="00CC1321"/>
    <w:rsid w:val="00CC18FC"/>
    <w:rsid w:val="00CC1916"/>
    <w:rsid w:val="00CC19BD"/>
    <w:rsid w:val="00CC1EFA"/>
    <w:rsid w:val="00CC1F68"/>
    <w:rsid w:val="00CC24B2"/>
    <w:rsid w:val="00CC29B4"/>
    <w:rsid w:val="00CC363D"/>
    <w:rsid w:val="00CC4BCA"/>
    <w:rsid w:val="00CC4F90"/>
    <w:rsid w:val="00CC4FA2"/>
    <w:rsid w:val="00CC5499"/>
    <w:rsid w:val="00CC6289"/>
    <w:rsid w:val="00CC680C"/>
    <w:rsid w:val="00CC6837"/>
    <w:rsid w:val="00CC6D82"/>
    <w:rsid w:val="00CC7598"/>
    <w:rsid w:val="00CC7CA2"/>
    <w:rsid w:val="00CC7FF1"/>
    <w:rsid w:val="00CD0216"/>
    <w:rsid w:val="00CD0425"/>
    <w:rsid w:val="00CD0946"/>
    <w:rsid w:val="00CD0DB8"/>
    <w:rsid w:val="00CD135A"/>
    <w:rsid w:val="00CD1499"/>
    <w:rsid w:val="00CD26F9"/>
    <w:rsid w:val="00CD3335"/>
    <w:rsid w:val="00CD3343"/>
    <w:rsid w:val="00CD4115"/>
    <w:rsid w:val="00CD4252"/>
    <w:rsid w:val="00CD4364"/>
    <w:rsid w:val="00CD4CEB"/>
    <w:rsid w:val="00CD5089"/>
    <w:rsid w:val="00CD53E8"/>
    <w:rsid w:val="00CD5B35"/>
    <w:rsid w:val="00CD5F4C"/>
    <w:rsid w:val="00CD5FE2"/>
    <w:rsid w:val="00CD6446"/>
    <w:rsid w:val="00CD736F"/>
    <w:rsid w:val="00CD7A3F"/>
    <w:rsid w:val="00CD7AD6"/>
    <w:rsid w:val="00CD7ADE"/>
    <w:rsid w:val="00CD7D85"/>
    <w:rsid w:val="00CD7F3A"/>
    <w:rsid w:val="00CE01F3"/>
    <w:rsid w:val="00CE0C60"/>
    <w:rsid w:val="00CE296E"/>
    <w:rsid w:val="00CE2C65"/>
    <w:rsid w:val="00CE3258"/>
    <w:rsid w:val="00CE3966"/>
    <w:rsid w:val="00CE3DC9"/>
    <w:rsid w:val="00CE4895"/>
    <w:rsid w:val="00CE4CE9"/>
    <w:rsid w:val="00CE528E"/>
    <w:rsid w:val="00CE56C6"/>
    <w:rsid w:val="00CE6267"/>
    <w:rsid w:val="00CE6340"/>
    <w:rsid w:val="00CE65E1"/>
    <w:rsid w:val="00CE6838"/>
    <w:rsid w:val="00CE6920"/>
    <w:rsid w:val="00CE6D21"/>
    <w:rsid w:val="00CE6FA2"/>
    <w:rsid w:val="00CE6FC2"/>
    <w:rsid w:val="00CE74E3"/>
    <w:rsid w:val="00CE7979"/>
    <w:rsid w:val="00CE79AF"/>
    <w:rsid w:val="00CE7F01"/>
    <w:rsid w:val="00CF0B4C"/>
    <w:rsid w:val="00CF0C60"/>
    <w:rsid w:val="00CF1752"/>
    <w:rsid w:val="00CF194D"/>
    <w:rsid w:val="00CF2278"/>
    <w:rsid w:val="00CF2408"/>
    <w:rsid w:val="00CF24FE"/>
    <w:rsid w:val="00CF26D3"/>
    <w:rsid w:val="00CF27BC"/>
    <w:rsid w:val="00CF3906"/>
    <w:rsid w:val="00CF399E"/>
    <w:rsid w:val="00CF3E25"/>
    <w:rsid w:val="00CF4076"/>
    <w:rsid w:val="00CF4BBC"/>
    <w:rsid w:val="00CF4E1B"/>
    <w:rsid w:val="00CF4F4E"/>
    <w:rsid w:val="00CF5847"/>
    <w:rsid w:val="00CF5D87"/>
    <w:rsid w:val="00CF64C5"/>
    <w:rsid w:val="00CF6787"/>
    <w:rsid w:val="00CF6AAE"/>
    <w:rsid w:val="00CF6E72"/>
    <w:rsid w:val="00CF6F58"/>
    <w:rsid w:val="00CF728B"/>
    <w:rsid w:val="00CF73D1"/>
    <w:rsid w:val="00CF74AD"/>
    <w:rsid w:val="00CF74B7"/>
    <w:rsid w:val="00CF76F6"/>
    <w:rsid w:val="00CF79D2"/>
    <w:rsid w:val="00CF79D6"/>
    <w:rsid w:val="00CF7FA5"/>
    <w:rsid w:val="00D006A5"/>
    <w:rsid w:val="00D007E9"/>
    <w:rsid w:val="00D01699"/>
    <w:rsid w:val="00D02359"/>
    <w:rsid w:val="00D0284D"/>
    <w:rsid w:val="00D02A34"/>
    <w:rsid w:val="00D03983"/>
    <w:rsid w:val="00D03D0F"/>
    <w:rsid w:val="00D04CCA"/>
    <w:rsid w:val="00D04F06"/>
    <w:rsid w:val="00D0545E"/>
    <w:rsid w:val="00D05464"/>
    <w:rsid w:val="00D058AF"/>
    <w:rsid w:val="00D05CF0"/>
    <w:rsid w:val="00D05F80"/>
    <w:rsid w:val="00D0631A"/>
    <w:rsid w:val="00D0633C"/>
    <w:rsid w:val="00D0647C"/>
    <w:rsid w:val="00D07979"/>
    <w:rsid w:val="00D07BD2"/>
    <w:rsid w:val="00D07EE0"/>
    <w:rsid w:val="00D1042E"/>
    <w:rsid w:val="00D10FA8"/>
    <w:rsid w:val="00D118C3"/>
    <w:rsid w:val="00D11D3C"/>
    <w:rsid w:val="00D11F2B"/>
    <w:rsid w:val="00D11FD3"/>
    <w:rsid w:val="00D122E9"/>
    <w:rsid w:val="00D12C66"/>
    <w:rsid w:val="00D12E3B"/>
    <w:rsid w:val="00D12EEF"/>
    <w:rsid w:val="00D1313A"/>
    <w:rsid w:val="00D13C1C"/>
    <w:rsid w:val="00D1451E"/>
    <w:rsid w:val="00D14EE0"/>
    <w:rsid w:val="00D15165"/>
    <w:rsid w:val="00D1586F"/>
    <w:rsid w:val="00D164BF"/>
    <w:rsid w:val="00D168B9"/>
    <w:rsid w:val="00D172CF"/>
    <w:rsid w:val="00D17711"/>
    <w:rsid w:val="00D200DA"/>
    <w:rsid w:val="00D20448"/>
    <w:rsid w:val="00D2098E"/>
    <w:rsid w:val="00D2100D"/>
    <w:rsid w:val="00D21077"/>
    <w:rsid w:val="00D21470"/>
    <w:rsid w:val="00D217AA"/>
    <w:rsid w:val="00D22008"/>
    <w:rsid w:val="00D22338"/>
    <w:rsid w:val="00D2234E"/>
    <w:rsid w:val="00D22879"/>
    <w:rsid w:val="00D2357E"/>
    <w:rsid w:val="00D23C0A"/>
    <w:rsid w:val="00D23ED9"/>
    <w:rsid w:val="00D24C98"/>
    <w:rsid w:val="00D24CE9"/>
    <w:rsid w:val="00D259B7"/>
    <w:rsid w:val="00D2639D"/>
    <w:rsid w:val="00D263CD"/>
    <w:rsid w:val="00D26631"/>
    <w:rsid w:val="00D274AF"/>
    <w:rsid w:val="00D27601"/>
    <w:rsid w:val="00D27E29"/>
    <w:rsid w:val="00D27E62"/>
    <w:rsid w:val="00D3033D"/>
    <w:rsid w:val="00D319CB"/>
    <w:rsid w:val="00D31DF9"/>
    <w:rsid w:val="00D322A4"/>
    <w:rsid w:val="00D32460"/>
    <w:rsid w:val="00D32AC6"/>
    <w:rsid w:val="00D32B66"/>
    <w:rsid w:val="00D32BDD"/>
    <w:rsid w:val="00D33E79"/>
    <w:rsid w:val="00D34245"/>
    <w:rsid w:val="00D3482C"/>
    <w:rsid w:val="00D34C52"/>
    <w:rsid w:val="00D34CF6"/>
    <w:rsid w:val="00D34EA3"/>
    <w:rsid w:val="00D3532C"/>
    <w:rsid w:val="00D35704"/>
    <w:rsid w:val="00D35DBB"/>
    <w:rsid w:val="00D362BF"/>
    <w:rsid w:val="00D369AA"/>
    <w:rsid w:val="00D3765F"/>
    <w:rsid w:val="00D37D05"/>
    <w:rsid w:val="00D403BD"/>
    <w:rsid w:val="00D4097F"/>
    <w:rsid w:val="00D40F23"/>
    <w:rsid w:val="00D41029"/>
    <w:rsid w:val="00D4102F"/>
    <w:rsid w:val="00D411A1"/>
    <w:rsid w:val="00D418CA"/>
    <w:rsid w:val="00D422B1"/>
    <w:rsid w:val="00D42762"/>
    <w:rsid w:val="00D42953"/>
    <w:rsid w:val="00D42B26"/>
    <w:rsid w:val="00D42DAB"/>
    <w:rsid w:val="00D43594"/>
    <w:rsid w:val="00D43D72"/>
    <w:rsid w:val="00D457D9"/>
    <w:rsid w:val="00D45C7D"/>
    <w:rsid w:val="00D45CAB"/>
    <w:rsid w:val="00D45CDA"/>
    <w:rsid w:val="00D45E7F"/>
    <w:rsid w:val="00D4612C"/>
    <w:rsid w:val="00D46706"/>
    <w:rsid w:val="00D468BF"/>
    <w:rsid w:val="00D46E6C"/>
    <w:rsid w:val="00D47BE2"/>
    <w:rsid w:val="00D500DA"/>
    <w:rsid w:val="00D5023A"/>
    <w:rsid w:val="00D5088E"/>
    <w:rsid w:val="00D50922"/>
    <w:rsid w:val="00D50BD2"/>
    <w:rsid w:val="00D518BB"/>
    <w:rsid w:val="00D53088"/>
    <w:rsid w:val="00D53099"/>
    <w:rsid w:val="00D539E1"/>
    <w:rsid w:val="00D53B6C"/>
    <w:rsid w:val="00D548B9"/>
    <w:rsid w:val="00D55549"/>
    <w:rsid w:val="00D55A5F"/>
    <w:rsid w:val="00D55B15"/>
    <w:rsid w:val="00D5640F"/>
    <w:rsid w:val="00D56C80"/>
    <w:rsid w:val="00D56EDA"/>
    <w:rsid w:val="00D57840"/>
    <w:rsid w:val="00D57CC8"/>
    <w:rsid w:val="00D600F0"/>
    <w:rsid w:val="00D607FD"/>
    <w:rsid w:val="00D60C00"/>
    <w:rsid w:val="00D60C65"/>
    <w:rsid w:val="00D60C96"/>
    <w:rsid w:val="00D61F93"/>
    <w:rsid w:val="00D62427"/>
    <w:rsid w:val="00D6252C"/>
    <w:rsid w:val="00D62950"/>
    <w:rsid w:val="00D62B7B"/>
    <w:rsid w:val="00D6300C"/>
    <w:rsid w:val="00D63908"/>
    <w:rsid w:val="00D63983"/>
    <w:rsid w:val="00D63C40"/>
    <w:rsid w:val="00D641D8"/>
    <w:rsid w:val="00D643E6"/>
    <w:rsid w:val="00D64A60"/>
    <w:rsid w:val="00D650E8"/>
    <w:rsid w:val="00D652BB"/>
    <w:rsid w:val="00D65414"/>
    <w:rsid w:val="00D654DE"/>
    <w:rsid w:val="00D655AC"/>
    <w:rsid w:val="00D65726"/>
    <w:rsid w:val="00D66DDD"/>
    <w:rsid w:val="00D67763"/>
    <w:rsid w:val="00D67ADF"/>
    <w:rsid w:val="00D67BEC"/>
    <w:rsid w:val="00D700AF"/>
    <w:rsid w:val="00D70299"/>
    <w:rsid w:val="00D702A3"/>
    <w:rsid w:val="00D70560"/>
    <w:rsid w:val="00D70DA6"/>
    <w:rsid w:val="00D70DE9"/>
    <w:rsid w:val="00D7179F"/>
    <w:rsid w:val="00D72090"/>
    <w:rsid w:val="00D720C7"/>
    <w:rsid w:val="00D727D8"/>
    <w:rsid w:val="00D73200"/>
    <w:rsid w:val="00D73694"/>
    <w:rsid w:val="00D73AD4"/>
    <w:rsid w:val="00D73F12"/>
    <w:rsid w:val="00D74C12"/>
    <w:rsid w:val="00D75DFA"/>
    <w:rsid w:val="00D761FE"/>
    <w:rsid w:val="00D77978"/>
    <w:rsid w:val="00D77F7D"/>
    <w:rsid w:val="00D804FF"/>
    <w:rsid w:val="00D80929"/>
    <w:rsid w:val="00D80DB0"/>
    <w:rsid w:val="00D82579"/>
    <w:rsid w:val="00D82748"/>
    <w:rsid w:val="00D83B06"/>
    <w:rsid w:val="00D83CAF"/>
    <w:rsid w:val="00D83E5D"/>
    <w:rsid w:val="00D83FA3"/>
    <w:rsid w:val="00D8402C"/>
    <w:rsid w:val="00D84846"/>
    <w:rsid w:val="00D84C13"/>
    <w:rsid w:val="00D856C5"/>
    <w:rsid w:val="00D857F6"/>
    <w:rsid w:val="00D85D94"/>
    <w:rsid w:val="00D85E0A"/>
    <w:rsid w:val="00D8769F"/>
    <w:rsid w:val="00D879D3"/>
    <w:rsid w:val="00D87A8A"/>
    <w:rsid w:val="00D87ADA"/>
    <w:rsid w:val="00D87B71"/>
    <w:rsid w:val="00D90026"/>
    <w:rsid w:val="00D9068F"/>
    <w:rsid w:val="00D90BE7"/>
    <w:rsid w:val="00D910EE"/>
    <w:rsid w:val="00D91161"/>
    <w:rsid w:val="00D916B4"/>
    <w:rsid w:val="00D92553"/>
    <w:rsid w:val="00D9379E"/>
    <w:rsid w:val="00D937B1"/>
    <w:rsid w:val="00D93DDA"/>
    <w:rsid w:val="00D948AF"/>
    <w:rsid w:val="00D95149"/>
    <w:rsid w:val="00D9552D"/>
    <w:rsid w:val="00D956EA"/>
    <w:rsid w:val="00D96460"/>
    <w:rsid w:val="00D96785"/>
    <w:rsid w:val="00D96872"/>
    <w:rsid w:val="00D97004"/>
    <w:rsid w:val="00D974E1"/>
    <w:rsid w:val="00D975C4"/>
    <w:rsid w:val="00D97A12"/>
    <w:rsid w:val="00DA02CF"/>
    <w:rsid w:val="00DA08B0"/>
    <w:rsid w:val="00DA08DF"/>
    <w:rsid w:val="00DA0BB9"/>
    <w:rsid w:val="00DA106B"/>
    <w:rsid w:val="00DA1321"/>
    <w:rsid w:val="00DA1400"/>
    <w:rsid w:val="00DA154D"/>
    <w:rsid w:val="00DA1972"/>
    <w:rsid w:val="00DA1CF2"/>
    <w:rsid w:val="00DA2471"/>
    <w:rsid w:val="00DA24CD"/>
    <w:rsid w:val="00DA2902"/>
    <w:rsid w:val="00DA2B35"/>
    <w:rsid w:val="00DA3D31"/>
    <w:rsid w:val="00DA3DD3"/>
    <w:rsid w:val="00DA4A53"/>
    <w:rsid w:val="00DA4C4A"/>
    <w:rsid w:val="00DA5277"/>
    <w:rsid w:val="00DA6003"/>
    <w:rsid w:val="00DA746D"/>
    <w:rsid w:val="00DA77CB"/>
    <w:rsid w:val="00DB03CE"/>
    <w:rsid w:val="00DB043F"/>
    <w:rsid w:val="00DB055E"/>
    <w:rsid w:val="00DB0716"/>
    <w:rsid w:val="00DB0CB1"/>
    <w:rsid w:val="00DB15D9"/>
    <w:rsid w:val="00DB177A"/>
    <w:rsid w:val="00DB1EC2"/>
    <w:rsid w:val="00DB27E8"/>
    <w:rsid w:val="00DB2987"/>
    <w:rsid w:val="00DB2C93"/>
    <w:rsid w:val="00DB3096"/>
    <w:rsid w:val="00DB32F3"/>
    <w:rsid w:val="00DB331A"/>
    <w:rsid w:val="00DB3693"/>
    <w:rsid w:val="00DB469B"/>
    <w:rsid w:val="00DB4F42"/>
    <w:rsid w:val="00DB5C08"/>
    <w:rsid w:val="00DB668D"/>
    <w:rsid w:val="00DB66AC"/>
    <w:rsid w:val="00DB69FC"/>
    <w:rsid w:val="00DB6A77"/>
    <w:rsid w:val="00DB6E61"/>
    <w:rsid w:val="00DB6F64"/>
    <w:rsid w:val="00DB6F86"/>
    <w:rsid w:val="00DB7033"/>
    <w:rsid w:val="00DB7156"/>
    <w:rsid w:val="00DB7757"/>
    <w:rsid w:val="00DB7AEB"/>
    <w:rsid w:val="00DB7CB7"/>
    <w:rsid w:val="00DB7E42"/>
    <w:rsid w:val="00DC0173"/>
    <w:rsid w:val="00DC05C6"/>
    <w:rsid w:val="00DC0628"/>
    <w:rsid w:val="00DC084A"/>
    <w:rsid w:val="00DC0938"/>
    <w:rsid w:val="00DC0DED"/>
    <w:rsid w:val="00DC0FCD"/>
    <w:rsid w:val="00DC1562"/>
    <w:rsid w:val="00DC1C5D"/>
    <w:rsid w:val="00DC1E0B"/>
    <w:rsid w:val="00DC25A2"/>
    <w:rsid w:val="00DC27A6"/>
    <w:rsid w:val="00DC29E9"/>
    <w:rsid w:val="00DC4350"/>
    <w:rsid w:val="00DC43E7"/>
    <w:rsid w:val="00DC4554"/>
    <w:rsid w:val="00DC47E1"/>
    <w:rsid w:val="00DC4C1B"/>
    <w:rsid w:val="00DC534B"/>
    <w:rsid w:val="00DC5F20"/>
    <w:rsid w:val="00DC6941"/>
    <w:rsid w:val="00DC6E33"/>
    <w:rsid w:val="00DC6E3E"/>
    <w:rsid w:val="00DC7316"/>
    <w:rsid w:val="00DC733D"/>
    <w:rsid w:val="00DC7F71"/>
    <w:rsid w:val="00DD05BF"/>
    <w:rsid w:val="00DD08CA"/>
    <w:rsid w:val="00DD14C0"/>
    <w:rsid w:val="00DD2850"/>
    <w:rsid w:val="00DD2CA7"/>
    <w:rsid w:val="00DD34EE"/>
    <w:rsid w:val="00DD499B"/>
    <w:rsid w:val="00DD49AB"/>
    <w:rsid w:val="00DD49F2"/>
    <w:rsid w:val="00DD4DBE"/>
    <w:rsid w:val="00DD4E7D"/>
    <w:rsid w:val="00DD542A"/>
    <w:rsid w:val="00DD5A42"/>
    <w:rsid w:val="00DD5EC5"/>
    <w:rsid w:val="00DD6107"/>
    <w:rsid w:val="00DD642A"/>
    <w:rsid w:val="00DD6DB7"/>
    <w:rsid w:val="00DD70EA"/>
    <w:rsid w:val="00DD7450"/>
    <w:rsid w:val="00DD7F58"/>
    <w:rsid w:val="00DE0774"/>
    <w:rsid w:val="00DE0776"/>
    <w:rsid w:val="00DE1882"/>
    <w:rsid w:val="00DE1B37"/>
    <w:rsid w:val="00DE2AB0"/>
    <w:rsid w:val="00DE3056"/>
    <w:rsid w:val="00DE351C"/>
    <w:rsid w:val="00DE3833"/>
    <w:rsid w:val="00DE390F"/>
    <w:rsid w:val="00DE45C6"/>
    <w:rsid w:val="00DE4829"/>
    <w:rsid w:val="00DE487E"/>
    <w:rsid w:val="00DE4AFE"/>
    <w:rsid w:val="00DE5336"/>
    <w:rsid w:val="00DE5BD8"/>
    <w:rsid w:val="00DE6559"/>
    <w:rsid w:val="00DE6A41"/>
    <w:rsid w:val="00DE6F6B"/>
    <w:rsid w:val="00DE7840"/>
    <w:rsid w:val="00DE7E7F"/>
    <w:rsid w:val="00DF0A5A"/>
    <w:rsid w:val="00DF1576"/>
    <w:rsid w:val="00DF1E63"/>
    <w:rsid w:val="00DF211E"/>
    <w:rsid w:val="00DF2B5F"/>
    <w:rsid w:val="00DF2DAA"/>
    <w:rsid w:val="00DF2F4F"/>
    <w:rsid w:val="00DF373A"/>
    <w:rsid w:val="00DF3E84"/>
    <w:rsid w:val="00DF3FBC"/>
    <w:rsid w:val="00DF4483"/>
    <w:rsid w:val="00DF4F1F"/>
    <w:rsid w:val="00DF4F60"/>
    <w:rsid w:val="00DF52E5"/>
    <w:rsid w:val="00DF5945"/>
    <w:rsid w:val="00DF5A95"/>
    <w:rsid w:val="00DF6FA6"/>
    <w:rsid w:val="00DF7421"/>
    <w:rsid w:val="00DF783B"/>
    <w:rsid w:val="00E00179"/>
    <w:rsid w:val="00E00364"/>
    <w:rsid w:val="00E00501"/>
    <w:rsid w:val="00E00707"/>
    <w:rsid w:val="00E01A16"/>
    <w:rsid w:val="00E01B75"/>
    <w:rsid w:val="00E01D39"/>
    <w:rsid w:val="00E02521"/>
    <w:rsid w:val="00E02988"/>
    <w:rsid w:val="00E02A5E"/>
    <w:rsid w:val="00E035D9"/>
    <w:rsid w:val="00E0361D"/>
    <w:rsid w:val="00E0369C"/>
    <w:rsid w:val="00E03B4A"/>
    <w:rsid w:val="00E04093"/>
    <w:rsid w:val="00E0507E"/>
    <w:rsid w:val="00E05777"/>
    <w:rsid w:val="00E059D4"/>
    <w:rsid w:val="00E05C0E"/>
    <w:rsid w:val="00E0693F"/>
    <w:rsid w:val="00E072EB"/>
    <w:rsid w:val="00E07AB9"/>
    <w:rsid w:val="00E1005E"/>
    <w:rsid w:val="00E10175"/>
    <w:rsid w:val="00E10359"/>
    <w:rsid w:val="00E10577"/>
    <w:rsid w:val="00E10832"/>
    <w:rsid w:val="00E10ABF"/>
    <w:rsid w:val="00E10F3A"/>
    <w:rsid w:val="00E11978"/>
    <w:rsid w:val="00E11A75"/>
    <w:rsid w:val="00E11D62"/>
    <w:rsid w:val="00E129D8"/>
    <w:rsid w:val="00E12D5F"/>
    <w:rsid w:val="00E12F03"/>
    <w:rsid w:val="00E13824"/>
    <w:rsid w:val="00E13DE8"/>
    <w:rsid w:val="00E14039"/>
    <w:rsid w:val="00E1416A"/>
    <w:rsid w:val="00E14310"/>
    <w:rsid w:val="00E1452E"/>
    <w:rsid w:val="00E14532"/>
    <w:rsid w:val="00E1538B"/>
    <w:rsid w:val="00E16204"/>
    <w:rsid w:val="00E16964"/>
    <w:rsid w:val="00E16A66"/>
    <w:rsid w:val="00E16FC4"/>
    <w:rsid w:val="00E170F4"/>
    <w:rsid w:val="00E175AD"/>
    <w:rsid w:val="00E17D3B"/>
    <w:rsid w:val="00E2029B"/>
    <w:rsid w:val="00E202D7"/>
    <w:rsid w:val="00E20BA3"/>
    <w:rsid w:val="00E20CD2"/>
    <w:rsid w:val="00E21324"/>
    <w:rsid w:val="00E21DC9"/>
    <w:rsid w:val="00E220D2"/>
    <w:rsid w:val="00E22AA4"/>
    <w:rsid w:val="00E22F78"/>
    <w:rsid w:val="00E23025"/>
    <w:rsid w:val="00E237AA"/>
    <w:rsid w:val="00E23BA0"/>
    <w:rsid w:val="00E24DE4"/>
    <w:rsid w:val="00E250F2"/>
    <w:rsid w:val="00E2575D"/>
    <w:rsid w:val="00E26143"/>
    <w:rsid w:val="00E2636B"/>
    <w:rsid w:val="00E26A36"/>
    <w:rsid w:val="00E26C4B"/>
    <w:rsid w:val="00E26DA6"/>
    <w:rsid w:val="00E270C7"/>
    <w:rsid w:val="00E27624"/>
    <w:rsid w:val="00E2762B"/>
    <w:rsid w:val="00E27898"/>
    <w:rsid w:val="00E30399"/>
    <w:rsid w:val="00E318E9"/>
    <w:rsid w:val="00E31C4A"/>
    <w:rsid w:val="00E31F9F"/>
    <w:rsid w:val="00E32052"/>
    <w:rsid w:val="00E320BE"/>
    <w:rsid w:val="00E32CA8"/>
    <w:rsid w:val="00E33204"/>
    <w:rsid w:val="00E334C0"/>
    <w:rsid w:val="00E335D7"/>
    <w:rsid w:val="00E337D1"/>
    <w:rsid w:val="00E338AB"/>
    <w:rsid w:val="00E338D6"/>
    <w:rsid w:val="00E33EC5"/>
    <w:rsid w:val="00E34075"/>
    <w:rsid w:val="00E34250"/>
    <w:rsid w:val="00E3464D"/>
    <w:rsid w:val="00E349BB"/>
    <w:rsid w:val="00E34D1E"/>
    <w:rsid w:val="00E3567B"/>
    <w:rsid w:val="00E35979"/>
    <w:rsid w:val="00E359B5"/>
    <w:rsid w:val="00E36240"/>
    <w:rsid w:val="00E369C7"/>
    <w:rsid w:val="00E3768A"/>
    <w:rsid w:val="00E37B1D"/>
    <w:rsid w:val="00E37F8E"/>
    <w:rsid w:val="00E4053B"/>
    <w:rsid w:val="00E4122F"/>
    <w:rsid w:val="00E415D8"/>
    <w:rsid w:val="00E4279D"/>
    <w:rsid w:val="00E42D5A"/>
    <w:rsid w:val="00E42E8D"/>
    <w:rsid w:val="00E43177"/>
    <w:rsid w:val="00E4331C"/>
    <w:rsid w:val="00E43511"/>
    <w:rsid w:val="00E44045"/>
    <w:rsid w:val="00E451B7"/>
    <w:rsid w:val="00E453AE"/>
    <w:rsid w:val="00E453D0"/>
    <w:rsid w:val="00E45DA7"/>
    <w:rsid w:val="00E463FA"/>
    <w:rsid w:val="00E465C2"/>
    <w:rsid w:val="00E46962"/>
    <w:rsid w:val="00E47AB4"/>
    <w:rsid w:val="00E47BFD"/>
    <w:rsid w:val="00E47F9E"/>
    <w:rsid w:val="00E50ACD"/>
    <w:rsid w:val="00E50CB1"/>
    <w:rsid w:val="00E51062"/>
    <w:rsid w:val="00E5106B"/>
    <w:rsid w:val="00E5170E"/>
    <w:rsid w:val="00E51BDE"/>
    <w:rsid w:val="00E51C19"/>
    <w:rsid w:val="00E52A7D"/>
    <w:rsid w:val="00E52ABB"/>
    <w:rsid w:val="00E52D11"/>
    <w:rsid w:val="00E52DDD"/>
    <w:rsid w:val="00E530C7"/>
    <w:rsid w:val="00E53139"/>
    <w:rsid w:val="00E5324A"/>
    <w:rsid w:val="00E53BF1"/>
    <w:rsid w:val="00E53DBF"/>
    <w:rsid w:val="00E53E7A"/>
    <w:rsid w:val="00E53FB3"/>
    <w:rsid w:val="00E54237"/>
    <w:rsid w:val="00E54BFC"/>
    <w:rsid w:val="00E55846"/>
    <w:rsid w:val="00E55C3C"/>
    <w:rsid w:val="00E55F9D"/>
    <w:rsid w:val="00E56397"/>
    <w:rsid w:val="00E56530"/>
    <w:rsid w:val="00E56D1A"/>
    <w:rsid w:val="00E56E76"/>
    <w:rsid w:val="00E57BBD"/>
    <w:rsid w:val="00E57DE9"/>
    <w:rsid w:val="00E602FC"/>
    <w:rsid w:val="00E60656"/>
    <w:rsid w:val="00E60874"/>
    <w:rsid w:val="00E609AB"/>
    <w:rsid w:val="00E611B1"/>
    <w:rsid w:val="00E61C7A"/>
    <w:rsid w:val="00E62683"/>
    <w:rsid w:val="00E626F2"/>
    <w:rsid w:val="00E631A3"/>
    <w:rsid w:val="00E63916"/>
    <w:rsid w:val="00E64688"/>
    <w:rsid w:val="00E6489E"/>
    <w:rsid w:val="00E65813"/>
    <w:rsid w:val="00E658A6"/>
    <w:rsid w:val="00E658CD"/>
    <w:rsid w:val="00E65E16"/>
    <w:rsid w:val="00E666D6"/>
    <w:rsid w:val="00E66C5E"/>
    <w:rsid w:val="00E67DCA"/>
    <w:rsid w:val="00E67FE8"/>
    <w:rsid w:val="00E700AB"/>
    <w:rsid w:val="00E70C8F"/>
    <w:rsid w:val="00E70DDB"/>
    <w:rsid w:val="00E7389F"/>
    <w:rsid w:val="00E73994"/>
    <w:rsid w:val="00E742A3"/>
    <w:rsid w:val="00E743ED"/>
    <w:rsid w:val="00E7486A"/>
    <w:rsid w:val="00E74FE3"/>
    <w:rsid w:val="00E7524A"/>
    <w:rsid w:val="00E75B00"/>
    <w:rsid w:val="00E75E90"/>
    <w:rsid w:val="00E76699"/>
    <w:rsid w:val="00E7689A"/>
    <w:rsid w:val="00E76C9D"/>
    <w:rsid w:val="00E77519"/>
    <w:rsid w:val="00E77B62"/>
    <w:rsid w:val="00E80770"/>
    <w:rsid w:val="00E807F1"/>
    <w:rsid w:val="00E8088C"/>
    <w:rsid w:val="00E80BD3"/>
    <w:rsid w:val="00E81560"/>
    <w:rsid w:val="00E817A3"/>
    <w:rsid w:val="00E81C7E"/>
    <w:rsid w:val="00E82969"/>
    <w:rsid w:val="00E82E70"/>
    <w:rsid w:val="00E82EF4"/>
    <w:rsid w:val="00E841CB"/>
    <w:rsid w:val="00E842DD"/>
    <w:rsid w:val="00E844F8"/>
    <w:rsid w:val="00E846FD"/>
    <w:rsid w:val="00E84B22"/>
    <w:rsid w:val="00E85038"/>
    <w:rsid w:val="00E85856"/>
    <w:rsid w:val="00E859F6"/>
    <w:rsid w:val="00E86371"/>
    <w:rsid w:val="00E8689E"/>
    <w:rsid w:val="00E87163"/>
    <w:rsid w:val="00E8727C"/>
    <w:rsid w:val="00E875CC"/>
    <w:rsid w:val="00E90338"/>
    <w:rsid w:val="00E90416"/>
    <w:rsid w:val="00E90DEE"/>
    <w:rsid w:val="00E910DE"/>
    <w:rsid w:val="00E916D9"/>
    <w:rsid w:val="00E91773"/>
    <w:rsid w:val="00E917D8"/>
    <w:rsid w:val="00E91847"/>
    <w:rsid w:val="00E9196D"/>
    <w:rsid w:val="00E91AD9"/>
    <w:rsid w:val="00E92EE4"/>
    <w:rsid w:val="00E93A0C"/>
    <w:rsid w:val="00E946DF"/>
    <w:rsid w:val="00E9473D"/>
    <w:rsid w:val="00E947CB"/>
    <w:rsid w:val="00E94FA4"/>
    <w:rsid w:val="00E95512"/>
    <w:rsid w:val="00E95993"/>
    <w:rsid w:val="00E95F47"/>
    <w:rsid w:val="00E96078"/>
    <w:rsid w:val="00E966C6"/>
    <w:rsid w:val="00E967BA"/>
    <w:rsid w:val="00E96AB7"/>
    <w:rsid w:val="00E96D1E"/>
    <w:rsid w:val="00E971D3"/>
    <w:rsid w:val="00E97455"/>
    <w:rsid w:val="00E97867"/>
    <w:rsid w:val="00EA0063"/>
    <w:rsid w:val="00EA05E5"/>
    <w:rsid w:val="00EA0741"/>
    <w:rsid w:val="00EA0CD0"/>
    <w:rsid w:val="00EA1762"/>
    <w:rsid w:val="00EA191D"/>
    <w:rsid w:val="00EA1A91"/>
    <w:rsid w:val="00EA1C67"/>
    <w:rsid w:val="00EA1F6B"/>
    <w:rsid w:val="00EA2B9C"/>
    <w:rsid w:val="00EA2BF5"/>
    <w:rsid w:val="00EA329E"/>
    <w:rsid w:val="00EA331F"/>
    <w:rsid w:val="00EA346B"/>
    <w:rsid w:val="00EA3558"/>
    <w:rsid w:val="00EA3EDA"/>
    <w:rsid w:val="00EA426A"/>
    <w:rsid w:val="00EA47EE"/>
    <w:rsid w:val="00EA5194"/>
    <w:rsid w:val="00EA56C5"/>
    <w:rsid w:val="00EA5DBA"/>
    <w:rsid w:val="00EA69A8"/>
    <w:rsid w:val="00EA72C2"/>
    <w:rsid w:val="00EA7455"/>
    <w:rsid w:val="00EA7542"/>
    <w:rsid w:val="00EA7690"/>
    <w:rsid w:val="00EA7998"/>
    <w:rsid w:val="00EB04FA"/>
    <w:rsid w:val="00EB0FF9"/>
    <w:rsid w:val="00EB1097"/>
    <w:rsid w:val="00EB119A"/>
    <w:rsid w:val="00EB11D0"/>
    <w:rsid w:val="00EB163B"/>
    <w:rsid w:val="00EB1B35"/>
    <w:rsid w:val="00EB1BB7"/>
    <w:rsid w:val="00EB2417"/>
    <w:rsid w:val="00EB288F"/>
    <w:rsid w:val="00EB3BFC"/>
    <w:rsid w:val="00EB4290"/>
    <w:rsid w:val="00EB4450"/>
    <w:rsid w:val="00EB453C"/>
    <w:rsid w:val="00EB468D"/>
    <w:rsid w:val="00EB512F"/>
    <w:rsid w:val="00EB536D"/>
    <w:rsid w:val="00EB596E"/>
    <w:rsid w:val="00EB623C"/>
    <w:rsid w:val="00EB62DF"/>
    <w:rsid w:val="00EB69EF"/>
    <w:rsid w:val="00EB6A8F"/>
    <w:rsid w:val="00EB6D91"/>
    <w:rsid w:val="00EB6DE3"/>
    <w:rsid w:val="00EB7174"/>
    <w:rsid w:val="00EB7D1C"/>
    <w:rsid w:val="00EC0436"/>
    <w:rsid w:val="00EC0440"/>
    <w:rsid w:val="00EC0C97"/>
    <w:rsid w:val="00EC0DAE"/>
    <w:rsid w:val="00EC123E"/>
    <w:rsid w:val="00EC1765"/>
    <w:rsid w:val="00EC18E8"/>
    <w:rsid w:val="00EC2566"/>
    <w:rsid w:val="00EC2C73"/>
    <w:rsid w:val="00EC2D55"/>
    <w:rsid w:val="00EC2D98"/>
    <w:rsid w:val="00EC358E"/>
    <w:rsid w:val="00EC3C7B"/>
    <w:rsid w:val="00EC3D28"/>
    <w:rsid w:val="00EC3E96"/>
    <w:rsid w:val="00EC4E56"/>
    <w:rsid w:val="00EC5077"/>
    <w:rsid w:val="00EC5134"/>
    <w:rsid w:val="00EC54E0"/>
    <w:rsid w:val="00EC62AF"/>
    <w:rsid w:val="00EC68CE"/>
    <w:rsid w:val="00EC6A27"/>
    <w:rsid w:val="00EC6A30"/>
    <w:rsid w:val="00EC6F9D"/>
    <w:rsid w:val="00EC780B"/>
    <w:rsid w:val="00EC7D7B"/>
    <w:rsid w:val="00ED0575"/>
    <w:rsid w:val="00ED0853"/>
    <w:rsid w:val="00ED0A5B"/>
    <w:rsid w:val="00ED0A80"/>
    <w:rsid w:val="00ED0C50"/>
    <w:rsid w:val="00ED1381"/>
    <w:rsid w:val="00ED1455"/>
    <w:rsid w:val="00ED1CDC"/>
    <w:rsid w:val="00ED201D"/>
    <w:rsid w:val="00ED25A5"/>
    <w:rsid w:val="00ED2C2E"/>
    <w:rsid w:val="00ED2EF2"/>
    <w:rsid w:val="00ED3309"/>
    <w:rsid w:val="00ED4F7F"/>
    <w:rsid w:val="00ED54D1"/>
    <w:rsid w:val="00ED5779"/>
    <w:rsid w:val="00ED5D89"/>
    <w:rsid w:val="00ED6DC1"/>
    <w:rsid w:val="00ED70F1"/>
    <w:rsid w:val="00ED775D"/>
    <w:rsid w:val="00ED77FE"/>
    <w:rsid w:val="00ED79C5"/>
    <w:rsid w:val="00ED7A04"/>
    <w:rsid w:val="00ED7BC3"/>
    <w:rsid w:val="00ED7CB8"/>
    <w:rsid w:val="00EE0379"/>
    <w:rsid w:val="00EE0B6A"/>
    <w:rsid w:val="00EE0C0F"/>
    <w:rsid w:val="00EE0EB0"/>
    <w:rsid w:val="00EE15A2"/>
    <w:rsid w:val="00EE1CD9"/>
    <w:rsid w:val="00EE21B3"/>
    <w:rsid w:val="00EE2526"/>
    <w:rsid w:val="00EE2684"/>
    <w:rsid w:val="00EE3086"/>
    <w:rsid w:val="00EE3523"/>
    <w:rsid w:val="00EE36AE"/>
    <w:rsid w:val="00EE42AF"/>
    <w:rsid w:val="00EE4313"/>
    <w:rsid w:val="00EE44AD"/>
    <w:rsid w:val="00EE58DD"/>
    <w:rsid w:val="00EE6787"/>
    <w:rsid w:val="00EE7085"/>
    <w:rsid w:val="00EE7364"/>
    <w:rsid w:val="00EE7479"/>
    <w:rsid w:val="00EE7587"/>
    <w:rsid w:val="00EE76B6"/>
    <w:rsid w:val="00EE7CB8"/>
    <w:rsid w:val="00EE7DDF"/>
    <w:rsid w:val="00EE7FAF"/>
    <w:rsid w:val="00EF046F"/>
    <w:rsid w:val="00EF0476"/>
    <w:rsid w:val="00EF0AF8"/>
    <w:rsid w:val="00EF10D2"/>
    <w:rsid w:val="00EF191C"/>
    <w:rsid w:val="00EF1FC3"/>
    <w:rsid w:val="00EF2182"/>
    <w:rsid w:val="00EF2888"/>
    <w:rsid w:val="00EF2F2F"/>
    <w:rsid w:val="00EF3955"/>
    <w:rsid w:val="00EF3BE3"/>
    <w:rsid w:val="00EF3C05"/>
    <w:rsid w:val="00EF4278"/>
    <w:rsid w:val="00EF4B83"/>
    <w:rsid w:val="00EF5B77"/>
    <w:rsid w:val="00EF62EB"/>
    <w:rsid w:val="00EF64BD"/>
    <w:rsid w:val="00EF65A0"/>
    <w:rsid w:val="00EF6658"/>
    <w:rsid w:val="00EF67AE"/>
    <w:rsid w:val="00EF72A6"/>
    <w:rsid w:val="00F00754"/>
    <w:rsid w:val="00F00BA4"/>
    <w:rsid w:val="00F00DBD"/>
    <w:rsid w:val="00F019A1"/>
    <w:rsid w:val="00F0242A"/>
    <w:rsid w:val="00F0296B"/>
    <w:rsid w:val="00F02D82"/>
    <w:rsid w:val="00F03CAC"/>
    <w:rsid w:val="00F0433A"/>
    <w:rsid w:val="00F04C67"/>
    <w:rsid w:val="00F05542"/>
    <w:rsid w:val="00F05EDA"/>
    <w:rsid w:val="00F05F61"/>
    <w:rsid w:val="00F05F99"/>
    <w:rsid w:val="00F062AB"/>
    <w:rsid w:val="00F062CE"/>
    <w:rsid w:val="00F068CB"/>
    <w:rsid w:val="00F06B17"/>
    <w:rsid w:val="00F06C93"/>
    <w:rsid w:val="00F06F1C"/>
    <w:rsid w:val="00F0775A"/>
    <w:rsid w:val="00F078ED"/>
    <w:rsid w:val="00F07ABF"/>
    <w:rsid w:val="00F103B9"/>
    <w:rsid w:val="00F10673"/>
    <w:rsid w:val="00F10BFB"/>
    <w:rsid w:val="00F10C56"/>
    <w:rsid w:val="00F10D9A"/>
    <w:rsid w:val="00F11590"/>
    <w:rsid w:val="00F11934"/>
    <w:rsid w:val="00F125AC"/>
    <w:rsid w:val="00F13CCF"/>
    <w:rsid w:val="00F14153"/>
    <w:rsid w:val="00F148E3"/>
    <w:rsid w:val="00F148FA"/>
    <w:rsid w:val="00F1537A"/>
    <w:rsid w:val="00F15B3F"/>
    <w:rsid w:val="00F16623"/>
    <w:rsid w:val="00F166DB"/>
    <w:rsid w:val="00F16B68"/>
    <w:rsid w:val="00F17061"/>
    <w:rsid w:val="00F17844"/>
    <w:rsid w:val="00F178FC"/>
    <w:rsid w:val="00F17B96"/>
    <w:rsid w:val="00F17D39"/>
    <w:rsid w:val="00F203D4"/>
    <w:rsid w:val="00F20A7E"/>
    <w:rsid w:val="00F215BC"/>
    <w:rsid w:val="00F21AE4"/>
    <w:rsid w:val="00F222A0"/>
    <w:rsid w:val="00F229CD"/>
    <w:rsid w:val="00F22AD8"/>
    <w:rsid w:val="00F22B5B"/>
    <w:rsid w:val="00F22E13"/>
    <w:rsid w:val="00F2301C"/>
    <w:rsid w:val="00F231EC"/>
    <w:rsid w:val="00F237C6"/>
    <w:rsid w:val="00F2383F"/>
    <w:rsid w:val="00F248F4"/>
    <w:rsid w:val="00F24957"/>
    <w:rsid w:val="00F25EB8"/>
    <w:rsid w:val="00F264A6"/>
    <w:rsid w:val="00F26806"/>
    <w:rsid w:val="00F268F5"/>
    <w:rsid w:val="00F269B3"/>
    <w:rsid w:val="00F26E98"/>
    <w:rsid w:val="00F2722C"/>
    <w:rsid w:val="00F27234"/>
    <w:rsid w:val="00F273E6"/>
    <w:rsid w:val="00F274C0"/>
    <w:rsid w:val="00F27E92"/>
    <w:rsid w:val="00F27EC1"/>
    <w:rsid w:val="00F27F20"/>
    <w:rsid w:val="00F30B1A"/>
    <w:rsid w:val="00F30D45"/>
    <w:rsid w:val="00F30D9C"/>
    <w:rsid w:val="00F30ECF"/>
    <w:rsid w:val="00F310D3"/>
    <w:rsid w:val="00F312CF"/>
    <w:rsid w:val="00F31826"/>
    <w:rsid w:val="00F31922"/>
    <w:rsid w:val="00F31B09"/>
    <w:rsid w:val="00F321BA"/>
    <w:rsid w:val="00F32D16"/>
    <w:rsid w:val="00F32D36"/>
    <w:rsid w:val="00F32E62"/>
    <w:rsid w:val="00F338EF"/>
    <w:rsid w:val="00F33A62"/>
    <w:rsid w:val="00F34D3F"/>
    <w:rsid w:val="00F3570F"/>
    <w:rsid w:val="00F3603E"/>
    <w:rsid w:val="00F3641D"/>
    <w:rsid w:val="00F364CE"/>
    <w:rsid w:val="00F36C95"/>
    <w:rsid w:val="00F36FD2"/>
    <w:rsid w:val="00F3735D"/>
    <w:rsid w:val="00F37364"/>
    <w:rsid w:val="00F4096D"/>
    <w:rsid w:val="00F40AF1"/>
    <w:rsid w:val="00F41727"/>
    <w:rsid w:val="00F4190E"/>
    <w:rsid w:val="00F41A86"/>
    <w:rsid w:val="00F42561"/>
    <w:rsid w:val="00F42758"/>
    <w:rsid w:val="00F427EE"/>
    <w:rsid w:val="00F4327F"/>
    <w:rsid w:val="00F4391D"/>
    <w:rsid w:val="00F439BB"/>
    <w:rsid w:val="00F43D89"/>
    <w:rsid w:val="00F43EC9"/>
    <w:rsid w:val="00F451D8"/>
    <w:rsid w:val="00F4555B"/>
    <w:rsid w:val="00F45663"/>
    <w:rsid w:val="00F45894"/>
    <w:rsid w:val="00F459FA"/>
    <w:rsid w:val="00F45BD5"/>
    <w:rsid w:val="00F46000"/>
    <w:rsid w:val="00F46099"/>
    <w:rsid w:val="00F46565"/>
    <w:rsid w:val="00F468FA"/>
    <w:rsid w:val="00F469BF"/>
    <w:rsid w:val="00F46AA2"/>
    <w:rsid w:val="00F46EF1"/>
    <w:rsid w:val="00F478BA"/>
    <w:rsid w:val="00F50A6C"/>
    <w:rsid w:val="00F50D0A"/>
    <w:rsid w:val="00F514BD"/>
    <w:rsid w:val="00F51C1A"/>
    <w:rsid w:val="00F51FC4"/>
    <w:rsid w:val="00F52473"/>
    <w:rsid w:val="00F52F06"/>
    <w:rsid w:val="00F533A0"/>
    <w:rsid w:val="00F5361E"/>
    <w:rsid w:val="00F5561E"/>
    <w:rsid w:val="00F557DD"/>
    <w:rsid w:val="00F56024"/>
    <w:rsid w:val="00F56172"/>
    <w:rsid w:val="00F56583"/>
    <w:rsid w:val="00F5666B"/>
    <w:rsid w:val="00F57576"/>
    <w:rsid w:val="00F577AB"/>
    <w:rsid w:val="00F57DC7"/>
    <w:rsid w:val="00F605D2"/>
    <w:rsid w:val="00F60AAE"/>
    <w:rsid w:val="00F60CF7"/>
    <w:rsid w:val="00F6107D"/>
    <w:rsid w:val="00F61B09"/>
    <w:rsid w:val="00F61EE3"/>
    <w:rsid w:val="00F6207C"/>
    <w:rsid w:val="00F623A3"/>
    <w:rsid w:val="00F62932"/>
    <w:rsid w:val="00F629C3"/>
    <w:rsid w:val="00F63585"/>
    <w:rsid w:val="00F63A3E"/>
    <w:rsid w:val="00F64A0B"/>
    <w:rsid w:val="00F65420"/>
    <w:rsid w:val="00F66E3A"/>
    <w:rsid w:val="00F66E3D"/>
    <w:rsid w:val="00F672A9"/>
    <w:rsid w:val="00F67A8B"/>
    <w:rsid w:val="00F67D52"/>
    <w:rsid w:val="00F70BBD"/>
    <w:rsid w:val="00F718C2"/>
    <w:rsid w:val="00F71D05"/>
    <w:rsid w:val="00F71FD6"/>
    <w:rsid w:val="00F72074"/>
    <w:rsid w:val="00F725CF"/>
    <w:rsid w:val="00F726BF"/>
    <w:rsid w:val="00F72928"/>
    <w:rsid w:val="00F72C69"/>
    <w:rsid w:val="00F735A4"/>
    <w:rsid w:val="00F73B85"/>
    <w:rsid w:val="00F73F2B"/>
    <w:rsid w:val="00F74F9B"/>
    <w:rsid w:val="00F752B4"/>
    <w:rsid w:val="00F75774"/>
    <w:rsid w:val="00F7579D"/>
    <w:rsid w:val="00F75F00"/>
    <w:rsid w:val="00F761D5"/>
    <w:rsid w:val="00F76254"/>
    <w:rsid w:val="00F76946"/>
    <w:rsid w:val="00F76D49"/>
    <w:rsid w:val="00F76F35"/>
    <w:rsid w:val="00F7716F"/>
    <w:rsid w:val="00F77210"/>
    <w:rsid w:val="00F77250"/>
    <w:rsid w:val="00F77298"/>
    <w:rsid w:val="00F7741D"/>
    <w:rsid w:val="00F7751E"/>
    <w:rsid w:val="00F777C1"/>
    <w:rsid w:val="00F77BD2"/>
    <w:rsid w:val="00F77D40"/>
    <w:rsid w:val="00F8073A"/>
    <w:rsid w:val="00F80875"/>
    <w:rsid w:val="00F81774"/>
    <w:rsid w:val="00F81979"/>
    <w:rsid w:val="00F81A3E"/>
    <w:rsid w:val="00F81B99"/>
    <w:rsid w:val="00F81F36"/>
    <w:rsid w:val="00F82AC7"/>
    <w:rsid w:val="00F82D09"/>
    <w:rsid w:val="00F83390"/>
    <w:rsid w:val="00F834CD"/>
    <w:rsid w:val="00F837DA"/>
    <w:rsid w:val="00F8383D"/>
    <w:rsid w:val="00F8384F"/>
    <w:rsid w:val="00F83B29"/>
    <w:rsid w:val="00F83B8D"/>
    <w:rsid w:val="00F8425E"/>
    <w:rsid w:val="00F84D14"/>
    <w:rsid w:val="00F85259"/>
    <w:rsid w:val="00F8543C"/>
    <w:rsid w:val="00F85BC6"/>
    <w:rsid w:val="00F86587"/>
    <w:rsid w:val="00F86596"/>
    <w:rsid w:val="00F8691D"/>
    <w:rsid w:val="00F86DCE"/>
    <w:rsid w:val="00F86FEE"/>
    <w:rsid w:val="00F87634"/>
    <w:rsid w:val="00F87764"/>
    <w:rsid w:val="00F87C70"/>
    <w:rsid w:val="00F87EE3"/>
    <w:rsid w:val="00F906B7"/>
    <w:rsid w:val="00F908AE"/>
    <w:rsid w:val="00F908F9"/>
    <w:rsid w:val="00F909F6"/>
    <w:rsid w:val="00F90BEA"/>
    <w:rsid w:val="00F91523"/>
    <w:rsid w:val="00F91AC4"/>
    <w:rsid w:val="00F91BEF"/>
    <w:rsid w:val="00F91E82"/>
    <w:rsid w:val="00F92125"/>
    <w:rsid w:val="00F9269D"/>
    <w:rsid w:val="00F92B47"/>
    <w:rsid w:val="00F92BEE"/>
    <w:rsid w:val="00F92FCB"/>
    <w:rsid w:val="00F9342B"/>
    <w:rsid w:val="00F93E72"/>
    <w:rsid w:val="00F941B6"/>
    <w:rsid w:val="00F94C93"/>
    <w:rsid w:val="00F94D5E"/>
    <w:rsid w:val="00F94E85"/>
    <w:rsid w:val="00F95199"/>
    <w:rsid w:val="00F9531F"/>
    <w:rsid w:val="00F956A7"/>
    <w:rsid w:val="00F95E20"/>
    <w:rsid w:val="00F95ECD"/>
    <w:rsid w:val="00F95F9A"/>
    <w:rsid w:val="00F9621F"/>
    <w:rsid w:val="00F964AE"/>
    <w:rsid w:val="00FA04E9"/>
    <w:rsid w:val="00FA0650"/>
    <w:rsid w:val="00FA08A5"/>
    <w:rsid w:val="00FA0C99"/>
    <w:rsid w:val="00FA0E52"/>
    <w:rsid w:val="00FA149E"/>
    <w:rsid w:val="00FA1DED"/>
    <w:rsid w:val="00FA2483"/>
    <w:rsid w:val="00FA2FB0"/>
    <w:rsid w:val="00FA2FD1"/>
    <w:rsid w:val="00FA3230"/>
    <w:rsid w:val="00FA4539"/>
    <w:rsid w:val="00FA48CF"/>
    <w:rsid w:val="00FA4CE9"/>
    <w:rsid w:val="00FA569C"/>
    <w:rsid w:val="00FA5702"/>
    <w:rsid w:val="00FA57A9"/>
    <w:rsid w:val="00FA5D32"/>
    <w:rsid w:val="00FA694A"/>
    <w:rsid w:val="00FA6BFE"/>
    <w:rsid w:val="00FA6C70"/>
    <w:rsid w:val="00FA7342"/>
    <w:rsid w:val="00FB0775"/>
    <w:rsid w:val="00FB08F3"/>
    <w:rsid w:val="00FB0FEC"/>
    <w:rsid w:val="00FB0FF9"/>
    <w:rsid w:val="00FB15A4"/>
    <w:rsid w:val="00FB16A9"/>
    <w:rsid w:val="00FB19CF"/>
    <w:rsid w:val="00FB1C35"/>
    <w:rsid w:val="00FB1D3B"/>
    <w:rsid w:val="00FB1FED"/>
    <w:rsid w:val="00FB25F9"/>
    <w:rsid w:val="00FB2D1F"/>
    <w:rsid w:val="00FB362B"/>
    <w:rsid w:val="00FB365A"/>
    <w:rsid w:val="00FB453D"/>
    <w:rsid w:val="00FB4784"/>
    <w:rsid w:val="00FB57EE"/>
    <w:rsid w:val="00FB61F3"/>
    <w:rsid w:val="00FB622F"/>
    <w:rsid w:val="00FB6314"/>
    <w:rsid w:val="00FB6785"/>
    <w:rsid w:val="00FB711C"/>
    <w:rsid w:val="00FB784E"/>
    <w:rsid w:val="00FB789A"/>
    <w:rsid w:val="00FB7AF9"/>
    <w:rsid w:val="00FB7D22"/>
    <w:rsid w:val="00FC00D6"/>
    <w:rsid w:val="00FC0942"/>
    <w:rsid w:val="00FC0BC4"/>
    <w:rsid w:val="00FC160A"/>
    <w:rsid w:val="00FC180D"/>
    <w:rsid w:val="00FC187D"/>
    <w:rsid w:val="00FC2223"/>
    <w:rsid w:val="00FC282D"/>
    <w:rsid w:val="00FC2CA5"/>
    <w:rsid w:val="00FC2F65"/>
    <w:rsid w:val="00FC3387"/>
    <w:rsid w:val="00FC3A41"/>
    <w:rsid w:val="00FC3ABC"/>
    <w:rsid w:val="00FC43C5"/>
    <w:rsid w:val="00FC50B5"/>
    <w:rsid w:val="00FC58A4"/>
    <w:rsid w:val="00FC611C"/>
    <w:rsid w:val="00FC638A"/>
    <w:rsid w:val="00FC676F"/>
    <w:rsid w:val="00FC68B6"/>
    <w:rsid w:val="00FC6F58"/>
    <w:rsid w:val="00FC74E5"/>
    <w:rsid w:val="00FC77CF"/>
    <w:rsid w:val="00FC7E05"/>
    <w:rsid w:val="00FC7E53"/>
    <w:rsid w:val="00FD0653"/>
    <w:rsid w:val="00FD1688"/>
    <w:rsid w:val="00FD18FD"/>
    <w:rsid w:val="00FD19B5"/>
    <w:rsid w:val="00FD1F95"/>
    <w:rsid w:val="00FD209A"/>
    <w:rsid w:val="00FD255B"/>
    <w:rsid w:val="00FD2694"/>
    <w:rsid w:val="00FD2888"/>
    <w:rsid w:val="00FD33DD"/>
    <w:rsid w:val="00FD341E"/>
    <w:rsid w:val="00FD4146"/>
    <w:rsid w:val="00FD47E0"/>
    <w:rsid w:val="00FD48C0"/>
    <w:rsid w:val="00FD50D2"/>
    <w:rsid w:val="00FD5147"/>
    <w:rsid w:val="00FD57B1"/>
    <w:rsid w:val="00FD657D"/>
    <w:rsid w:val="00FD678C"/>
    <w:rsid w:val="00FD683A"/>
    <w:rsid w:val="00FD6B44"/>
    <w:rsid w:val="00FD6E51"/>
    <w:rsid w:val="00FD6EEA"/>
    <w:rsid w:val="00FD7771"/>
    <w:rsid w:val="00FD7C18"/>
    <w:rsid w:val="00FD7D82"/>
    <w:rsid w:val="00FE05BB"/>
    <w:rsid w:val="00FE065F"/>
    <w:rsid w:val="00FE0F5D"/>
    <w:rsid w:val="00FE1199"/>
    <w:rsid w:val="00FE1331"/>
    <w:rsid w:val="00FE1760"/>
    <w:rsid w:val="00FE1BE8"/>
    <w:rsid w:val="00FE2A49"/>
    <w:rsid w:val="00FE3D4D"/>
    <w:rsid w:val="00FE3E8A"/>
    <w:rsid w:val="00FE4143"/>
    <w:rsid w:val="00FE4571"/>
    <w:rsid w:val="00FE4627"/>
    <w:rsid w:val="00FE5333"/>
    <w:rsid w:val="00FE550A"/>
    <w:rsid w:val="00FE61AC"/>
    <w:rsid w:val="00FE6469"/>
    <w:rsid w:val="00FE68C6"/>
    <w:rsid w:val="00FE6C4A"/>
    <w:rsid w:val="00FE7761"/>
    <w:rsid w:val="00FE7AA8"/>
    <w:rsid w:val="00FE7FDE"/>
    <w:rsid w:val="00FF0279"/>
    <w:rsid w:val="00FF0363"/>
    <w:rsid w:val="00FF1BA6"/>
    <w:rsid w:val="00FF1DE4"/>
    <w:rsid w:val="00FF1EFD"/>
    <w:rsid w:val="00FF1F3D"/>
    <w:rsid w:val="00FF30B6"/>
    <w:rsid w:val="00FF40AB"/>
    <w:rsid w:val="00FF41B1"/>
    <w:rsid w:val="00FF4247"/>
    <w:rsid w:val="00FF42E7"/>
    <w:rsid w:val="00FF4ABE"/>
    <w:rsid w:val="00FF5C5B"/>
    <w:rsid w:val="00FF624D"/>
    <w:rsid w:val="00FF6B8A"/>
    <w:rsid w:val="00FF6E36"/>
    <w:rsid w:val="00FF7564"/>
    <w:rsid w:val="00FF7903"/>
    <w:rsid w:val="00FF798E"/>
    <w:rsid w:val="00FF7BB4"/>
    <w:rsid w:val="00FF7F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A8034"/>
  <w15:chartTrackingRefBased/>
  <w15:docId w15:val="{FED32F31-74F7-400B-8CBB-9AE847E62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3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760AEC"/>
    <w:pPr>
      <w:keepNext/>
      <w:keepLines/>
      <w:spacing w:before="240" w:after="0"/>
      <w:jc w:val="center"/>
      <w:outlineLvl w:val="0"/>
    </w:pPr>
    <w:rPr>
      <w:rFonts w:eastAsiaTheme="majorEastAsia" w:cs="Times New Roman"/>
      <w:b/>
      <w:bCs/>
      <w:color w:val="000000" w:themeColor="text1"/>
      <w:sz w:val="28"/>
      <w:szCs w:val="28"/>
    </w:rPr>
  </w:style>
  <w:style w:type="paragraph" w:styleId="Heading2">
    <w:name w:val="heading 2"/>
    <w:basedOn w:val="Default"/>
    <w:next w:val="Normal"/>
    <w:link w:val="Heading2Char"/>
    <w:uiPriority w:val="9"/>
    <w:unhideWhenUsed/>
    <w:qFormat/>
    <w:rsid w:val="008A2F19"/>
    <w:pPr>
      <w:numPr>
        <w:ilvl w:val="1"/>
      </w:numPr>
      <w:spacing w:line="480" w:lineRule="auto"/>
      <w:ind w:left="502" w:right="146" w:hanging="360"/>
      <w:outlineLvl w:val="1"/>
    </w:pPr>
    <w:rPr>
      <w:b/>
      <w:sz w:val="26"/>
      <w:szCs w:val="26"/>
    </w:rPr>
  </w:style>
  <w:style w:type="paragraph" w:styleId="Heading3">
    <w:name w:val="heading 3"/>
    <w:basedOn w:val="Normal"/>
    <w:next w:val="Normal"/>
    <w:link w:val="Heading3Char"/>
    <w:uiPriority w:val="9"/>
    <w:unhideWhenUsed/>
    <w:qFormat/>
    <w:rsid w:val="002D110D"/>
    <w:pPr>
      <w:keepNext/>
      <w:keepLines/>
      <w:spacing w:before="40" w:after="0"/>
      <w:ind w:left="142"/>
      <w:outlineLvl w:val="2"/>
    </w:pPr>
    <w:rPr>
      <w:rFonts w:eastAsiaTheme="majorEastAsia" w:cs="Times New Roman"/>
      <w:b/>
      <w:bCs/>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AEC"/>
    <w:rPr>
      <w:rFonts w:ascii="Times New Roman" w:eastAsiaTheme="majorEastAsia" w:hAnsi="Times New Roman" w:cs="Times New Roman"/>
      <w:b/>
      <w:bCs/>
      <w:color w:val="000000" w:themeColor="text1"/>
      <w:sz w:val="28"/>
      <w:szCs w:val="28"/>
    </w:rPr>
  </w:style>
  <w:style w:type="paragraph" w:customStyle="1" w:styleId="Default">
    <w:name w:val="Default"/>
    <w:rsid w:val="001A1A7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8A2F19"/>
    <w:rPr>
      <w:rFonts w:ascii="Times New Roman" w:hAnsi="Times New Roman" w:cs="Times New Roman"/>
      <w:b/>
      <w:color w:val="000000"/>
      <w:sz w:val="26"/>
      <w:szCs w:val="26"/>
    </w:rPr>
  </w:style>
  <w:style w:type="character" w:customStyle="1" w:styleId="Heading3Char">
    <w:name w:val="Heading 3 Char"/>
    <w:basedOn w:val="DefaultParagraphFont"/>
    <w:link w:val="Heading3"/>
    <w:uiPriority w:val="9"/>
    <w:rsid w:val="002D110D"/>
    <w:rPr>
      <w:rFonts w:ascii="Times New Roman" w:eastAsiaTheme="majorEastAsia" w:hAnsi="Times New Roman" w:cs="Times New Roman"/>
      <w:b/>
      <w:bCs/>
      <w:color w:val="000000" w:themeColor="text1"/>
      <w:sz w:val="24"/>
      <w:szCs w:val="24"/>
    </w:rPr>
  </w:style>
  <w:style w:type="paragraph" w:styleId="ListParagraph">
    <w:name w:val="List Paragraph"/>
    <w:basedOn w:val="Normal"/>
    <w:uiPriority w:val="34"/>
    <w:qFormat/>
    <w:rsid w:val="005B4D5F"/>
    <w:pPr>
      <w:ind w:left="720"/>
      <w:contextualSpacing/>
    </w:pPr>
  </w:style>
  <w:style w:type="paragraph" w:styleId="BalloonText">
    <w:name w:val="Balloon Text"/>
    <w:basedOn w:val="Normal"/>
    <w:link w:val="BalloonTextChar"/>
    <w:uiPriority w:val="99"/>
    <w:semiHidden/>
    <w:unhideWhenUsed/>
    <w:rsid w:val="001A1A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A78"/>
    <w:rPr>
      <w:rFonts w:ascii="Segoe UI" w:hAnsi="Segoe UI" w:cs="Segoe UI"/>
      <w:sz w:val="18"/>
      <w:szCs w:val="18"/>
    </w:rPr>
  </w:style>
  <w:style w:type="paragraph" w:styleId="Caption">
    <w:name w:val="caption"/>
    <w:basedOn w:val="Normal"/>
    <w:next w:val="Normal"/>
    <w:uiPriority w:val="35"/>
    <w:unhideWhenUsed/>
    <w:qFormat/>
    <w:rsid w:val="005342D8"/>
    <w:pPr>
      <w:spacing w:after="200"/>
      <w:jc w:val="center"/>
    </w:pPr>
    <w:rPr>
      <w:b/>
      <w:i/>
      <w:iCs/>
      <w:szCs w:val="18"/>
    </w:rPr>
  </w:style>
  <w:style w:type="character" w:styleId="CommentReference">
    <w:name w:val="annotation reference"/>
    <w:basedOn w:val="DefaultParagraphFont"/>
    <w:semiHidden/>
    <w:unhideWhenUsed/>
    <w:rsid w:val="001A1A78"/>
    <w:rPr>
      <w:sz w:val="16"/>
      <w:szCs w:val="16"/>
    </w:rPr>
  </w:style>
  <w:style w:type="paragraph" w:styleId="CommentText">
    <w:name w:val="annotation text"/>
    <w:basedOn w:val="Normal"/>
    <w:link w:val="CommentTextChar"/>
    <w:semiHidden/>
    <w:unhideWhenUsed/>
    <w:rsid w:val="001A1A78"/>
    <w:pPr>
      <w:spacing w:line="240" w:lineRule="auto"/>
    </w:pPr>
    <w:rPr>
      <w:sz w:val="20"/>
      <w:szCs w:val="20"/>
    </w:rPr>
  </w:style>
  <w:style w:type="character" w:customStyle="1" w:styleId="CommentTextChar">
    <w:name w:val="Comment Text Char"/>
    <w:basedOn w:val="DefaultParagraphFont"/>
    <w:link w:val="CommentText"/>
    <w:semiHidden/>
    <w:rsid w:val="001A1A78"/>
    <w:rPr>
      <w:sz w:val="20"/>
      <w:szCs w:val="20"/>
    </w:rPr>
  </w:style>
  <w:style w:type="paragraph" w:styleId="Footer">
    <w:name w:val="footer"/>
    <w:basedOn w:val="Normal"/>
    <w:link w:val="FooterChar"/>
    <w:uiPriority w:val="99"/>
    <w:unhideWhenUsed/>
    <w:rsid w:val="00B11C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CEC"/>
  </w:style>
  <w:style w:type="character" w:styleId="PlaceholderText">
    <w:name w:val="Placeholder Text"/>
    <w:basedOn w:val="DefaultParagraphFont"/>
    <w:uiPriority w:val="99"/>
    <w:semiHidden/>
    <w:rsid w:val="00B11CEC"/>
    <w:rPr>
      <w:color w:val="808080"/>
    </w:rPr>
  </w:style>
  <w:style w:type="paragraph" w:styleId="TableofFigures">
    <w:name w:val="table of figures"/>
    <w:basedOn w:val="Normal"/>
    <w:next w:val="Normal"/>
    <w:uiPriority w:val="99"/>
    <w:unhideWhenUsed/>
    <w:rsid w:val="002D3C7B"/>
    <w:pPr>
      <w:spacing w:after="0"/>
    </w:pPr>
  </w:style>
  <w:style w:type="paragraph" w:styleId="Header">
    <w:name w:val="header"/>
    <w:basedOn w:val="Normal"/>
    <w:link w:val="HeaderChar"/>
    <w:uiPriority w:val="99"/>
    <w:unhideWhenUsed/>
    <w:rsid w:val="00B20B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B56"/>
  </w:style>
  <w:style w:type="paragraph" w:styleId="BodyTextIndent">
    <w:name w:val="Body Text Indent"/>
    <w:basedOn w:val="Normal"/>
    <w:link w:val="BodyTextIndentChar"/>
    <w:rsid w:val="00FC58A4"/>
    <w:pPr>
      <w:suppressAutoHyphens/>
      <w:overflowPunct w:val="0"/>
      <w:autoSpaceDE w:val="0"/>
      <w:autoSpaceDN w:val="0"/>
      <w:adjustRightInd w:val="0"/>
      <w:spacing w:after="0" w:line="240" w:lineRule="auto"/>
      <w:ind w:firstLine="360"/>
      <w:textAlignment w:val="baseline"/>
    </w:pPr>
    <w:rPr>
      <w:rFonts w:eastAsia="Times New Roman" w:cs="Times New Roman"/>
      <w:kern w:val="14"/>
      <w:sz w:val="20"/>
      <w:szCs w:val="20"/>
    </w:rPr>
  </w:style>
  <w:style w:type="character" w:customStyle="1" w:styleId="BodyTextIndentChar">
    <w:name w:val="Body Text Indent Char"/>
    <w:basedOn w:val="DefaultParagraphFont"/>
    <w:link w:val="BodyTextIndent"/>
    <w:rsid w:val="00FC58A4"/>
    <w:rPr>
      <w:rFonts w:ascii="Times New Roman" w:eastAsia="Times New Roman" w:hAnsi="Times New Roman" w:cs="Times New Roman"/>
      <w:kern w:val="14"/>
      <w:sz w:val="20"/>
      <w:szCs w:val="20"/>
    </w:rPr>
  </w:style>
  <w:style w:type="paragraph" w:styleId="Revision">
    <w:name w:val="Revision"/>
    <w:hidden/>
    <w:uiPriority w:val="99"/>
    <w:semiHidden/>
    <w:rsid w:val="00F86DCE"/>
    <w:pPr>
      <w:spacing w:after="0" w:line="240" w:lineRule="auto"/>
    </w:pPr>
  </w:style>
  <w:style w:type="paragraph" w:styleId="CommentSubject">
    <w:name w:val="annotation subject"/>
    <w:basedOn w:val="CommentText"/>
    <w:next w:val="CommentText"/>
    <w:link w:val="CommentSubjectChar"/>
    <w:uiPriority w:val="99"/>
    <w:semiHidden/>
    <w:unhideWhenUsed/>
    <w:rsid w:val="00F76946"/>
    <w:rPr>
      <w:b/>
      <w:bCs/>
    </w:rPr>
  </w:style>
  <w:style w:type="character" w:customStyle="1" w:styleId="CommentSubjectChar">
    <w:name w:val="Comment Subject Char"/>
    <w:basedOn w:val="CommentTextChar"/>
    <w:link w:val="CommentSubject"/>
    <w:uiPriority w:val="99"/>
    <w:semiHidden/>
    <w:rsid w:val="00F76946"/>
    <w:rPr>
      <w:b/>
      <w:bCs/>
      <w:sz w:val="20"/>
      <w:szCs w:val="20"/>
    </w:rPr>
  </w:style>
  <w:style w:type="character" w:styleId="Hyperlink">
    <w:name w:val="Hyperlink"/>
    <w:basedOn w:val="DefaultParagraphFont"/>
    <w:uiPriority w:val="99"/>
    <w:unhideWhenUsed/>
    <w:rsid w:val="00CD7A3F"/>
    <w:rPr>
      <w:color w:val="0563C1" w:themeColor="hyperlink"/>
      <w:u w:val="single"/>
    </w:rPr>
  </w:style>
  <w:style w:type="paragraph" w:styleId="NormalWeb">
    <w:name w:val="Normal (Web)"/>
    <w:basedOn w:val="Normal"/>
    <w:uiPriority w:val="99"/>
    <w:unhideWhenUsed/>
    <w:rsid w:val="008A2F19"/>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4C00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4C000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9036F1"/>
    <w:pPr>
      <w:spacing w:line="259" w:lineRule="auto"/>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9036F1"/>
    <w:pPr>
      <w:spacing w:after="100"/>
    </w:pPr>
  </w:style>
  <w:style w:type="paragraph" w:styleId="TOC2">
    <w:name w:val="toc 2"/>
    <w:basedOn w:val="Normal"/>
    <w:next w:val="Normal"/>
    <w:autoRedefine/>
    <w:uiPriority w:val="39"/>
    <w:unhideWhenUsed/>
    <w:rsid w:val="00F264A6"/>
    <w:pPr>
      <w:tabs>
        <w:tab w:val="left" w:pos="630"/>
        <w:tab w:val="right" w:leader="dot" w:pos="9350"/>
      </w:tabs>
      <w:spacing w:after="100"/>
      <w:ind w:left="240"/>
    </w:pPr>
  </w:style>
  <w:style w:type="paragraph" w:styleId="TOC3">
    <w:name w:val="toc 3"/>
    <w:basedOn w:val="Normal"/>
    <w:next w:val="Normal"/>
    <w:autoRedefine/>
    <w:uiPriority w:val="39"/>
    <w:unhideWhenUsed/>
    <w:rsid w:val="009069A1"/>
    <w:pPr>
      <w:tabs>
        <w:tab w:val="right" w:leader="dot" w:pos="9350"/>
      </w:tabs>
      <w:spacing w:after="100"/>
      <w:ind w:left="720" w:hanging="450"/>
    </w:pPr>
  </w:style>
  <w:style w:type="paragraph" w:customStyle="1" w:styleId="para1">
    <w:name w:val="para1"/>
    <w:basedOn w:val="Normal"/>
    <w:rsid w:val="00955AC7"/>
    <w:pPr>
      <w:suppressAutoHyphens/>
      <w:overflowPunct w:val="0"/>
      <w:autoSpaceDE w:val="0"/>
      <w:autoSpaceDN w:val="0"/>
      <w:adjustRightInd w:val="0"/>
      <w:spacing w:after="0" w:line="240" w:lineRule="auto"/>
      <w:ind w:firstLine="288"/>
      <w:textAlignment w:val="baseline"/>
    </w:pPr>
    <w:rPr>
      <w:rFonts w:eastAsia="Times New Roman" w:cs="Times New Roman"/>
      <w:szCs w:val="20"/>
    </w:rPr>
  </w:style>
  <w:style w:type="paragraph" w:styleId="NoSpacing">
    <w:name w:val="No Spacing"/>
    <w:uiPriority w:val="1"/>
    <w:qFormat/>
    <w:rsid w:val="00C840E0"/>
    <w:pPr>
      <w:spacing w:after="0" w:line="240" w:lineRule="auto"/>
      <w:jc w:val="both"/>
    </w:pPr>
    <w:rPr>
      <w:rFonts w:ascii="Times New Roman" w:hAnsi="Times New Roman"/>
      <w:sz w:val="24"/>
    </w:rPr>
  </w:style>
  <w:style w:type="paragraph" w:customStyle="1" w:styleId="FigCaption">
    <w:name w:val="FigCaption"/>
    <w:basedOn w:val="Normal"/>
    <w:rsid w:val="00177B48"/>
    <w:pPr>
      <w:widowControl w:val="0"/>
      <w:overflowPunct w:val="0"/>
      <w:autoSpaceDE w:val="0"/>
      <w:autoSpaceDN w:val="0"/>
      <w:adjustRightInd w:val="0"/>
      <w:spacing w:after="0" w:line="240" w:lineRule="auto"/>
      <w:textAlignment w:val="baseline"/>
    </w:pPr>
    <w:rPr>
      <w:rFonts w:ascii="Arial" w:eastAsia="Times New Roman" w:hAnsi="Arial" w:cs="Times New Roman"/>
      <w:b/>
      <w:sz w:val="16"/>
      <w:szCs w:val="20"/>
    </w:rPr>
  </w:style>
  <w:style w:type="paragraph" w:customStyle="1" w:styleId="Head1">
    <w:name w:val="Head1"/>
    <w:basedOn w:val="Normal"/>
    <w:next w:val="para"/>
    <w:rsid w:val="00A7759F"/>
    <w:pPr>
      <w:keepNext/>
      <w:widowControl w:val="0"/>
      <w:suppressAutoHyphens/>
      <w:overflowPunct w:val="0"/>
      <w:autoSpaceDE w:val="0"/>
      <w:autoSpaceDN w:val="0"/>
      <w:adjustRightInd w:val="0"/>
      <w:spacing w:after="0" w:line="240" w:lineRule="auto"/>
      <w:jc w:val="left"/>
      <w:textAlignment w:val="baseline"/>
    </w:pPr>
    <w:rPr>
      <w:rFonts w:ascii="Arial" w:eastAsia="Times New Roman" w:hAnsi="Arial" w:cs="Times New Roman"/>
      <w:b/>
      <w:sz w:val="28"/>
      <w:szCs w:val="20"/>
    </w:rPr>
  </w:style>
  <w:style w:type="paragraph" w:customStyle="1" w:styleId="para">
    <w:name w:val="para"/>
    <w:basedOn w:val="Normal"/>
    <w:next w:val="para1"/>
    <w:rsid w:val="00A7759F"/>
    <w:pPr>
      <w:suppressAutoHyphens/>
      <w:overflowPunct w:val="0"/>
      <w:autoSpaceDE w:val="0"/>
      <w:autoSpaceDN w:val="0"/>
      <w:adjustRightInd w:val="0"/>
      <w:spacing w:after="0" w:line="240" w:lineRule="auto"/>
      <w:textAlignment w:val="baseline"/>
    </w:pPr>
    <w:rPr>
      <w:rFonts w:eastAsia="Times New Roman" w:cs="Times New Roman"/>
      <w:szCs w:val="20"/>
    </w:rPr>
  </w:style>
  <w:style w:type="character" w:styleId="Emphasis">
    <w:name w:val="Emphasis"/>
    <w:basedOn w:val="DefaultParagraphFont"/>
    <w:uiPriority w:val="20"/>
    <w:qFormat/>
    <w:rsid w:val="0025348E"/>
    <w:rPr>
      <w:i/>
      <w:iCs/>
    </w:rPr>
  </w:style>
  <w:style w:type="character" w:styleId="Strong">
    <w:name w:val="Strong"/>
    <w:basedOn w:val="DefaultParagraphFont"/>
    <w:uiPriority w:val="22"/>
    <w:qFormat/>
    <w:rsid w:val="0025348E"/>
    <w:rPr>
      <w:b/>
      <w:bCs/>
    </w:rPr>
  </w:style>
  <w:style w:type="character" w:styleId="UnresolvedMention">
    <w:name w:val="Unresolved Mention"/>
    <w:basedOn w:val="DefaultParagraphFont"/>
    <w:uiPriority w:val="99"/>
    <w:semiHidden/>
    <w:unhideWhenUsed/>
    <w:rsid w:val="0025348E"/>
    <w:rPr>
      <w:color w:val="605E5C"/>
      <w:shd w:val="clear" w:color="auto" w:fill="E1DFDD"/>
    </w:rPr>
  </w:style>
  <w:style w:type="character" w:customStyle="1" w:styleId="mjx-char">
    <w:name w:val="mjx-char"/>
    <w:basedOn w:val="DefaultParagraphFont"/>
    <w:rsid w:val="0025348E"/>
  </w:style>
  <w:style w:type="character" w:customStyle="1" w:styleId="mjxassistivemathml">
    <w:name w:val="mjx_assistive_mathml"/>
    <w:basedOn w:val="DefaultParagraphFont"/>
    <w:rsid w:val="0025348E"/>
  </w:style>
  <w:style w:type="character" w:customStyle="1" w:styleId="mo">
    <w:name w:val="mo"/>
    <w:basedOn w:val="DefaultParagraphFont"/>
    <w:rsid w:val="0025348E"/>
  </w:style>
  <w:style w:type="character" w:customStyle="1" w:styleId="mi">
    <w:name w:val="mi"/>
    <w:basedOn w:val="DefaultParagraphFont"/>
    <w:rsid w:val="0025348E"/>
  </w:style>
  <w:style w:type="paragraph" w:customStyle="1" w:styleId="References">
    <w:name w:val="References"/>
    <w:basedOn w:val="para"/>
    <w:rsid w:val="00B37A3D"/>
    <w:pPr>
      <w:tabs>
        <w:tab w:val="right" w:pos="240"/>
        <w:tab w:val="left" w:pos="374"/>
      </w:tabs>
      <w:ind w:left="374" w:hanging="374"/>
    </w:pPr>
    <w:rPr>
      <w:sz w:val="18"/>
    </w:rPr>
  </w:style>
  <w:style w:type="character" w:styleId="FollowedHyperlink">
    <w:name w:val="FollowedHyperlink"/>
    <w:basedOn w:val="DefaultParagraphFont"/>
    <w:uiPriority w:val="99"/>
    <w:semiHidden/>
    <w:unhideWhenUsed/>
    <w:rsid w:val="00C0363C"/>
    <w:rPr>
      <w:color w:val="954F72" w:themeColor="followedHyperlink"/>
      <w:u w:val="single"/>
    </w:rPr>
  </w:style>
  <w:style w:type="character" w:styleId="HTMLCite">
    <w:name w:val="HTML Cite"/>
    <w:basedOn w:val="DefaultParagraphFont"/>
    <w:uiPriority w:val="99"/>
    <w:semiHidden/>
    <w:unhideWhenUsed/>
    <w:rsid w:val="00F3735D"/>
    <w:rPr>
      <w:i/>
      <w:iCs/>
    </w:rPr>
  </w:style>
  <w:style w:type="character" w:customStyle="1" w:styleId="cs1-format">
    <w:name w:val="cs1-format"/>
    <w:basedOn w:val="DefaultParagraphFont"/>
    <w:rsid w:val="00806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1255">
      <w:bodyDiv w:val="1"/>
      <w:marLeft w:val="0"/>
      <w:marRight w:val="0"/>
      <w:marTop w:val="0"/>
      <w:marBottom w:val="0"/>
      <w:divBdr>
        <w:top w:val="none" w:sz="0" w:space="0" w:color="auto"/>
        <w:left w:val="none" w:sz="0" w:space="0" w:color="auto"/>
        <w:bottom w:val="none" w:sz="0" w:space="0" w:color="auto"/>
        <w:right w:val="none" w:sz="0" w:space="0" w:color="auto"/>
      </w:divBdr>
    </w:div>
    <w:div w:id="26683412">
      <w:bodyDiv w:val="1"/>
      <w:marLeft w:val="0"/>
      <w:marRight w:val="0"/>
      <w:marTop w:val="0"/>
      <w:marBottom w:val="0"/>
      <w:divBdr>
        <w:top w:val="none" w:sz="0" w:space="0" w:color="auto"/>
        <w:left w:val="none" w:sz="0" w:space="0" w:color="auto"/>
        <w:bottom w:val="none" w:sz="0" w:space="0" w:color="auto"/>
        <w:right w:val="none" w:sz="0" w:space="0" w:color="auto"/>
      </w:divBdr>
    </w:div>
    <w:div w:id="64379458">
      <w:bodyDiv w:val="1"/>
      <w:marLeft w:val="0"/>
      <w:marRight w:val="0"/>
      <w:marTop w:val="0"/>
      <w:marBottom w:val="0"/>
      <w:divBdr>
        <w:top w:val="none" w:sz="0" w:space="0" w:color="auto"/>
        <w:left w:val="none" w:sz="0" w:space="0" w:color="auto"/>
        <w:bottom w:val="none" w:sz="0" w:space="0" w:color="auto"/>
        <w:right w:val="none" w:sz="0" w:space="0" w:color="auto"/>
      </w:divBdr>
    </w:div>
    <w:div w:id="161823197">
      <w:bodyDiv w:val="1"/>
      <w:marLeft w:val="0"/>
      <w:marRight w:val="0"/>
      <w:marTop w:val="0"/>
      <w:marBottom w:val="0"/>
      <w:divBdr>
        <w:top w:val="none" w:sz="0" w:space="0" w:color="auto"/>
        <w:left w:val="none" w:sz="0" w:space="0" w:color="auto"/>
        <w:bottom w:val="none" w:sz="0" w:space="0" w:color="auto"/>
        <w:right w:val="none" w:sz="0" w:space="0" w:color="auto"/>
      </w:divBdr>
    </w:div>
    <w:div w:id="190731663">
      <w:bodyDiv w:val="1"/>
      <w:marLeft w:val="0"/>
      <w:marRight w:val="0"/>
      <w:marTop w:val="0"/>
      <w:marBottom w:val="0"/>
      <w:divBdr>
        <w:top w:val="none" w:sz="0" w:space="0" w:color="auto"/>
        <w:left w:val="none" w:sz="0" w:space="0" w:color="auto"/>
        <w:bottom w:val="none" w:sz="0" w:space="0" w:color="auto"/>
        <w:right w:val="none" w:sz="0" w:space="0" w:color="auto"/>
      </w:divBdr>
    </w:div>
    <w:div w:id="246116182">
      <w:bodyDiv w:val="1"/>
      <w:marLeft w:val="0"/>
      <w:marRight w:val="0"/>
      <w:marTop w:val="0"/>
      <w:marBottom w:val="0"/>
      <w:divBdr>
        <w:top w:val="none" w:sz="0" w:space="0" w:color="auto"/>
        <w:left w:val="none" w:sz="0" w:space="0" w:color="auto"/>
        <w:bottom w:val="none" w:sz="0" w:space="0" w:color="auto"/>
        <w:right w:val="none" w:sz="0" w:space="0" w:color="auto"/>
      </w:divBdr>
    </w:div>
    <w:div w:id="273446862">
      <w:bodyDiv w:val="1"/>
      <w:marLeft w:val="0"/>
      <w:marRight w:val="0"/>
      <w:marTop w:val="0"/>
      <w:marBottom w:val="0"/>
      <w:divBdr>
        <w:top w:val="none" w:sz="0" w:space="0" w:color="auto"/>
        <w:left w:val="none" w:sz="0" w:space="0" w:color="auto"/>
        <w:bottom w:val="none" w:sz="0" w:space="0" w:color="auto"/>
        <w:right w:val="none" w:sz="0" w:space="0" w:color="auto"/>
      </w:divBdr>
    </w:div>
    <w:div w:id="371079965">
      <w:bodyDiv w:val="1"/>
      <w:marLeft w:val="0"/>
      <w:marRight w:val="0"/>
      <w:marTop w:val="0"/>
      <w:marBottom w:val="0"/>
      <w:divBdr>
        <w:top w:val="none" w:sz="0" w:space="0" w:color="auto"/>
        <w:left w:val="none" w:sz="0" w:space="0" w:color="auto"/>
        <w:bottom w:val="none" w:sz="0" w:space="0" w:color="auto"/>
        <w:right w:val="none" w:sz="0" w:space="0" w:color="auto"/>
      </w:divBdr>
    </w:div>
    <w:div w:id="437798997">
      <w:bodyDiv w:val="1"/>
      <w:marLeft w:val="0"/>
      <w:marRight w:val="0"/>
      <w:marTop w:val="0"/>
      <w:marBottom w:val="0"/>
      <w:divBdr>
        <w:top w:val="none" w:sz="0" w:space="0" w:color="auto"/>
        <w:left w:val="none" w:sz="0" w:space="0" w:color="auto"/>
        <w:bottom w:val="none" w:sz="0" w:space="0" w:color="auto"/>
        <w:right w:val="none" w:sz="0" w:space="0" w:color="auto"/>
      </w:divBdr>
    </w:div>
    <w:div w:id="486752452">
      <w:bodyDiv w:val="1"/>
      <w:marLeft w:val="0"/>
      <w:marRight w:val="0"/>
      <w:marTop w:val="0"/>
      <w:marBottom w:val="0"/>
      <w:divBdr>
        <w:top w:val="none" w:sz="0" w:space="0" w:color="auto"/>
        <w:left w:val="none" w:sz="0" w:space="0" w:color="auto"/>
        <w:bottom w:val="none" w:sz="0" w:space="0" w:color="auto"/>
        <w:right w:val="none" w:sz="0" w:space="0" w:color="auto"/>
      </w:divBdr>
    </w:div>
    <w:div w:id="501236076">
      <w:bodyDiv w:val="1"/>
      <w:marLeft w:val="0"/>
      <w:marRight w:val="0"/>
      <w:marTop w:val="0"/>
      <w:marBottom w:val="0"/>
      <w:divBdr>
        <w:top w:val="none" w:sz="0" w:space="0" w:color="auto"/>
        <w:left w:val="none" w:sz="0" w:space="0" w:color="auto"/>
        <w:bottom w:val="none" w:sz="0" w:space="0" w:color="auto"/>
        <w:right w:val="none" w:sz="0" w:space="0" w:color="auto"/>
      </w:divBdr>
    </w:div>
    <w:div w:id="537548328">
      <w:bodyDiv w:val="1"/>
      <w:marLeft w:val="0"/>
      <w:marRight w:val="0"/>
      <w:marTop w:val="0"/>
      <w:marBottom w:val="0"/>
      <w:divBdr>
        <w:top w:val="none" w:sz="0" w:space="0" w:color="auto"/>
        <w:left w:val="none" w:sz="0" w:space="0" w:color="auto"/>
        <w:bottom w:val="none" w:sz="0" w:space="0" w:color="auto"/>
        <w:right w:val="none" w:sz="0" w:space="0" w:color="auto"/>
      </w:divBdr>
    </w:div>
    <w:div w:id="588006240">
      <w:bodyDiv w:val="1"/>
      <w:marLeft w:val="0"/>
      <w:marRight w:val="0"/>
      <w:marTop w:val="0"/>
      <w:marBottom w:val="0"/>
      <w:divBdr>
        <w:top w:val="none" w:sz="0" w:space="0" w:color="auto"/>
        <w:left w:val="none" w:sz="0" w:space="0" w:color="auto"/>
        <w:bottom w:val="none" w:sz="0" w:space="0" w:color="auto"/>
        <w:right w:val="none" w:sz="0" w:space="0" w:color="auto"/>
      </w:divBdr>
    </w:div>
    <w:div w:id="643387036">
      <w:bodyDiv w:val="1"/>
      <w:marLeft w:val="0"/>
      <w:marRight w:val="0"/>
      <w:marTop w:val="0"/>
      <w:marBottom w:val="0"/>
      <w:divBdr>
        <w:top w:val="none" w:sz="0" w:space="0" w:color="auto"/>
        <w:left w:val="none" w:sz="0" w:space="0" w:color="auto"/>
        <w:bottom w:val="none" w:sz="0" w:space="0" w:color="auto"/>
        <w:right w:val="none" w:sz="0" w:space="0" w:color="auto"/>
      </w:divBdr>
    </w:div>
    <w:div w:id="666829193">
      <w:bodyDiv w:val="1"/>
      <w:marLeft w:val="0"/>
      <w:marRight w:val="0"/>
      <w:marTop w:val="0"/>
      <w:marBottom w:val="0"/>
      <w:divBdr>
        <w:top w:val="none" w:sz="0" w:space="0" w:color="auto"/>
        <w:left w:val="none" w:sz="0" w:space="0" w:color="auto"/>
        <w:bottom w:val="none" w:sz="0" w:space="0" w:color="auto"/>
        <w:right w:val="none" w:sz="0" w:space="0" w:color="auto"/>
      </w:divBdr>
    </w:div>
    <w:div w:id="763303403">
      <w:bodyDiv w:val="1"/>
      <w:marLeft w:val="0"/>
      <w:marRight w:val="0"/>
      <w:marTop w:val="0"/>
      <w:marBottom w:val="0"/>
      <w:divBdr>
        <w:top w:val="none" w:sz="0" w:space="0" w:color="auto"/>
        <w:left w:val="none" w:sz="0" w:space="0" w:color="auto"/>
        <w:bottom w:val="none" w:sz="0" w:space="0" w:color="auto"/>
        <w:right w:val="none" w:sz="0" w:space="0" w:color="auto"/>
      </w:divBdr>
    </w:div>
    <w:div w:id="767625497">
      <w:bodyDiv w:val="1"/>
      <w:marLeft w:val="0"/>
      <w:marRight w:val="0"/>
      <w:marTop w:val="0"/>
      <w:marBottom w:val="0"/>
      <w:divBdr>
        <w:top w:val="none" w:sz="0" w:space="0" w:color="auto"/>
        <w:left w:val="none" w:sz="0" w:space="0" w:color="auto"/>
        <w:bottom w:val="none" w:sz="0" w:space="0" w:color="auto"/>
        <w:right w:val="none" w:sz="0" w:space="0" w:color="auto"/>
      </w:divBdr>
    </w:div>
    <w:div w:id="788161987">
      <w:bodyDiv w:val="1"/>
      <w:marLeft w:val="0"/>
      <w:marRight w:val="0"/>
      <w:marTop w:val="0"/>
      <w:marBottom w:val="0"/>
      <w:divBdr>
        <w:top w:val="none" w:sz="0" w:space="0" w:color="auto"/>
        <w:left w:val="none" w:sz="0" w:space="0" w:color="auto"/>
        <w:bottom w:val="none" w:sz="0" w:space="0" w:color="auto"/>
        <w:right w:val="none" w:sz="0" w:space="0" w:color="auto"/>
      </w:divBdr>
    </w:div>
    <w:div w:id="829902976">
      <w:bodyDiv w:val="1"/>
      <w:marLeft w:val="0"/>
      <w:marRight w:val="0"/>
      <w:marTop w:val="0"/>
      <w:marBottom w:val="0"/>
      <w:divBdr>
        <w:top w:val="none" w:sz="0" w:space="0" w:color="auto"/>
        <w:left w:val="none" w:sz="0" w:space="0" w:color="auto"/>
        <w:bottom w:val="none" w:sz="0" w:space="0" w:color="auto"/>
        <w:right w:val="none" w:sz="0" w:space="0" w:color="auto"/>
      </w:divBdr>
    </w:div>
    <w:div w:id="834808180">
      <w:bodyDiv w:val="1"/>
      <w:marLeft w:val="0"/>
      <w:marRight w:val="0"/>
      <w:marTop w:val="0"/>
      <w:marBottom w:val="0"/>
      <w:divBdr>
        <w:top w:val="none" w:sz="0" w:space="0" w:color="auto"/>
        <w:left w:val="none" w:sz="0" w:space="0" w:color="auto"/>
        <w:bottom w:val="none" w:sz="0" w:space="0" w:color="auto"/>
        <w:right w:val="none" w:sz="0" w:space="0" w:color="auto"/>
      </w:divBdr>
    </w:div>
    <w:div w:id="877354805">
      <w:bodyDiv w:val="1"/>
      <w:marLeft w:val="0"/>
      <w:marRight w:val="0"/>
      <w:marTop w:val="0"/>
      <w:marBottom w:val="0"/>
      <w:divBdr>
        <w:top w:val="none" w:sz="0" w:space="0" w:color="auto"/>
        <w:left w:val="none" w:sz="0" w:space="0" w:color="auto"/>
        <w:bottom w:val="none" w:sz="0" w:space="0" w:color="auto"/>
        <w:right w:val="none" w:sz="0" w:space="0" w:color="auto"/>
      </w:divBdr>
    </w:div>
    <w:div w:id="966928787">
      <w:bodyDiv w:val="1"/>
      <w:marLeft w:val="0"/>
      <w:marRight w:val="0"/>
      <w:marTop w:val="0"/>
      <w:marBottom w:val="0"/>
      <w:divBdr>
        <w:top w:val="none" w:sz="0" w:space="0" w:color="auto"/>
        <w:left w:val="none" w:sz="0" w:space="0" w:color="auto"/>
        <w:bottom w:val="none" w:sz="0" w:space="0" w:color="auto"/>
        <w:right w:val="none" w:sz="0" w:space="0" w:color="auto"/>
      </w:divBdr>
    </w:div>
    <w:div w:id="997224507">
      <w:bodyDiv w:val="1"/>
      <w:marLeft w:val="0"/>
      <w:marRight w:val="0"/>
      <w:marTop w:val="0"/>
      <w:marBottom w:val="0"/>
      <w:divBdr>
        <w:top w:val="none" w:sz="0" w:space="0" w:color="auto"/>
        <w:left w:val="none" w:sz="0" w:space="0" w:color="auto"/>
        <w:bottom w:val="none" w:sz="0" w:space="0" w:color="auto"/>
        <w:right w:val="none" w:sz="0" w:space="0" w:color="auto"/>
      </w:divBdr>
    </w:div>
    <w:div w:id="1011490056">
      <w:bodyDiv w:val="1"/>
      <w:marLeft w:val="0"/>
      <w:marRight w:val="0"/>
      <w:marTop w:val="0"/>
      <w:marBottom w:val="0"/>
      <w:divBdr>
        <w:top w:val="none" w:sz="0" w:space="0" w:color="auto"/>
        <w:left w:val="none" w:sz="0" w:space="0" w:color="auto"/>
        <w:bottom w:val="none" w:sz="0" w:space="0" w:color="auto"/>
        <w:right w:val="none" w:sz="0" w:space="0" w:color="auto"/>
      </w:divBdr>
    </w:div>
    <w:div w:id="1051998454">
      <w:bodyDiv w:val="1"/>
      <w:marLeft w:val="0"/>
      <w:marRight w:val="0"/>
      <w:marTop w:val="0"/>
      <w:marBottom w:val="0"/>
      <w:divBdr>
        <w:top w:val="none" w:sz="0" w:space="0" w:color="auto"/>
        <w:left w:val="none" w:sz="0" w:space="0" w:color="auto"/>
        <w:bottom w:val="none" w:sz="0" w:space="0" w:color="auto"/>
        <w:right w:val="none" w:sz="0" w:space="0" w:color="auto"/>
      </w:divBdr>
    </w:div>
    <w:div w:id="1063288788">
      <w:bodyDiv w:val="1"/>
      <w:marLeft w:val="0"/>
      <w:marRight w:val="0"/>
      <w:marTop w:val="0"/>
      <w:marBottom w:val="0"/>
      <w:divBdr>
        <w:top w:val="none" w:sz="0" w:space="0" w:color="auto"/>
        <w:left w:val="none" w:sz="0" w:space="0" w:color="auto"/>
        <w:bottom w:val="none" w:sz="0" w:space="0" w:color="auto"/>
        <w:right w:val="none" w:sz="0" w:space="0" w:color="auto"/>
      </w:divBdr>
    </w:div>
    <w:div w:id="1091776206">
      <w:bodyDiv w:val="1"/>
      <w:marLeft w:val="0"/>
      <w:marRight w:val="0"/>
      <w:marTop w:val="0"/>
      <w:marBottom w:val="0"/>
      <w:divBdr>
        <w:top w:val="none" w:sz="0" w:space="0" w:color="auto"/>
        <w:left w:val="none" w:sz="0" w:space="0" w:color="auto"/>
        <w:bottom w:val="none" w:sz="0" w:space="0" w:color="auto"/>
        <w:right w:val="none" w:sz="0" w:space="0" w:color="auto"/>
      </w:divBdr>
    </w:div>
    <w:div w:id="1124037591">
      <w:bodyDiv w:val="1"/>
      <w:marLeft w:val="0"/>
      <w:marRight w:val="0"/>
      <w:marTop w:val="0"/>
      <w:marBottom w:val="0"/>
      <w:divBdr>
        <w:top w:val="none" w:sz="0" w:space="0" w:color="auto"/>
        <w:left w:val="none" w:sz="0" w:space="0" w:color="auto"/>
        <w:bottom w:val="none" w:sz="0" w:space="0" w:color="auto"/>
        <w:right w:val="none" w:sz="0" w:space="0" w:color="auto"/>
      </w:divBdr>
      <w:divsChild>
        <w:div w:id="301082922">
          <w:marLeft w:val="547"/>
          <w:marRight w:val="0"/>
          <w:marTop w:val="0"/>
          <w:marBottom w:val="160"/>
          <w:divBdr>
            <w:top w:val="none" w:sz="0" w:space="0" w:color="auto"/>
            <w:left w:val="none" w:sz="0" w:space="0" w:color="auto"/>
            <w:bottom w:val="none" w:sz="0" w:space="0" w:color="auto"/>
            <w:right w:val="none" w:sz="0" w:space="0" w:color="auto"/>
          </w:divBdr>
        </w:div>
      </w:divsChild>
    </w:div>
    <w:div w:id="1223054589">
      <w:bodyDiv w:val="1"/>
      <w:marLeft w:val="0"/>
      <w:marRight w:val="0"/>
      <w:marTop w:val="0"/>
      <w:marBottom w:val="0"/>
      <w:divBdr>
        <w:top w:val="none" w:sz="0" w:space="0" w:color="auto"/>
        <w:left w:val="none" w:sz="0" w:space="0" w:color="auto"/>
        <w:bottom w:val="none" w:sz="0" w:space="0" w:color="auto"/>
        <w:right w:val="none" w:sz="0" w:space="0" w:color="auto"/>
      </w:divBdr>
    </w:div>
    <w:div w:id="1295910713">
      <w:bodyDiv w:val="1"/>
      <w:marLeft w:val="0"/>
      <w:marRight w:val="0"/>
      <w:marTop w:val="0"/>
      <w:marBottom w:val="0"/>
      <w:divBdr>
        <w:top w:val="none" w:sz="0" w:space="0" w:color="auto"/>
        <w:left w:val="none" w:sz="0" w:space="0" w:color="auto"/>
        <w:bottom w:val="none" w:sz="0" w:space="0" w:color="auto"/>
        <w:right w:val="none" w:sz="0" w:space="0" w:color="auto"/>
      </w:divBdr>
    </w:div>
    <w:div w:id="1371302914">
      <w:bodyDiv w:val="1"/>
      <w:marLeft w:val="0"/>
      <w:marRight w:val="0"/>
      <w:marTop w:val="0"/>
      <w:marBottom w:val="0"/>
      <w:divBdr>
        <w:top w:val="none" w:sz="0" w:space="0" w:color="auto"/>
        <w:left w:val="none" w:sz="0" w:space="0" w:color="auto"/>
        <w:bottom w:val="none" w:sz="0" w:space="0" w:color="auto"/>
        <w:right w:val="none" w:sz="0" w:space="0" w:color="auto"/>
      </w:divBdr>
    </w:div>
    <w:div w:id="1643147025">
      <w:bodyDiv w:val="1"/>
      <w:marLeft w:val="0"/>
      <w:marRight w:val="0"/>
      <w:marTop w:val="0"/>
      <w:marBottom w:val="0"/>
      <w:divBdr>
        <w:top w:val="none" w:sz="0" w:space="0" w:color="auto"/>
        <w:left w:val="none" w:sz="0" w:space="0" w:color="auto"/>
        <w:bottom w:val="none" w:sz="0" w:space="0" w:color="auto"/>
        <w:right w:val="none" w:sz="0" w:space="0" w:color="auto"/>
      </w:divBdr>
      <w:divsChild>
        <w:div w:id="778447450">
          <w:marLeft w:val="0"/>
          <w:marRight w:val="0"/>
          <w:marTop w:val="0"/>
          <w:marBottom w:val="0"/>
          <w:divBdr>
            <w:top w:val="none" w:sz="0" w:space="0" w:color="auto"/>
            <w:left w:val="none" w:sz="0" w:space="0" w:color="auto"/>
            <w:bottom w:val="none" w:sz="0" w:space="0" w:color="auto"/>
            <w:right w:val="none" w:sz="0" w:space="0" w:color="auto"/>
          </w:divBdr>
        </w:div>
      </w:divsChild>
    </w:div>
    <w:div w:id="1646396500">
      <w:bodyDiv w:val="1"/>
      <w:marLeft w:val="0"/>
      <w:marRight w:val="0"/>
      <w:marTop w:val="0"/>
      <w:marBottom w:val="0"/>
      <w:divBdr>
        <w:top w:val="none" w:sz="0" w:space="0" w:color="auto"/>
        <w:left w:val="none" w:sz="0" w:space="0" w:color="auto"/>
        <w:bottom w:val="none" w:sz="0" w:space="0" w:color="auto"/>
        <w:right w:val="none" w:sz="0" w:space="0" w:color="auto"/>
      </w:divBdr>
    </w:div>
    <w:div w:id="1885603433">
      <w:bodyDiv w:val="1"/>
      <w:marLeft w:val="0"/>
      <w:marRight w:val="0"/>
      <w:marTop w:val="0"/>
      <w:marBottom w:val="0"/>
      <w:divBdr>
        <w:top w:val="none" w:sz="0" w:space="0" w:color="auto"/>
        <w:left w:val="none" w:sz="0" w:space="0" w:color="auto"/>
        <w:bottom w:val="none" w:sz="0" w:space="0" w:color="auto"/>
        <w:right w:val="none" w:sz="0" w:space="0" w:color="auto"/>
      </w:divBdr>
    </w:div>
    <w:div w:id="1904831654">
      <w:bodyDiv w:val="1"/>
      <w:marLeft w:val="0"/>
      <w:marRight w:val="0"/>
      <w:marTop w:val="0"/>
      <w:marBottom w:val="0"/>
      <w:divBdr>
        <w:top w:val="none" w:sz="0" w:space="0" w:color="auto"/>
        <w:left w:val="none" w:sz="0" w:space="0" w:color="auto"/>
        <w:bottom w:val="none" w:sz="0" w:space="0" w:color="auto"/>
        <w:right w:val="none" w:sz="0" w:space="0" w:color="auto"/>
      </w:divBdr>
    </w:div>
    <w:div w:id="1948272548">
      <w:bodyDiv w:val="1"/>
      <w:marLeft w:val="0"/>
      <w:marRight w:val="0"/>
      <w:marTop w:val="0"/>
      <w:marBottom w:val="0"/>
      <w:divBdr>
        <w:top w:val="none" w:sz="0" w:space="0" w:color="auto"/>
        <w:left w:val="none" w:sz="0" w:space="0" w:color="auto"/>
        <w:bottom w:val="none" w:sz="0" w:space="0" w:color="auto"/>
        <w:right w:val="none" w:sz="0" w:space="0" w:color="auto"/>
      </w:divBdr>
    </w:div>
    <w:div w:id="1986667852">
      <w:bodyDiv w:val="1"/>
      <w:marLeft w:val="0"/>
      <w:marRight w:val="0"/>
      <w:marTop w:val="0"/>
      <w:marBottom w:val="0"/>
      <w:divBdr>
        <w:top w:val="none" w:sz="0" w:space="0" w:color="auto"/>
        <w:left w:val="none" w:sz="0" w:space="0" w:color="auto"/>
        <w:bottom w:val="none" w:sz="0" w:space="0" w:color="auto"/>
        <w:right w:val="none" w:sz="0" w:space="0" w:color="auto"/>
      </w:divBdr>
    </w:div>
    <w:div w:id="1990674756">
      <w:bodyDiv w:val="1"/>
      <w:marLeft w:val="0"/>
      <w:marRight w:val="0"/>
      <w:marTop w:val="0"/>
      <w:marBottom w:val="0"/>
      <w:divBdr>
        <w:top w:val="none" w:sz="0" w:space="0" w:color="auto"/>
        <w:left w:val="none" w:sz="0" w:space="0" w:color="auto"/>
        <w:bottom w:val="none" w:sz="0" w:space="0" w:color="auto"/>
        <w:right w:val="none" w:sz="0" w:space="0" w:color="auto"/>
      </w:divBdr>
    </w:div>
    <w:div w:id="2056389520">
      <w:bodyDiv w:val="1"/>
      <w:marLeft w:val="0"/>
      <w:marRight w:val="0"/>
      <w:marTop w:val="0"/>
      <w:marBottom w:val="0"/>
      <w:divBdr>
        <w:top w:val="none" w:sz="0" w:space="0" w:color="auto"/>
        <w:left w:val="none" w:sz="0" w:space="0" w:color="auto"/>
        <w:bottom w:val="none" w:sz="0" w:space="0" w:color="auto"/>
        <w:right w:val="none" w:sz="0" w:space="0" w:color="auto"/>
      </w:divBdr>
    </w:div>
    <w:div w:id="2070572336">
      <w:bodyDiv w:val="1"/>
      <w:marLeft w:val="0"/>
      <w:marRight w:val="0"/>
      <w:marTop w:val="0"/>
      <w:marBottom w:val="0"/>
      <w:divBdr>
        <w:top w:val="none" w:sz="0" w:space="0" w:color="auto"/>
        <w:left w:val="none" w:sz="0" w:space="0" w:color="auto"/>
        <w:bottom w:val="none" w:sz="0" w:space="0" w:color="auto"/>
        <w:right w:val="none" w:sz="0" w:space="0" w:color="auto"/>
      </w:divBdr>
    </w:div>
    <w:div w:id="2139033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hyperlink" Target="https://doi.org/10.2118/194587-ms" TargetMode="External"/><Relationship Id="rId21" Type="http://schemas.openxmlformats.org/officeDocument/2006/relationships/image" Target="media/image9.png"/><Relationship Id="rId42" Type="http://schemas.openxmlformats.org/officeDocument/2006/relationships/image" Target="media/image28.pn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65.png"/><Relationship Id="rId89" Type="http://schemas.openxmlformats.org/officeDocument/2006/relationships/hyperlink" Target="https://cs231n.github.io/convolutional-networks" TargetMode="External"/><Relationship Id="rId112" Type="http://schemas.openxmlformats.org/officeDocument/2006/relationships/hyperlink" Target="https://doi.org/10.2118/17313-pa" TargetMode="External"/><Relationship Id="rId133" Type="http://schemas.openxmlformats.org/officeDocument/2006/relationships/image" Target="media/image85.png"/><Relationship Id="rId138" Type="http://schemas.openxmlformats.org/officeDocument/2006/relationships/image" Target="media/image90.png"/><Relationship Id="rId154" Type="http://schemas.openxmlformats.org/officeDocument/2006/relationships/image" Target="media/image106.jpeg"/><Relationship Id="rId159" Type="http://schemas.openxmlformats.org/officeDocument/2006/relationships/glossaryDocument" Target="glossary/document.xml"/><Relationship Id="rId16" Type="http://schemas.openxmlformats.org/officeDocument/2006/relationships/image" Target="media/image4.png"/><Relationship Id="rId107" Type="http://schemas.openxmlformats.org/officeDocument/2006/relationships/hyperlink" Target="https://doi.org/10.2118/192513-ms" TargetMode="External"/><Relationship Id="rId11" Type="http://schemas.openxmlformats.org/officeDocument/2006/relationships/footer" Target="footer1.xm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png"/><Relationship Id="rId74" Type="http://schemas.openxmlformats.org/officeDocument/2006/relationships/image" Target="media/image59.png"/><Relationship Id="rId79" Type="http://schemas.openxmlformats.org/officeDocument/2006/relationships/hyperlink" Target="https://cs231n.github.io/convolutional-networks" TargetMode="External"/><Relationship Id="rId102" Type="http://schemas.openxmlformats.org/officeDocument/2006/relationships/image" Target="media/image79.png"/><Relationship Id="rId123" Type="http://schemas.openxmlformats.org/officeDocument/2006/relationships/hyperlink" Target="https://doi.org/10.1017/CBO9780511810725.016" TargetMode="External"/><Relationship Id="rId128" Type="http://schemas.openxmlformats.org/officeDocument/2006/relationships/hyperlink" Target="https://blogs.ams.org/blogonmathblogs/2017/04/10/divorce-and-margarine/" TargetMode="External"/><Relationship Id="rId144" Type="http://schemas.openxmlformats.org/officeDocument/2006/relationships/image" Target="media/image96.png"/><Relationship Id="rId149" Type="http://schemas.openxmlformats.org/officeDocument/2006/relationships/image" Target="media/image101.jpeg"/><Relationship Id="rId5" Type="http://schemas.openxmlformats.org/officeDocument/2006/relationships/numbering" Target="numbering.xml"/><Relationship Id="rId90" Type="http://schemas.openxmlformats.org/officeDocument/2006/relationships/image" Target="media/image68.png"/><Relationship Id="rId95" Type="http://schemas.openxmlformats.org/officeDocument/2006/relationships/image" Target="media/image72.png"/><Relationship Id="rId160" Type="http://schemas.openxmlformats.org/officeDocument/2006/relationships/theme" Target="theme/theme1.xml"/><Relationship Id="rId165" Type="http://schemas.microsoft.com/office/2018/08/relationships/commentsExtensible" Target="commentsExtensible.xml"/><Relationship Id="rId22" Type="http://schemas.openxmlformats.org/officeDocument/2006/relationships/image" Target="media/image10.png"/><Relationship Id="rId27" Type="http://schemas.openxmlformats.org/officeDocument/2006/relationships/image" Target="media/image13.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50.emf"/><Relationship Id="rId69" Type="http://schemas.openxmlformats.org/officeDocument/2006/relationships/image" Target="media/image55.png"/><Relationship Id="rId113" Type="http://schemas.openxmlformats.org/officeDocument/2006/relationships/hyperlink" Target="https://cs231n.github.io/convolutional-networks" TargetMode="External"/><Relationship Id="rId118" Type="http://schemas.openxmlformats.org/officeDocument/2006/relationships/hyperlink" Target="http://www.springer.com/west/home/statistics/theory?SGWID=4-10129-22-2285433-0" TargetMode="External"/><Relationship Id="rId134" Type="http://schemas.openxmlformats.org/officeDocument/2006/relationships/image" Target="media/image86.png"/><Relationship Id="rId139" Type="http://schemas.openxmlformats.org/officeDocument/2006/relationships/image" Target="media/image91.png"/><Relationship Id="rId80" Type="http://schemas.openxmlformats.org/officeDocument/2006/relationships/image" Target="media/image63.png"/><Relationship Id="rId85" Type="http://schemas.openxmlformats.org/officeDocument/2006/relationships/hyperlink" Target="https://e2eml.school/how_convolutional_neural_networks_work.html" TargetMode="External"/><Relationship Id="rId150" Type="http://schemas.openxmlformats.org/officeDocument/2006/relationships/image" Target="media/image102.jpeg"/><Relationship Id="rId155" Type="http://schemas.openxmlformats.org/officeDocument/2006/relationships/image" Target="media/image107.jpeg"/><Relationship Id="rId12" Type="http://schemas.openxmlformats.org/officeDocument/2006/relationships/footer" Target="footer2.xml"/><Relationship Id="rId17" Type="http://schemas.openxmlformats.org/officeDocument/2006/relationships/image" Target="media/image5.png"/><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image" Target="media/image80.png"/><Relationship Id="rId108" Type="http://schemas.openxmlformats.org/officeDocument/2006/relationships/hyperlink" Target="https://doi.org/10.1123/jab.2016-0355" TargetMode="External"/><Relationship Id="rId124" Type="http://schemas.openxmlformats.org/officeDocument/2006/relationships/hyperlink" Target="https://e2eml.school/how_convolutional_neural_networks_work.html" TargetMode="External"/><Relationship Id="rId129" Type="http://schemas.openxmlformats.org/officeDocument/2006/relationships/hyperlink" Target="https://doi.org/10.2118/191712-ms" TargetMode="External"/><Relationship Id="rId20" Type="http://schemas.openxmlformats.org/officeDocument/2006/relationships/image" Target="media/image8.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hyperlink" Target="https://cs231n.github.io/convolutional-networks" TargetMode="External"/><Relationship Id="rId83" Type="http://schemas.openxmlformats.org/officeDocument/2006/relationships/hyperlink" Target="https://machinelearningmastery.com/rectified-linear-activation-function-for-deep-learning-neural-networks" TargetMode="External"/><Relationship Id="rId88" Type="http://schemas.openxmlformats.org/officeDocument/2006/relationships/image" Target="media/image67.png"/><Relationship Id="rId91" Type="http://schemas.openxmlformats.org/officeDocument/2006/relationships/hyperlink" Target="https://cs231n.github.io/convolutional-networks" TargetMode="External"/><Relationship Id="rId96" Type="http://schemas.openxmlformats.org/officeDocument/2006/relationships/image" Target="media/image73.png"/><Relationship Id="rId111" Type="http://schemas.openxmlformats.org/officeDocument/2006/relationships/hyperlink" Target="https://doi.org/10.2118/0619-0045-jpt" TargetMode="External"/><Relationship Id="rId132" Type="http://schemas.openxmlformats.org/officeDocument/2006/relationships/image" Target="media/image84.png"/><Relationship Id="rId140" Type="http://schemas.openxmlformats.org/officeDocument/2006/relationships/image" Target="media/image92.png"/><Relationship Id="rId145" Type="http://schemas.openxmlformats.org/officeDocument/2006/relationships/image" Target="media/image97.jpeg"/><Relationship Id="rId153" Type="http://schemas.openxmlformats.org/officeDocument/2006/relationships/image" Target="media/image105.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blogs.ams.org/blogonmathblogs/2017/04/10/divorce-and-margarine/" TargetMode="External"/><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6" Type="http://schemas.openxmlformats.org/officeDocument/2006/relationships/hyperlink" Target="https://doi.org/10.2118/194993-ms" TargetMode="External"/><Relationship Id="rId114" Type="http://schemas.openxmlformats.org/officeDocument/2006/relationships/hyperlink" Target="https://doi.org/10.2118/203839-pa" TargetMode="External"/><Relationship Id="rId119" Type="http://schemas.openxmlformats.org/officeDocument/2006/relationships/hyperlink" Target="https://doi.org/10.2118/177953-ms" TargetMode="External"/><Relationship Id="rId127" Type="http://schemas.openxmlformats.org/officeDocument/2006/relationships/hyperlink" Target="https://www.trialrun.us/roosters-crow-causes-sun-rise-eat-chocolate-win-nobel-prize-statements-not-make-sense-blog-will/" TargetMode="External"/><Relationship Id="rId10" Type="http://schemas.openxmlformats.org/officeDocument/2006/relationships/endnotes" Target="endnotes.xml"/><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8.png"/><Relationship Id="rId78" Type="http://schemas.openxmlformats.org/officeDocument/2006/relationships/image" Target="media/image62.png"/><Relationship Id="rId81" Type="http://schemas.openxmlformats.org/officeDocument/2006/relationships/hyperlink" Target="https://cs231n.github.io/convolutional-networks" TargetMode="External"/><Relationship Id="rId86" Type="http://schemas.openxmlformats.org/officeDocument/2006/relationships/image" Target="media/image66.png"/><Relationship Id="rId94" Type="http://schemas.openxmlformats.org/officeDocument/2006/relationships/image" Target="media/image71.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hyperlink" Target="https://doi.org/10.1190/urtec2013-027" TargetMode="External"/><Relationship Id="rId130" Type="http://schemas.openxmlformats.org/officeDocument/2006/relationships/image" Target="media/image82.png"/><Relationship Id="rId135" Type="http://schemas.openxmlformats.org/officeDocument/2006/relationships/image" Target="media/image87.png"/><Relationship Id="rId143" Type="http://schemas.openxmlformats.org/officeDocument/2006/relationships/image" Target="media/image95.png"/><Relationship Id="rId148" Type="http://schemas.openxmlformats.org/officeDocument/2006/relationships/image" Target="media/image100.jpeg"/><Relationship Id="rId151" Type="http://schemas.openxmlformats.org/officeDocument/2006/relationships/image" Target="media/image103.jpeg"/><Relationship Id="rId156" Type="http://schemas.openxmlformats.org/officeDocument/2006/relationships/image" Target="media/image108.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5.png"/><Relationship Id="rId109" Type="http://schemas.openxmlformats.org/officeDocument/2006/relationships/hyperlink" Target="https://machinelearningmastery.com/rectified-linear-activation-function-for-deep-learning-neural-networks" TargetMode="External"/><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png"/><Relationship Id="rId76" Type="http://schemas.openxmlformats.org/officeDocument/2006/relationships/image" Target="media/image60.png"/><Relationship Id="rId97" Type="http://schemas.openxmlformats.org/officeDocument/2006/relationships/image" Target="media/image74.png"/><Relationship Id="rId104" Type="http://schemas.openxmlformats.org/officeDocument/2006/relationships/image" Target="media/image81.png"/><Relationship Id="rId120" Type="http://schemas.openxmlformats.org/officeDocument/2006/relationships/hyperlink" Target="https://doi.org/10.2118/189875-ms" TargetMode="External"/><Relationship Id="rId125" Type="http://schemas.openxmlformats.org/officeDocument/2006/relationships/hyperlink" Target="https://doi.org/10.1198/016214504000001880" TargetMode="External"/><Relationship Id="rId141" Type="http://schemas.openxmlformats.org/officeDocument/2006/relationships/image" Target="media/image93.png"/><Relationship Id="rId146" Type="http://schemas.openxmlformats.org/officeDocument/2006/relationships/image" Target="media/image98.jpeg"/><Relationship Id="rId7" Type="http://schemas.openxmlformats.org/officeDocument/2006/relationships/settings" Target="settings.xml"/><Relationship Id="rId71" Type="http://schemas.openxmlformats.org/officeDocument/2006/relationships/hyperlink" Target="http://www.image-net.org/challenges/LSVRC/" TargetMode="External"/><Relationship Id="rId92" Type="http://schemas.openxmlformats.org/officeDocument/2006/relationships/image" Target="media/image69.png"/><Relationship Id="rId2" Type="http://schemas.openxmlformats.org/officeDocument/2006/relationships/customXml" Target="../customXml/item2.xml"/><Relationship Id="rId29" Type="http://schemas.openxmlformats.org/officeDocument/2006/relationships/image" Target="media/image15.png"/><Relationship Id="rId24" Type="http://schemas.openxmlformats.org/officeDocument/2006/relationships/image" Target="media/image11.jpe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2.png"/><Relationship Id="rId87" Type="http://schemas.openxmlformats.org/officeDocument/2006/relationships/hyperlink" Target="https://cs231n.github.io/convolutional-networks" TargetMode="External"/><Relationship Id="rId110" Type="http://schemas.openxmlformats.org/officeDocument/2006/relationships/hyperlink" Target="https://doi.org/10.2523/iptc-19834-ms" TargetMode="External"/><Relationship Id="rId115" Type="http://schemas.openxmlformats.org/officeDocument/2006/relationships/hyperlink" Target="https://doi.org/10.18637/jss.v042.i08" TargetMode="External"/><Relationship Id="rId131" Type="http://schemas.openxmlformats.org/officeDocument/2006/relationships/image" Target="media/image83.png"/><Relationship Id="rId136" Type="http://schemas.openxmlformats.org/officeDocument/2006/relationships/image" Target="media/image88.png"/><Relationship Id="rId157" Type="http://schemas.openxmlformats.org/officeDocument/2006/relationships/image" Target="media/image109.jpeg"/><Relationship Id="rId61" Type="http://schemas.openxmlformats.org/officeDocument/2006/relationships/image" Target="media/image47.png"/><Relationship Id="rId82" Type="http://schemas.openxmlformats.org/officeDocument/2006/relationships/image" Target="media/image64.png"/><Relationship Id="rId152" Type="http://schemas.openxmlformats.org/officeDocument/2006/relationships/image" Target="media/image104.jpe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6.png"/><Relationship Id="rId35" Type="http://schemas.openxmlformats.org/officeDocument/2006/relationships/image" Target="media/image21.png"/><Relationship Id="rId56" Type="http://schemas.openxmlformats.org/officeDocument/2006/relationships/image" Target="media/image42.png"/><Relationship Id="rId77" Type="http://schemas.openxmlformats.org/officeDocument/2006/relationships/image" Target="media/image61.png"/><Relationship Id="rId100" Type="http://schemas.openxmlformats.org/officeDocument/2006/relationships/image" Target="media/image77.png"/><Relationship Id="rId105" Type="http://schemas.openxmlformats.org/officeDocument/2006/relationships/hyperlink" Target="https://doi.org/10.1080/00273171.2011.568786" TargetMode="External"/><Relationship Id="rId126" Type="http://schemas.openxmlformats.org/officeDocument/2006/relationships/hyperlink" Target="https://doi.org/10.2118/195234-ms" TargetMode="External"/><Relationship Id="rId147" Type="http://schemas.openxmlformats.org/officeDocument/2006/relationships/image" Target="media/image99.jpeg"/><Relationship Id="rId8" Type="http://schemas.openxmlformats.org/officeDocument/2006/relationships/webSettings" Target="webSettings.xml"/><Relationship Id="rId51" Type="http://schemas.openxmlformats.org/officeDocument/2006/relationships/image" Target="media/image37.png"/><Relationship Id="rId72" Type="http://schemas.openxmlformats.org/officeDocument/2006/relationships/image" Target="media/image57.png"/><Relationship Id="rId93" Type="http://schemas.openxmlformats.org/officeDocument/2006/relationships/image" Target="media/image70.png"/><Relationship Id="rId98" Type="http://schemas.openxmlformats.org/officeDocument/2006/relationships/image" Target="media/image75.png"/><Relationship Id="rId121" Type="http://schemas.openxmlformats.org/officeDocument/2006/relationships/hyperlink" Target="http://www.stats.org.uk/pca/Pearson1901.pdf" TargetMode="External"/><Relationship Id="rId142" Type="http://schemas.openxmlformats.org/officeDocument/2006/relationships/image" Target="media/image94.png"/><Relationship Id="rId3" Type="http://schemas.openxmlformats.org/officeDocument/2006/relationships/customXml" Target="../customXml/item3.xml"/><Relationship Id="rId25" Type="http://schemas.openxmlformats.org/officeDocument/2006/relationships/hyperlink" Target="https://www.trialrun.us/roosters-crow-causes-sun-rise-eat-chocolate-win-nobel-prize-statements-not-make-sense-blog-will/" TargetMode="External"/><Relationship Id="rId46" Type="http://schemas.openxmlformats.org/officeDocument/2006/relationships/image" Target="media/image32.png"/><Relationship Id="rId67" Type="http://schemas.openxmlformats.org/officeDocument/2006/relationships/image" Target="media/image53.png"/><Relationship Id="rId116" Type="http://schemas.openxmlformats.org/officeDocument/2006/relationships/hyperlink" Target="https://web.archive.org/web/20160417030218/http:/ect.bell-labs.com/who/tkh/publications/papers/odt.pdf" TargetMode="External"/><Relationship Id="rId137" Type="http://schemas.openxmlformats.org/officeDocument/2006/relationships/image" Target="media/image89.png"/><Relationship Id="rId158"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AC98609FA4417B9C103612E66CD069"/>
        <w:category>
          <w:name w:val="General"/>
          <w:gallery w:val="placeholder"/>
        </w:category>
        <w:types>
          <w:type w:val="bbPlcHdr"/>
        </w:types>
        <w:behaviors>
          <w:behavior w:val="content"/>
        </w:behaviors>
        <w:guid w:val="{AB2CBB37-175C-44F6-BEF7-6FAF20785F52}"/>
      </w:docPartPr>
      <w:docPartBody>
        <w:p w:rsidR="00776CCD" w:rsidRDefault="00D74FC3" w:rsidP="00D74FC3">
          <w:pPr>
            <w:pStyle w:val="B0AC98609FA4417B9C103612E66CD069"/>
          </w:pPr>
          <w:r w:rsidRPr="001F1C68">
            <w:rPr>
              <w:rStyle w:val="PlaceholderText"/>
            </w:rPr>
            <w:t>Click here to enter text.</w:t>
          </w:r>
        </w:p>
      </w:docPartBody>
    </w:docPart>
    <w:docPart>
      <w:docPartPr>
        <w:name w:val="676A5187414A44ADAA5D005699D8CE68"/>
        <w:category>
          <w:name w:val="General"/>
          <w:gallery w:val="placeholder"/>
        </w:category>
        <w:types>
          <w:type w:val="bbPlcHdr"/>
        </w:types>
        <w:behaviors>
          <w:behavior w:val="content"/>
        </w:behaviors>
        <w:guid w:val="{FEB2A8D9-49DF-480F-B8E0-4C3C3AE3701C}"/>
      </w:docPartPr>
      <w:docPartBody>
        <w:p w:rsidR="00776CCD" w:rsidRDefault="00D74FC3" w:rsidP="00D74FC3">
          <w:pPr>
            <w:pStyle w:val="676A5187414A44ADAA5D005699D8CE68"/>
          </w:pPr>
          <w:r w:rsidRPr="00AC7F25">
            <w:rPr>
              <w:rStyle w:val="PlaceholderText"/>
            </w:rPr>
            <w:t>Choose an item.</w:t>
          </w:r>
        </w:p>
      </w:docPartBody>
    </w:docPart>
    <w:docPart>
      <w:docPartPr>
        <w:name w:val="373B70B5717749DE9AA7C6D8F2EC46D4"/>
        <w:category>
          <w:name w:val="General"/>
          <w:gallery w:val="placeholder"/>
        </w:category>
        <w:types>
          <w:type w:val="bbPlcHdr"/>
        </w:types>
        <w:behaviors>
          <w:behavior w:val="content"/>
        </w:behaviors>
        <w:guid w:val="{F7F10522-CAEB-491A-B688-9922CD1CA0B0}"/>
      </w:docPartPr>
      <w:docPartBody>
        <w:p w:rsidR="00776CCD" w:rsidRDefault="00D74FC3" w:rsidP="00D74FC3">
          <w:pPr>
            <w:pStyle w:val="373B70B5717749DE9AA7C6D8F2EC46D4"/>
          </w:pPr>
          <w:r w:rsidRPr="00BB1A19">
            <w:rPr>
              <w:rStyle w:val="PlaceholderText"/>
            </w:rPr>
            <w:t>Click here to enter text.</w:t>
          </w:r>
        </w:p>
      </w:docPartBody>
    </w:docPart>
    <w:docPart>
      <w:docPartPr>
        <w:name w:val="A1A7DB9655A04668BF8DB49320FAC40C"/>
        <w:category>
          <w:name w:val="General"/>
          <w:gallery w:val="placeholder"/>
        </w:category>
        <w:types>
          <w:type w:val="bbPlcHdr"/>
        </w:types>
        <w:behaviors>
          <w:behavior w:val="content"/>
        </w:behaviors>
        <w:guid w:val="{0A0E2288-02A0-4825-AE1C-ECA01FB61931}"/>
      </w:docPartPr>
      <w:docPartBody>
        <w:p w:rsidR="00776CCD" w:rsidRDefault="00D74FC3" w:rsidP="00D74FC3">
          <w:pPr>
            <w:pStyle w:val="A1A7DB9655A04668BF8DB49320FAC40C"/>
          </w:pPr>
          <w:r w:rsidRPr="001F1C68">
            <w:rPr>
              <w:rStyle w:val="PlaceholderText"/>
            </w:rPr>
            <w:t>Click here to enter text.</w:t>
          </w:r>
        </w:p>
      </w:docPartBody>
    </w:docPart>
    <w:docPart>
      <w:docPartPr>
        <w:name w:val="C02C690A4F94470A90B33FA284A32221"/>
        <w:category>
          <w:name w:val="General"/>
          <w:gallery w:val="placeholder"/>
        </w:category>
        <w:types>
          <w:type w:val="bbPlcHdr"/>
        </w:types>
        <w:behaviors>
          <w:behavior w:val="content"/>
        </w:behaviors>
        <w:guid w:val="{881278D7-9051-47BC-A7AB-BC2421C4D2FA}"/>
      </w:docPartPr>
      <w:docPartBody>
        <w:p w:rsidR="00776CCD" w:rsidRDefault="00D74FC3" w:rsidP="00D74FC3">
          <w:pPr>
            <w:pStyle w:val="C02C690A4F94470A90B33FA284A32221"/>
          </w:pPr>
          <w:r w:rsidRPr="00DB664C">
            <w:rPr>
              <w:rStyle w:val="PlaceholderText"/>
            </w:rPr>
            <w:t>[EXACT NAME OF YOUR ACADEMIC UNIT IN ALL CAPS]</w:t>
          </w:r>
        </w:p>
      </w:docPartBody>
    </w:docPart>
    <w:docPart>
      <w:docPartPr>
        <w:name w:val="7E16ACBC28564DAAAF92C48C17A313BE"/>
        <w:category>
          <w:name w:val="General"/>
          <w:gallery w:val="placeholder"/>
        </w:category>
        <w:types>
          <w:type w:val="bbPlcHdr"/>
        </w:types>
        <w:behaviors>
          <w:behavior w:val="content"/>
        </w:behaviors>
        <w:guid w:val="{B3930553-264E-4521-9840-4058B2074524}"/>
      </w:docPartPr>
      <w:docPartBody>
        <w:p w:rsidR="00776CCD" w:rsidRDefault="00D74FC3" w:rsidP="00D74FC3">
          <w:pPr>
            <w:pStyle w:val="7E16ACBC28564DAAAF92C48C17A313BE"/>
          </w:pPr>
          <w:r w:rsidRPr="00AC7F25">
            <w:rPr>
              <w:rStyle w:val="PlaceholderText"/>
            </w:rPr>
            <w:t>Choose an item.</w:t>
          </w:r>
        </w:p>
      </w:docPartBody>
    </w:docPart>
    <w:docPart>
      <w:docPartPr>
        <w:name w:val="F2527F3FFA0A41BB8895A493C5220DE1"/>
        <w:category>
          <w:name w:val="General"/>
          <w:gallery w:val="placeholder"/>
        </w:category>
        <w:types>
          <w:type w:val="bbPlcHdr"/>
        </w:types>
        <w:behaviors>
          <w:behavior w:val="content"/>
        </w:behaviors>
        <w:guid w:val="{17EFAD16-DCE9-4D0F-9CA5-00CD57B7A9A8}"/>
      </w:docPartPr>
      <w:docPartBody>
        <w:p w:rsidR="00776CCD" w:rsidRDefault="00D74FC3" w:rsidP="00D74FC3">
          <w:pPr>
            <w:pStyle w:val="F2527F3FFA0A41BB8895A493C5220DE1"/>
          </w:pPr>
          <w:r w:rsidRPr="00AC7F25">
            <w:rPr>
              <w:rStyle w:val="PlaceholderText"/>
            </w:rPr>
            <w:t>Choose an item.</w:t>
          </w:r>
        </w:p>
      </w:docPartBody>
    </w:docPart>
    <w:docPart>
      <w:docPartPr>
        <w:name w:val="B57C9AB871434C47952186B8B4F0C33C"/>
        <w:category>
          <w:name w:val="General"/>
          <w:gallery w:val="placeholder"/>
        </w:category>
        <w:types>
          <w:type w:val="bbPlcHdr"/>
        </w:types>
        <w:behaviors>
          <w:behavior w:val="content"/>
        </w:behaviors>
        <w:guid w:val="{5021B2C5-7065-4186-A13E-059FB073C88F}"/>
      </w:docPartPr>
      <w:docPartBody>
        <w:p w:rsidR="00776CCD" w:rsidRDefault="00D74FC3" w:rsidP="00D74FC3">
          <w:pPr>
            <w:pStyle w:val="B57C9AB871434C47952186B8B4F0C33C"/>
          </w:pPr>
          <w:r w:rsidRPr="001F1C68">
            <w:rPr>
              <w:rStyle w:val="PlaceholderText"/>
            </w:rPr>
            <w:t>Click here to enter text.</w:t>
          </w:r>
        </w:p>
      </w:docPartBody>
    </w:docPart>
    <w:docPart>
      <w:docPartPr>
        <w:name w:val="F1DD8387F2D5484D983B8F1893386442"/>
        <w:category>
          <w:name w:val="General"/>
          <w:gallery w:val="placeholder"/>
        </w:category>
        <w:types>
          <w:type w:val="bbPlcHdr"/>
        </w:types>
        <w:behaviors>
          <w:behavior w:val="content"/>
        </w:behaviors>
        <w:guid w:val="{C7BB7010-526E-4BA0-9D11-66CB165694AC}"/>
      </w:docPartPr>
      <w:docPartBody>
        <w:p w:rsidR="00776CCD" w:rsidRDefault="00D74FC3" w:rsidP="00D74FC3">
          <w:pPr>
            <w:pStyle w:val="F1DD8387F2D5484D983B8F1893386442"/>
          </w:pPr>
          <w:r w:rsidRPr="00AC7F25">
            <w:rPr>
              <w:rStyle w:val="PlaceholderText"/>
            </w:rPr>
            <w:t>Choose an item.</w:t>
          </w:r>
        </w:p>
      </w:docPartBody>
    </w:docPart>
    <w:docPart>
      <w:docPartPr>
        <w:name w:val="14E63EF0A67F407CBEA29E4599424C8D"/>
        <w:category>
          <w:name w:val="General"/>
          <w:gallery w:val="placeholder"/>
        </w:category>
        <w:types>
          <w:type w:val="bbPlcHdr"/>
        </w:types>
        <w:behaviors>
          <w:behavior w:val="content"/>
        </w:behaviors>
        <w:guid w:val="{F6A97EB9-773F-4A6E-8EBA-01BB2B2CB4EA}"/>
      </w:docPartPr>
      <w:docPartBody>
        <w:p w:rsidR="00776CCD" w:rsidRDefault="00D74FC3" w:rsidP="00D74FC3">
          <w:pPr>
            <w:pStyle w:val="14E63EF0A67F407CBEA29E4599424C8D"/>
          </w:pPr>
          <w:r w:rsidRPr="001F1C68">
            <w:rPr>
              <w:rStyle w:val="PlaceholderText"/>
            </w:rPr>
            <w:t>Click here to enter text.</w:t>
          </w:r>
        </w:p>
      </w:docPartBody>
    </w:docPart>
    <w:docPart>
      <w:docPartPr>
        <w:name w:val="0698873ED73C42339A1D9A092A3BC1B0"/>
        <w:category>
          <w:name w:val="General"/>
          <w:gallery w:val="placeholder"/>
        </w:category>
        <w:types>
          <w:type w:val="bbPlcHdr"/>
        </w:types>
        <w:behaviors>
          <w:behavior w:val="content"/>
        </w:behaviors>
        <w:guid w:val="{8539B473-1967-44B3-AC65-CF25A1D032A9}"/>
      </w:docPartPr>
      <w:docPartBody>
        <w:p w:rsidR="005E1796" w:rsidRDefault="005E1796" w:rsidP="005E1796">
          <w:pPr>
            <w:pStyle w:val="0698873ED73C42339A1D9A092A3BC1B0"/>
          </w:pPr>
          <w:r>
            <w:rPr>
              <w:rStyle w:val="PlaceholderText"/>
            </w:rPr>
            <w:t>Click here to enter text.</w:t>
          </w:r>
        </w:p>
      </w:docPartBody>
    </w:docPart>
    <w:docPart>
      <w:docPartPr>
        <w:name w:val="691B4D9074CA40219564A96E8A8BF093"/>
        <w:category>
          <w:name w:val="General"/>
          <w:gallery w:val="placeholder"/>
        </w:category>
        <w:types>
          <w:type w:val="bbPlcHdr"/>
        </w:types>
        <w:behaviors>
          <w:behavior w:val="content"/>
        </w:behaviors>
        <w:guid w:val="{8A5716D9-9D71-47D7-9551-C2C7CC3EBB5B}"/>
      </w:docPartPr>
      <w:docPartBody>
        <w:p w:rsidR="00B475DE" w:rsidRDefault="00B475DE" w:rsidP="00B475DE">
          <w:pPr>
            <w:pStyle w:val="691B4D9074CA40219564A96E8A8BF093"/>
          </w:pPr>
          <w:r w:rsidRPr="001F1C68">
            <w:rPr>
              <w:rStyle w:val="PlaceholderText"/>
            </w:rPr>
            <w:t>Click here to enter text.</w:t>
          </w:r>
        </w:p>
      </w:docPartBody>
    </w:docPart>
    <w:docPart>
      <w:docPartPr>
        <w:name w:val="65A7CBEAF1D94A08BA61839F1D023D1A"/>
        <w:category>
          <w:name w:val="General"/>
          <w:gallery w:val="placeholder"/>
        </w:category>
        <w:types>
          <w:type w:val="bbPlcHdr"/>
        </w:types>
        <w:behaviors>
          <w:behavior w:val="content"/>
        </w:behaviors>
        <w:guid w:val="{9FE6DBC0-94F9-4132-9FF3-D8BAA728467C}"/>
      </w:docPartPr>
      <w:docPartBody>
        <w:p w:rsidR="00B475DE" w:rsidRDefault="00B475DE" w:rsidP="00B475DE">
          <w:pPr>
            <w:pStyle w:val="65A7CBEAF1D94A08BA61839F1D023D1A"/>
          </w:pPr>
          <w:r w:rsidRPr="001F1C68">
            <w:rPr>
              <w:rStyle w:val="PlaceholderText"/>
            </w:rPr>
            <w:t>Click here to enter text.</w:t>
          </w:r>
        </w:p>
      </w:docPartBody>
    </w:docPart>
    <w:docPart>
      <w:docPartPr>
        <w:name w:val="35C9670AE49F4AB1A747E2F5A186EBB0"/>
        <w:category>
          <w:name w:val="General"/>
          <w:gallery w:val="placeholder"/>
        </w:category>
        <w:types>
          <w:type w:val="bbPlcHdr"/>
        </w:types>
        <w:behaviors>
          <w:behavior w:val="content"/>
        </w:behaviors>
        <w:guid w:val="{DB191570-AF28-468D-854D-4256794773AC}"/>
      </w:docPartPr>
      <w:docPartBody>
        <w:p w:rsidR="003A26EC" w:rsidRDefault="00E97B6E">
          <w:pPr>
            <w:pStyle w:val="35C9670AE49F4AB1A747E2F5A186EBB0"/>
          </w:pPr>
          <w:r w:rsidRPr="001F1C6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dvPSA88A">
    <w:altName w:val="Cambria"/>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FC3"/>
    <w:rsid w:val="000546C1"/>
    <w:rsid w:val="000744CC"/>
    <w:rsid w:val="000A709D"/>
    <w:rsid w:val="0012126D"/>
    <w:rsid w:val="00173422"/>
    <w:rsid w:val="00183B9B"/>
    <w:rsid w:val="001D405F"/>
    <w:rsid w:val="001F7DA1"/>
    <w:rsid w:val="00297D38"/>
    <w:rsid w:val="002A2285"/>
    <w:rsid w:val="002A27F9"/>
    <w:rsid w:val="003826B5"/>
    <w:rsid w:val="003A26EC"/>
    <w:rsid w:val="003C0BC9"/>
    <w:rsid w:val="00415F64"/>
    <w:rsid w:val="004615EA"/>
    <w:rsid w:val="00472D80"/>
    <w:rsid w:val="00482BF0"/>
    <w:rsid w:val="004933E4"/>
    <w:rsid w:val="004C448A"/>
    <w:rsid w:val="005376E4"/>
    <w:rsid w:val="0054720E"/>
    <w:rsid w:val="005E1796"/>
    <w:rsid w:val="006036FF"/>
    <w:rsid w:val="00625346"/>
    <w:rsid w:val="00636168"/>
    <w:rsid w:val="006452A2"/>
    <w:rsid w:val="006473D1"/>
    <w:rsid w:val="00671F5C"/>
    <w:rsid w:val="006929D1"/>
    <w:rsid w:val="006D0B03"/>
    <w:rsid w:val="006F0B62"/>
    <w:rsid w:val="00727B95"/>
    <w:rsid w:val="00730E6B"/>
    <w:rsid w:val="00734F8D"/>
    <w:rsid w:val="007357FE"/>
    <w:rsid w:val="0073631D"/>
    <w:rsid w:val="00771801"/>
    <w:rsid w:val="00776CCD"/>
    <w:rsid w:val="007A0529"/>
    <w:rsid w:val="007B5251"/>
    <w:rsid w:val="007C5DDD"/>
    <w:rsid w:val="007D07CF"/>
    <w:rsid w:val="008407B7"/>
    <w:rsid w:val="008502B1"/>
    <w:rsid w:val="008578AB"/>
    <w:rsid w:val="00882182"/>
    <w:rsid w:val="008C2952"/>
    <w:rsid w:val="008D3C2F"/>
    <w:rsid w:val="00903BAC"/>
    <w:rsid w:val="00920E08"/>
    <w:rsid w:val="00965CC4"/>
    <w:rsid w:val="00996DBD"/>
    <w:rsid w:val="009C2D12"/>
    <w:rsid w:val="00A51E1A"/>
    <w:rsid w:val="00A816C0"/>
    <w:rsid w:val="00A922E9"/>
    <w:rsid w:val="00B475DE"/>
    <w:rsid w:val="00B5672F"/>
    <w:rsid w:val="00BB6B12"/>
    <w:rsid w:val="00C876DB"/>
    <w:rsid w:val="00C91EEE"/>
    <w:rsid w:val="00CA1B2A"/>
    <w:rsid w:val="00D066BE"/>
    <w:rsid w:val="00D202A2"/>
    <w:rsid w:val="00D3791C"/>
    <w:rsid w:val="00D74FC3"/>
    <w:rsid w:val="00D84658"/>
    <w:rsid w:val="00DF41AB"/>
    <w:rsid w:val="00E05B81"/>
    <w:rsid w:val="00E06389"/>
    <w:rsid w:val="00E559B4"/>
    <w:rsid w:val="00E65CFC"/>
    <w:rsid w:val="00E97B6E"/>
    <w:rsid w:val="00EC058E"/>
    <w:rsid w:val="00EE1122"/>
    <w:rsid w:val="00EF09B4"/>
    <w:rsid w:val="00F515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22E9"/>
    <w:rPr>
      <w:color w:val="808080"/>
    </w:rPr>
  </w:style>
  <w:style w:type="paragraph" w:customStyle="1" w:styleId="B0AC98609FA4417B9C103612E66CD069">
    <w:name w:val="B0AC98609FA4417B9C103612E66CD069"/>
    <w:rsid w:val="00D74FC3"/>
  </w:style>
  <w:style w:type="paragraph" w:customStyle="1" w:styleId="676A5187414A44ADAA5D005699D8CE68">
    <w:name w:val="676A5187414A44ADAA5D005699D8CE68"/>
    <w:rsid w:val="00D74FC3"/>
  </w:style>
  <w:style w:type="paragraph" w:customStyle="1" w:styleId="373B70B5717749DE9AA7C6D8F2EC46D4">
    <w:name w:val="373B70B5717749DE9AA7C6D8F2EC46D4"/>
    <w:rsid w:val="00D74FC3"/>
  </w:style>
  <w:style w:type="paragraph" w:customStyle="1" w:styleId="A1A7DB9655A04668BF8DB49320FAC40C">
    <w:name w:val="A1A7DB9655A04668BF8DB49320FAC40C"/>
    <w:rsid w:val="00D74FC3"/>
  </w:style>
  <w:style w:type="paragraph" w:customStyle="1" w:styleId="C02C690A4F94470A90B33FA284A32221">
    <w:name w:val="C02C690A4F94470A90B33FA284A32221"/>
    <w:rsid w:val="00D74FC3"/>
  </w:style>
  <w:style w:type="paragraph" w:customStyle="1" w:styleId="7E16ACBC28564DAAAF92C48C17A313BE">
    <w:name w:val="7E16ACBC28564DAAAF92C48C17A313BE"/>
    <w:rsid w:val="00D74FC3"/>
  </w:style>
  <w:style w:type="paragraph" w:customStyle="1" w:styleId="F2527F3FFA0A41BB8895A493C5220DE1">
    <w:name w:val="F2527F3FFA0A41BB8895A493C5220DE1"/>
    <w:rsid w:val="00D74FC3"/>
  </w:style>
  <w:style w:type="paragraph" w:customStyle="1" w:styleId="B57C9AB871434C47952186B8B4F0C33C">
    <w:name w:val="B57C9AB871434C47952186B8B4F0C33C"/>
    <w:rsid w:val="00D74FC3"/>
  </w:style>
  <w:style w:type="paragraph" w:customStyle="1" w:styleId="F1DD8387F2D5484D983B8F1893386442">
    <w:name w:val="F1DD8387F2D5484D983B8F1893386442"/>
    <w:rsid w:val="00D74FC3"/>
  </w:style>
  <w:style w:type="paragraph" w:customStyle="1" w:styleId="14E63EF0A67F407CBEA29E4599424C8D">
    <w:name w:val="14E63EF0A67F407CBEA29E4599424C8D"/>
    <w:rsid w:val="00D74FC3"/>
  </w:style>
  <w:style w:type="paragraph" w:customStyle="1" w:styleId="0698873ED73C42339A1D9A092A3BC1B0">
    <w:name w:val="0698873ED73C42339A1D9A092A3BC1B0"/>
    <w:rsid w:val="005E1796"/>
  </w:style>
  <w:style w:type="paragraph" w:customStyle="1" w:styleId="691B4D9074CA40219564A96E8A8BF093">
    <w:name w:val="691B4D9074CA40219564A96E8A8BF093"/>
    <w:rsid w:val="00B475DE"/>
  </w:style>
  <w:style w:type="paragraph" w:customStyle="1" w:styleId="65A7CBEAF1D94A08BA61839F1D023D1A">
    <w:name w:val="65A7CBEAF1D94A08BA61839F1D023D1A"/>
    <w:rsid w:val="00B475DE"/>
  </w:style>
  <w:style w:type="paragraph" w:customStyle="1" w:styleId="35C9670AE49F4AB1A747E2F5A186EBB0">
    <w:name w:val="35C9670AE49F4AB1A747E2F5A186EB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E07916FEA514B45B5B43134D457B84D" ma:contentTypeVersion="12" ma:contentTypeDescription="Create a new document." ma:contentTypeScope="" ma:versionID="46979791c6edcc2a1d19197e87685e0a">
  <xsd:schema xmlns:xsd="http://www.w3.org/2001/XMLSchema" xmlns:xs="http://www.w3.org/2001/XMLSchema" xmlns:p="http://schemas.microsoft.com/office/2006/metadata/properties" xmlns:ns3="e48efa0a-f538-4d11-a0f9-f5d5ef794d11" xmlns:ns4="af635a5a-03e3-406e-9990-c916881a787b" targetNamespace="http://schemas.microsoft.com/office/2006/metadata/properties" ma:root="true" ma:fieldsID="d5289c4305772fbb75091d7567af68bf" ns3:_="" ns4:_="">
    <xsd:import namespace="e48efa0a-f538-4d11-a0f9-f5d5ef794d11"/>
    <xsd:import namespace="af635a5a-03e3-406e-9990-c916881a78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8efa0a-f538-4d11-a0f9-f5d5ef794d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635a5a-03e3-406e-9990-c916881a78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52FF3-4B74-4E1C-A0A1-FD7CC785E70D}">
  <ds:schemaRefs>
    <ds:schemaRef ds:uri="http://schemas.microsoft.com/sharepoint/v3/contenttype/forms"/>
  </ds:schemaRefs>
</ds:datastoreItem>
</file>

<file path=customXml/itemProps2.xml><?xml version="1.0" encoding="utf-8"?>
<ds:datastoreItem xmlns:ds="http://schemas.openxmlformats.org/officeDocument/2006/customXml" ds:itemID="{025E1C50-720C-447B-936E-EB4EDAAAAC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262B4A-B727-4897-BC83-409876839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8efa0a-f538-4d11-a0f9-f5d5ef794d11"/>
    <ds:schemaRef ds:uri="af635a5a-03e3-406e-9990-c916881a78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D54A1F-77C3-4FD5-AB13-3DA37CA45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2368</TotalTime>
  <Pages>159</Pages>
  <Words>30830</Words>
  <Characters>175735</Characters>
  <Application>Microsoft Office Word</Application>
  <DocSecurity>0</DocSecurity>
  <Lines>1464</Lines>
  <Paragraphs>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 Ashutosh</dc:creator>
  <cp:keywords/>
  <dc:description/>
  <cp:lastModifiedBy>Sakhardande, Rohan R.</cp:lastModifiedBy>
  <cp:revision>7</cp:revision>
  <cp:lastPrinted>2020-12-16T15:33:00Z</cp:lastPrinted>
  <dcterms:created xsi:type="dcterms:W3CDTF">2020-12-16T15:06:00Z</dcterms:created>
  <dcterms:modified xsi:type="dcterms:W3CDTF">2020-12-16T15:33:00Z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http://www.zotero.org/styles/journal-of-petroleum-exploration-and-production-technology</vt:lpwstr>
  </property>
  <property fmtid="{D5CDD505-2E9C-101B-9397-08002B2CF9AE}" pid="4" name="Mendeley Unique User Id_1">
    <vt:lpwstr>1041f8a9-0e6b-3acf-aec4-fd5a7f06a67e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ContentTypeId">
    <vt:lpwstr>0x0101004E07916FEA514B45B5B43134D457B84D</vt:lpwstr>
  </property>
</Properties>
</file>